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header12.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7D7E8B" w14:textId="77777777" w:rsidR="007D46C5" w:rsidRPr="00167A1B" w:rsidRDefault="007D46C5" w:rsidP="00B31214">
      <w:pPr>
        <w:tabs>
          <w:tab w:val="right" w:pos="8280"/>
        </w:tabs>
        <w:ind w:right="-22"/>
        <w:jc w:val="left"/>
        <w:rPr>
          <w:rFonts w:ascii="Arial" w:hAnsi="Arial" w:cs="Arial"/>
          <w:caps/>
          <w:sz w:val="20"/>
        </w:rPr>
      </w:pPr>
    </w:p>
    <w:p w14:paraId="4A6C73BC" w14:textId="77777777" w:rsidR="00A50808" w:rsidRPr="00167A1B" w:rsidRDefault="00A50808" w:rsidP="00B31214">
      <w:pPr>
        <w:tabs>
          <w:tab w:val="right" w:pos="8280"/>
        </w:tabs>
        <w:ind w:right="-22"/>
        <w:jc w:val="left"/>
        <w:rPr>
          <w:rFonts w:ascii="Arial" w:hAnsi="Arial" w:cs="Arial"/>
          <w:caps/>
          <w:sz w:val="20"/>
        </w:rPr>
      </w:pPr>
    </w:p>
    <w:p w14:paraId="3DA0D9F3" w14:textId="77777777" w:rsidR="00AE7C03" w:rsidRPr="00167A1B" w:rsidRDefault="00AE7C03" w:rsidP="00B31214">
      <w:pPr>
        <w:tabs>
          <w:tab w:val="right" w:pos="8280"/>
        </w:tabs>
        <w:ind w:right="-22"/>
        <w:jc w:val="left"/>
        <w:rPr>
          <w:rFonts w:ascii="Arial" w:hAnsi="Arial" w:cs="Arial"/>
          <w:caps/>
          <w:sz w:val="20"/>
        </w:rPr>
      </w:pPr>
    </w:p>
    <w:p w14:paraId="5ED61345" w14:textId="77777777" w:rsidR="00910BEB" w:rsidRPr="00167A1B" w:rsidRDefault="00910BEB" w:rsidP="009B6318">
      <w:pPr>
        <w:tabs>
          <w:tab w:val="right" w:pos="8280"/>
        </w:tabs>
        <w:ind w:right="-22"/>
        <w:jc w:val="left"/>
        <w:rPr>
          <w:rFonts w:ascii="Arial" w:hAnsi="Arial" w:cs="Arial"/>
          <w:caps/>
          <w:sz w:val="20"/>
        </w:rPr>
      </w:pPr>
    </w:p>
    <w:p w14:paraId="55AE2FA8" w14:textId="77777777" w:rsidR="005C672B" w:rsidRPr="00167A1B" w:rsidRDefault="005C672B" w:rsidP="00B31214">
      <w:pPr>
        <w:pStyle w:val="Header"/>
        <w:tabs>
          <w:tab w:val="left" w:pos="3420"/>
          <w:tab w:val="right" w:pos="9000"/>
        </w:tabs>
        <w:jc w:val="left"/>
        <w:rPr>
          <w:rFonts w:ascii="Arial" w:hAnsi="Arial" w:cs="Arial"/>
          <w:color w:val="333333"/>
          <w:sz w:val="20"/>
        </w:rPr>
      </w:pPr>
    </w:p>
    <w:p w14:paraId="166727F6" w14:textId="77777777" w:rsidR="00910BEB" w:rsidRPr="00167A1B" w:rsidRDefault="00910BEB" w:rsidP="00A92E21">
      <w:pPr>
        <w:pStyle w:val="Header"/>
        <w:tabs>
          <w:tab w:val="left" w:pos="3420"/>
          <w:tab w:val="right" w:pos="9000"/>
        </w:tabs>
        <w:jc w:val="left"/>
        <w:rPr>
          <w:rFonts w:ascii="Arial" w:hAnsi="Arial" w:cs="Arial"/>
          <w:color w:val="333333"/>
          <w:sz w:val="20"/>
        </w:rPr>
      </w:pPr>
    </w:p>
    <w:p w14:paraId="2EF84369" w14:textId="26F74C15" w:rsidR="00696241" w:rsidRPr="00167A1B" w:rsidRDefault="00121BF1" w:rsidP="001E6AC6">
      <w:pPr>
        <w:pStyle w:val="DocumentSubtitle"/>
        <w:rPr>
          <w:rFonts w:ascii="Arial" w:hAnsi="Arial" w:cs="Arial"/>
          <w:color w:val="FFFFFF" w:themeColor="background1"/>
        </w:rPr>
      </w:pPr>
      <w:r w:rsidRPr="00167A1B">
        <w:rPr>
          <w:rFonts w:ascii="Arial" w:hAnsi="Arial" w:cs="Arial"/>
          <w:b/>
          <w:color w:val="FFFFFF" w:themeColor="background1"/>
          <w:sz w:val="52"/>
          <w:szCs w:val="52"/>
        </w:rPr>
        <w:t>Impact Assessment Study to Assess Unbundling of Chargers</w:t>
      </w:r>
    </w:p>
    <w:p w14:paraId="053EDB14" w14:textId="48FED66E" w:rsidR="006B26AA" w:rsidRPr="00167A1B" w:rsidRDefault="001855C9" w:rsidP="00BE55E6">
      <w:pPr>
        <w:pStyle w:val="DocumentSubtitle"/>
        <w:tabs>
          <w:tab w:val="left" w:pos="4536"/>
        </w:tabs>
        <w:rPr>
          <w:rFonts w:ascii="Arial" w:hAnsi="Arial" w:cs="Arial"/>
          <w:color w:val="FFFFFF" w:themeColor="background1"/>
        </w:rPr>
      </w:pPr>
      <w:r w:rsidRPr="00167A1B">
        <w:rPr>
          <w:rFonts w:ascii="Arial" w:hAnsi="Arial" w:cs="Arial"/>
          <w:color w:val="FFFFFF" w:themeColor="background1"/>
        </w:rPr>
        <w:t>F</w:t>
      </w:r>
      <w:r w:rsidR="00121BF1" w:rsidRPr="00167A1B">
        <w:rPr>
          <w:rFonts w:ascii="Arial" w:hAnsi="Arial" w:cs="Arial"/>
          <w:color w:val="FFFFFF" w:themeColor="background1"/>
        </w:rPr>
        <w:t>inal report</w:t>
      </w:r>
    </w:p>
    <w:p w14:paraId="57675020" w14:textId="77777777" w:rsidR="00E15F27" w:rsidRPr="00167A1B" w:rsidRDefault="00E15F27" w:rsidP="00BE55E6">
      <w:pPr>
        <w:pStyle w:val="DocumentSubtitle"/>
        <w:tabs>
          <w:tab w:val="left" w:pos="4536"/>
        </w:tabs>
        <w:rPr>
          <w:rFonts w:ascii="Arial" w:hAnsi="Arial" w:cs="Arial"/>
        </w:rPr>
      </w:pPr>
    </w:p>
    <w:p w14:paraId="3179CEDE" w14:textId="77777777" w:rsidR="00E15F27" w:rsidRPr="00167A1B" w:rsidRDefault="00E15F27" w:rsidP="00BE55E6">
      <w:pPr>
        <w:pStyle w:val="DocumentSubtitle"/>
        <w:tabs>
          <w:tab w:val="left" w:pos="4536"/>
        </w:tabs>
        <w:rPr>
          <w:rFonts w:ascii="Arial" w:hAnsi="Arial" w:cs="Arial"/>
        </w:rPr>
      </w:pPr>
    </w:p>
    <w:p w14:paraId="2901DC10" w14:textId="77777777" w:rsidR="00E15F27" w:rsidRPr="00167A1B" w:rsidRDefault="00E15F27" w:rsidP="00E15F27">
      <w:pPr>
        <w:pStyle w:val="DocumentSubtitle"/>
        <w:tabs>
          <w:tab w:val="left" w:pos="4536"/>
        </w:tabs>
        <w:jc w:val="left"/>
        <w:rPr>
          <w:rFonts w:ascii="Arial" w:hAnsi="Arial" w:cs="Arial"/>
        </w:rPr>
      </w:pPr>
    </w:p>
    <w:p w14:paraId="47641B3E" w14:textId="77777777" w:rsidR="00E15F27" w:rsidRPr="00167A1B" w:rsidRDefault="00E15F27" w:rsidP="00E15F27">
      <w:pPr>
        <w:pStyle w:val="DocumentSubtitle"/>
        <w:tabs>
          <w:tab w:val="left" w:pos="4536"/>
        </w:tabs>
        <w:jc w:val="left"/>
        <w:rPr>
          <w:rFonts w:ascii="Arial" w:hAnsi="Arial" w:cs="Arial"/>
        </w:rPr>
      </w:pPr>
    </w:p>
    <w:p w14:paraId="6675F3A9" w14:textId="77777777" w:rsidR="00E15F27" w:rsidRPr="00167A1B" w:rsidRDefault="00E15F27" w:rsidP="00E15F27">
      <w:pPr>
        <w:pStyle w:val="DocumentSubtitle"/>
        <w:tabs>
          <w:tab w:val="left" w:pos="4536"/>
        </w:tabs>
        <w:jc w:val="left"/>
        <w:rPr>
          <w:rFonts w:ascii="Arial" w:hAnsi="Arial" w:cs="Arial"/>
        </w:rPr>
      </w:pPr>
    </w:p>
    <w:p w14:paraId="561187F0" w14:textId="77777777" w:rsidR="00E15F27" w:rsidRPr="00167A1B" w:rsidRDefault="00E15F27" w:rsidP="00E15F27">
      <w:pPr>
        <w:pStyle w:val="DocumentSubtitle"/>
        <w:tabs>
          <w:tab w:val="left" w:pos="4536"/>
        </w:tabs>
        <w:jc w:val="left"/>
        <w:rPr>
          <w:rFonts w:ascii="Arial" w:hAnsi="Arial" w:cs="Arial"/>
        </w:rPr>
      </w:pPr>
    </w:p>
    <w:p w14:paraId="7998F174" w14:textId="77777777" w:rsidR="00E15F27" w:rsidRPr="00167A1B" w:rsidRDefault="00E15F27" w:rsidP="00E15F27">
      <w:pPr>
        <w:pStyle w:val="DocumentSubtitle"/>
        <w:tabs>
          <w:tab w:val="left" w:pos="4536"/>
        </w:tabs>
        <w:jc w:val="left"/>
        <w:rPr>
          <w:rFonts w:ascii="Arial" w:hAnsi="Arial" w:cs="Arial"/>
        </w:rPr>
      </w:pPr>
    </w:p>
    <w:p w14:paraId="7B73E539" w14:textId="77777777" w:rsidR="00E15F27" w:rsidRPr="00167A1B" w:rsidRDefault="00E15F27" w:rsidP="00E15F27">
      <w:pPr>
        <w:pStyle w:val="DocumentSubtitle"/>
        <w:tabs>
          <w:tab w:val="left" w:pos="4536"/>
        </w:tabs>
        <w:jc w:val="left"/>
        <w:rPr>
          <w:rFonts w:ascii="Arial" w:hAnsi="Arial" w:cs="Arial"/>
        </w:rPr>
      </w:pPr>
    </w:p>
    <w:p w14:paraId="282DC61A" w14:textId="77777777" w:rsidR="00E15F27" w:rsidRPr="00167A1B" w:rsidRDefault="00E15F27" w:rsidP="00E15F27">
      <w:pPr>
        <w:pStyle w:val="DocumentSubtitle"/>
        <w:tabs>
          <w:tab w:val="left" w:pos="4536"/>
        </w:tabs>
        <w:jc w:val="left"/>
        <w:rPr>
          <w:rFonts w:ascii="Arial" w:hAnsi="Arial" w:cs="Arial"/>
        </w:rPr>
      </w:pPr>
    </w:p>
    <w:p w14:paraId="7F1599CD" w14:textId="77777777" w:rsidR="00E15F27" w:rsidRPr="00167A1B" w:rsidRDefault="004B7BC7" w:rsidP="00E15F27">
      <w:pPr>
        <w:pStyle w:val="DocumentSubtitle"/>
        <w:tabs>
          <w:tab w:val="left" w:pos="4536"/>
        </w:tabs>
        <w:jc w:val="left"/>
        <w:rPr>
          <w:rFonts w:ascii="Arial" w:hAnsi="Arial" w:cs="Arial"/>
        </w:rPr>
      </w:pPr>
      <w:r w:rsidRPr="00167A1B">
        <w:rPr>
          <w:noProof/>
          <w:lang w:eastAsia="en-GB"/>
        </w:rPr>
        <w:drawing>
          <wp:anchor distT="0" distB="0" distL="114300" distR="114300" simplePos="0" relativeHeight="251661824" behindDoc="1" locked="0" layoutInCell="1" allowOverlap="1" wp14:anchorId="77838D40" wp14:editId="0CCED759">
            <wp:simplePos x="0" y="0"/>
            <wp:positionH relativeFrom="column">
              <wp:posOffset>4133277</wp:posOffset>
            </wp:positionH>
            <wp:positionV relativeFrom="margin">
              <wp:posOffset>7397750</wp:posOffset>
            </wp:positionV>
            <wp:extent cx="2004498" cy="504000"/>
            <wp:effectExtent l="0" t="0" r="0" b="0"/>
            <wp:wrapTight wrapText="bothSides">
              <wp:wrapPolygon edited="0">
                <wp:start x="14989" y="0"/>
                <wp:lineTo x="0" y="8989"/>
                <wp:lineTo x="0" y="19612"/>
                <wp:lineTo x="14989" y="20429"/>
                <wp:lineTo x="20943" y="20429"/>
                <wp:lineTo x="21354" y="13074"/>
                <wp:lineTo x="21354" y="0"/>
                <wp:lineTo x="14989" y="0"/>
              </wp:wrapPolygon>
            </wp:wrapTight>
            <wp:docPr id="41" name="Picture 41">
              <a:extLst xmlns:a="http://schemas.openxmlformats.org/drawingml/2006/main">
                <a:ext uri="{FF2B5EF4-FFF2-40B4-BE49-F238E27FC236}">
                  <a16:creationId xmlns:a16="http://schemas.microsoft.com/office/drawing/2014/main" id="{EB4A98FE-D01E-4D9D-AED5-D8EE08B99EB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B4A98FE-D01E-4D9D-AED5-D8EE08B99EB6}"/>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004498" cy="504000"/>
                    </a:xfrm>
                    <a:prstGeom prst="rect">
                      <a:avLst/>
                    </a:prstGeom>
                  </pic:spPr>
                </pic:pic>
              </a:graphicData>
            </a:graphic>
            <wp14:sizeRelH relativeFrom="page">
              <wp14:pctWidth>0</wp14:pctWidth>
            </wp14:sizeRelH>
            <wp14:sizeRelV relativeFrom="page">
              <wp14:pctHeight>0</wp14:pctHeight>
            </wp14:sizeRelV>
          </wp:anchor>
        </w:drawing>
      </w:r>
    </w:p>
    <w:p w14:paraId="7ABA3CD0" w14:textId="77777777" w:rsidR="00E15F27" w:rsidRPr="00167A1B" w:rsidRDefault="00E15F27" w:rsidP="00E15F27">
      <w:pPr>
        <w:pStyle w:val="DocumentSubtitle"/>
        <w:tabs>
          <w:tab w:val="left" w:pos="4536"/>
        </w:tabs>
        <w:jc w:val="left"/>
        <w:rPr>
          <w:rFonts w:ascii="Arial" w:hAnsi="Arial" w:cs="Arial"/>
          <w:b/>
          <w:i/>
          <w:sz w:val="24"/>
          <w:szCs w:val="24"/>
        </w:rPr>
        <w:sectPr w:rsidR="00E15F27" w:rsidRPr="00167A1B" w:rsidSect="00830D7E">
          <w:headerReference w:type="default" r:id="rId15"/>
          <w:footerReference w:type="even" r:id="rId16"/>
          <w:footerReference w:type="default" r:id="rId17"/>
          <w:headerReference w:type="first" r:id="rId18"/>
          <w:footerReference w:type="first" r:id="rId19"/>
          <w:pgSz w:w="11907" w:h="16839" w:code="9"/>
          <w:pgMar w:top="3380" w:right="1418" w:bottom="851" w:left="1418" w:header="567" w:footer="947" w:gutter="0"/>
          <w:cols w:space="720"/>
          <w:titlePg/>
          <w:docGrid w:linePitch="326"/>
        </w:sectPr>
      </w:pPr>
    </w:p>
    <w:p w14:paraId="55BBF4C4" w14:textId="77777777" w:rsidR="006B26AA" w:rsidRPr="00167A1B" w:rsidRDefault="006B26AA" w:rsidP="006B26AA">
      <w:pPr>
        <w:rPr>
          <w:rFonts w:ascii="Arial" w:hAnsi="Arial" w:cs="Arial"/>
        </w:rPr>
      </w:pPr>
    </w:p>
    <w:p w14:paraId="26A9F120" w14:textId="77777777" w:rsidR="0096722A" w:rsidRPr="00167A1B" w:rsidRDefault="0096722A" w:rsidP="006B26AA">
      <w:pPr>
        <w:rPr>
          <w:rFonts w:ascii="Arial" w:hAnsi="Arial" w:cs="Arial"/>
        </w:rPr>
      </w:pPr>
    </w:p>
    <w:p w14:paraId="60941E02" w14:textId="77777777" w:rsidR="0096722A" w:rsidRPr="00167A1B" w:rsidRDefault="0096722A" w:rsidP="006B26AA">
      <w:pPr>
        <w:rPr>
          <w:rFonts w:ascii="Arial" w:hAnsi="Arial" w:cs="Arial"/>
        </w:rPr>
      </w:pPr>
    </w:p>
    <w:p w14:paraId="2D501436" w14:textId="77777777" w:rsidR="0096722A" w:rsidRPr="00167A1B" w:rsidRDefault="0096722A" w:rsidP="006B26AA">
      <w:pPr>
        <w:rPr>
          <w:rFonts w:ascii="Arial" w:hAnsi="Arial" w:cs="Arial"/>
        </w:rPr>
      </w:pPr>
    </w:p>
    <w:p w14:paraId="74241B27" w14:textId="77777777" w:rsidR="0096722A" w:rsidRPr="00167A1B" w:rsidRDefault="0096722A" w:rsidP="006B26AA">
      <w:pPr>
        <w:rPr>
          <w:rFonts w:ascii="Arial" w:hAnsi="Arial" w:cs="Arial"/>
        </w:rPr>
      </w:pPr>
    </w:p>
    <w:p w14:paraId="2832A892" w14:textId="77777777" w:rsidR="006B26AA" w:rsidRPr="00167A1B" w:rsidRDefault="006B26AA" w:rsidP="006B26AA">
      <w:pPr>
        <w:rPr>
          <w:rFonts w:ascii="Arial" w:hAnsi="Arial" w:cs="Arial"/>
        </w:rPr>
      </w:pPr>
    </w:p>
    <w:p w14:paraId="3A79B731" w14:textId="77777777" w:rsidR="006B26AA" w:rsidRPr="00167A1B" w:rsidRDefault="006B26AA" w:rsidP="006B26AA">
      <w:pPr>
        <w:rPr>
          <w:rFonts w:ascii="Arial" w:hAnsi="Arial" w:cs="Arial"/>
        </w:rPr>
      </w:pPr>
    </w:p>
    <w:p w14:paraId="6A759795" w14:textId="77777777" w:rsidR="006B26AA" w:rsidRPr="00167A1B" w:rsidRDefault="006B26AA" w:rsidP="006B26AA">
      <w:pPr>
        <w:rPr>
          <w:rFonts w:ascii="Arial" w:hAnsi="Arial" w:cs="Arial"/>
        </w:rPr>
      </w:pPr>
    </w:p>
    <w:p w14:paraId="3C452597" w14:textId="77777777" w:rsidR="006B26AA" w:rsidRPr="00167A1B" w:rsidRDefault="006B26AA" w:rsidP="006B26AA">
      <w:pPr>
        <w:rPr>
          <w:rFonts w:ascii="Arial" w:hAnsi="Arial" w:cs="Arial"/>
        </w:rPr>
      </w:pPr>
    </w:p>
    <w:p w14:paraId="43BFF25D" w14:textId="77777777" w:rsidR="006B26AA" w:rsidRPr="00167A1B" w:rsidRDefault="006B26AA" w:rsidP="006B26AA">
      <w:pPr>
        <w:rPr>
          <w:rFonts w:ascii="Arial" w:hAnsi="Arial" w:cs="Arial"/>
        </w:rPr>
      </w:pPr>
    </w:p>
    <w:p w14:paraId="35C1B1D4" w14:textId="77777777" w:rsidR="006B26AA" w:rsidRPr="00167A1B" w:rsidRDefault="006B26AA" w:rsidP="006B26AA">
      <w:pPr>
        <w:rPr>
          <w:rFonts w:ascii="Arial" w:hAnsi="Arial" w:cs="Arial"/>
        </w:rPr>
      </w:pPr>
    </w:p>
    <w:p w14:paraId="62CFD5E6" w14:textId="77777777" w:rsidR="006B26AA" w:rsidRPr="00167A1B" w:rsidRDefault="006B26AA" w:rsidP="006B26AA">
      <w:pPr>
        <w:rPr>
          <w:rFonts w:ascii="Arial" w:hAnsi="Arial" w:cs="Arial"/>
        </w:rPr>
      </w:pPr>
    </w:p>
    <w:p w14:paraId="5A4DC81F" w14:textId="77777777" w:rsidR="006B26AA" w:rsidRPr="00167A1B" w:rsidRDefault="006B26AA" w:rsidP="006B26AA">
      <w:pPr>
        <w:rPr>
          <w:rFonts w:ascii="Arial" w:hAnsi="Arial" w:cs="Arial"/>
        </w:rPr>
      </w:pPr>
    </w:p>
    <w:p w14:paraId="750338DB" w14:textId="77777777" w:rsidR="006B26AA" w:rsidRPr="00167A1B" w:rsidRDefault="006B26AA" w:rsidP="006B26AA">
      <w:pPr>
        <w:rPr>
          <w:rFonts w:ascii="Arial" w:hAnsi="Arial" w:cs="Arial"/>
        </w:rPr>
      </w:pPr>
    </w:p>
    <w:p w14:paraId="17A92378" w14:textId="77777777" w:rsidR="006B26AA" w:rsidRPr="00167A1B" w:rsidRDefault="006B26AA" w:rsidP="006B26AA">
      <w:pPr>
        <w:rPr>
          <w:rFonts w:ascii="Arial" w:hAnsi="Arial" w:cs="Arial"/>
        </w:rPr>
      </w:pPr>
    </w:p>
    <w:p w14:paraId="4EC27A73" w14:textId="77777777" w:rsidR="006B26AA" w:rsidRPr="00167A1B" w:rsidRDefault="006B26AA" w:rsidP="006B26AA">
      <w:pPr>
        <w:rPr>
          <w:rFonts w:ascii="Arial" w:hAnsi="Arial" w:cs="Arial"/>
        </w:rPr>
      </w:pPr>
    </w:p>
    <w:p w14:paraId="15E06F0A" w14:textId="77777777" w:rsidR="006B26AA" w:rsidRPr="00167A1B" w:rsidRDefault="006B26AA" w:rsidP="006B26AA">
      <w:pPr>
        <w:rPr>
          <w:rFonts w:ascii="Arial" w:hAnsi="Arial" w:cs="Arial"/>
        </w:rPr>
      </w:pPr>
    </w:p>
    <w:p w14:paraId="5E107D44" w14:textId="77777777" w:rsidR="009B6318" w:rsidRPr="00167A1B" w:rsidRDefault="009B6318" w:rsidP="006B26AA">
      <w:pPr>
        <w:rPr>
          <w:rFonts w:ascii="Arial" w:hAnsi="Arial" w:cs="Arial"/>
        </w:rPr>
      </w:pPr>
    </w:p>
    <w:p w14:paraId="39A2811B" w14:textId="77777777" w:rsidR="006B26AA" w:rsidRPr="00167A1B" w:rsidRDefault="006B26AA" w:rsidP="006B26AA">
      <w:pPr>
        <w:rPr>
          <w:rFonts w:ascii="Arial" w:hAnsi="Arial" w:cs="Arial"/>
        </w:rPr>
      </w:pPr>
    </w:p>
    <w:p w14:paraId="2A3FB5C3" w14:textId="77777777" w:rsidR="00696241" w:rsidRPr="00167A1B" w:rsidRDefault="00696241" w:rsidP="006B26AA">
      <w:pPr>
        <w:rPr>
          <w:rFonts w:ascii="Arial" w:hAnsi="Arial" w:cs="Arial"/>
        </w:rPr>
      </w:pPr>
    </w:p>
    <w:p w14:paraId="692CC238" w14:textId="77777777" w:rsidR="006B26AA" w:rsidRPr="00167A1B" w:rsidRDefault="006B26AA" w:rsidP="006B26AA">
      <w:pPr>
        <w:rPr>
          <w:rFonts w:ascii="Arial" w:hAnsi="Arial" w:cs="Arial"/>
        </w:rPr>
      </w:pPr>
    </w:p>
    <w:p w14:paraId="7523CA03" w14:textId="77777777" w:rsidR="00892A92" w:rsidRPr="00167A1B" w:rsidRDefault="00892A92" w:rsidP="001D2A51">
      <w:pPr>
        <w:pStyle w:val="HeadingBody"/>
        <w:rPr>
          <w:rFonts w:ascii="Arial" w:hAnsi="Arial" w:cs="Arial"/>
          <w:sz w:val="18"/>
        </w:rPr>
      </w:pPr>
    </w:p>
    <w:p w14:paraId="7909D5F7" w14:textId="77777777" w:rsidR="002B26E8" w:rsidRPr="00167A1B" w:rsidRDefault="002B26E8" w:rsidP="001D2A51">
      <w:pPr>
        <w:pStyle w:val="HeadingBody"/>
        <w:rPr>
          <w:rFonts w:ascii="Arial" w:hAnsi="Arial" w:cs="Arial"/>
          <w:sz w:val="18"/>
        </w:rPr>
      </w:pPr>
    </w:p>
    <w:p w14:paraId="09624EC2" w14:textId="77777777" w:rsidR="006B26AA" w:rsidRPr="00167A1B" w:rsidRDefault="006B26AA" w:rsidP="001D2A51">
      <w:pPr>
        <w:pStyle w:val="HeadingBody"/>
        <w:rPr>
          <w:rFonts w:ascii="Arial" w:hAnsi="Arial" w:cs="Arial"/>
          <w:sz w:val="18"/>
        </w:rPr>
      </w:pPr>
      <w:r w:rsidRPr="00167A1B">
        <w:rPr>
          <w:rFonts w:ascii="Arial" w:hAnsi="Arial" w:cs="Arial"/>
          <w:sz w:val="18"/>
        </w:rPr>
        <w:t>EUROPEAN COMMISSION</w:t>
      </w:r>
    </w:p>
    <w:p w14:paraId="1B741CDB" w14:textId="77777777" w:rsidR="006B26AA" w:rsidRPr="00167A1B" w:rsidRDefault="006B26AA" w:rsidP="0001748A">
      <w:pPr>
        <w:spacing w:after="0"/>
        <w:jc w:val="left"/>
        <w:rPr>
          <w:rFonts w:ascii="Arial" w:hAnsi="Arial" w:cs="Arial"/>
          <w:sz w:val="16"/>
          <w:szCs w:val="16"/>
        </w:rPr>
      </w:pPr>
      <w:r w:rsidRPr="00167A1B">
        <w:rPr>
          <w:rFonts w:ascii="Arial" w:hAnsi="Arial" w:cs="Arial"/>
          <w:sz w:val="16"/>
          <w:szCs w:val="16"/>
        </w:rPr>
        <w:t xml:space="preserve">Directorate-General for </w:t>
      </w:r>
      <w:r w:rsidR="00E15F27" w:rsidRPr="00167A1B">
        <w:rPr>
          <w:rFonts w:ascii="Arial" w:hAnsi="Arial" w:cs="Arial"/>
          <w:color w:val="FF0000"/>
          <w:sz w:val="16"/>
          <w:szCs w:val="16"/>
        </w:rPr>
        <w:t>[Name of the policy]</w:t>
      </w:r>
    </w:p>
    <w:p w14:paraId="5083AFC3" w14:textId="77777777" w:rsidR="006B26AA" w:rsidRPr="00167A1B" w:rsidRDefault="006B26AA" w:rsidP="0001748A">
      <w:pPr>
        <w:spacing w:after="0"/>
        <w:jc w:val="left"/>
        <w:rPr>
          <w:rFonts w:ascii="Arial" w:hAnsi="Arial" w:cs="Arial"/>
          <w:sz w:val="16"/>
          <w:szCs w:val="16"/>
        </w:rPr>
      </w:pPr>
      <w:r w:rsidRPr="00167A1B">
        <w:rPr>
          <w:rFonts w:ascii="Arial" w:hAnsi="Arial" w:cs="Arial"/>
          <w:sz w:val="16"/>
          <w:szCs w:val="16"/>
        </w:rPr>
        <w:t xml:space="preserve">Directorate </w:t>
      </w:r>
      <w:r w:rsidRPr="00167A1B">
        <w:rPr>
          <w:rFonts w:ascii="Arial" w:hAnsi="Arial" w:cs="Arial"/>
          <w:color w:val="FF0000"/>
          <w:sz w:val="16"/>
          <w:szCs w:val="16"/>
        </w:rPr>
        <w:t xml:space="preserve">[Directorate letter] </w:t>
      </w:r>
      <w:r w:rsidRPr="00167A1B">
        <w:rPr>
          <w:rFonts w:ascii="Arial" w:hAnsi="Arial" w:cs="Arial"/>
          <w:sz w:val="16"/>
          <w:szCs w:val="16"/>
        </w:rPr>
        <w:t xml:space="preserve">— </w:t>
      </w:r>
      <w:r w:rsidRPr="00167A1B">
        <w:rPr>
          <w:rFonts w:ascii="Arial" w:hAnsi="Arial" w:cs="Arial"/>
          <w:color w:val="FF0000"/>
          <w:sz w:val="16"/>
          <w:szCs w:val="16"/>
        </w:rPr>
        <w:t>[Directorate name -</w:t>
      </w:r>
      <w:r w:rsidRPr="00167A1B">
        <w:rPr>
          <w:rFonts w:ascii="Arial" w:hAnsi="Arial" w:cs="Arial"/>
          <w:i/>
          <w:color w:val="FF0000"/>
          <w:sz w:val="16"/>
          <w:szCs w:val="16"/>
        </w:rPr>
        <w:t>see organigramme</w:t>
      </w:r>
      <w:r w:rsidRPr="00167A1B">
        <w:rPr>
          <w:rFonts w:ascii="Arial" w:hAnsi="Arial" w:cs="Arial"/>
          <w:color w:val="FF0000"/>
          <w:sz w:val="16"/>
          <w:szCs w:val="16"/>
        </w:rPr>
        <w:t>]</w:t>
      </w:r>
    </w:p>
    <w:p w14:paraId="66FA9A23" w14:textId="77777777" w:rsidR="006B26AA" w:rsidRPr="00167A1B" w:rsidRDefault="006B26AA" w:rsidP="0001748A">
      <w:pPr>
        <w:spacing w:after="120"/>
        <w:jc w:val="left"/>
        <w:rPr>
          <w:rFonts w:ascii="Arial" w:hAnsi="Arial" w:cs="Arial"/>
          <w:i/>
          <w:color w:val="FF0000"/>
          <w:sz w:val="16"/>
          <w:szCs w:val="16"/>
        </w:rPr>
      </w:pPr>
      <w:r w:rsidRPr="00167A1B">
        <w:rPr>
          <w:rFonts w:ascii="Arial" w:hAnsi="Arial" w:cs="Arial"/>
          <w:sz w:val="16"/>
          <w:szCs w:val="16"/>
        </w:rPr>
        <w:t xml:space="preserve">Unit </w:t>
      </w:r>
      <w:r w:rsidRPr="00167A1B">
        <w:rPr>
          <w:rFonts w:ascii="Arial" w:hAnsi="Arial" w:cs="Arial"/>
          <w:color w:val="FF0000"/>
          <w:sz w:val="16"/>
          <w:szCs w:val="16"/>
        </w:rPr>
        <w:t xml:space="preserve">[Directorate </w:t>
      </w:r>
      <w:proofErr w:type="spellStart"/>
      <w:proofErr w:type="gramStart"/>
      <w:r w:rsidRPr="00167A1B">
        <w:rPr>
          <w:rFonts w:ascii="Arial" w:hAnsi="Arial" w:cs="Arial"/>
          <w:color w:val="FF0000"/>
          <w:sz w:val="16"/>
          <w:szCs w:val="16"/>
        </w:rPr>
        <w:t>letter</w:t>
      </w:r>
      <w:r w:rsidRPr="00167A1B">
        <w:rPr>
          <w:rFonts w:ascii="Arial" w:hAnsi="Arial" w:cs="Arial"/>
          <w:sz w:val="16"/>
          <w:szCs w:val="16"/>
        </w:rPr>
        <w:t>.</w:t>
      </w:r>
      <w:r w:rsidRPr="00167A1B">
        <w:rPr>
          <w:rFonts w:ascii="Arial" w:hAnsi="Arial" w:cs="Arial"/>
          <w:color w:val="FF0000"/>
          <w:sz w:val="16"/>
          <w:szCs w:val="16"/>
        </w:rPr>
        <w:t>Unit</w:t>
      </w:r>
      <w:proofErr w:type="spellEnd"/>
      <w:proofErr w:type="gramEnd"/>
      <w:r w:rsidRPr="00167A1B">
        <w:rPr>
          <w:rFonts w:ascii="Arial" w:hAnsi="Arial" w:cs="Arial"/>
          <w:color w:val="FF0000"/>
          <w:sz w:val="16"/>
          <w:szCs w:val="16"/>
        </w:rPr>
        <w:t xml:space="preserve"> number,</w:t>
      </w:r>
      <w:r w:rsidRPr="00167A1B">
        <w:rPr>
          <w:rFonts w:ascii="Arial" w:hAnsi="Arial" w:cs="Arial"/>
          <w:i/>
          <w:color w:val="FF0000"/>
          <w:sz w:val="16"/>
          <w:szCs w:val="16"/>
        </w:rPr>
        <w:t xml:space="preserve"> e.g. A</w:t>
      </w:r>
      <w:r w:rsidRPr="00167A1B">
        <w:rPr>
          <w:rFonts w:ascii="Arial" w:hAnsi="Arial" w:cs="Arial"/>
          <w:i/>
          <w:sz w:val="16"/>
          <w:szCs w:val="16"/>
        </w:rPr>
        <w:t>.</w:t>
      </w:r>
      <w:r w:rsidRPr="00167A1B">
        <w:rPr>
          <w:rFonts w:ascii="Arial" w:hAnsi="Arial" w:cs="Arial"/>
          <w:i/>
          <w:color w:val="FF0000"/>
          <w:sz w:val="16"/>
          <w:szCs w:val="16"/>
        </w:rPr>
        <w:t>1</w:t>
      </w:r>
      <w:r w:rsidRPr="00167A1B">
        <w:rPr>
          <w:rFonts w:ascii="Arial" w:hAnsi="Arial" w:cs="Arial"/>
          <w:color w:val="FF0000"/>
          <w:sz w:val="16"/>
          <w:szCs w:val="16"/>
        </w:rPr>
        <w:t>]</w:t>
      </w:r>
      <w:r w:rsidRPr="00167A1B">
        <w:rPr>
          <w:rFonts w:ascii="Arial" w:hAnsi="Arial" w:cs="Arial"/>
          <w:sz w:val="16"/>
          <w:szCs w:val="16"/>
        </w:rPr>
        <w:t xml:space="preserve"> — </w:t>
      </w:r>
      <w:r w:rsidRPr="00167A1B">
        <w:rPr>
          <w:rFonts w:ascii="Arial" w:hAnsi="Arial" w:cs="Arial"/>
          <w:color w:val="FF0000"/>
          <w:sz w:val="16"/>
          <w:szCs w:val="16"/>
        </w:rPr>
        <w:t xml:space="preserve">[Unit name </w:t>
      </w:r>
      <w:r w:rsidRPr="00167A1B">
        <w:rPr>
          <w:rFonts w:ascii="Arial" w:hAnsi="Arial" w:cs="Arial"/>
          <w:i/>
          <w:color w:val="FF0000"/>
          <w:sz w:val="16"/>
          <w:szCs w:val="16"/>
        </w:rPr>
        <w:t>-see organigramme</w:t>
      </w:r>
      <w:r w:rsidRPr="00167A1B">
        <w:rPr>
          <w:rFonts w:ascii="Arial" w:hAnsi="Arial" w:cs="Arial"/>
          <w:color w:val="FF0000"/>
          <w:sz w:val="16"/>
          <w:szCs w:val="16"/>
        </w:rPr>
        <w:t>]</w:t>
      </w:r>
    </w:p>
    <w:p w14:paraId="36F829CD" w14:textId="77777777" w:rsidR="00663DA8" w:rsidRPr="00167A1B" w:rsidRDefault="00663DA8" w:rsidP="00663DA8">
      <w:pPr>
        <w:spacing w:after="120"/>
        <w:jc w:val="left"/>
        <w:rPr>
          <w:rFonts w:ascii="Arial" w:hAnsi="Arial" w:cs="Arial"/>
          <w:i/>
          <w:sz w:val="16"/>
          <w:szCs w:val="16"/>
        </w:rPr>
      </w:pPr>
      <w:r w:rsidRPr="00167A1B">
        <w:rPr>
          <w:rFonts w:ascii="Arial" w:hAnsi="Arial" w:cs="Arial"/>
          <w:i/>
          <w:sz w:val="16"/>
          <w:szCs w:val="16"/>
        </w:rPr>
        <w:t>Contact:</w:t>
      </w:r>
      <w:r w:rsidRPr="00167A1B">
        <w:rPr>
          <w:rFonts w:ascii="Arial" w:hAnsi="Arial" w:cs="Arial"/>
          <w:sz w:val="16"/>
          <w:szCs w:val="16"/>
        </w:rPr>
        <w:t xml:space="preserve"> </w:t>
      </w:r>
      <w:r w:rsidRPr="00167A1B">
        <w:rPr>
          <w:rFonts w:ascii="Arial" w:hAnsi="Arial" w:cs="Arial"/>
          <w:color w:val="FF0000"/>
          <w:sz w:val="16"/>
          <w:szCs w:val="16"/>
        </w:rPr>
        <w:t>[First name Last name]</w:t>
      </w:r>
    </w:p>
    <w:p w14:paraId="69686554" w14:textId="77777777" w:rsidR="006B26AA" w:rsidRPr="00167A1B" w:rsidRDefault="006B26AA" w:rsidP="0001748A">
      <w:pPr>
        <w:tabs>
          <w:tab w:val="left" w:pos="709"/>
        </w:tabs>
        <w:spacing w:after="120"/>
        <w:ind w:left="709" w:hanging="709"/>
        <w:jc w:val="left"/>
        <w:rPr>
          <w:rFonts w:ascii="Arial" w:hAnsi="Arial" w:cs="Arial"/>
          <w:sz w:val="16"/>
          <w:szCs w:val="16"/>
        </w:rPr>
      </w:pPr>
      <w:r w:rsidRPr="00167A1B">
        <w:rPr>
          <w:rFonts w:ascii="Arial" w:hAnsi="Arial" w:cs="Arial"/>
          <w:i/>
          <w:sz w:val="16"/>
          <w:szCs w:val="16"/>
        </w:rPr>
        <w:t>E-mail:</w:t>
      </w:r>
      <w:r w:rsidRPr="00167A1B">
        <w:rPr>
          <w:rFonts w:ascii="Arial" w:hAnsi="Arial" w:cs="Arial"/>
          <w:i/>
          <w:sz w:val="16"/>
          <w:szCs w:val="16"/>
        </w:rPr>
        <w:tab/>
      </w:r>
      <w:r w:rsidRPr="00167A1B">
        <w:rPr>
          <w:rFonts w:ascii="Arial" w:hAnsi="Arial" w:cs="Arial"/>
          <w:color w:val="FF0000"/>
          <w:sz w:val="16"/>
          <w:szCs w:val="16"/>
        </w:rPr>
        <w:t>[</w:t>
      </w:r>
      <w:proofErr w:type="gramStart"/>
      <w:r w:rsidRPr="00167A1B">
        <w:rPr>
          <w:rFonts w:ascii="Arial" w:hAnsi="Arial" w:cs="Arial"/>
          <w:color w:val="FF0000"/>
          <w:sz w:val="16"/>
          <w:szCs w:val="16"/>
        </w:rPr>
        <w:t>…]</w:t>
      </w:r>
      <w:r w:rsidRPr="00167A1B">
        <w:rPr>
          <w:rFonts w:ascii="Arial" w:hAnsi="Arial" w:cs="Arial"/>
          <w:i/>
          <w:sz w:val="16"/>
          <w:szCs w:val="16"/>
        </w:rPr>
        <w:t>@</w:t>
      </w:r>
      <w:proofErr w:type="gramEnd"/>
      <w:r w:rsidRPr="00167A1B">
        <w:rPr>
          <w:rFonts w:ascii="Arial" w:hAnsi="Arial" w:cs="Arial"/>
          <w:i/>
          <w:sz w:val="16"/>
          <w:szCs w:val="16"/>
        </w:rPr>
        <w:t>ec.europa.eu</w:t>
      </w:r>
      <w:r w:rsidRPr="00167A1B">
        <w:rPr>
          <w:rFonts w:ascii="Arial" w:hAnsi="Arial" w:cs="Arial"/>
          <w:sz w:val="16"/>
          <w:szCs w:val="16"/>
        </w:rPr>
        <w:t xml:space="preserve"> </w:t>
      </w:r>
      <w:r w:rsidRPr="00167A1B">
        <w:rPr>
          <w:rFonts w:ascii="Arial" w:hAnsi="Arial" w:cs="Arial"/>
          <w:i/>
          <w:color w:val="FF0000"/>
          <w:sz w:val="16"/>
          <w:szCs w:val="16"/>
        </w:rPr>
        <w:t>(functional e-mail if existing, or)</w:t>
      </w:r>
      <w:r w:rsidRPr="00167A1B">
        <w:rPr>
          <w:rFonts w:ascii="Arial" w:hAnsi="Arial" w:cs="Arial"/>
          <w:color w:val="FF0000"/>
          <w:sz w:val="16"/>
          <w:szCs w:val="16"/>
        </w:rPr>
        <w:t xml:space="preserve"> </w:t>
      </w:r>
      <w:r w:rsidR="0001748A" w:rsidRPr="00167A1B">
        <w:rPr>
          <w:rFonts w:ascii="Arial" w:hAnsi="Arial" w:cs="Arial"/>
          <w:color w:val="FF0000"/>
          <w:sz w:val="16"/>
          <w:szCs w:val="16"/>
        </w:rPr>
        <w:br/>
      </w:r>
      <w:r w:rsidRPr="00167A1B">
        <w:rPr>
          <w:rFonts w:ascii="Arial" w:hAnsi="Arial" w:cs="Arial"/>
          <w:color w:val="FF0000"/>
          <w:sz w:val="16"/>
          <w:szCs w:val="16"/>
        </w:rPr>
        <w:t xml:space="preserve">[First </w:t>
      </w:r>
      <w:proofErr w:type="spellStart"/>
      <w:r w:rsidRPr="00167A1B">
        <w:rPr>
          <w:rFonts w:ascii="Arial" w:hAnsi="Arial" w:cs="Arial"/>
          <w:color w:val="FF0000"/>
          <w:sz w:val="16"/>
          <w:szCs w:val="16"/>
        </w:rPr>
        <w:t>name.Last</w:t>
      </w:r>
      <w:proofErr w:type="spellEnd"/>
      <w:r w:rsidRPr="00167A1B">
        <w:rPr>
          <w:rFonts w:ascii="Arial" w:hAnsi="Arial" w:cs="Arial"/>
          <w:color w:val="FF0000"/>
          <w:sz w:val="16"/>
          <w:szCs w:val="16"/>
        </w:rPr>
        <w:t xml:space="preserve"> name]</w:t>
      </w:r>
      <w:r w:rsidRPr="00167A1B">
        <w:rPr>
          <w:rFonts w:ascii="Arial" w:hAnsi="Arial" w:cs="Arial"/>
          <w:sz w:val="16"/>
          <w:szCs w:val="16"/>
        </w:rPr>
        <w:t>@</w:t>
      </w:r>
      <w:r w:rsidRPr="00167A1B">
        <w:rPr>
          <w:rFonts w:ascii="Arial" w:hAnsi="Arial" w:cs="Arial"/>
          <w:i/>
          <w:sz w:val="16"/>
          <w:szCs w:val="16"/>
        </w:rPr>
        <w:t>ec.europa.eu</w:t>
      </w:r>
      <w:r w:rsidRPr="00167A1B">
        <w:rPr>
          <w:rFonts w:ascii="Arial" w:hAnsi="Arial" w:cs="Arial"/>
          <w:i/>
          <w:sz w:val="16"/>
          <w:szCs w:val="16"/>
        </w:rPr>
        <w:br/>
      </w:r>
    </w:p>
    <w:p w14:paraId="650428C5" w14:textId="77777777" w:rsidR="005931F7" w:rsidRPr="00167A1B" w:rsidRDefault="006B26AA" w:rsidP="0001748A">
      <w:pPr>
        <w:spacing w:after="0"/>
        <w:jc w:val="left"/>
        <w:rPr>
          <w:rStyle w:val="BodytextChar"/>
          <w:rFonts w:cs="Arial"/>
          <w:noProof w:val="0"/>
          <w:sz w:val="16"/>
          <w:szCs w:val="16"/>
        </w:rPr>
      </w:pPr>
      <w:r w:rsidRPr="00167A1B">
        <w:rPr>
          <w:rFonts w:ascii="Arial" w:hAnsi="Arial" w:cs="Arial"/>
          <w:i/>
          <w:sz w:val="16"/>
          <w:szCs w:val="16"/>
        </w:rPr>
        <w:t>European Commission</w:t>
      </w:r>
      <w:r w:rsidR="0001748A" w:rsidRPr="00167A1B">
        <w:rPr>
          <w:rFonts w:ascii="Arial" w:hAnsi="Arial" w:cs="Arial"/>
          <w:i/>
          <w:sz w:val="16"/>
          <w:szCs w:val="16"/>
        </w:rPr>
        <w:br/>
      </w:r>
      <w:r w:rsidRPr="00167A1B">
        <w:rPr>
          <w:rFonts w:ascii="Arial" w:hAnsi="Arial" w:cs="Arial"/>
          <w:i/>
          <w:sz w:val="16"/>
          <w:szCs w:val="16"/>
        </w:rPr>
        <w:t>B-1049 Brussels</w:t>
      </w:r>
    </w:p>
    <w:p w14:paraId="6B9D04ED" w14:textId="77777777" w:rsidR="006B26AA" w:rsidRPr="00167A1B" w:rsidRDefault="006B26AA" w:rsidP="00267A5F">
      <w:pPr>
        <w:pStyle w:val="Heading"/>
        <w:rPr>
          <w:noProof w:val="0"/>
        </w:rPr>
        <w:sectPr w:rsidR="006B26AA" w:rsidRPr="00167A1B" w:rsidSect="00FB177B">
          <w:headerReference w:type="first" r:id="rId20"/>
          <w:footerReference w:type="first" r:id="rId21"/>
          <w:pgSz w:w="11907" w:h="16839" w:code="9"/>
          <w:pgMar w:top="1418" w:right="1418" w:bottom="851" w:left="1701" w:header="567" w:footer="493" w:gutter="0"/>
          <w:cols w:space="720"/>
          <w:titlePg/>
          <w:docGrid w:linePitch="326"/>
        </w:sectPr>
      </w:pPr>
    </w:p>
    <w:p w14:paraId="01D2DF81" w14:textId="77777777" w:rsidR="00213AE8" w:rsidRPr="00167A1B" w:rsidRDefault="00213AE8" w:rsidP="00213AE8">
      <w:pPr>
        <w:jc w:val="center"/>
        <w:rPr>
          <w:rFonts w:ascii="Arial" w:hAnsi="Arial" w:cs="Arial"/>
          <w:sz w:val="18"/>
        </w:rPr>
      </w:pPr>
    </w:p>
    <w:p w14:paraId="11D4FE74" w14:textId="77777777" w:rsidR="00BE55E6" w:rsidRPr="00167A1B" w:rsidRDefault="00BE55E6" w:rsidP="00213AE8">
      <w:pPr>
        <w:jc w:val="center"/>
        <w:rPr>
          <w:rFonts w:ascii="Arial" w:hAnsi="Arial" w:cs="Arial"/>
          <w:sz w:val="18"/>
        </w:rPr>
      </w:pPr>
    </w:p>
    <w:p w14:paraId="33327086" w14:textId="77777777" w:rsidR="00BE55E6" w:rsidRPr="00167A1B" w:rsidRDefault="00BE55E6" w:rsidP="00213AE8">
      <w:pPr>
        <w:jc w:val="center"/>
        <w:rPr>
          <w:rFonts w:ascii="Arial" w:hAnsi="Arial" w:cs="Arial"/>
          <w:sz w:val="18"/>
        </w:rPr>
      </w:pPr>
    </w:p>
    <w:p w14:paraId="3113A0FE" w14:textId="77777777" w:rsidR="00BE55E6" w:rsidRPr="00167A1B" w:rsidRDefault="00BE55E6" w:rsidP="00213AE8">
      <w:pPr>
        <w:jc w:val="center"/>
        <w:rPr>
          <w:rFonts w:ascii="Arial" w:hAnsi="Arial" w:cs="Arial"/>
        </w:rPr>
      </w:pPr>
    </w:p>
    <w:p w14:paraId="591401B8" w14:textId="77777777" w:rsidR="00213AE8" w:rsidRPr="00167A1B" w:rsidRDefault="00213AE8" w:rsidP="00213AE8">
      <w:pPr>
        <w:jc w:val="center"/>
        <w:rPr>
          <w:rFonts w:ascii="Arial" w:hAnsi="Arial" w:cs="Arial"/>
        </w:rPr>
      </w:pPr>
    </w:p>
    <w:p w14:paraId="6F92DAB0" w14:textId="77777777" w:rsidR="00213AE8" w:rsidRPr="00167A1B" w:rsidRDefault="00213AE8" w:rsidP="00213AE8">
      <w:pPr>
        <w:jc w:val="center"/>
        <w:rPr>
          <w:rFonts w:ascii="Arial" w:hAnsi="Arial" w:cs="Arial"/>
        </w:rPr>
      </w:pPr>
    </w:p>
    <w:p w14:paraId="6FDC92E3" w14:textId="77777777" w:rsidR="00213AE8" w:rsidRPr="00167A1B" w:rsidRDefault="00213AE8" w:rsidP="00213AE8">
      <w:pPr>
        <w:jc w:val="center"/>
        <w:rPr>
          <w:rFonts w:ascii="Arial" w:hAnsi="Arial" w:cs="Arial"/>
        </w:rPr>
      </w:pPr>
    </w:p>
    <w:p w14:paraId="7BFBFF87" w14:textId="77777777" w:rsidR="00213AE8" w:rsidRPr="00167A1B" w:rsidRDefault="00213AE8" w:rsidP="00213AE8">
      <w:pPr>
        <w:jc w:val="center"/>
        <w:rPr>
          <w:rFonts w:ascii="Arial" w:hAnsi="Arial" w:cs="Arial"/>
        </w:rPr>
      </w:pPr>
    </w:p>
    <w:p w14:paraId="0D86E1FF" w14:textId="77777777" w:rsidR="00213AE8" w:rsidRPr="00167A1B" w:rsidRDefault="00213AE8" w:rsidP="00213AE8">
      <w:pPr>
        <w:jc w:val="center"/>
        <w:rPr>
          <w:rFonts w:ascii="Arial" w:hAnsi="Arial" w:cs="Arial"/>
        </w:rPr>
      </w:pPr>
    </w:p>
    <w:p w14:paraId="0A98A22C" w14:textId="7375197E" w:rsidR="00213AE8" w:rsidRPr="00167A1B" w:rsidRDefault="004B7BC7" w:rsidP="00BE55E6">
      <w:pPr>
        <w:pStyle w:val="Titlepublication"/>
        <w:rPr>
          <w:rFonts w:ascii="Arial" w:hAnsi="Arial" w:cs="Arial"/>
          <w:color w:val="auto"/>
        </w:rPr>
      </w:pPr>
      <w:r w:rsidRPr="00167A1B">
        <w:rPr>
          <w:rFonts w:ascii="Arial" w:hAnsi="Arial" w:cs="Arial"/>
          <w:color w:val="auto"/>
        </w:rPr>
        <w:t xml:space="preserve">Final Report </w:t>
      </w:r>
    </w:p>
    <w:p w14:paraId="1C921DBF" w14:textId="77777777" w:rsidR="00213AE8" w:rsidRPr="00167A1B" w:rsidRDefault="005C7F46" w:rsidP="00BE55E6">
      <w:pPr>
        <w:pStyle w:val="Subtitlepublication"/>
        <w:rPr>
          <w:rFonts w:ascii="Arial" w:hAnsi="Arial" w:cs="Arial"/>
          <w:b w:val="0"/>
          <w:i w:val="0"/>
          <w:color w:val="auto"/>
        </w:rPr>
      </w:pPr>
      <w:r w:rsidRPr="00167A1B">
        <w:rPr>
          <w:rFonts w:ascii="Arial" w:hAnsi="Arial" w:cs="Arial"/>
          <w:b w:val="0"/>
          <w:i w:val="0"/>
          <w:color w:val="auto"/>
        </w:rPr>
        <w:t>Impact Assessment Study to Assess Unbundling of Chargers</w:t>
      </w:r>
    </w:p>
    <w:p w14:paraId="2C8BDEDC" w14:textId="77777777" w:rsidR="00213AE8" w:rsidRPr="00167A1B" w:rsidRDefault="00213AE8" w:rsidP="00BE55E6">
      <w:pPr>
        <w:jc w:val="center"/>
        <w:rPr>
          <w:rFonts w:ascii="Arial" w:hAnsi="Arial" w:cs="Arial"/>
        </w:rPr>
      </w:pPr>
    </w:p>
    <w:p w14:paraId="0CF179CA" w14:textId="77777777" w:rsidR="00213AE8" w:rsidRPr="00167A1B" w:rsidRDefault="00213AE8" w:rsidP="00BE55E6">
      <w:pPr>
        <w:jc w:val="center"/>
        <w:rPr>
          <w:rFonts w:ascii="Arial" w:hAnsi="Arial" w:cs="Arial"/>
        </w:rPr>
      </w:pPr>
    </w:p>
    <w:p w14:paraId="26D9E206" w14:textId="77777777" w:rsidR="00213AE8" w:rsidRPr="00167A1B" w:rsidRDefault="00213AE8" w:rsidP="00BE55E6">
      <w:pPr>
        <w:jc w:val="center"/>
        <w:rPr>
          <w:rFonts w:ascii="Arial" w:hAnsi="Arial" w:cs="Arial"/>
        </w:rPr>
      </w:pPr>
    </w:p>
    <w:p w14:paraId="0FC0B708" w14:textId="77777777" w:rsidR="00213AE8" w:rsidRPr="00167A1B" w:rsidRDefault="00213AE8" w:rsidP="00BE55E6">
      <w:pPr>
        <w:jc w:val="center"/>
        <w:rPr>
          <w:rFonts w:ascii="Arial" w:hAnsi="Arial" w:cs="Arial"/>
        </w:rPr>
      </w:pPr>
    </w:p>
    <w:p w14:paraId="6F3A5FE2" w14:textId="77777777" w:rsidR="00213AE8" w:rsidRPr="00167A1B" w:rsidRDefault="00213AE8" w:rsidP="00BE55E6">
      <w:pPr>
        <w:jc w:val="center"/>
        <w:rPr>
          <w:rFonts w:ascii="Arial" w:hAnsi="Arial" w:cs="Arial"/>
        </w:rPr>
      </w:pPr>
    </w:p>
    <w:p w14:paraId="2D7D40DD" w14:textId="77777777" w:rsidR="00213AE8" w:rsidRPr="00167A1B" w:rsidRDefault="00213AE8" w:rsidP="00BE55E6">
      <w:pPr>
        <w:jc w:val="center"/>
        <w:rPr>
          <w:rFonts w:ascii="Arial" w:hAnsi="Arial" w:cs="Arial"/>
        </w:rPr>
      </w:pPr>
    </w:p>
    <w:p w14:paraId="392E1728" w14:textId="77777777" w:rsidR="00213AE8" w:rsidRPr="00167A1B" w:rsidRDefault="00213AE8" w:rsidP="00BE55E6">
      <w:pPr>
        <w:jc w:val="center"/>
        <w:rPr>
          <w:rFonts w:ascii="Arial" w:hAnsi="Arial" w:cs="Arial"/>
        </w:rPr>
      </w:pPr>
    </w:p>
    <w:p w14:paraId="383B2E33" w14:textId="77777777" w:rsidR="00213AE8" w:rsidRPr="00167A1B" w:rsidRDefault="00213AE8" w:rsidP="00213AE8">
      <w:pPr>
        <w:jc w:val="center"/>
        <w:rPr>
          <w:rFonts w:ascii="Arial" w:hAnsi="Arial" w:cs="Arial"/>
        </w:rPr>
      </w:pPr>
    </w:p>
    <w:p w14:paraId="51683E1B" w14:textId="77777777" w:rsidR="003F02EE" w:rsidRPr="00167A1B" w:rsidRDefault="003F02EE" w:rsidP="00213AE8">
      <w:pPr>
        <w:jc w:val="center"/>
        <w:rPr>
          <w:rFonts w:ascii="Arial" w:hAnsi="Arial" w:cs="Arial"/>
        </w:rPr>
      </w:pPr>
    </w:p>
    <w:p w14:paraId="27237B02" w14:textId="77777777" w:rsidR="003F02EE" w:rsidRPr="00167A1B" w:rsidRDefault="003F02EE" w:rsidP="00213AE8">
      <w:pPr>
        <w:jc w:val="center"/>
        <w:rPr>
          <w:rFonts w:ascii="Arial" w:hAnsi="Arial" w:cs="Arial"/>
        </w:rPr>
      </w:pPr>
    </w:p>
    <w:p w14:paraId="1732D678" w14:textId="77777777" w:rsidR="00A50808" w:rsidRPr="00167A1B" w:rsidRDefault="00A50808" w:rsidP="00213AE8">
      <w:pPr>
        <w:jc w:val="center"/>
        <w:rPr>
          <w:rFonts w:ascii="Arial" w:hAnsi="Arial" w:cs="Arial"/>
        </w:rPr>
      </w:pPr>
    </w:p>
    <w:p w14:paraId="145A6BCC" w14:textId="77777777" w:rsidR="00213AE8" w:rsidRPr="00167A1B" w:rsidRDefault="00213AE8" w:rsidP="00213AE8">
      <w:pPr>
        <w:jc w:val="center"/>
        <w:rPr>
          <w:rFonts w:ascii="Arial" w:hAnsi="Arial" w:cs="Arial"/>
        </w:rPr>
      </w:pPr>
    </w:p>
    <w:p w14:paraId="6BE63F68" w14:textId="77777777" w:rsidR="00213AE8" w:rsidRPr="00167A1B" w:rsidRDefault="00213AE8" w:rsidP="00213AE8">
      <w:pPr>
        <w:jc w:val="center"/>
        <w:rPr>
          <w:rFonts w:ascii="Arial" w:hAnsi="Arial" w:cs="Arial"/>
        </w:rPr>
      </w:pPr>
    </w:p>
    <w:p w14:paraId="7B1B71DD" w14:textId="77777777" w:rsidR="00EF5D52" w:rsidRPr="00167A1B" w:rsidRDefault="00EF5D52" w:rsidP="00213AE8">
      <w:pPr>
        <w:jc w:val="center"/>
        <w:rPr>
          <w:rFonts w:ascii="Arial" w:hAnsi="Arial" w:cs="Arial"/>
        </w:rPr>
      </w:pPr>
    </w:p>
    <w:p w14:paraId="66EC1981" w14:textId="77777777" w:rsidR="00141116" w:rsidRPr="00167A1B" w:rsidRDefault="00141116" w:rsidP="00213AE8">
      <w:pPr>
        <w:rPr>
          <w:rFonts w:ascii="Arial" w:hAnsi="Arial" w:cs="Arial"/>
          <w:sz w:val="18"/>
        </w:rPr>
      </w:pPr>
    </w:p>
    <w:p w14:paraId="0A9B4B33" w14:textId="77777777" w:rsidR="00AA4227" w:rsidRPr="00167A1B" w:rsidRDefault="00AA4227" w:rsidP="00213AE8">
      <w:pPr>
        <w:rPr>
          <w:rFonts w:ascii="Arial" w:hAnsi="Arial" w:cs="Arial"/>
          <w:sz w:val="18"/>
        </w:rPr>
        <w:sectPr w:rsidR="00AA4227" w:rsidRPr="00167A1B" w:rsidSect="00E15F27">
          <w:headerReference w:type="default" r:id="rId22"/>
          <w:pgSz w:w="11907" w:h="16839" w:code="9"/>
          <w:pgMar w:top="851" w:right="1418" w:bottom="851" w:left="1418" w:header="567" w:footer="567" w:gutter="0"/>
          <w:cols w:space="720"/>
          <w:docGrid w:linePitch="326"/>
        </w:sectPr>
      </w:pPr>
    </w:p>
    <w:p w14:paraId="02A09522" w14:textId="77777777" w:rsidR="008D21EC" w:rsidRPr="00167A1B" w:rsidRDefault="008D21EC" w:rsidP="00824FCF">
      <w:pPr>
        <w:rPr>
          <w:rFonts w:ascii="Arial" w:hAnsi="Arial" w:cs="Arial"/>
          <w:sz w:val="16"/>
          <w:szCs w:val="16"/>
        </w:rPr>
      </w:pPr>
    </w:p>
    <w:p w14:paraId="6585F644" w14:textId="77777777" w:rsidR="00BF0199" w:rsidRPr="00167A1B" w:rsidRDefault="00BF0199" w:rsidP="00824FCF">
      <w:pPr>
        <w:spacing w:after="0"/>
        <w:jc w:val="left"/>
        <w:rPr>
          <w:rFonts w:ascii="Arial" w:hAnsi="Arial" w:cs="Arial"/>
          <w:sz w:val="16"/>
          <w:szCs w:val="16"/>
        </w:rPr>
      </w:pPr>
    </w:p>
    <w:p w14:paraId="5F458265" w14:textId="77777777" w:rsidR="00824FCF" w:rsidRPr="00167A1B" w:rsidRDefault="00824FCF" w:rsidP="00D8116B">
      <w:pPr>
        <w:rPr>
          <w:rFonts w:ascii="Arial" w:hAnsi="Arial" w:cs="Arial"/>
          <w:i/>
          <w:sz w:val="18"/>
          <w:szCs w:val="18"/>
        </w:rPr>
      </w:pPr>
      <w:bookmarkStart w:id="0" w:name="_Toc55908156"/>
      <w:r w:rsidRPr="00167A1B">
        <w:rPr>
          <w:rFonts w:ascii="Arial" w:hAnsi="Arial" w:cs="Arial"/>
          <w:i/>
          <w:sz w:val="18"/>
          <w:szCs w:val="18"/>
        </w:rPr>
        <w:t>Printed</w:t>
      </w:r>
      <w:r w:rsidR="00BF0199" w:rsidRPr="00167A1B">
        <w:rPr>
          <w:rFonts w:ascii="Arial" w:hAnsi="Arial" w:cs="Arial"/>
          <w:i/>
          <w:sz w:val="18"/>
          <w:szCs w:val="18"/>
        </w:rPr>
        <w:t xml:space="preserve"> by</w:t>
      </w:r>
      <w:r w:rsidR="00BF0199" w:rsidRPr="00167A1B">
        <w:rPr>
          <w:rFonts w:ascii="Arial" w:hAnsi="Arial" w:cs="Arial"/>
          <w:i/>
          <w:color w:val="FF0000"/>
          <w:sz w:val="18"/>
          <w:szCs w:val="18"/>
        </w:rPr>
        <w:t xml:space="preserve"> [XXX]</w:t>
      </w:r>
      <w:r w:rsidRPr="00167A1B">
        <w:rPr>
          <w:rFonts w:ascii="Arial" w:hAnsi="Arial" w:cs="Arial"/>
          <w:i/>
          <w:color w:val="FF0000"/>
          <w:sz w:val="18"/>
          <w:szCs w:val="18"/>
        </w:rPr>
        <w:t xml:space="preserve"> </w:t>
      </w:r>
      <w:r w:rsidRPr="00167A1B">
        <w:rPr>
          <w:rFonts w:ascii="Arial" w:hAnsi="Arial" w:cs="Arial"/>
          <w:i/>
          <w:sz w:val="18"/>
          <w:szCs w:val="18"/>
        </w:rPr>
        <w:t xml:space="preserve">in </w:t>
      </w:r>
      <w:bookmarkStart w:id="1" w:name="Pays"/>
      <w:bookmarkEnd w:id="1"/>
      <w:r w:rsidRPr="00167A1B">
        <w:rPr>
          <w:rFonts w:ascii="Arial" w:hAnsi="Arial" w:cs="Arial"/>
          <w:i/>
          <w:color w:val="FF0000"/>
          <w:sz w:val="18"/>
          <w:szCs w:val="18"/>
        </w:rPr>
        <w:t>[Country]</w:t>
      </w:r>
      <w:bookmarkEnd w:id="0"/>
    </w:p>
    <w:p w14:paraId="08A8388F" w14:textId="77777777" w:rsidR="00824FCF" w:rsidRPr="00167A1B" w:rsidRDefault="00824FCF" w:rsidP="00824FCF">
      <w:pPr>
        <w:spacing w:after="0"/>
        <w:jc w:val="left"/>
        <w:rPr>
          <w:rFonts w:ascii="Arial" w:hAnsi="Arial" w:cs="Arial"/>
          <w:sz w:val="16"/>
          <w:szCs w:val="16"/>
          <w:lang w:eastAsia="ko-KR"/>
        </w:rPr>
      </w:pPr>
    </w:p>
    <w:p w14:paraId="388E6D96" w14:textId="77777777" w:rsidR="00824FCF" w:rsidRPr="00167A1B" w:rsidRDefault="00824FCF" w:rsidP="00824FCF">
      <w:pPr>
        <w:spacing w:after="0"/>
        <w:jc w:val="left"/>
        <w:rPr>
          <w:rFonts w:ascii="Arial" w:hAnsi="Arial" w:cs="Arial"/>
          <w:smallCaps/>
          <w:sz w:val="16"/>
          <w:szCs w:val="16"/>
          <w:lang w:eastAsia="ko-KR"/>
        </w:rPr>
      </w:pPr>
      <w:r w:rsidRPr="00167A1B">
        <w:rPr>
          <w:rFonts w:ascii="Arial" w:hAnsi="Arial" w:cs="Arial"/>
          <w:smallCaps/>
          <w:sz w:val="16"/>
          <w:szCs w:val="16"/>
          <w:lang w:eastAsia="ko-KR"/>
        </w:rPr>
        <w:t>Printed on elemental chlorine-free bleached paper (</w:t>
      </w:r>
      <w:r w:rsidRPr="00167A1B">
        <w:rPr>
          <w:rFonts w:ascii="Arial" w:hAnsi="Arial" w:cs="Arial"/>
          <w:caps/>
          <w:sz w:val="16"/>
          <w:szCs w:val="16"/>
          <w:lang w:eastAsia="ko-KR"/>
        </w:rPr>
        <w:t>ecf</w:t>
      </w:r>
      <w:r w:rsidRPr="00167A1B">
        <w:rPr>
          <w:rFonts w:ascii="Arial" w:hAnsi="Arial" w:cs="Arial"/>
          <w:smallCaps/>
          <w:sz w:val="16"/>
          <w:szCs w:val="16"/>
          <w:lang w:eastAsia="ko-KR"/>
        </w:rPr>
        <w:t>)</w:t>
      </w:r>
    </w:p>
    <w:p w14:paraId="4B0EF0B4" w14:textId="77777777" w:rsidR="00824FCF" w:rsidRPr="00167A1B" w:rsidRDefault="00824FCF" w:rsidP="00824FCF">
      <w:pPr>
        <w:spacing w:after="0"/>
        <w:jc w:val="left"/>
        <w:rPr>
          <w:rFonts w:ascii="Arial" w:hAnsi="Arial" w:cs="Arial"/>
          <w:smallCaps/>
          <w:sz w:val="16"/>
          <w:szCs w:val="16"/>
          <w:lang w:eastAsia="ko-KR"/>
        </w:rPr>
      </w:pPr>
    </w:p>
    <w:p w14:paraId="173501BC" w14:textId="77777777" w:rsidR="00824FCF" w:rsidRPr="00167A1B" w:rsidRDefault="00824FCF" w:rsidP="00824FCF">
      <w:pPr>
        <w:spacing w:after="0"/>
        <w:jc w:val="left"/>
        <w:rPr>
          <w:rFonts w:ascii="Arial" w:hAnsi="Arial" w:cs="Arial"/>
          <w:smallCaps/>
          <w:sz w:val="16"/>
          <w:szCs w:val="16"/>
          <w:lang w:eastAsia="ko-KR"/>
        </w:rPr>
      </w:pPr>
      <w:r w:rsidRPr="00167A1B">
        <w:rPr>
          <w:rFonts w:ascii="Arial" w:hAnsi="Arial" w:cs="Arial"/>
          <w:smallCaps/>
          <w:sz w:val="16"/>
          <w:szCs w:val="16"/>
          <w:lang w:eastAsia="ko-KR"/>
        </w:rPr>
        <w:t>Printed on totally chlorine-free bleached paper (</w:t>
      </w:r>
      <w:r w:rsidRPr="00167A1B">
        <w:rPr>
          <w:rFonts w:ascii="Arial" w:hAnsi="Arial" w:cs="Arial"/>
          <w:caps/>
          <w:sz w:val="16"/>
          <w:szCs w:val="16"/>
          <w:lang w:eastAsia="ko-KR"/>
        </w:rPr>
        <w:t>tcf</w:t>
      </w:r>
      <w:r w:rsidRPr="00167A1B">
        <w:rPr>
          <w:rFonts w:ascii="Arial" w:hAnsi="Arial" w:cs="Arial"/>
          <w:smallCaps/>
          <w:sz w:val="16"/>
          <w:szCs w:val="16"/>
          <w:lang w:eastAsia="ko-KR"/>
        </w:rPr>
        <w:t xml:space="preserve">) </w:t>
      </w:r>
    </w:p>
    <w:p w14:paraId="679042B1" w14:textId="77777777" w:rsidR="00824FCF" w:rsidRPr="00167A1B" w:rsidRDefault="00824FCF" w:rsidP="00824FCF">
      <w:pPr>
        <w:spacing w:after="0"/>
        <w:jc w:val="left"/>
        <w:rPr>
          <w:rFonts w:ascii="Arial" w:hAnsi="Arial" w:cs="Arial"/>
          <w:smallCaps/>
          <w:sz w:val="16"/>
          <w:szCs w:val="16"/>
          <w:lang w:eastAsia="ko-KR"/>
        </w:rPr>
      </w:pPr>
    </w:p>
    <w:p w14:paraId="245B5F63" w14:textId="77777777" w:rsidR="00824FCF" w:rsidRPr="00167A1B" w:rsidRDefault="00824FCF" w:rsidP="00824FCF">
      <w:pPr>
        <w:spacing w:after="0"/>
        <w:jc w:val="left"/>
        <w:rPr>
          <w:rFonts w:ascii="Arial" w:hAnsi="Arial" w:cs="Arial"/>
          <w:smallCaps/>
          <w:sz w:val="16"/>
          <w:szCs w:val="16"/>
          <w:lang w:eastAsia="ko-KR"/>
        </w:rPr>
      </w:pPr>
      <w:r w:rsidRPr="00167A1B">
        <w:rPr>
          <w:rFonts w:ascii="Arial" w:hAnsi="Arial" w:cs="Arial"/>
          <w:smallCaps/>
          <w:sz w:val="16"/>
          <w:szCs w:val="16"/>
          <w:lang w:eastAsia="ko-KR"/>
        </w:rPr>
        <w:t>Printed on recycled paper</w:t>
      </w:r>
    </w:p>
    <w:p w14:paraId="60671FB2" w14:textId="77777777" w:rsidR="00824FCF" w:rsidRPr="00167A1B" w:rsidRDefault="00824FCF" w:rsidP="00824FCF">
      <w:pPr>
        <w:spacing w:after="0"/>
        <w:jc w:val="left"/>
        <w:rPr>
          <w:rFonts w:ascii="Arial" w:hAnsi="Arial" w:cs="Arial"/>
          <w:smallCaps/>
          <w:sz w:val="16"/>
          <w:szCs w:val="16"/>
          <w:lang w:eastAsia="ko-KR"/>
        </w:rPr>
      </w:pPr>
    </w:p>
    <w:p w14:paraId="6F37DB7C" w14:textId="77777777" w:rsidR="00824FCF" w:rsidRPr="00167A1B" w:rsidRDefault="00824FCF" w:rsidP="00824FCF">
      <w:pPr>
        <w:spacing w:after="0"/>
        <w:jc w:val="left"/>
        <w:rPr>
          <w:rFonts w:ascii="Arial" w:hAnsi="Arial" w:cs="Arial"/>
          <w:smallCaps/>
          <w:sz w:val="16"/>
          <w:szCs w:val="16"/>
          <w:lang w:eastAsia="ko-KR"/>
        </w:rPr>
      </w:pPr>
      <w:r w:rsidRPr="00167A1B">
        <w:rPr>
          <w:rFonts w:ascii="Arial" w:hAnsi="Arial" w:cs="Arial"/>
          <w:smallCaps/>
          <w:sz w:val="16"/>
          <w:szCs w:val="16"/>
          <w:lang w:eastAsia="ko-KR"/>
        </w:rPr>
        <w:t>Printed on process chlorine-free recycled paper (</w:t>
      </w:r>
      <w:r w:rsidRPr="00167A1B">
        <w:rPr>
          <w:rFonts w:ascii="Arial" w:hAnsi="Arial" w:cs="Arial"/>
          <w:caps/>
          <w:sz w:val="16"/>
          <w:szCs w:val="16"/>
          <w:lang w:eastAsia="ko-KR"/>
        </w:rPr>
        <w:t>pcf</w:t>
      </w:r>
      <w:r w:rsidRPr="00167A1B">
        <w:rPr>
          <w:rFonts w:ascii="Arial" w:hAnsi="Arial" w:cs="Arial"/>
          <w:smallCaps/>
          <w:sz w:val="16"/>
          <w:szCs w:val="16"/>
          <w:lang w:eastAsia="ko-KR"/>
        </w:rPr>
        <w:t>)</w:t>
      </w:r>
    </w:p>
    <w:p w14:paraId="4CEC0C7F" w14:textId="77777777" w:rsidR="00824FCF" w:rsidRPr="00167A1B" w:rsidRDefault="00824FCF" w:rsidP="00824FCF">
      <w:pPr>
        <w:jc w:val="left"/>
        <w:rPr>
          <w:rFonts w:ascii="Arial" w:hAnsi="Arial" w:cs="Arial"/>
          <w:color w:val="FF0000"/>
          <w:sz w:val="16"/>
          <w:szCs w:val="16"/>
        </w:rPr>
      </w:pPr>
    </w:p>
    <w:p w14:paraId="16A84612" w14:textId="77777777" w:rsidR="00C04E0B" w:rsidRPr="00167A1B" w:rsidRDefault="00C04E0B" w:rsidP="00C04E0B">
      <w:pPr>
        <w:spacing w:line="240" w:lineRule="exact"/>
        <w:rPr>
          <w:rFonts w:ascii="Arial" w:hAnsi="Arial" w:cs="Arial"/>
          <w:sz w:val="16"/>
          <w:szCs w:val="16"/>
        </w:rPr>
      </w:pPr>
      <w:r w:rsidRPr="00167A1B">
        <w:rPr>
          <w:rFonts w:ascii="Arial" w:hAnsi="Arial" w:cs="Arial"/>
          <w:sz w:val="16"/>
          <w:szCs w:val="16"/>
        </w:rPr>
        <w:t xml:space="preserve">Manuscript completed in </w:t>
      </w:r>
      <w:r w:rsidRPr="00167A1B">
        <w:rPr>
          <w:rFonts w:ascii="Arial" w:hAnsi="Arial" w:cs="Arial"/>
          <w:color w:val="FF0000"/>
          <w:sz w:val="16"/>
          <w:szCs w:val="16"/>
        </w:rPr>
        <w:t>[Month] [Year]</w:t>
      </w:r>
    </w:p>
    <w:p w14:paraId="5094E386" w14:textId="77777777" w:rsidR="00C04E0B" w:rsidRPr="00167A1B" w:rsidRDefault="00C04E0B" w:rsidP="00C04E0B">
      <w:pPr>
        <w:spacing w:line="240" w:lineRule="exact"/>
        <w:rPr>
          <w:rFonts w:ascii="Arial" w:hAnsi="Arial" w:cs="Arial"/>
          <w:sz w:val="16"/>
          <w:szCs w:val="16"/>
        </w:rPr>
      </w:pPr>
      <w:r w:rsidRPr="00167A1B">
        <w:rPr>
          <w:rFonts w:ascii="Arial" w:hAnsi="Arial" w:cs="Arial"/>
          <w:color w:val="FF0000"/>
          <w:sz w:val="16"/>
          <w:szCs w:val="16"/>
        </w:rPr>
        <w:t>[Revised/Corrected/n</w:t>
      </w:r>
      <w:r w:rsidRPr="00167A1B">
        <w:rPr>
          <w:rFonts w:ascii="Arial" w:hAnsi="Arial" w:cs="Arial"/>
          <w:color w:val="FF0000"/>
          <w:sz w:val="16"/>
          <w:szCs w:val="16"/>
          <w:vertAlign w:val="superscript"/>
        </w:rPr>
        <w:t>th</w:t>
      </w:r>
      <w:r w:rsidRPr="00167A1B">
        <w:rPr>
          <w:rFonts w:ascii="Arial" w:hAnsi="Arial" w:cs="Arial"/>
          <w:color w:val="FF0000"/>
          <w:sz w:val="16"/>
          <w:szCs w:val="16"/>
        </w:rPr>
        <w:t>]</w:t>
      </w:r>
      <w:r w:rsidRPr="00167A1B">
        <w:rPr>
          <w:rFonts w:ascii="Arial" w:hAnsi="Arial" w:cs="Arial"/>
          <w:sz w:val="16"/>
          <w:szCs w:val="16"/>
        </w:rPr>
        <w:t xml:space="preserve"> edition</w:t>
      </w:r>
    </w:p>
    <w:p w14:paraId="7AE9745A" w14:textId="77777777" w:rsidR="0007024A" w:rsidRPr="00167A1B" w:rsidRDefault="0007024A" w:rsidP="00C04E0B">
      <w:pPr>
        <w:spacing w:after="0"/>
        <w:jc w:val="left"/>
        <w:rPr>
          <w:rFonts w:ascii="Arial" w:hAnsi="Arial" w:cs="Arial"/>
          <w:sz w:val="16"/>
          <w:szCs w:val="16"/>
        </w:rPr>
      </w:pPr>
    </w:p>
    <w:p w14:paraId="69219761" w14:textId="77777777" w:rsidR="0007024A" w:rsidRPr="00167A1B" w:rsidRDefault="0007024A" w:rsidP="0007024A">
      <w:pPr>
        <w:spacing w:after="120"/>
        <w:rPr>
          <w:rFonts w:ascii="Arial" w:hAnsi="Arial" w:cs="Arial"/>
          <w:b/>
          <w:sz w:val="18"/>
          <w:szCs w:val="18"/>
        </w:rPr>
      </w:pPr>
    </w:p>
    <w:p w14:paraId="48B959A7" w14:textId="77777777" w:rsidR="00D8116B" w:rsidRPr="00167A1B" w:rsidRDefault="0007024A" w:rsidP="00D8116B">
      <w:pPr>
        <w:spacing w:after="120"/>
        <w:rPr>
          <w:rFonts w:ascii="Arial" w:hAnsi="Arial" w:cs="Arial"/>
          <w:b/>
          <w:sz w:val="18"/>
          <w:szCs w:val="18"/>
        </w:rPr>
      </w:pPr>
      <w:r w:rsidRPr="00167A1B">
        <w:rPr>
          <w:rFonts w:ascii="Arial" w:hAnsi="Arial" w:cs="Arial"/>
          <w:b/>
          <w:sz w:val="18"/>
          <w:szCs w:val="18"/>
        </w:rPr>
        <w:t>LEGAL NOTICE</w:t>
      </w:r>
    </w:p>
    <w:p w14:paraId="09B12759" w14:textId="77777777" w:rsidR="0007024A" w:rsidRPr="00167A1B" w:rsidRDefault="0007024A" w:rsidP="00D8116B">
      <w:pPr>
        <w:spacing w:after="120"/>
        <w:rPr>
          <w:rFonts w:ascii="Arial" w:hAnsi="Arial" w:cs="Arial"/>
          <w:b/>
          <w:sz w:val="18"/>
          <w:szCs w:val="18"/>
        </w:rPr>
      </w:pPr>
      <w:r w:rsidRPr="00167A1B">
        <w:rPr>
          <w:rFonts w:ascii="Arial" w:hAnsi="Arial" w:cs="Arial"/>
          <w:color w:val="000000" w:themeColor="text1"/>
          <w:sz w:val="16"/>
          <w:szCs w:val="16"/>
        </w:rPr>
        <w:t>This document has been prepared for the European Commission however it reflects the views only of the authors, and the European Commission is not liable for any consequence stemming from the reuse of this publication. More information on the European Union is available on the Internet (</w:t>
      </w:r>
      <w:hyperlink r:id="rId23" w:history="1">
        <w:r w:rsidRPr="00167A1B">
          <w:rPr>
            <w:rStyle w:val="Hyperlink"/>
            <w:rFonts w:ascii="Arial" w:hAnsi="Arial" w:cs="Arial"/>
            <w:sz w:val="16"/>
            <w:szCs w:val="16"/>
          </w:rPr>
          <w:t>http://www.europa.eu</w:t>
        </w:r>
      </w:hyperlink>
      <w:r w:rsidRPr="00167A1B">
        <w:rPr>
          <w:rFonts w:ascii="Arial" w:hAnsi="Arial" w:cs="Arial"/>
          <w:color w:val="000000" w:themeColor="text1"/>
          <w:sz w:val="16"/>
          <w:szCs w:val="16"/>
        </w:rPr>
        <w:t>).</w:t>
      </w:r>
    </w:p>
    <w:tbl>
      <w:tblPr>
        <w:tblStyle w:val="TableGrid1"/>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723"/>
        <w:gridCol w:w="1754"/>
        <w:gridCol w:w="1754"/>
        <w:gridCol w:w="1592"/>
        <w:gridCol w:w="1965"/>
      </w:tblGrid>
      <w:tr w:rsidR="0007024A" w:rsidRPr="00167A1B" w14:paraId="1FD304C0" w14:textId="77777777" w:rsidTr="009F57CA">
        <w:tc>
          <w:tcPr>
            <w:tcW w:w="1777" w:type="dxa"/>
            <w:tcBorders>
              <w:top w:val="nil"/>
            </w:tcBorders>
          </w:tcPr>
          <w:p w14:paraId="6C3F4657" w14:textId="77777777" w:rsidR="0007024A" w:rsidRPr="00167A1B" w:rsidRDefault="0007024A" w:rsidP="009F57CA">
            <w:pPr>
              <w:spacing w:after="0"/>
              <w:rPr>
                <w:rFonts w:ascii="Arial" w:hAnsi="Arial" w:cs="Arial"/>
                <w:sz w:val="16"/>
                <w:szCs w:val="16"/>
              </w:rPr>
            </w:pPr>
            <w:r w:rsidRPr="00167A1B">
              <w:rPr>
                <w:rFonts w:ascii="Arial" w:hAnsi="Arial" w:cs="Arial"/>
                <w:sz w:val="16"/>
                <w:szCs w:val="16"/>
              </w:rPr>
              <w:t xml:space="preserve">Print </w:t>
            </w:r>
          </w:p>
        </w:tc>
        <w:tc>
          <w:tcPr>
            <w:tcW w:w="1799" w:type="dxa"/>
            <w:tcBorders>
              <w:top w:val="nil"/>
            </w:tcBorders>
          </w:tcPr>
          <w:p w14:paraId="527A5C9C" w14:textId="77777777" w:rsidR="0007024A" w:rsidRPr="00167A1B" w:rsidRDefault="0007024A" w:rsidP="009F57CA">
            <w:pPr>
              <w:spacing w:after="0"/>
              <w:rPr>
                <w:rFonts w:ascii="Arial" w:hAnsi="Arial" w:cs="Arial"/>
                <w:color w:val="FF0000"/>
                <w:sz w:val="16"/>
                <w:szCs w:val="16"/>
              </w:rPr>
            </w:pPr>
            <w:r w:rsidRPr="00167A1B">
              <w:rPr>
                <w:rFonts w:ascii="Arial" w:hAnsi="Arial" w:cs="Arial"/>
                <w:sz w:val="16"/>
                <w:szCs w:val="16"/>
              </w:rPr>
              <w:t>ISBN</w:t>
            </w:r>
            <w:bookmarkStart w:id="2" w:name="ISBN"/>
            <w:bookmarkEnd w:id="2"/>
            <w:r w:rsidRPr="00167A1B">
              <w:rPr>
                <w:rFonts w:ascii="Arial" w:hAnsi="Arial" w:cs="Arial"/>
                <w:sz w:val="16"/>
                <w:szCs w:val="16"/>
              </w:rPr>
              <w:t xml:space="preserve"> </w:t>
            </w:r>
            <w:r w:rsidRPr="00167A1B">
              <w:rPr>
                <w:rFonts w:ascii="Arial" w:hAnsi="Arial" w:cs="Arial"/>
                <w:color w:val="FF0000"/>
                <w:sz w:val="16"/>
                <w:szCs w:val="16"/>
              </w:rPr>
              <w:t>[number]</w:t>
            </w:r>
          </w:p>
        </w:tc>
        <w:tc>
          <w:tcPr>
            <w:tcW w:w="1799" w:type="dxa"/>
            <w:tcBorders>
              <w:top w:val="nil"/>
            </w:tcBorders>
          </w:tcPr>
          <w:p w14:paraId="3B3FA0D1" w14:textId="77777777" w:rsidR="0007024A" w:rsidRPr="00167A1B" w:rsidRDefault="0007024A" w:rsidP="009F57CA">
            <w:pPr>
              <w:spacing w:after="0"/>
              <w:rPr>
                <w:rFonts w:ascii="Arial" w:hAnsi="Arial" w:cs="Arial"/>
                <w:color w:val="FF0000"/>
                <w:sz w:val="16"/>
                <w:szCs w:val="16"/>
              </w:rPr>
            </w:pPr>
            <w:r w:rsidRPr="00167A1B">
              <w:rPr>
                <w:rFonts w:ascii="Arial" w:hAnsi="Arial" w:cs="Arial"/>
                <w:sz w:val="16"/>
                <w:szCs w:val="16"/>
              </w:rPr>
              <w:t xml:space="preserve">ISSN </w:t>
            </w:r>
            <w:r w:rsidRPr="00167A1B">
              <w:rPr>
                <w:rFonts w:ascii="Arial" w:hAnsi="Arial" w:cs="Arial"/>
                <w:color w:val="FF0000"/>
                <w:sz w:val="16"/>
                <w:szCs w:val="16"/>
              </w:rPr>
              <w:t>[number]</w:t>
            </w:r>
          </w:p>
        </w:tc>
        <w:tc>
          <w:tcPr>
            <w:tcW w:w="1616" w:type="dxa"/>
            <w:tcBorders>
              <w:top w:val="nil"/>
            </w:tcBorders>
          </w:tcPr>
          <w:p w14:paraId="13094B18" w14:textId="77777777" w:rsidR="0007024A" w:rsidRPr="00167A1B" w:rsidRDefault="0007024A" w:rsidP="009F57CA">
            <w:pPr>
              <w:spacing w:after="0"/>
              <w:rPr>
                <w:rFonts w:ascii="Arial" w:hAnsi="Arial" w:cs="Arial"/>
                <w:color w:val="FF0000"/>
                <w:sz w:val="16"/>
                <w:szCs w:val="16"/>
              </w:rPr>
            </w:pPr>
            <w:proofErr w:type="spellStart"/>
            <w:proofErr w:type="gramStart"/>
            <w:r w:rsidRPr="00167A1B">
              <w:rPr>
                <w:rFonts w:ascii="Arial" w:hAnsi="Arial" w:cs="Arial"/>
                <w:sz w:val="16"/>
                <w:szCs w:val="16"/>
              </w:rPr>
              <w:t>doi</w:t>
            </w:r>
            <w:proofErr w:type="spellEnd"/>
            <w:r w:rsidRPr="00167A1B">
              <w:rPr>
                <w:rFonts w:ascii="Arial" w:hAnsi="Arial" w:cs="Arial"/>
                <w:sz w:val="16"/>
                <w:szCs w:val="16"/>
              </w:rPr>
              <w:t>:</w:t>
            </w:r>
            <w:r w:rsidRPr="00167A1B">
              <w:rPr>
                <w:rFonts w:ascii="Arial" w:hAnsi="Arial" w:cs="Arial"/>
                <w:color w:val="FF0000"/>
                <w:sz w:val="16"/>
                <w:szCs w:val="16"/>
              </w:rPr>
              <w:t>[</w:t>
            </w:r>
            <w:proofErr w:type="gramEnd"/>
            <w:r w:rsidRPr="00167A1B">
              <w:rPr>
                <w:rFonts w:ascii="Arial" w:hAnsi="Arial" w:cs="Arial"/>
                <w:color w:val="FF0000"/>
                <w:sz w:val="16"/>
                <w:szCs w:val="16"/>
              </w:rPr>
              <w:t>number]</w:t>
            </w:r>
          </w:p>
        </w:tc>
        <w:tc>
          <w:tcPr>
            <w:tcW w:w="2013" w:type="dxa"/>
            <w:tcBorders>
              <w:top w:val="nil"/>
            </w:tcBorders>
          </w:tcPr>
          <w:p w14:paraId="66929109" w14:textId="77777777" w:rsidR="0007024A" w:rsidRPr="00167A1B" w:rsidRDefault="0007024A" w:rsidP="009F57CA">
            <w:pPr>
              <w:spacing w:after="0"/>
              <w:rPr>
                <w:rFonts w:ascii="Arial" w:hAnsi="Arial" w:cs="Arial"/>
                <w:color w:val="FF0000"/>
                <w:sz w:val="16"/>
              </w:rPr>
            </w:pPr>
            <w:r w:rsidRPr="00167A1B">
              <w:rPr>
                <w:rFonts w:ascii="Arial" w:hAnsi="Arial" w:cs="Arial"/>
                <w:color w:val="FF0000"/>
                <w:sz w:val="16"/>
              </w:rPr>
              <w:t>[Catalogue number]</w:t>
            </w:r>
          </w:p>
        </w:tc>
      </w:tr>
      <w:tr w:rsidR="0007024A" w:rsidRPr="00167A1B" w14:paraId="7D4956E9" w14:textId="77777777" w:rsidTr="009F57CA">
        <w:tc>
          <w:tcPr>
            <w:tcW w:w="1777" w:type="dxa"/>
            <w:tcBorders>
              <w:bottom w:val="single" w:sz="6" w:space="0" w:color="000000"/>
            </w:tcBorders>
          </w:tcPr>
          <w:p w14:paraId="7D6A049A" w14:textId="77777777" w:rsidR="0007024A" w:rsidRPr="00167A1B" w:rsidRDefault="0007024A" w:rsidP="009F57CA">
            <w:pPr>
              <w:spacing w:after="0"/>
              <w:rPr>
                <w:rFonts w:ascii="Arial" w:hAnsi="Arial" w:cs="Arial"/>
                <w:sz w:val="16"/>
                <w:szCs w:val="16"/>
              </w:rPr>
            </w:pPr>
            <w:r w:rsidRPr="00167A1B">
              <w:rPr>
                <w:rFonts w:ascii="Arial" w:hAnsi="Arial" w:cs="Arial"/>
                <w:sz w:val="16"/>
                <w:szCs w:val="16"/>
              </w:rPr>
              <w:t xml:space="preserve">PDF </w:t>
            </w:r>
          </w:p>
        </w:tc>
        <w:tc>
          <w:tcPr>
            <w:tcW w:w="1799" w:type="dxa"/>
            <w:tcBorders>
              <w:bottom w:val="single" w:sz="6" w:space="0" w:color="000000"/>
            </w:tcBorders>
          </w:tcPr>
          <w:p w14:paraId="673F7364" w14:textId="77777777" w:rsidR="0007024A" w:rsidRPr="00167A1B" w:rsidRDefault="0007024A" w:rsidP="009F57CA">
            <w:pPr>
              <w:spacing w:after="0"/>
              <w:rPr>
                <w:rFonts w:ascii="Arial" w:hAnsi="Arial" w:cs="Arial"/>
                <w:color w:val="FF0000"/>
                <w:sz w:val="16"/>
                <w:szCs w:val="16"/>
              </w:rPr>
            </w:pPr>
            <w:r w:rsidRPr="00167A1B">
              <w:rPr>
                <w:rFonts w:ascii="Arial" w:hAnsi="Arial" w:cs="Arial"/>
                <w:sz w:val="16"/>
                <w:szCs w:val="16"/>
              </w:rPr>
              <w:t xml:space="preserve">ISBN </w:t>
            </w:r>
            <w:r w:rsidRPr="00167A1B">
              <w:rPr>
                <w:rFonts w:ascii="Arial" w:hAnsi="Arial" w:cs="Arial"/>
                <w:color w:val="FF0000"/>
                <w:sz w:val="16"/>
                <w:szCs w:val="16"/>
              </w:rPr>
              <w:t>[number]</w:t>
            </w:r>
          </w:p>
        </w:tc>
        <w:tc>
          <w:tcPr>
            <w:tcW w:w="1799" w:type="dxa"/>
            <w:tcBorders>
              <w:bottom w:val="single" w:sz="6" w:space="0" w:color="000000"/>
            </w:tcBorders>
          </w:tcPr>
          <w:p w14:paraId="083AAF74" w14:textId="77777777" w:rsidR="0007024A" w:rsidRPr="00167A1B" w:rsidRDefault="0007024A" w:rsidP="009F57CA">
            <w:pPr>
              <w:spacing w:after="0"/>
              <w:rPr>
                <w:rFonts w:ascii="Arial" w:hAnsi="Arial" w:cs="Arial"/>
                <w:color w:val="FF0000"/>
                <w:sz w:val="16"/>
                <w:szCs w:val="16"/>
              </w:rPr>
            </w:pPr>
            <w:r w:rsidRPr="00167A1B">
              <w:rPr>
                <w:rFonts w:ascii="Arial" w:hAnsi="Arial" w:cs="Arial"/>
                <w:sz w:val="16"/>
                <w:szCs w:val="16"/>
              </w:rPr>
              <w:t xml:space="preserve">ISSN </w:t>
            </w:r>
            <w:r w:rsidRPr="00167A1B">
              <w:rPr>
                <w:rFonts w:ascii="Arial" w:hAnsi="Arial" w:cs="Arial"/>
                <w:color w:val="FF0000"/>
                <w:sz w:val="16"/>
                <w:szCs w:val="16"/>
              </w:rPr>
              <w:t>[number]</w:t>
            </w:r>
          </w:p>
        </w:tc>
        <w:tc>
          <w:tcPr>
            <w:tcW w:w="1616" w:type="dxa"/>
            <w:tcBorders>
              <w:bottom w:val="single" w:sz="6" w:space="0" w:color="000000"/>
            </w:tcBorders>
          </w:tcPr>
          <w:p w14:paraId="4E69ACBD" w14:textId="77777777" w:rsidR="0007024A" w:rsidRPr="00167A1B" w:rsidRDefault="0007024A" w:rsidP="009F57CA">
            <w:pPr>
              <w:spacing w:after="0"/>
              <w:rPr>
                <w:rFonts w:ascii="Arial" w:hAnsi="Arial" w:cs="Arial"/>
                <w:color w:val="FF0000"/>
                <w:sz w:val="16"/>
                <w:szCs w:val="16"/>
              </w:rPr>
            </w:pPr>
            <w:proofErr w:type="spellStart"/>
            <w:proofErr w:type="gramStart"/>
            <w:r w:rsidRPr="00167A1B">
              <w:rPr>
                <w:rFonts w:ascii="Arial" w:hAnsi="Arial" w:cs="Arial"/>
                <w:sz w:val="16"/>
                <w:szCs w:val="16"/>
              </w:rPr>
              <w:t>doi</w:t>
            </w:r>
            <w:proofErr w:type="spellEnd"/>
            <w:r w:rsidRPr="00167A1B">
              <w:rPr>
                <w:rFonts w:ascii="Arial" w:hAnsi="Arial" w:cs="Arial"/>
                <w:sz w:val="16"/>
                <w:szCs w:val="16"/>
              </w:rPr>
              <w:t>:</w:t>
            </w:r>
            <w:r w:rsidRPr="00167A1B">
              <w:rPr>
                <w:rFonts w:ascii="Arial" w:hAnsi="Arial" w:cs="Arial"/>
                <w:color w:val="FF0000"/>
                <w:sz w:val="16"/>
                <w:szCs w:val="16"/>
              </w:rPr>
              <w:t>[</w:t>
            </w:r>
            <w:proofErr w:type="gramEnd"/>
            <w:r w:rsidRPr="00167A1B">
              <w:rPr>
                <w:rFonts w:ascii="Arial" w:hAnsi="Arial" w:cs="Arial"/>
                <w:color w:val="FF0000"/>
                <w:sz w:val="16"/>
                <w:szCs w:val="16"/>
              </w:rPr>
              <w:t>number]</w:t>
            </w:r>
          </w:p>
        </w:tc>
        <w:tc>
          <w:tcPr>
            <w:tcW w:w="2013" w:type="dxa"/>
            <w:tcBorders>
              <w:bottom w:val="single" w:sz="6" w:space="0" w:color="000000"/>
            </w:tcBorders>
          </w:tcPr>
          <w:p w14:paraId="47149FF5" w14:textId="77777777" w:rsidR="0007024A" w:rsidRPr="00167A1B" w:rsidRDefault="0007024A" w:rsidP="009F57CA">
            <w:pPr>
              <w:spacing w:after="0"/>
              <w:rPr>
                <w:rFonts w:ascii="Arial" w:hAnsi="Arial" w:cs="Arial"/>
                <w:sz w:val="16"/>
                <w:szCs w:val="16"/>
              </w:rPr>
            </w:pPr>
            <w:r w:rsidRPr="00167A1B">
              <w:rPr>
                <w:rFonts w:ascii="Arial" w:hAnsi="Arial" w:cs="Arial"/>
                <w:color w:val="FF0000"/>
                <w:sz w:val="16"/>
              </w:rPr>
              <w:t>[Catalogue number]</w:t>
            </w:r>
          </w:p>
        </w:tc>
      </w:tr>
      <w:tr w:rsidR="0007024A" w:rsidRPr="00167A1B" w14:paraId="505C9F50" w14:textId="77777777" w:rsidTr="009F57CA">
        <w:tc>
          <w:tcPr>
            <w:tcW w:w="1777" w:type="dxa"/>
          </w:tcPr>
          <w:p w14:paraId="019831D8" w14:textId="77777777" w:rsidR="0007024A" w:rsidRPr="00167A1B" w:rsidRDefault="0007024A" w:rsidP="009F57CA">
            <w:pPr>
              <w:spacing w:after="0"/>
              <w:rPr>
                <w:rFonts w:ascii="Arial" w:hAnsi="Arial" w:cs="Arial"/>
                <w:sz w:val="16"/>
                <w:szCs w:val="16"/>
              </w:rPr>
            </w:pPr>
            <w:r w:rsidRPr="00167A1B">
              <w:rPr>
                <w:rFonts w:ascii="Arial" w:hAnsi="Arial" w:cs="Arial"/>
                <w:sz w:val="16"/>
                <w:szCs w:val="16"/>
              </w:rPr>
              <w:t>EPUB</w:t>
            </w:r>
          </w:p>
        </w:tc>
        <w:tc>
          <w:tcPr>
            <w:tcW w:w="1799" w:type="dxa"/>
          </w:tcPr>
          <w:p w14:paraId="46BCCF0F" w14:textId="77777777" w:rsidR="0007024A" w:rsidRPr="00167A1B" w:rsidRDefault="0007024A" w:rsidP="009F57CA">
            <w:pPr>
              <w:spacing w:after="0"/>
              <w:rPr>
                <w:rFonts w:ascii="Arial" w:hAnsi="Arial" w:cs="Arial"/>
                <w:color w:val="FF0000"/>
                <w:sz w:val="16"/>
                <w:szCs w:val="16"/>
              </w:rPr>
            </w:pPr>
            <w:r w:rsidRPr="00167A1B">
              <w:rPr>
                <w:rFonts w:ascii="Arial" w:hAnsi="Arial" w:cs="Arial"/>
                <w:sz w:val="16"/>
                <w:szCs w:val="16"/>
              </w:rPr>
              <w:t xml:space="preserve">ISBN </w:t>
            </w:r>
            <w:r w:rsidRPr="00167A1B">
              <w:rPr>
                <w:rFonts w:ascii="Arial" w:hAnsi="Arial" w:cs="Arial"/>
                <w:color w:val="FF0000"/>
                <w:sz w:val="16"/>
                <w:szCs w:val="16"/>
              </w:rPr>
              <w:t>[number]</w:t>
            </w:r>
          </w:p>
        </w:tc>
        <w:tc>
          <w:tcPr>
            <w:tcW w:w="1799" w:type="dxa"/>
          </w:tcPr>
          <w:p w14:paraId="54605701" w14:textId="77777777" w:rsidR="0007024A" w:rsidRPr="00167A1B" w:rsidRDefault="0007024A" w:rsidP="009F57CA">
            <w:pPr>
              <w:spacing w:after="0"/>
              <w:rPr>
                <w:rFonts w:ascii="Arial" w:hAnsi="Arial" w:cs="Arial"/>
                <w:color w:val="FF0000"/>
                <w:sz w:val="16"/>
                <w:szCs w:val="16"/>
              </w:rPr>
            </w:pPr>
            <w:r w:rsidRPr="00167A1B">
              <w:rPr>
                <w:rFonts w:ascii="Arial" w:hAnsi="Arial" w:cs="Arial"/>
                <w:sz w:val="16"/>
                <w:szCs w:val="16"/>
              </w:rPr>
              <w:t xml:space="preserve">ISSN </w:t>
            </w:r>
            <w:r w:rsidRPr="00167A1B">
              <w:rPr>
                <w:rFonts w:ascii="Arial" w:hAnsi="Arial" w:cs="Arial"/>
                <w:color w:val="FF0000"/>
                <w:sz w:val="16"/>
                <w:szCs w:val="16"/>
              </w:rPr>
              <w:t>[number]</w:t>
            </w:r>
          </w:p>
        </w:tc>
        <w:tc>
          <w:tcPr>
            <w:tcW w:w="1616" w:type="dxa"/>
          </w:tcPr>
          <w:p w14:paraId="0EF69D87" w14:textId="77777777" w:rsidR="0007024A" w:rsidRPr="00167A1B" w:rsidRDefault="0007024A" w:rsidP="009F57CA">
            <w:pPr>
              <w:spacing w:after="0"/>
              <w:rPr>
                <w:rFonts w:ascii="Arial" w:hAnsi="Arial" w:cs="Arial"/>
                <w:color w:val="FF0000"/>
                <w:sz w:val="16"/>
                <w:szCs w:val="16"/>
              </w:rPr>
            </w:pPr>
            <w:proofErr w:type="spellStart"/>
            <w:proofErr w:type="gramStart"/>
            <w:r w:rsidRPr="00167A1B">
              <w:rPr>
                <w:rFonts w:ascii="Arial" w:hAnsi="Arial" w:cs="Arial"/>
                <w:sz w:val="16"/>
                <w:szCs w:val="16"/>
              </w:rPr>
              <w:t>doi</w:t>
            </w:r>
            <w:proofErr w:type="spellEnd"/>
            <w:r w:rsidRPr="00167A1B">
              <w:rPr>
                <w:rFonts w:ascii="Arial" w:hAnsi="Arial" w:cs="Arial"/>
                <w:sz w:val="16"/>
                <w:szCs w:val="16"/>
              </w:rPr>
              <w:t>:</w:t>
            </w:r>
            <w:r w:rsidRPr="00167A1B">
              <w:rPr>
                <w:rFonts w:ascii="Arial" w:hAnsi="Arial" w:cs="Arial"/>
                <w:color w:val="FF0000"/>
                <w:sz w:val="16"/>
                <w:szCs w:val="16"/>
              </w:rPr>
              <w:t>[</w:t>
            </w:r>
            <w:proofErr w:type="gramEnd"/>
            <w:r w:rsidRPr="00167A1B">
              <w:rPr>
                <w:rFonts w:ascii="Arial" w:hAnsi="Arial" w:cs="Arial"/>
                <w:color w:val="FF0000"/>
                <w:sz w:val="16"/>
                <w:szCs w:val="16"/>
              </w:rPr>
              <w:t>number]</w:t>
            </w:r>
          </w:p>
        </w:tc>
        <w:tc>
          <w:tcPr>
            <w:tcW w:w="2013" w:type="dxa"/>
          </w:tcPr>
          <w:p w14:paraId="2606078E" w14:textId="77777777" w:rsidR="0007024A" w:rsidRPr="00167A1B" w:rsidRDefault="0007024A" w:rsidP="009F57CA">
            <w:pPr>
              <w:spacing w:after="0"/>
              <w:rPr>
                <w:rFonts w:ascii="Arial" w:hAnsi="Arial" w:cs="Arial"/>
                <w:sz w:val="16"/>
              </w:rPr>
            </w:pPr>
            <w:r w:rsidRPr="00167A1B">
              <w:rPr>
                <w:rFonts w:ascii="Arial" w:hAnsi="Arial" w:cs="Arial"/>
                <w:color w:val="FF0000"/>
                <w:sz w:val="16"/>
              </w:rPr>
              <w:t>[Catalogue number]</w:t>
            </w:r>
          </w:p>
        </w:tc>
      </w:tr>
      <w:tr w:rsidR="0007024A" w:rsidRPr="00167A1B" w14:paraId="1E6A13F0" w14:textId="77777777" w:rsidTr="009F57CA">
        <w:tc>
          <w:tcPr>
            <w:tcW w:w="1777" w:type="dxa"/>
            <w:tcBorders>
              <w:bottom w:val="nil"/>
            </w:tcBorders>
          </w:tcPr>
          <w:p w14:paraId="0C5899E8" w14:textId="77777777" w:rsidR="0007024A" w:rsidRPr="00167A1B" w:rsidRDefault="0007024A" w:rsidP="009F57CA">
            <w:pPr>
              <w:spacing w:after="0"/>
              <w:rPr>
                <w:rFonts w:ascii="Arial" w:hAnsi="Arial" w:cs="Arial"/>
                <w:sz w:val="16"/>
                <w:szCs w:val="16"/>
              </w:rPr>
            </w:pPr>
            <w:r w:rsidRPr="00167A1B">
              <w:rPr>
                <w:rFonts w:ascii="Arial" w:hAnsi="Arial" w:cs="Arial"/>
                <w:sz w:val="16"/>
                <w:szCs w:val="16"/>
              </w:rPr>
              <w:t>HTML</w:t>
            </w:r>
          </w:p>
        </w:tc>
        <w:tc>
          <w:tcPr>
            <w:tcW w:w="1799" w:type="dxa"/>
            <w:tcBorders>
              <w:bottom w:val="nil"/>
            </w:tcBorders>
          </w:tcPr>
          <w:p w14:paraId="3E150497" w14:textId="77777777" w:rsidR="0007024A" w:rsidRPr="00167A1B" w:rsidRDefault="0007024A" w:rsidP="009F57CA">
            <w:pPr>
              <w:spacing w:after="0"/>
              <w:rPr>
                <w:rFonts w:ascii="Arial" w:hAnsi="Arial" w:cs="Arial"/>
                <w:color w:val="FF0000"/>
                <w:sz w:val="16"/>
                <w:szCs w:val="16"/>
              </w:rPr>
            </w:pPr>
            <w:r w:rsidRPr="00167A1B">
              <w:rPr>
                <w:rFonts w:ascii="Arial" w:hAnsi="Arial" w:cs="Arial"/>
                <w:sz w:val="16"/>
                <w:szCs w:val="16"/>
              </w:rPr>
              <w:t xml:space="preserve">ISBN </w:t>
            </w:r>
            <w:r w:rsidRPr="00167A1B">
              <w:rPr>
                <w:rFonts w:ascii="Arial" w:hAnsi="Arial" w:cs="Arial"/>
                <w:color w:val="FF0000"/>
                <w:sz w:val="16"/>
                <w:szCs w:val="16"/>
              </w:rPr>
              <w:t>[number]</w:t>
            </w:r>
          </w:p>
        </w:tc>
        <w:tc>
          <w:tcPr>
            <w:tcW w:w="1799" w:type="dxa"/>
            <w:tcBorders>
              <w:bottom w:val="nil"/>
            </w:tcBorders>
          </w:tcPr>
          <w:p w14:paraId="475DEE3F" w14:textId="77777777" w:rsidR="0007024A" w:rsidRPr="00167A1B" w:rsidRDefault="0007024A" w:rsidP="009F57CA">
            <w:pPr>
              <w:spacing w:after="0"/>
              <w:rPr>
                <w:rFonts w:ascii="Arial" w:hAnsi="Arial" w:cs="Arial"/>
                <w:color w:val="FF0000"/>
                <w:sz w:val="16"/>
                <w:szCs w:val="16"/>
              </w:rPr>
            </w:pPr>
            <w:r w:rsidRPr="00167A1B">
              <w:rPr>
                <w:rFonts w:ascii="Arial" w:hAnsi="Arial" w:cs="Arial"/>
                <w:sz w:val="16"/>
                <w:szCs w:val="16"/>
              </w:rPr>
              <w:t xml:space="preserve">ISSN </w:t>
            </w:r>
            <w:r w:rsidRPr="00167A1B">
              <w:rPr>
                <w:rFonts w:ascii="Arial" w:hAnsi="Arial" w:cs="Arial"/>
                <w:color w:val="FF0000"/>
                <w:sz w:val="16"/>
                <w:szCs w:val="16"/>
              </w:rPr>
              <w:t>[number]</w:t>
            </w:r>
          </w:p>
        </w:tc>
        <w:tc>
          <w:tcPr>
            <w:tcW w:w="1616" w:type="dxa"/>
            <w:tcBorders>
              <w:bottom w:val="nil"/>
            </w:tcBorders>
          </w:tcPr>
          <w:p w14:paraId="7989B51C" w14:textId="77777777" w:rsidR="0007024A" w:rsidRPr="00167A1B" w:rsidRDefault="0007024A" w:rsidP="009F57CA">
            <w:pPr>
              <w:spacing w:after="0"/>
              <w:rPr>
                <w:rFonts w:ascii="Arial" w:hAnsi="Arial" w:cs="Arial"/>
                <w:color w:val="FF0000"/>
                <w:sz w:val="16"/>
                <w:szCs w:val="16"/>
              </w:rPr>
            </w:pPr>
            <w:proofErr w:type="spellStart"/>
            <w:proofErr w:type="gramStart"/>
            <w:r w:rsidRPr="00167A1B">
              <w:rPr>
                <w:rFonts w:ascii="Arial" w:hAnsi="Arial" w:cs="Arial"/>
                <w:sz w:val="16"/>
                <w:szCs w:val="16"/>
              </w:rPr>
              <w:t>doi</w:t>
            </w:r>
            <w:proofErr w:type="spellEnd"/>
            <w:r w:rsidRPr="00167A1B">
              <w:rPr>
                <w:rFonts w:ascii="Arial" w:hAnsi="Arial" w:cs="Arial"/>
                <w:sz w:val="16"/>
                <w:szCs w:val="16"/>
              </w:rPr>
              <w:t>:</w:t>
            </w:r>
            <w:r w:rsidRPr="00167A1B">
              <w:rPr>
                <w:rFonts w:ascii="Arial" w:hAnsi="Arial" w:cs="Arial"/>
                <w:color w:val="FF0000"/>
                <w:sz w:val="16"/>
                <w:szCs w:val="16"/>
              </w:rPr>
              <w:t>[</w:t>
            </w:r>
            <w:proofErr w:type="gramEnd"/>
            <w:r w:rsidRPr="00167A1B">
              <w:rPr>
                <w:rFonts w:ascii="Arial" w:hAnsi="Arial" w:cs="Arial"/>
                <w:color w:val="FF0000"/>
                <w:sz w:val="16"/>
                <w:szCs w:val="16"/>
              </w:rPr>
              <w:t>number]</w:t>
            </w:r>
          </w:p>
        </w:tc>
        <w:tc>
          <w:tcPr>
            <w:tcW w:w="2013" w:type="dxa"/>
            <w:tcBorders>
              <w:bottom w:val="nil"/>
            </w:tcBorders>
          </w:tcPr>
          <w:p w14:paraId="32F5E54A" w14:textId="77777777" w:rsidR="0007024A" w:rsidRPr="00167A1B" w:rsidRDefault="0007024A" w:rsidP="009F57CA">
            <w:pPr>
              <w:spacing w:after="0"/>
              <w:rPr>
                <w:rFonts w:ascii="Arial" w:hAnsi="Arial" w:cs="Arial"/>
                <w:sz w:val="16"/>
              </w:rPr>
            </w:pPr>
            <w:r w:rsidRPr="00167A1B">
              <w:rPr>
                <w:rFonts w:ascii="Arial" w:hAnsi="Arial" w:cs="Arial"/>
                <w:color w:val="FF0000"/>
                <w:sz w:val="16"/>
              </w:rPr>
              <w:t>[Catalogue number]</w:t>
            </w:r>
          </w:p>
        </w:tc>
      </w:tr>
    </w:tbl>
    <w:p w14:paraId="668B9FAC" w14:textId="77777777" w:rsidR="0007024A" w:rsidRPr="00167A1B" w:rsidRDefault="0007024A" w:rsidP="00C04E0B">
      <w:pPr>
        <w:spacing w:after="0"/>
        <w:jc w:val="left"/>
        <w:rPr>
          <w:rFonts w:ascii="Arial" w:hAnsi="Arial" w:cs="Arial"/>
          <w:sz w:val="16"/>
          <w:szCs w:val="16"/>
        </w:rPr>
      </w:pPr>
    </w:p>
    <w:p w14:paraId="15798040" w14:textId="77777777" w:rsidR="0007024A" w:rsidRPr="00167A1B" w:rsidRDefault="0007024A" w:rsidP="00C04E0B">
      <w:pPr>
        <w:spacing w:after="0"/>
        <w:jc w:val="left"/>
        <w:rPr>
          <w:rFonts w:ascii="Arial" w:hAnsi="Arial" w:cs="Arial"/>
          <w:sz w:val="16"/>
          <w:szCs w:val="16"/>
        </w:rPr>
      </w:pPr>
    </w:p>
    <w:p w14:paraId="7139C6E7" w14:textId="77777777" w:rsidR="00C04E0B" w:rsidRPr="00167A1B" w:rsidRDefault="00C04E0B" w:rsidP="00C04E0B">
      <w:pPr>
        <w:spacing w:after="0"/>
        <w:jc w:val="left"/>
        <w:rPr>
          <w:rFonts w:ascii="Arial" w:hAnsi="Arial" w:cs="Arial"/>
          <w:sz w:val="16"/>
          <w:szCs w:val="16"/>
        </w:rPr>
      </w:pPr>
      <w:r w:rsidRPr="00167A1B">
        <w:rPr>
          <w:rFonts w:ascii="Arial" w:hAnsi="Arial" w:cs="Arial"/>
          <w:sz w:val="16"/>
          <w:szCs w:val="16"/>
        </w:rPr>
        <w:t xml:space="preserve">Luxembourg: Publications Office of the European Union, </w:t>
      </w:r>
      <w:r w:rsidRPr="00167A1B">
        <w:rPr>
          <w:rFonts w:ascii="Arial" w:hAnsi="Arial" w:cs="Arial"/>
          <w:color w:val="FF0000"/>
          <w:sz w:val="16"/>
          <w:szCs w:val="16"/>
        </w:rPr>
        <w:t>[Year]</w:t>
      </w:r>
    </w:p>
    <w:p w14:paraId="509079D6" w14:textId="77777777" w:rsidR="00C04E0B" w:rsidRPr="00167A1B" w:rsidRDefault="00C04E0B" w:rsidP="00824FCF">
      <w:pPr>
        <w:jc w:val="left"/>
        <w:rPr>
          <w:rFonts w:ascii="Arial" w:hAnsi="Arial" w:cs="Arial"/>
          <w:color w:val="FF0000"/>
          <w:sz w:val="16"/>
          <w:szCs w:val="16"/>
        </w:rPr>
      </w:pPr>
    </w:p>
    <w:p w14:paraId="519EF290" w14:textId="77777777" w:rsidR="00C04E0B" w:rsidRPr="00167A1B" w:rsidRDefault="00C04E0B" w:rsidP="00C04E0B">
      <w:pPr>
        <w:spacing w:line="240" w:lineRule="exact"/>
        <w:rPr>
          <w:rFonts w:ascii="Arial" w:hAnsi="Arial" w:cs="Arial"/>
          <w:sz w:val="16"/>
          <w:szCs w:val="16"/>
        </w:rPr>
      </w:pPr>
      <w:r w:rsidRPr="00167A1B">
        <w:rPr>
          <w:rFonts w:ascii="Arial" w:hAnsi="Arial" w:cs="Arial"/>
          <w:sz w:val="16"/>
          <w:szCs w:val="16"/>
        </w:rPr>
        <w:t xml:space="preserve">© European Union, </w:t>
      </w:r>
      <w:r w:rsidRPr="00167A1B">
        <w:rPr>
          <w:rFonts w:ascii="Arial" w:hAnsi="Arial" w:cs="Arial"/>
          <w:color w:val="FF0000"/>
          <w:sz w:val="16"/>
          <w:szCs w:val="16"/>
        </w:rPr>
        <w:t xml:space="preserve">[Year] </w:t>
      </w:r>
    </w:p>
    <w:p w14:paraId="59CC66C3" w14:textId="77777777" w:rsidR="00C04E0B" w:rsidRPr="00167A1B" w:rsidRDefault="00C04E0B" w:rsidP="00C04E0B">
      <w:pPr>
        <w:rPr>
          <w:rFonts w:ascii="Arial" w:hAnsi="Arial" w:cs="Arial"/>
          <w:sz w:val="16"/>
          <w:szCs w:val="16"/>
          <w:lang w:eastAsia="en-GB"/>
        </w:rPr>
      </w:pPr>
      <w:r w:rsidRPr="00167A1B">
        <w:rPr>
          <w:rFonts w:ascii="Arial" w:hAnsi="Arial" w:cs="Arial"/>
          <w:noProof/>
          <w:sz w:val="16"/>
          <w:szCs w:val="16"/>
          <w:lang w:eastAsia="en-GB"/>
        </w:rPr>
        <w:drawing>
          <wp:inline distT="0" distB="0" distL="0" distR="0" wp14:anchorId="762837FD" wp14:editId="7FF8C9C3">
            <wp:extent cx="914400" cy="3238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4400" cy="323850"/>
                    </a:xfrm>
                    <a:prstGeom prst="rect">
                      <a:avLst/>
                    </a:prstGeom>
                    <a:noFill/>
                    <a:ln>
                      <a:noFill/>
                    </a:ln>
                  </pic:spPr>
                </pic:pic>
              </a:graphicData>
            </a:graphic>
          </wp:inline>
        </w:drawing>
      </w:r>
    </w:p>
    <w:p w14:paraId="118F28A0" w14:textId="77777777" w:rsidR="00C04E0B" w:rsidRPr="00167A1B" w:rsidRDefault="00C04E0B" w:rsidP="00C04E0B">
      <w:pPr>
        <w:spacing w:line="240" w:lineRule="exact"/>
        <w:rPr>
          <w:rFonts w:ascii="Arial" w:hAnsi="Arial" w:cs="Arial"/>
          <w:sz w:val="16"/>
          <w:szCs w:val="16"/>
        </w:rPr>
      </w:pPr>
      <w:r w:rsidRPr="00167A1B">
        <w:rPr>
          <w:rFonts w:ascii="Arial" w:hAnsi="Arial" w:cs="Arial"/>
          <w:sz w:val="16"/>
          <w:szCs w:val="16"/>
        </w:rPr>
        <w:t xml:space="preserve">The reuse policy of European Commission documents is implemented by the Commission Decision 2011/833/EU of 12 December 2011 on the reuse of Commission documents (OJ L 330, 14.12.2011, p. 39). Except otherwise noted, the reuse of this document is authorised under a Creative Commons Attribution 4.0 International (CC-BY 4.0) licence </w:t>
      </w:r>
      <w:hyperlink r:id="rId25" w:history="1">
        <w:r w:rsidRPr="00167A1B">
          <w:rPr>
            <w:rStyle w:val="Hyperlink"/>
            <w:rFonts w:ascii="Arial" w:hAnsi="Arial" w:cs="Arial"/>
            <w:sz w:val="16"/>
            <w:szCs w:val="16"/>
          </w:rPr>
          <w:t>(https://creativecommons.org/licenses/by/4.0/)</w:t>
        </w:r>
      </w:hyperlink>
      <w:r w:rsidRPr="00167A1B">
        <w:rPr>
          <w:rFonts w:ascii="Arial" w:hAnsi="Arial" w:cs="Arial"/>
          <w:sz w:val="16"/>
          <w:szCs w:val="16"/>
        </w:rPr>
        <w:t>. This means that reuse is allowed provided appropriate credit is given and any changes are indicated.</w:t>
      </w:r>
    </w:p>
    <w:p w14:paraId="3C16372D" w14:textId="77777777" w:rsidR="00C04E0B" w:rsidRPr="00167A1B" w:rsidRDefault="00C04E0B" w:rsidP="00C04E0B">
      <w:pPr>
        <w:spacing w:line="240" w:lineRule="exact"/>
        <w:jc w:val="left"/>
        <w:rPr>
          <w:rFonts w:ascii="Arial" w:hAnsi="Arial" w:cs="Arial"/>
          <w:sz w:val="16"/>
          <w:szCs w:val="16"/>
        </w:rPr>
      </w:pPr>
      <w:r w:rsidRPr="00167A1B">
        <w:rPr>
          <w:rFonts w:ascii="Arial" w:hAnsi="Arial" w:cs="Arial"/>
          <w:sz w:val="16"/>
          <w:szCs w:val="16"/>
        </w:rPr>
        <w:t xml:space="preserve">For any use or reproduction of elements that are not owned by the European Union, permission may need to be sought directly from the respective </w:t>
      </w:r>
      <w:proofErr w:type="spellStart"/>
      <w:r w:rsidRPr="00167A1B">
        <w:rPr>
          <w:rFonts w:ascii="Arial" w:hAnsi="Arial" w:cs="Arial"/>
          <w:sz w:val="16"/>
          <w:szCs w:val="16"/>
        </w:rPr>
        <w:t>rightholders</w:t>
      </w:r>
      <w:proofErr w:type="spellEnd"/>
      <w:r w:rsidRPr="00167A1B">
        <w:rPr>
          <w:rFonts w:ascii="Arial" w:hAnsi="Arial" w:cs="Arial"/>
          <w:sz w:val="16"/>
          <w:szCs w:val="16"/>
        </w:rPr>
        <w:t xml:space="preserve">. </w:t>
      </w:r>
      <w:r w:rsidRPr="00167A1B">
        <w:rPr>
          <w:rFonts w:ascii="Arial" w:hAnsi="Arial" w:cs="Arial"/>
          <w:sz w:val="16"/>
          <w:szCs w:val="16"/>
        </w:rPr>
        <w:br/>
      </w:r>
      <w:r w:rsidRPr="00167A1B">
        <w:rPr>
          <w:rFonts w:ascii="Arial" w:hAnsi="Arial" w:cs="Arial"/>
          <w:color w:val="FF0000"/>
          <w:sz w:val="16"/>
          <w:szCs w:val="16"/>
        </w:rPr>
        <w:t>[or]</w:t>
      </w:r>
      <w:r w:rsidRPr="00167A1B">
        <w:rPr>
          <w:rFonts w:ascii="Arial" w:hAnsi="Arial" w:cs="Arial"/>
          <w:sz w:val="16"/>
          <w:szCs w:val="16"/>
        </w:rPr>
        <w:br/>
        <w:t xml:space="preserve">For any use or reproduction of elements that are not owned by the European Union, permission may need to be sought directly from the respective </w:t>
      </w:r>
      <w:proofErr w:type="spellStart"/>
      <w:r w:rsidRPr="00167A1B">
        <w:rPr>
          <w:rFonts w:ascii="Arial" w:hAnsi="Arial" w:cs="Arial"/>
          <w:sz w:val="16"/>
          <w:szCs w:val="16"/>
        </w:rPr>
        <w:t>rightholders</w:t>
      </w:r>
      <w:proofErr w:type="spellEnd"/>
      <w:r w:rsidRPr="00167A1B">
        <w:rPr>
          <w:rFonts w:ascii="Arial" w:hAnsi="Arial" w:cs="Arial"/>
          <w:sz w:val="16"/>
          <w:szCs w:val="16"/>
        </w:rPr>
        <w:t>. The European Union does not own the copyright in relation to the following elements:</w:t>
      </w:r>
      <w:r w:rsidRPr="00167A1B">
        <w:rPr>
          <w:rFonts w:ascii="Arial" w:hAnsi="Arial" w:cs="Arial"/>
          <w:sz w:val="16"/>
          <w:szCs w:val="16"/>
        </w:rPr>
        <w:br/>
      </w:r>
      <w:r w:rsidRPr="00167A1B">
        <w:rPr>
          <w:rFonts w:ascii="Arial" w:hAnsi="Arial" w:cs="Arial"/>
          <w:color w:val="FF0000"/>
          <w:sz w:val="16"/>
          <w:szCs w:val="16"/>
        </w:rPr>
        <w:t>[cover]; [element concerned], [source: e.g. Fotolia.com];</w:t>
      </w:r>
      <w:r w:rsidRPr="00167A1B">
        <w:rPr>
          <w:rFonts w:ascii="Arial" w:hAnsi="Arial" w:cs="Arial"/>
          <w:color w:val="FF0000"/>
          <w:sz w:val="16"/>
          <w:szCs w:val="16"/>
        </w:rPr>
        <w:br/>
        <w:t>[page XX], [element by XX] [source: e.g. Unsplash.com].</w:t>
      </w:r>
    </w:p>
    <w:p w14:paraId="3B4F83E7" w14:textId="77777777" w:rsidR="00830D7E" w:rsidRPr="00167A1B" w:rsidRDefault="00830D7E">
      <w:pPr>
        <w:spacing w:after="0"/>
        <w:jc w:val="left"/>
        <w:rPr>
          <w:rFonts w:ascii="Arial" w:hAnsi="Arial" w:cs="Arial"/>
          <w:color w:val="FF0000"/>
          <w:sz w:val="16"/>
          <w:szCs w:val="16"/>
        </w:rPr>
      </w:pPr>
      <w:r w:rsidRPr="00167A1B">
        <w:rPr>
          <w:rFonts w:ascii="Arial" w:hAnsi="Arial" w:cs="Arial"/>
          <w:color w:val="FF0000"/>
          <w:sz w:val="16"/>
          <w:szCs w:val="16"/>
        </w:rPr>
        <w:br w:type="page"/>
      </w:r>
    </w:p>
    <w:p w14:paraId="7484047D" w14:textId="77777777" w:rsidR="00824FCF" w:rsidRPr="00167A1B" w:rsidRDefault="00824FCF" w:rsidP="00824FCF">
      <w:pPr>
        <w:jc w:val="left"/>
        <w:rPr>
          <w:rFonts w:ascii="Arial" w:hAnsi="Arial" w:cs="Arial"/>
          <w:color w:val="FF0000"/>
          <w:sz w:val="16"/>
          <w:szCs w:val="16"/>
        </w:rPr>
        <w:sectPr w:rsidR="00824FCF" w:rsidRPr="00167A1B" w:rsidSect="00FB177B">
          <w:pgSz w:w="11907" w:h="16839" w:code="9"/>
          <w:pgMar w:top="851" w:right="1418" w:bottom="851" w:left="1701" w:header="0" w:footer="170" w:gutter="0"/>
          <w:pgNumType w:start="4"/>
          <w:cols w:space="720"/>
          <w:titlePg/>
          <w:docGrid w:linePitch="326"/>
        </w:sectPr>
      </w:pPr>
    </w:p>
    <w:p w14:paraId="07AD2BDF" w14:textId="77777777" w:rsidR="00B62C21" w:rsidRPr="00167A1B" w:rsidRDefault="00B62C21" w:rsidP="00267A5F">
      <w:pPr>
        <w:pStyle w:val="Title0"/>
        <w:rPr>
          <w:noProof w:val="0"/>
          <w:lang w:val="en-GB"/>
        </w:rPr>
      </w:pPr>
    </w:p>
    <w:p w14:paraId="1978B240" w14:textId="257FCD4B" w:rsidR="00B62C21" w:rsidRPr="00167A1B" w:rsidRDefault="00B62C21" w:rsidP="00267A5F">
      <w:pPr>
        <w:pStyle w:val="Title0"/>
        <w:rPr>
          <w:noProof w:val="0"/>
          <w:lang w:val="en-GB"/>
        </w:rPr>
      </w:pPr>
      <w:bookmarkStart w:id="3" w:name="_Toc69393791"/>
      <w:bookmarkStart w:id="4" w:name="_Toc70108732"/>
      <w:bookmarkStart w:id="5" w:name="_Toc74319738"/>
      <w:r w:rsidRPr="00167A1B">
        <w:rPr>
          <w:noProof w:val="0"/>
          <w:lang w:val="en-GB"/>
        </w:rPr>
        <w:t>Table of Content</w:t>
      </w:r>
      <w:r w:rsidR="00EF7FDF" w:rsidRPr="00167A1B">
        <w:rPr>
          <w:noProof w:val="0"/>
          <w:lang w:val="en-GB"/>
        </w:rPr>
        <w:t>s</w:t>
      </w:r>
      <w:bookmarkEnd w:id="3"/>
      <w:bookmarkEnd w:id="4"/>
      <w:bookmarkEnd w:id="5"/>
    </w:p>
    <w:sdt>
      <w:sdtPr>
        <w:rPr>
          <w:noProof w:val="0"/>
        </w:rPr>
        <w:id w:val="-365762922"/>
        <w:docPartObj>
          <w:docPartGallery w:val="Table of Contents"/>
          <w:docPartUnique/>
        </w:docPartObj>
      </w:sdtPr>
      <w:sdtContent>
        <w:p w14:paraId="627A8DCB" w14:textId="0CC73F26" w:rsidR="008D022E" w:rsidRPr="00167A1B" w:rsidRDefault="0019337E" w:rsidP="00267A5F">
          <w:pPr>
            <w:pStyle w:val="TOC1"/>
            <w:spacing w:after="0"/>
            <w:rPr>
              <w:rFonts w:eastAsiaTheme="minorEastAsia" w:cstheme="minorBidi"/>
              <w:noProof w:val="0"/>
              <w:sz w:val="22"/>
              <w:szCs w:val="22"/>
              <w:lang w:eastAsia="en-GB"/>
            </w:rPr>
          </w:pPr>
          <w:r w:rsidRPr="00167A1B">
            <w:rPr>
              <w:noProof w:val="0"/>
            </w:rPr>
            <w:fldChar w:fldCharType="begin"/>
          </w:r>
          <w:r w:rsidRPr="00167A1B">
            <w:rPr>
              <w:noProof w:val="0"/>
            </w:rPr>
            <w:instrText xml:space="preserve"> TOC \o "1-2" \h \z \u </w:instrText>
          </w:r>
          <w:r w:rsidRPr="00167A1B">
            <w:rPr>
              <w:noProof w:val="0"/>
            </w:rPr>
            <w:fldChar w:fldCharType="separate"/>
          </w:r>
          <w:hyperlink w:anchor="_Toc74319739" w:history="1">
            <w:r w:rsidR="008D022E" w:rsidRPr="00167A1B">
              <w:rPr>
                <w:rStyle w:val="Hyperlink"/>
                <w:noProof w:val="0"/>
              </w:rPr>
              <w:t>Executive Summary</w:t>
            </w:r>
            <w:r w:rsidR="008D022E" w:rsidRPr="00167A1B">
              <w:rPr>
                <w:noProof w:val="0"/>
                <w:webHidden/>
              </w:rPr>
              <w:tab/>
            </w:r>
            <w:r w:rsidR="008D022E" w:rsidRPr="00167A1B">
              <w:rPr>
                <w:noProof w:val="0"/>
                <w:webHidden/>
              </w:rPr>
              <w:fldChar w:fldCharType="begin"/>
            </w:r>
            <w:r w:rsidR="008D022E" w:rsidRPr="00167A1B">
              <w:rPr>
                <w:noProof w:val="0"/>
                <w:webHidden/>
              </w:rPr>
              <w:instrText xml:space="preserve"> PAGEREF _Toc74319739 \h </w:instrText>
            </w:r>
            <w:r w:rsidR="008D022E" w:rsidRPr="00167A1B">
              <w:rPr>
                <w:noProof w:val="0"/>
                <w:webHidden/>
              </w:rPr>
            </w:r>
            <w:r w:rsidR="008D022E" w:rsidRPr="00167A1B">
              <w:rPr>
                <w:noProof w:val="0"/>
                <w:webHidden/>
              </w:rPr>
              <w:fldChar w:fldCharType="separate"/>
            </w:r>
            <w:r w:rsidR="00EE6C95" w:rsidRPr="00167A1B">
              <w:rPr>
                <w:noProof w:val="0"/>
                <w:webHidden/>
              </w:rPr>
              <w:t>2</w:t>
            </w:r>
            <w:r w:rsidR="008D022E" w:rsidRPr="00167A1B">
              <w:rPr>
                <w:noProof w:val="0"/>
                <w:webHidden/>
              </w:rPr>
              <w:fldChar w:fldCharType="end"/>
            </w:r>
          </w:hyperlink>
        </w:p>
        <w:p w14:paraId="129E9990" w14:textId="471E22B7" w:rsidR="008D022E" w:rsidRPr="00167A1B" w:rsidRDefault="008225D3" w:rsidP="00267A5F">
          <w:pPr>
            <w:pStyle w:val="TOC1"/>
            <w:spacing w:after="0"/>
            <w:rPr>
              <w:rFonts w:eastAsiaTheme="minorEastAsia" w:cstheme="minorBidi"/>
              <w:noProof w:val="0"/>
              <w:sz w:val="22"/>
              <w:szCs w:val="22"/>
              <w:lang w:eastAsia="en-GB"/>
            </w:rPr>
          </w:pPr>
          <w:hyperlink w:anchor="_Toc74319740" w:history="1">
            <w:r w:rsidR="008D022E" w:rsidRPr="00167A1B">
              <w:rPr>
                <w:rStyle w:val="Hyperlink"/>
                <w:noProof w:val="0"/>
              </w:rPr>
              <w:t>1.</w:t>
            </w:r>
            <w:r w:rsidR="008D022E" w:rsidRPr="00167A1B">
              <w:rPr>
                <w:rFonts w:eastAsiaTheme="minorEastAsia" w:cstheme="minorBidi"/>
                <w:noProof w:val="0"/>
                <w:sz w:val="22"/>
                <w:szCs w:val="22"/>
                <w:lang w:eastAsia="en-GB"/>
              </w:rPr>
              <w:tab/>
            </w:r>
            <w:r w:rsidR="008D022E" w:rsidRPr="00167A1B">
              <w:rPr>
                <w:rStyle w:val="Hyperlink"/>
                <w:noProof w:val="0"/>
              </w:rPr>
              <w:t>Introduction</w:t>
            </w:r>
            <w:r w:rsidR="008D022E" w:rsidRPr="00167A1B">
              <w:rPr>
                <w:noProof w:val="0"/>
                <w:webHidden/>
              </w:rPr>
              <w:tab/>
            </w:r>
            <w:r w:rsidR="008D022E" w:rsidRPr="00167A1B">
              <w:rPr>
                <w:noProof w:val="0"/>
                <w:webHidden/>
              </w:rPr>
              <w:fldChar w:fldCharType="begin"/>
            </w:r>
            <w:r w:rsidR="008D022E" w:rsidRPr="00167A1B">
              <w:rPr>
                <w:noProof w:val="0"/>
                <w:webHidden/>
              </w:rPr>
              <w:instrText xml:space="preserve"> PAGEREF _Toc74319740 \h </w:instrText>
            </w:r>
            <w:r w:rsidR="008D022E" w:rsidRPr="00167A1B">
              <w:rPr>
                <w:noProof w:val="0"/>
                <w:webHidden/>
              </w:rPr>
            </w:r>
            <w:r w:rsidR="008D022E" w:rsidRPr="00167A1B">
              <w:rPr>
                <w:noProof w:val="0"/>
                <w:webHidden/>
              </w:rPr>
              <w:fldChar w:fldCharType="separate"/>
            </w:r>
            <w:r w:rsidR="00EE6C95" w:rsidRPr="00167A1B">
              <w:rPr>
                <w:noProof w:val="0"/>
                <w:webHidden/>
              </w:rPr>
              <w:t>9</w:t>
            </w:r>
            <w:r w:rsidR="008D022E" w:rsidRPr="00167A1B">
              <w:rPr>
                <w:noProof w:val="0"/>
                <w:webHidden/>
              </w:rPr>
              <w:fldChar w:fldCharType="end"/>
            </w:r>
          </w:hyperlink>
        </w:p>
        <w:p w14:paraId="6975E39B" w14:textId="7BC9E4AF" w:rsidR="008D022E" w:rsidRPr="00167A1B" w:rsidRDefault="008225D3" w:rsidP="00267A5F">
          <w:pPr>
            <w:pStyle w:val="TOC1"/>
            <w:spacing w:after="0"/>
            <w:rPr>
              <w:rFonts w:eastAsiaTheme="minorEastAsia" w:cstheme="minorBidi"/>
              <w:noProof w:val="0"/>
              <w:sz w:val="22"/>
              <w:szCs w:val="22"/>
              <w:lang w:eastAsia="en-GB"/>
            </w:rPr>
          </w:pPr>
          <w:hyperlink w:anchor="_Toc74319741" w:history="1">
            <w:r w:rsidR="008D022E" w:rsidRPr="00167A1B">
              <w:rPr>
                <w:rStyle w:val="Hyperlink"/>
                <w:noProof w:val="0"/>
              </w:rPr>
              <w:t>2.</w:t>
            </w:r>
            <w:r w:rsidR="008D022E" w:rsidRPr="00167A1B">
              <w:rPr>
                <w:rFonts w:eastAsiaTheme="minorEastAsia" w:cstheme="minorBidi"/>
                <w:noProof w:val="0"/>
                <w:sz w:val="22"/>
                <w:szCs w:val="22"/>
                <w:lang w:eastAsia="en-GB"/>
              </w:rPr>
              <w:tab/>
            </w:r>
            <w:r w:rsidR="008D022E" w:rsidRPr="00167A1B">
              <w:rPr>
                <w:rStyle w:val="Hyperlink"/>
                <w:noProof w:val="0"/>
              </w:rPr>
              <w:t>Problem definition</w:t>
            </w:r>
            <w:r w:rsidR="008D022E" w:rsidRPr="00167A1B">
              <w:rPr>
                <w:noProof w:val="0"/>
                <w:webHidden/>
              </w:rPr>
              <w:tab/>
            </w:r>
            <w:r w:rsidR="008D022E" w:rsidRPr="00167A1B">
              <w:rPr>
                <w:noProof w:val="0"/>
                <w:webHidden/>
              </w:rPr>
              <w:fldChar w:fldCharType="begin"/>
            </w:r>
            <w:r w:rsidR="008D022E" w:rsidRPr="00167A1B">
              <w:rPr>
                <w:noProof w:val="0"/>
                <w:webHidden/>
              </w:rPr>
              <w:instrText xml:space="preserve"> PAGEREF _Toc74319741 \h </w:instrText>
            </w:r>
            <w:r w:rsidR="008D022E" w:rsidRPr="00167A1B">
              <w:rPr>
                <w:noProof w:val="0"/>
                <w:webHidden/>
              </w:rPr>
            </w:r>
            <w:r w:rsidR="008D022E" w:rsidRPr="00167A1B">
              <w:rPr>
                <w:noProof w:val="0"/>
                <w:webHidden/>
              </w:rPr>
              <w:fldChar w:fldCharType="separate"/>
            </w:r>
            <w:r w:rsidR="00EE6C95" w:rsidRPr="00167A1B">
              <w:rPr>
                <w:noProof w:val="0"/>
                <w:webHidden/>
              </w:rPr>
              <w:t>14</w:t>
            </w:r>
            <w:r w:rsidR="008D022E" w:rsidRPr="00167A1B">
              <w:rPr>
                <w:noProof w:val="0"/>
                <w:webHidden/>
              </w:rPr>
              <w:fldChar w:fldCharType="end"/>
            </w:r>
          </w:hyperlink>
        </w:p>
        <w:p w14:paraId="6AA99749" w14:textId="5C4B5F41"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42" w:history="1">
            <w:r w:rsidR="008D022E" w:rsidRPr="00167A1B">
              <w:rPr>
                <w:rStyle w:val="Hyperlink"/>
                <w14:numSpacing w14:val="proportional"/>
              </w:rPr>
              <w:t>2.1.</w:t>
            </w:r>
            <w:r w:rsidR="008D022E" w:rsidRPr="00167A1B">
              <w:rPr>
                <w:rStyle w:val="Hyperlink"/>
              </w:rPr>
              <w:t xml:space="preserve"> Drivers of the problem</w:t>
            </w:r>
            <w:r w:rsidR="008D022E" w:rsidRPr="00167A1B">
              <w:rPr>
                <w:webHidden/>
              </w:rPr>
              <w:tab/>
            </w:r>
            <w:r w:rsidR="008D022E" w:rsidRPr="00167A1B">
              <w:rPr>
                <w:webHidden/>
              </w:rPr>
              <w:fldChar w:fldCharType="begin"/>
            </w:r>
            <w:r w:rsidR="008D022E" w:rsidRPr="00167A1B">
              <w:rPr>
                <w:webHidden/>
              </w:rPr>
              <w:instrText xml:space="preserve"> PAGEREF _Toc74319742 \h </w:instrText>
            </w:r>
            <w:r w:rsidR="008D022E" w:rsidRPr="00167A1B">
              <w:rPr>
                <w:webHidden/>
              </w:rPr>
            </w:r>
            <w:r w:rsidR="008D022E" w:rsidRPr="00167A1B">
              <w:rPr>
                <w:webHidden/>
              </w:rPr>
              <w:fldChar w:fldCharType="separate"/>
            </w:r>
            <w:r w:rsidR="00EE6C95" w:rsidRPr="00167A1B">
              <w:rPr>
                <w:webHidden/>
              </w:rPr>
              <w:t>16</w:t>
            </w:r>
            <w:r w:rsidR="008D022E" w:rsidRPr="00167A1B">
              <w:rPr>
                <w:webHidden/>
              </w:rPr>
              <w:fldChar w:fldCharType="end"/>
            </w:r>
          </w:hyperlink>
        </w:p>
        <w:p w14:paraId="071DAD88" w14:textId="4AFCD79F"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43" w:history="1">
            <w:r w:rsidR="008D022E" w:rsidRPr="00167A1B">
              <w:rPr>
                <w:rStyle w:val="Hyperlink"/>
                <w14:numSpacing w14:val="proportional"/>
              </w:rPr>
              <w:t>2.2.</w:t>
            </w:r>
            <w:r w:rsidR="008D022E" w:rsidRPr="00167A1B">
              <w:rPr>
                <w:rStyle w:val="Hyperlink"/>
              </w:rPr>
              <w:t xml:space="preserve"> Scale and evolution of the problem</w:t>
            </w:r>
            <w:r w:rsidR="008D022E" w:rsidRPr="00167A1B">
              <w:rPr>
                <w:webHidden/>
              </w:rPr>
              <w:tab/>
            </w:r>
            <w:r w:rsidR="008D022E" w:rsidRPr="00167A1B">
              <w:rPr>
                <w:webHidden/>
              </w:rPr>
              <w:fldChar w:fldCharType="begin"/>
            </w:r>
            <w:r w:rsidR="008D022E" w:rsidRPr="00167A1B">
              <w:rPr>
                <w:webHidden/>
              </w:rPr>
              <w:instrText xml:space="preserve"> PAGEREF _Toc74319743 \h </w:instrText>
            </w:r>
            <w:r w:rsidR="008D022E" w:rsidRPr="00167A1B">
              <w:rPr>
                <w:webHidden/>
              </w:rPr>
            </w:r>
            <w:r w:rsidR="008D022E" w:rsidRPr="00167A1B">
              <w:rPr>
                <w:webHidden/>
              </w:rPr>
              <w:fldChar w:fldCharType="separate"/>
            </w:r>
            <w:r w:rsidR="00EE6C95" w:rsidRPr="00167A1B">
              <w:rPr>
                <w:webHidden/>
              </w:rPr>
              <w:t>22</w:t>
            </w:r>
            <w:r w:rsidR="008D022E" w:rsidRPr="00167A1B">
              <w:rPr>
                <w:webHidden/>
              </w:rPr>
              <w:fldChar w:fldCharType="end"/>
            </w:r>
          </w:hyperlink>
        </w:p>
        <w:p w14:paraId="1896DE00" w14:textId="5651B304"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44" w:history="1">
            <w:r w:rsidR="008D022E" w:rsidRPr="00167A1B">
              <w:rPr>
                <w:rStyle w:val="Hyperlink"/>
                <w14:numSpacing w14:val="proportional"/>
              </w:rPr>
              <w:t>2.3.</w:t>
            </w:r>
            <w:r w:rsidR="008D022E" w:rsidRPr="00167A1B">
              <w:rPr>
                <w:rStyle w:val="Hyperlink"/>
              </w:rPr>
              <w:t xml:space="preserve"> Consequences of the problem</w:t>
            </w:r>
            <w:r w:rsidR="008D022E" w:rsidRPr="00167A1B">
              <w:rPr>
                <w:webHidden/>
              </w:rPr>
              <w:tab/>
            </w:r>
            <w:r w:rsidR="008D022E" w:rsidRPr="00167A1B">
              <w:rPr>
                <w:webHidden/>
              </w:rPr>
              <w:fldChar w:fldCharType="begin"/>
            </w:r>
            <w:r w:rsidR="008D022E" w:rsidRPr="00167A1B">
              <w:rPr>
                <w:webHidden/>
              </w:rPr>
              <w:instrText xml:space="preserve"> PAGEREF _Toc74319744 \h </w:instrText>
            </w:r>
            <w:r w:rsidR="008D022E" w:rsidRPr="00167A1B">
              <w:rPr>
                <w:webHidden/>
              </w:rPr>
            </w:r>
            <w:r w:rsidR="008D022E" w:rsidRPr="00167A1B">
              <w:rPr>
                <w:webHidden/>
              </w:rPr>
              <w:fldChar w:fldCharType="separate"/>
            </w:r>
            <w:r w:rsidR="00EE6C95" w:rsidRPr="00167A1B">
              <w:rPr>
                <w:webHidden/>
              </w:rPr>
              <w:t>27</w:t>
            </w:r>
            <w:r w:rsidR="008D022E" w:rsidRPr="00167A1B">
              <w:rPr>
                <w:webHidden/>
              </w:rPr>
              <w:fldChar w:fldCharType="end"/>
            </w:r>
          </w:hyperlink>
        </w:p>
        <w:p w14:paraId="6ECF6430" w14:textId="428523E5"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45" w:history="1">
            <w:r w:rsidR="008D022E" w:rsidRPr="00167A1B">
              <w:rPr>
                <w:rStyle w:val="Hyperlink"/>
                <w14:numSpacing w14:val="proportional"/>
              </w:rPr>
              <w:t>2.4.</w:t>
            </w:r>
            <w:r w:rsidR="008D022E" w:rsidRPr="00167A1B">
              <w:rPr>
                <w:rStyle w:val="Hyperlink"/>
              </w:rPr>
              <w:t xml:space="preserve"> Need for action at EU level</w:t>
            </w:r>
            <w:r w:rsidR="008D022E" w:rsidRPr="00167A1B">
              <w:rPr>
                <w:webHidden/>
              </w:rPr>
              <w:tab/>
            </w:r>
            <w:r w:rsidR="008D022E" w:rsidRPr="00167A1B">
              <w:rPr>
                <w:webHidden/>
              </w:rPr>
              <w:fldChar w:fldCharType="begin"/>
            </w:r>
            <w:r w:rsidR="008D022E" w:rsidRPr="00167A1B">
              <w:rPr>
                <w:webHidden/>
              </w:rPr>
              <w:instrText xml:space="preserve"> PAGEREF _Toc74319745 \h </w:instrText>
            </w:r>
            <w:r w:rsidR="008D022E" w:rsidRPr="00167A1B">
              <w:rPr>
                <w:webHidden/>
              </w:rPr>
            </w:r>
            <w:r w:rsidR="008D022E" w:rsidRPr="00167A1B">
              <w:rPr>
                <w:webHidden/>
              </w:rPr>
              <w:fldChar w:fldCharType="separate"/>
            </w:r>
            <w:r w:rsidR="00EE6C95" w:rsidRPr="00167A1B">
              <w:rPr>
                <w:webHidden/>
              </w:rPr>
              <w:t>28</w:t>
            </w:r>
            <w:r w:rsidR="008D022E" w:rsidRPr="00167A1B">
              <w:rPr>
                <w:webHidden/>
              </w:rPr>
              <w:fldChar w:fldCharType="end"/>
            </w:r>
          </w:hyperlink>
        </w:p>
        <w:p w14:paraId="25437C80" w14:textId="29543FBE"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46" w:history="1">
            <w:r w:rsidR="008D022E" w:rsidRPr="00167A1B">
              <w:rPr>
                <w:rStyle w:val="Hyperlink"/>
                <w14:numSpacing w14:val="proportional"/>
              </w:rPr>
              <w:t>2.5.</w:t>
            </w:r>
            <w:r w:rsidR="008D022E" w:rsidRPr="00167A1B">
              <w:rPr>
                <w:rStyle w:val="Hyperlink"/>
              </w:rPr>
              <w:t xml:space="preserve"> Policy objectives</w:t>
            </w:r>
            <w:r w:rsidR="008D022E" w:rsidRPr="00167A1B">
              <w:rPr>
                <w:webHidden/>
              </w:rPr>
              <w:tab/>
            </w:r>
            <w:r w:rsidR="008D022E" w:rsidRPr="00167A1B">
              <w:rPr>
                <w:webHidden/>
              </w:rPr>
              <w:fldChar w:fldCharType="begin"/>
            </w:r>
            <w:r w:rsidR="008D022E" w:rsidRPr="00167A1B">
              <w:rPr>
                <w:webHidden/>
              </w:rPr>
              <w:instrText xml:space="preserve"> PAGEREF _Toc74319746 \h </w:instrText>
            </w:r>
            <w:r w:rsidR="008D022E" w:rsidRPr="00167A1B">
              <w:rPr>
                <w:webHidden/>
              </w:rPr>
            </w:r>
            <w:r w:rsidR="008D022E" w:rsidRPr="00167A1B">
              <w:rPr>
                <w:webHidden/>
              </w:rPr>
              <w:fldChar w:fldCharType="separate"/>
            </w:r>
            <w:r w:rsidR="00EE6C95" w:rsidRPr="00167A1B">
              <w:rPr>
                <w:webHidden/>
              </w:rPr>
              <w:t>29</w:t>
            </w:r>
            <w:r w:rsidR="008D022E" w:rsidRPr="00167A1B">
              <w:rPr>
                <w:webHidden/>
              </w:rPr>
              <w:fldChar w:fldCharType="end"/>
            </w:r>
          </w:hyperlink>
        </w:p>
        <w:p w14:paraId="290C061B" w14:textId="2DD3F038" w:rsidR="008D022E" w:rsidRPr="00167A1B" w:rsidRDefault="008225D3" w:rsidP="00267A5F">
          <w:pPr>
            <w:pStyle w:val="TOC1"/>
            <w:spacing w:after="0"/>
            <w:rPr>
              <w:rFonts w:eastAsiaTheme="minorEastAsia" w:cstheme="minorBidi"/>
              <w:noProof w:val="0"/>
              <w:sz w:val="22"/>
              <w:szCs w:val="22"/>
              <w:lang w:eastAsia="en-GB"/>
            </w:rPr>
          </w:pPr>
          <w:hyperlink w:anchor="_Toc74319747" w:history="1">
            <w:r w:rsidR="008D022E" w:rsidRPr="00167A1B">
              <w:rPr>
                <w:rStyle w:val="Hyperlink"/>
                <w:noProof w:val="0"/>
              </w:rPr>
              <w:t>3.</w:t>
            </w:r>
            <w:r w:rsidR="008D022E" w:rsidRPr="00167A1B">
              <w:rPr>
                <w:rFonts w:eastAsiaTheme="minorEastAsia" w:cstheme="minorBidi"/>
                <w:noProof w:val="0"/>
                <w:sz w:val="22"/>
                <w:szCs w:val="22"/>
                <w:lang w:eastAsia="en-GB"/>
              </w:rPr>
              <w:tab/>
            </w:r>
            <w:r w:rsidR="008D022E" w:rsidRPr="00167A1B">
              <w:rPr>
                <w:rStyle w:val="Hyperlink"/>
                <w:noProof w:val="0"/>
              </w:rPr>
              <w:t>Policy options</w:t>
            </w:r>
            <w:r w:rsidR="008D022E" w:rsidRPr="00167A1B">
              <w:rPr>
                <w:noProof w:val="0"/>
                <w:webHidden/>
              </w:rPr>
              <w:tab/>
            </w:r>
            <w:r w:rsidR="008D022E" w:rsidRPr="00167A1B">
              <w:rPr>
                <w:noProof w:val="0"/>
                <w:webHidden/>
              </w:rPr>
              <w:fldChar w:fldCharType="begin"/>
            </w:r>
            <w:r w:rsidR="008D022E" w:rsidRPr="00167A1B">
              <w:rPr>
                <w:noProof w:val="0"/>
                <w:webHidden/>
              </w:rPr>
              <w:instrText xml:space="preserve"> PAGEREF _Toc74319747 \h </w:instrText>
            </w:r>
            <w:r w:rsidR="008D022E" w:rsidRPr="00167A1B">
              <w:rPr>
                <w:noProof w:val="0"/>
                <w:webHidden/>
              </w:rPr>
            </w:r>
            <w:r w:rsidR="008D022E" w:rsidRPr="00167A1B">
              <w:rPr>
                <w:noProof w:val="0"/>
                <w:webHidden/>
              </w:rPr>
              <w:fldChar w:fldCharType="separate"/>
            </w:r>
            <w:r w:rsidR="00EE6C95" w:rsidRPr="00167A1B">
              <w:rPr>
                <w:noProof w:val="0"/>
                <w:webHidden/>
              </w:rPr>
              <w:t>30</w:t>
            </w:r>
            <w:r w:rsidR="008D022E" w:rsidRPr="00167A1B">
              <w:rPr>
                <w:noProof w:val="0"/>
                <w:webHidden/>
              </w:rPr>
              <w:fldChar w:fldCharType="end"/>
            </w:r>
          </w:hyperlink>
        </w:p>
        <w:p w14:paraId="4D52F7D9" w14:textId="74C03CF2"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48" w:history="1">
            <w:r w:rsidR="008D022E" w:rsidRPr="00167A1B">
              <w:rPr>
                <w:rStyle w:val="Hyperlink"/>
                <w14:numSpacing w14:val="proportional"/>
              </w:rPr>
              <w:t>3.1.</w:t>
            </w:r>
            <w:r w:rsidR="008D022E" w:rsidRPr="00167A1B">
              <w:rPr>
                <w:rStyle w:val="Hyperlink"/>
              </w:rPr>
              <w:t xml:space="preserve"> Baseline</w:t>
            </w:r>
            <w:r w:rsidR="008D022E" w:rsidRPr="00167A1B">
              <w:rPr>
                <w:webHidden/>
              </w:rPr>
              <w:tab/>
            </w:r>
            <w:r w:rsidR="008D022E" w:rsidRPr="00167A1B">
              <w:rPr>
                <w:webHidden/>
              </w:rPr>
              <w:fldChar w:fldCharType="begin"/>
            </w:r>
            <w:r w:rsidR="008D022E" w:rsidRPr="00167A1B">
              <w:rPr>
                <w:webHidden/>
              </w:rPr>
              <w:instrText xml:space="preserve"> PAGEREF _Toc74319748 \h </w:instrText>
            </w:r>
            <w:r w:rsidR="008D022E" w:rsidRPr="00167A1B">
              <w:rPr>
                <w:webHidden/>
              </w:rPr>
            </w:r>
            <w:r w:rsidR="008D022E" w:rsidRPr="00167A1B">
              <w:rPr>
                <w:webHidden/>
              </w:rPr>
              <w:fldChar w:fldCharType="separate"/>
            </w:r>
            <w:r w:rsidR="00EE6C95" w:rsidRPr="00167A1B">
              <w:rPr>
                <w:webHidden/>
              </w:rPr>
              <w:t>30</w:t>
            </w:r>
            <w:r w:rsidR="008D022E" w:rsidRPr="00167A1B">
              <w:rPr>
                <w:webHidden/>
              </w:rPr>
              <w:fldChar w:fldCharType="end"/>
            </w:r>
          </w:hyperlink>
        </w:p>
        <w:p w14:paraId="02FB28F6" w14:textId="7F53801C"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49" w:history="1">
            <w:r w:rsidR="008D022E" w:rsidRPr="00167A1B">
              <w:rPr>
                <w:rStyle w:val="Hyperlink"/>
                <w14:numSpacing w14:val="proportional"/>
              </w:rPr>
              <w:t>3.2.</w:t>
            </w:r>
            <w:r w:rsidR="008D022E" w:rsidRPr="00167A1B">
              <w:rPr>
                <w:rStyle w:val="Hyperlink"/>
              </w:rPr>
              <w:t xml:space="preserve"> Options to be retained for in-depth analysis</w:t>
            </w:r>
            <w:r w:rsidR="008D022E" w:rsidRPr="00167A1B">
              <w:rPr>
                <w:webHidden/>
              </w:rPr>
              <w:tab/>
            </w:r>
            <w:r w:rsidR="008D022E" w:rsidRPr="00167A1B">
              <w:rPr>
                <w:webHidden/>
              </w:rPr>
              <w:fldChar w:fldCharType="begin"/>
            </w:r>
            <w:r w:rsidR="008D022E" w:rsidRPr="00167A1B">
              <w:rPr>
                <w:webHidden/>
              </w:rPr>
              <w:instrText xml:space="preserve"> PAGEREF _Toc74319749 \h </w:instrText>
            </w:r>
            <w:r w:rsidR="008D022E" w:rsidRPr="00167A1B">
              <w:rPr>
                <w:webHidden/>
              </w:rPr>
            </w:r>
            <w:r w:rsidR="008D022E" w:rsidRPr="00167A1B">
              <w:rPr>
                <w:webHidden/>
              </w:rPr>
              <w:fldChar w:fldCharType="separate"/>
            </w:r>
            <w:r w:rsidR="00EE6C95" w:rsidRPr="00167A1B">
              <w:rPr>
                <w:webHidden/>
              </w:rPr>
              <w:t>33</w:t>
            </w:r>
            <w:r w:rsidR="008D022E" w:rsidRPr="00167A1B">
              <w:rPr>
                <w:webHidden/>
              </w:rPr>
              <w:fldChar w:fldCharType="end"/>
            </w:r>
          </w:hyperlink>
        </w:p>
        <w:p w14:paraId="785F12C5" w14:textId="1488DA26"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50" w:history="1">
            <w:r w:rsidR="008D022E" w:rsidRPr="00167A1B">
              <w:rPr>
                <w:rStyle w:val="Hyperlink"/>
                <w14:numSpacing w14:val="proportional"/>
              </w:rPr>
              <w:t>3.3.</w:t>
            </w:r>
            <w:r w:rsidR="008D022E" w:rsidRPr="00167A1B">
              <w:rPr>
                <w:rStyle w:val="Hyperlink"/>
              </w:rPr>
              <w:t xml:space="preserve"> Discarded options</w:t>
            </w:r>
            <w:r w:rsidR="008D022E" w:rsidRPr="00167A1B">
              <w:rPr>
                <w:webHidden/>
              </w:rPr>
              <w:tab/>
            </w:r>
            <w:r w:rsidR="008D022E" w:rsidRPr="00167A1B">
              <w:rPr>
                <w:webHidden/>
              </w:rPr>
              <w:fldChar w:fldCharType="begin"/>
            </w:r>
            <w:r w:rsidR="008D022E" w:rsidRPr="00167A1B">
              <w:rPr>
                <w:webHidden/>
              </w:rPr>
              <w:instrText xml:space="preserve"> PAGEREF _Toc74319750 \h </w:instrText>
            </w:r>
            <w:r w:rsidR="008D022E" w:rsidRPr="00167A1B">
              <w:rPr>
                <w:webHidden/>
              </w:rPr>
            </w:r>
            <w:r w:rsidR="008D022E" w:rsidRPr="00167A1B">
              <w:rPr>
                <w:webHidden/>
              </w:rPr>
              <w:fldChar w:fldCharType="separate"/>
            </w:r>
            <w:r w:rsidR="00EE6C95" w:rsidRPr="00167A1B">
              <w:rPr>
                <w:webHidden/>
              </w:rPr>
              <w:t>39</w:t>
            </w:r>
            <w:r w:rsidR="008D022E" w:rsidRPr="00167A1B">
              <w:rPr>
                <w:webHidden/>
              </w:rPr>
              <w:fldChar w:fldCharType="end"/>
            </w:r>
          </w:hyperlink>
        </w:p>
        <w:p w14:paraId="7260129E" w14:textId="5C5DAF8A" w:rsidR="008D022E" w:rsidRPr="00167A1B" w:rsidRDefault="008225D3" w:rsidP="00267A5F">
          <w:pPr>
            <w:pStyle w:val="TOC1"/>
            <w:spacing w:after="0"/>
            <w:rPr>
              <w:rFonts w:eastAsiaTheme="minorEastAsia" w:cstheme="minorBidi"/>
              <w:noProof w:val="0"/>
              <w:sz w:val="22"/>
              <w:szCs w:val="22"/>
              <w:lang w:eastAsia="en-GB"/>
            </w:rPr>
          </w:pPr>
          <w:hyperlink w:anchor="_Toc74319751" w:history="1">
            <w:r w:rsidR="008D022E" w:rsidRPr="00167A1B">
              <w:rPr>
                <w:rStyle w:val="Hyperlink"/>
                <w:noProof w:val="0"/>
              </w:rPr>
              <w:t>4.</w:t>
            </w:r>
            <w:r w:rsidR="008D022E" w:rsidRPr="00167A1B">
              <w:rPr>
                <w:rFonts w:eastAsiaTheme="minorEastAsia" w:cstheme="minorBidi"/>
                <w:noProof w:val="0"/>
                <w:sz w:val="22"/>
                <w:szCs w:val="22"/>
                <w:lang w:eastAsia="en-GB"/>
              </w:rPr>
              <w:tab/>
            </w:r>
            <w:r w:rsidR="008D022E" w:rsidRPr="00167A1B">
              <w:rPr>
                <w:rStyle w:val="Hyperlink"/>
                <w:noProof w:val="0"/>
              </w:rPr>
              <w:t>Approach to assessing impacts</w:t>
            </w:r>
            <w:r w:rsidR="008D022E" w:rsidRPr="00167A1B">
              <w:rPr>
                <w:noProof w:val="0"/>
                <w:webHidden/>
              </w:rPr>
              <w:tab/>
            </w:r>
            <w:r w:rsidR="008D022E" w:rsidRPr="00167A1B">
              <w:rPr>
                <w:noProof w:val="0"/>
                <w:webHidden/>
              </w:rPr>
              <w:fldChar w:fldCharType="begin"/>
            </w:r>
            <w:r w:rsidR="008D022E" w:rsidRPr="00167A1B">
              <w:rPr>
                <w:noProof w:val="0"/>
                <w:webHidden/>
              </w:rPr>
              <w:instrText xml:space="preserve"> PAGEREF _Toc74319751 \h </w:instrText>
            </w:r>
            <w:r w:rsidR="008D022E" w:rsidRPr="00167A1B">
              <w:rPr>
                <w:noProof w:val="0"/>
                <w:webHidden/>
              </w:rPr>
            </w:r>
            <w:r w:rsidR="008D022E" w:rsidRPr="00167A1B">
              <w:rPr>
                <w:noProof w:val="0"/>
                <w:webHidden/>
              </w:rPr>
              <w:fldChar w:fldCharType="separate"/>
            </w:r>
            <w:r w:rsidR="00EE6C95" w:rsidRPr="00167A1B">
              <w:rPr>
                <w:noProof w:val="0"/>
                <w:webHidden/>
              </w:rPr>
              <w:t>42</w:t>
            </w:r>
            <w:r w:rsidR="008D022E" w:rsidRPr="00167A1B">
              <w:rPr>
                <w:noProof w:val="0"/>
                <w:webHidden/>
              </w:rPr>
              <w:fldChar w:fldCharType="end"/>
            </w:r>
          </w:hyperlink>
        </w:p>
        <w:p w14:paraId="6AB71C53" w14:textId="1AED4BDB"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52" w:history="1">
            <w:r w:rsidR="008D022E" w:rsidRPr="00167A1B">
              <w:rPr>
                <w:rStyle w:val="Hyperlink"/>
                <w14:numSpacing w14:val="proportional"/>
              </w:rPr>
              <w:t>4.1.</w:t>
            </w:r>
            <w:r w:rsidR="008D022E" w:rsidRPr="00167A1B">
              <w:rPr>
                <w:rStyle w:val="Hyperlink"/>
              </w:rPr>
              <w:t xml:space="preserve"> Environmental impacts</w:t>
            </w:r>
            <w:r w:rsidR="008D022E" w:rsidRPr="00167A1B">
              <w:rPr>
                <w:webHidden/>
              </w:rPr>
              <w:tab/>
            </w:r>
            <w:r w:rsidR="008D022E" w:rsidRPr="00167A1B">
              <w:rPr>
                <w:webHidden/>
              </w:rPr>
              <w:fldChar w:fldCharType="begin"/>
            </w:r>
            <w:r w:rsidR="008D022E" w:rsidRPr="00167A1B">
              <w:rPr>
                <w:webHidden/>
              </w:rPr>
              <w:instrText xml:space="preserve"> PAGEREF _Toc74319752 \h </w:instrText>
            </w:r>
            <w:r w:rsidR="008D022E" w:rsidRPr="00167A1B">
              <w:rPr>
                <w:webHidden/>
              </w:rPr>
            </w:r>
            <w:r w:rsidR="008D022E" w:rsidRPr="00167A1B">
              <w:rPr>
                <w:webHidden/>
              </w:rPr>
              <w:fldChar w:fldCharType="separate"/>
            </w:r>
            <w:r w:rsidR="00EE6C95" w:rsidRPr="00167A1B">
              <w:rPr>
                <w:webHidden/>
              </w:rPr>
              <w:t>42</w:t>
            </w:r>
            <w:r w:rsidR="008D022E" w:rsidRPr="00167A1B">
              <w:rPr>
                <w:webHidden/>
              </w:rPr>
              <w:fldChar w:fldCharType="end"/>
            </w:r>
          </w:hyperlink>
        </w:p>
        <w:p w14:paraId="0DC68FC5" w14:textId="768EE63C"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53" w:history="1">
            <w:r w:rsidR="008D022E" w:rsidRPr="00167A1B">
              <w:rPr>
                <w:rStyle w:val="Hyperlink"/>
                <w14:numSpacing w14:val="proportional"/>
              </w:rPr>
              <w:t>4.2.</w:t>
            </w:r>
            <w:r w:rsidR="008D022E" w:rsidRPr="00167A1B">
              <w:rPr>
                <w:rStyle w:val="Hyperlink"/>
              </w:rPr>
              <w:t xml:space="preserve"> Economic impacts</w:t>
            </w:r>
            <w:r w:rsidR="008D022E" w:rsidRPr="00167A1B">
              <w:rPr>
                <w:webHidden/>
              </w:rPr>
              <w:tab/>
            </w:r>
            <w:r w:rsidR="008D022E" w:rsidRPr="00167A1B">
              <w:rPr>
                <w:webHidden/>
              </w:rPr>
              <w:fldChar w:fldCharType="begin"/>
            </w:r>
            <w:r w:rsidR="008D022E" w:rsidRPr="00167A1B">
              <w:rPr>
                <w:webHidden/>
              </w:rPr>
              <w:instrText xml:space="preserve"> PAGEREF _Toc74319753 \h </w:instrText>
            </w:r>
            <w:r w:rsidR="008D022E" w:rsidRPr="00167A1B">
              <w:rPr>
                <w:webHidden/>
              </w:rPr>
            </w:r>
            <w:r w:rsidR="008D022E" w:rsidRPr="00167A1B">
              <w:rPr>
                <w:webHidden/>
              </w:rPr>
              <w:fldChar w:fldCharType="separate"/>
            </w:r>
            <w:r w:rsidR="00EE6C95" w:rsidRPr="00167A1B">
              <w:rPr>
                <w:webHidden/>
              </w:rPr>
              <w:t>47</w:t>
            </w:r>
            <w:r w:rsidR="008D022E" w:rsidRPr="00167A1B">
              <w:rPr>
                <w:webHidden/>
              </w:rPr>
              <w:fldChar w:fldCharType="end"/>
            </w:r>
          </w:hyperlink>
        </w:p>
        <w:p w14:paraId="15863676" w14:textId="379D2A2F"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54" w:history="1">
            <w:r w:rsidR="008D022E" w:rsidRPr="00167A1B">
              <w:rPr>
                <w:rStyle w:val="Hyperlink"/>
                <w14:numSpacing w14:val="proportional"/>
              </w:rPr>
              <w:t>4.3.</w:t>
            </w:r>
            <w:r w:rsidR="008D022E" w:rsidRPr="00167A1B">
              <w:rPr>
                <w:rStyle w:val="Hyperlink"/>
              </w:rPr>
              <w:t xml:space="preserve"> Social impacts</w:t>
            </w:r>
            <w:r w:rsidR="008D022E" w:rsidRPr="00167A1B">
              <w:rPr>
                <w:webHidden/>
              </w:rPr>
              <w:tab/>
            </w:r>
            <w:r w:rsidR="008D022E" w:rsidRPr="00167A1B">
              <w:rPr>
                <w:webHidden/>
              </w:rPr>
              <w:fldChar w:fldCharType="begin"/>
            </w:r>
            <w:r w:rsidR="008D022E" w:rsidRPr="00167A1B">
              <w:rPr>
                <w:webHidden/>
              </w:rPr>
              <w:instrText xml:space="preserve"> PAGEREF _Toc74319754 \h </w:instrText>
            </w:r>
            <w:r w:rsidR="008D022E" w:rsidRPr="00167A1B">
              <w:rPr>
                <w:webHidden/>
              </w:rPr>
            </w:r>
            <w:r w:rsidR="008D022E" w:rsidRPr="00167A1B">
              <w:rPr>
                <w:webHidden/>
              </w:rPr>
              <w:fldChar w:fldCharType="separate"/>
            </w:r>
            <w:r w:rsidR="00EE6C95" w:rsidRPr="00167A1B">
              <w:rPr>
                <w:webHidden/>
              </w:rPr>
              <w:t>59</w:t>
            </w:r>
            <w:r w:rsidR="008D022E" w:rsidRPr="00167A1B">
              <w:rPr>
                <w:webHidden/>
              </w:rPr>
              <w:fldChar w:fldCharType="end"/>
            </w:r>
          </w:hyperlink>
        </w:p>
        <w:p w14:paraId="58E401B1" w14:textId="66AD16C2" w:rsidR="008D022E" w:rsidRPr="00167A1B" w:rsidRDefault="008225D3" w:rsidP="00267A5F">
          <w:pPr>
            <w:pStyle w:val="TOC1"/>
            <w:spacing w:after="0"/>
            <w:rPr>
              <w:rFonts w:eastAsiaTheme="minorEastAsia" w:cstheme="minorBidi"/>
              <w:noProof w:val="0"/>
              <w:sz w:val="22"/>
              <w:szCs w:val="22"/>
              <w:lang w:eastAsia="en-GB"/>
            </w:rPr>
          </w:pPr>
          <w:hyperlink w:anchor="_Toc74319755" w:history="1">
            <w:r w:rsidR="008D022E" w:rsidRPr="00167A1B">
              <w:rPr>
                <w:rStyle w:val="Hyperlink"/>
                <w:noProof w:val="0"/>
              </w:rPr>
              <w:t>5.</w:t>
            </w:r>
            <w:r w:rsidR="008D022E" w:rsidRPr="00167A1B">
              <w:rPr>
                <w:rFonts w:eastAsiaTheme="minorEastAsia" w:cstheme="minorBidi"/>
                <w:noProof w:val="0"/>
                <w:sz w:val="22"/>
                <w:szCs w:val="22"/>
                <w:lang w:eastAsia="en-GB"/>
              </w:rPr>
              <w:tab/>
            </w:r>
            <w:r w:rsidR="008D022E" w:rsidRPr="00167A1B">
              <w:rPr>
                <w:rStyle w:val="Hyperlink"/>
                <w:noProof w:val="0"/>
              </w:rPr>
              <w:t>Impact assessment for mobile phones</w:t>
            </w:r>
            <w:r w:rsidR="008D022E" w:rsidRPr="00167A1B">
              <w:rPr>
                <w:noProof w:val="0"/>
                <w:webHidden/>
              </w:rPr>
              <w:tab/>
            </w:r>
            <w:r w:rsidR="008D022E" w:rsidRPr="00167A1B">
              <w:rPr>
                <w:noProof w:val="0"/>
                <w:webHidden/>
              </w:rPr>
              <w:fldChar w:fldCharType="begin"/>
            </w:r>
            <w:r w:rsidR="008D022E" w:rsidRPr="00167A1B">
              <w:rPr>
                <w:noProof w:val="0"/>
                <w:webHidden/>
              </w:rPr>
              <w:instrText xml:space="preserve"> PAGEREF _Toc74319755 \h </w:instrText>
            </w:r>
            <w:r w:rsidR="008D022E" w:rsidRPr="00167A1B">
              <w:rPr>
                <w:noProof w:val="0"/>
                <w:webHidden/>
              </w:rPr>
            </w:r>
            <w:r w:rsidR="008D022E" w:rsidRPr="00167A1B">
              <w:rPr>
                <w:noProof w:val="0"/>
                <w:webHidden/>
              </w:rPr>
              <w:fldChar w:fldCharType="separate"/>
            </w:r>
            <w:r w:rsidR="00EE6C95" w:rsidRPr="00167A1B">
              <w:rPr>
                <w:noProof w:val="0"/>
                <w:webHidden/>
              </w:rPr>
              <w:t>61</w:t>
            </w:r>
            <w:r w:rsidR="008D022E" w:rsidRPr="00167A1B">
              <w:rPr>
                <w:noProof w:val="0"/>
                <w:webHidden/>
              </w:rPr>
              <w:fldChar w:fldCharType="end"/>
            </w:r>
          </w:hyperlink>
        </w:p>
        <w:p w14:paraId="3E21BF50" w14:textId="60A1C31B"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56" w:history="1">
            <w:r w:rsidR="008D022E" w:rsidRPr="00167A1B">
              <w:rPr>
                <w:rStyle w:val="Hyperlink"/>
                <w14:numSpacing w14:val="proportional"/>
              </w:rPr>
              <w:t>5.1.</w:t>
            </w:r>
            <w:r w:rsidR="008D022E" w:rsidRPr="00167A1B">
              <w:rPr>
                <w:rStyle w:val="Hyperlink"/>
              </w:rPr>
              <w:t xml:space="preserve"> Environmental impacts</w:t>
            </w:r>
            <w:r w:rsidR="008D022E" w:rsidRPr="00167A1B">
              <w:rPr>
                <w:webHidden/>
              </w:rPr>
              <w:tab/>
            </w:r>
            <w:r w:rsidR="008D022E" w:rsidRPr="00167A1B">
              <w:rPr>
                <w:webHidden/>
              </w:rPr>
              <w:fldChar w:fldCharType="begin"/>
            </w:r>
            <w:r w:rsidR="008D022E" w:rsidRPr="00167A1B">
              <w:rPr>
                <w:webHidden/>
              </w:rPr>
              <w:instrText xml:space="preserve"> PAGEREF _Toc74319756 \h </w:instrText>
            </w:r>
            <w:r w:rsidR="008D022E" w:rsidRPr="00167A1B">
              <w:rPr>
                <w:webHidden/>
              </w:rPr>
            </w:r>
            <w:r w:rsidR="008D022E" w:rsidRPr="00167A1B">
              <w:rPr>
                <w:webHidden/>
              </w:rPr>
              <w:fldChar w:fldCharType="separate"/>
            </w:r>
            <w:r w:rsidR="00EE6C95" w:rsidRPr="00167A1B">
              <w:rPr>
                <w:webHidden/>
              </w:rPr>
              <w:t>61</w:t>
            </w:r>
            <w:r w:rsidR="008D022E" w:rsidRPr="00167A1B">
              <w:rPr>
                <w:webHidden/>
              </w:rPr>
              <w:fldChar w:fldCharType="end"/>
            </w:r>
          </w:hyperlink>
        </w:p>
        <w:p w14:paraId="2FB53C00" w14:textId="49C9BA4D"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57" w:history="1">
            <w:r w:rsidR="008D022E" w:rsidRPr="00167A1B">
              <w:rPr>
                <w:rStyle w:val="Hyperlink"/>
                <w14:numSpacing w14:val="proportional"/>
              </w:rPr>
              <w:t>5.2.</w:t>
            </w:r>
            <w:r w:rsidR="008D022E" w:rsidRPr="00167A1B">
              <w:rPr>
                <w:rStyle w:val="Hyperlink"/>
              </w:rPr>
              <w:t xml:space="preserve"> Economic impacts</w:t>
            </w:r>
            <w:r w:rsidR="008D022E" w:rsidRPr="00167A1B">
              <w:rPr>
                <w:webHidden/>
              </w:rPr>
              <w:tab/>
            </w:r>
            <w:r w:rsidR="008D022E" w:rsidRPr="00167A1B">
              <w:rPr>
                <w:webHidden/>
              </w:rPr>
              <w:fldChar w:fldCharType="begin"/>
            </w:r>
            <w:r w:rsidR="008D022E" w:rsidRPr="00167A1B">
              <w:rPr>
                <w:webHidden/>
              </w:rPr>
              <w:instrText xml:space="preserve"> PAGEREF _Toc74319757 \h </w:instrText>
            </w:r>
            <w:r w:rsidR="008D022E" w:rsidRPr="00167A1B">
              <w:rPr>
                <w:webHidden/>
              </w:rPr>
            </w:r>
            <w:r w:rsidR="008D022E" w:rsidRPr="00167A1B">
              <w:rPr>
                <w:webHidden/>
              </w:rPr>
              <w:fldChar w:fldCharType="separate"/>
            </w:r>
            <w:r w:rsidR="00EE6C95" w:rsidRPr="00167A1B">
              <w:rPr>
                <w:webHidden/>
              </w:rPr>
              <w:t>70</w:t>
            </w:r>
            <w:r w:rsidR="008D022E" w:rsidRPr="00167A1B">
              <w:rPr>
                <w:webHidden/>
              </w:rPr>
              <w:fldChar w:fldCharType="end"/>
            </w:r>
          </w:hyperlink>
        </w:p>
        <w:p w14:paraId="56CBA0F8" w14:textId="5EF32D85"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58" w:history="1">
            <w:r w:rsidR="008D022E" w:rsidRPr="00167A1B">
              <w:rPr>
                <w:rStyle w:val="Hyperlink"/>
                <w14:numSpacing w14:val="proportional"/>
              </w:rPr>
              <w:t>5.3.</w:t>
            </w:r>
            <w:r w:rsidR="008D022E" w:rsidRPr="00167A1B">
              <w:rPr>
                <w:rStyle w:val="Hyperlink"/>
              </w:rPr>
              <w:t xml:space="preserve"> Social impacts </w:t>
            </w:r>
            <w:r w:rsidR="008D022E" w:rsidRPr="00167A1B">
              <w:rPr>
                <w:webHidden/>
              </w:rPr>
              <w:tab/>
            </w:r>
            <w:r w:rsidR="008D022E" w:rsidRPr="00167A1B">
              <w:rPr>
                <w:webHidden/>
              </w:rPr>
              <w:fldChar w:fldCharType="begin"/>
            </w:r>
            <w:r w:rsidR="008D022E" w:rsidRPr="00167A1B">
              <w:rPr>
                <w:webHidden/>
              </w:rPr>
              <w:instrText xml:space="preserve"> PAGEREF _Toc74319758 \h </w:instrText>
            </w:r>
            <w:r w:rsidR="008D022E" w:rsidRPr="00167A1B">
              <w:rPr>
                <w:webHidden/>
              </w:rPr>
            </w:r>
            <w:r w:rsidR="008D022E" w:rsidRPr="00167A1B">
              <w:rPr>
                <w:webHidden/>
              </w:rPr>
              <w:fldChar w:fldCharType="separate"/>
            </w:r>
            <w:r w:rsidR="00EE6C95" w:rsidRPr="00167A1B">
              <w:rPr>
                <w:webHidden/>
              </w:rPr>
              <w:t>89</w:t>
            </w:r>
            <w:r w:rsidR="008D022E" w:rsidRPr="00167A1B">
              <w:rPr>
                <w:webHidden/>
              </w:rPr>
              <w:fldChar w:fldCharType="end"/>
            </w:r>
          </w:hyperlink>
        </w:p>
        <w:p w14:paraId="5CEB232F" w14:textId="2723A9F9"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59" w:history="1">
            <w:r w:rsidR="008D022E" w:rsidRPr="00167A1B">
              <w:rPr>
                <w:rStyle w:val="Hyperlink"/>
                <w14:numSpacing w14:val="proportional"/>
              </w:rPr>
              <w:t>5.4.</w:t>
            </w:r>
            <w:r w:rsidR="008D022E" w:rsidRPr="00167A1B">
              <w:rPr>
                <w:rStyle w:val="Hyperlink"/>
              </w:rPr>
              <w:t xml:space="preserve"> Considerations for implementation</w:t>
            </w:r>
            <w:r w:rsidR="008D022E" w:rsidRPr="00167A1B">
              <w:rPr>
                <w:webHidden/>
              </w:rPr>
              <w:tab/>
            </w:r>
            <w:r w:rsidR="008D022E" w:rsidRPr="00167A1B">
              <w:rPr>
                <w:webHidden/>
              </w:rPr>
              <w:fldChar w:fldCharType="begin"/>
            </w:r>
            <w:r w:rsidR="008D022E" w:rsidRPr="00167A1B">
              <w:rPr>
                <w:webHidden/>
              </w:rPr>
              <w:instrText xml:space="preserve"> PAGEREF _Toc74319759 \h </w:instrText>
            </w:r>
            <w:r w:rsidR="008D022E" w:rsidRPr="00167A1B">
              <w:rPr>
                <w:webHidden/>
              </w:rPr>
            </w:r>
            <w:r w:rsidR="008D022E" w:rsidRPr="00167A1B">
              <w:rPr>
                <w:webHidden/>
              </w:rPr>
              <w:fldChar w:fldCharType="separate"/>
            </w:r>
            <w:r w:rsidR="00EE6C95" w:rsidRPr="00167A1B">
              <w:rPr>
                <w:webHidden/>
              </w:rPr>
              <w:t>99</w:t>
            </w:r>
            <w:r w:rsidR="008D022E" w:rsidRPr="00167A1B">
              <w:rPr>
                <w:webHidden/>
              </w:rPr>
              <w:fldChar w:fldCharType="end"/>
            </w:r>
          </w:hyperlink>
        </w:p>
        <w:p w14:paraId="43B19ACA" w14:textId="0A1321FE" w:rsidR="008D022E" w:rsidRPr="00167A1B" w:rsidRDefault="008225D3" w:rsidP="00267A5F">
          <w:pPr>
            <w:pStyle w:val="TOC1"/>
            <w:spacing w:after="0"/>
            <w:rPr>
              <w:rFonts w:eastAsiaTheme="minorEastAsia" w:cstheme="minorBidi"/>
              <w:noProof w:val="0"/>
              <w:sz w:val="22"/>
              <w:szCs w:val="22"/>
              <w:lang w:eastAsia="en-GB"/>
            </w:rPr>
          </w:pPr>
          <w:hyperlink w:anchor="_Toc74319760" w:history="1">
            <w:r w:rsidR="008D022E" w:rsidRPr="00167A1B">
              <w:rPr>
                <w:rStyle w:val="Hyperlink"/>
                <w:noProof w:val="0"/>
              </w:rPr>
              <w:t>6.</w:t>
            </w:r>
            <w:r w:rsidR="008D022E" w:rsidRPr="00167A1B">
              <w:rPr>
                <w:rFonts w:eastAsiaTheme="minorEastAsia" w:cstheme="minorBidi"/>
                <w:noProof w:val="0"/>
                <w:sz w:val="22"/>
                <w:szCs w:val="22"/>
                <w:lang w:eastAsia="en-GB"/>
              </w:rPr>
              <w:tab/>
            </w:r>
            <w:r w:rsidR="008D022E" w:rsidRPr="00167A1B">
              <w:rPr>
                <w:rStyle w:val="Hyperlink"/>
                <w:noProof w:val="0"/>
              </w:rPr>
              <w:t>Impact assessment for other portable electronic devices</w:t>
            </w:r>
            <w:r w:rsidR="008D022E" w:rsidRPr="00167A1B">
              <w:rPr>
                <w:noProof w:val="0"/>
                <w:webHidden/>
              </w:rPr>
              <w:tab/>
            </w:r>
            <w:r w:rsidR="008D022E" w:rsidRPr="00167A1B">
              <w:rPr>
                <w:noProof w:val="0"/>
                <w:webHidden/>
              </w:rPr>
              <w:fldChar w:fldCharType="begin"/>
            </w:r>
            <w:r w:rsidR="008D022E" w:rsidRPr="00167A1B">
              <w:rPr>
                <w:noProof w:val="0"/>
                <w:webHidden/>
              </w:rPr>
              <w:instrText xml:space="preserve"> PAGEREF _Toc74319760 \h </w:instrText>
            </w:r>
            <w:r w:rsidR="008D022E" w:rsidRPr="00167A1B">
              <w:rPr>
                <w:noProof w:val="0"/>
                <w:webHidden/>
              </w:rPr>
            </w:r>
            <w:r w:rsidR="008D022E" w:rsidRPr="00167A1B">
              <w:rPr>
                <w:noProof w:val="0"/>
                <w:webHidden/>
              </w:rPr>
              <w:fldChar w:fldCharType="separate"/>
            </w:r>
            <w:r w:rsidR="00EE6C95" w:rsidRPr="00167A1B">
              <w:rPr>
                <w:noProof w:val="0"/>
                <w:webHidden/>
              </w:rPr>
              <w:t>105</w:t>
            </w:r>
            <w:r w:rsidR="008D022E" w:rsidRPr="00167A1B">
              <w:rPr>
                <w:noProof w:val="0"/>
                <w:webHidden/>
              </w:rPr>
              <w:fldChar w:fldCharType="end"/>
            </w:r>
          </w:hyperlink>
        </w:p>
        <w:p w14:paraId="0F8C139F" w14:textId="6801588A"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61" w:history="1">
            <w:r w:rsidR="008D022E" w:rsidRPr="00167A1B">
              <w:rPr>
                <w:rStyle w:val="Hyperlink"/>
                <w14:numSpacing w14:val="proportional"/>
              </w:rPr>
              <w:t>6.1.</w:t>
            </w:r>
            <w:r w:rsidR="008D022E" w:rsidRPr="00167A1B">
              <w:rPr>
                <w:rStyle w:val="Hyperlink"/>
              </w:rPr>
              <w:t xml:space="preserve"> Scope of the impact assessment</w:t>
            </w:r>
            <w:r w:rsidR="008D022E" w:rsidRPr="00167A1B">
              <w:rPr>
                <w:webHidden/>
              </w:rPr>
              <w:tab/>
            </w:r>
            <w:r w:rsidR="008D022E" w:rsidRPr="00167A1B">
              <w:rPr>
                <w:webHidden/>
              </w:rPr>
              <w:fldChar w:fldCharType="begin"/>
            </w:r>
            <w:r w:rsidR="008D022E" w:rsidRPr="00167A1B">
              <w:rPr>
                <w:webHidden/>
              </w:rPr>
              <w:instrText xml:space="preserve"> PAGEREF _Toc74319761 \h </w:instrText>
            </w:r>
            <w:r w:rsidR="008D022E" w:rsidRPr="00167A1B">
              <w:rPr>
                <w:webHidden/>
              </w:rPr>
            </w:r>
            <w:r w:rsidR="008D022E" w:rsidRPr="00167A1B">
              <w:rPr>
                <w:webHidden/>
              </w:rPr>
              <w:fldChar w:fldCharType="separate"/>
            </w:r>
            <w:r w:rsidR="00EE6C95" w:rsidRPr="00167A1B">
              <w:rPr>
                <w:webHidden/>
              </w:rPr>
              <w:t>105</w:t>
            </w:r>
            <w:r w:rsidR="008D022E" w:rsidRPr="00167A1B">
              <w:rPr>
                <w:webHidden/>
              </w:rPr>
              <w:fldChar w:fldCharType="end"/>
            </w:r>
          </w:hyperlink>
        </w:p>
        <w:p w14:paraId="0BD9853E" w14:textId="0B6FB7DB"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62" w:history="1">
            <w:r w:rsidR="008D022E" w:rsidRPr="00167A1B">
              <w:rPr>
                <w:rStyle w:val="Hyperlink"/>
                <w14:numSpacing w14:val="proportional"/>
              </w:rPr>
              <w:t>6.2.</w:t>
            </w:r>
            <w:r w:rsidR="008D022E" w:rsidRPr="00167A1B">
              <w:rPr>
                <w:rStyle w:val="Hyperlink"/>
              </w:rPr>
              <w:t xml:space="preserve"> Baseline</w:t>
            </w:r>
            <w:r w:rsidR="008D022E" w:rsidRPr="00167A1B">
              <w:rPr>
                <w:webHidden/>
              </w:rPr>
              <w:tab/>
            </w:r>
            <w:r w:rsidR="008D022E" w:rsidRPr="00167A1B">
              <w:rPr>
                <w:webHidden/>
              </w:rPr>
              <w:fldChar w:fldCharType="begin"/>
            </w:r>
            <w:r w:rsidR="008D022E" w:rsidRPr="00167A1B">
              <w:rPr>
                <w:webHidden/>
              </w:rPr>
              <w:instrText xml:space="preserve"> PAGEREF _Toc74319762 \h </w:instrText>
            </w:r>
            <w:r w:rsidR="008D022E" w:rsidRPr="00167A1B">
              <w:rPr>
                <w:webHidden/>
              </w:rPr>
            </w:r>
            <w:r w:rsidR="008D022E" w:rsidRPr="00167A1B">
              <w:rPr>
                <w:webHidden/>
              </w:rPr>
              <w:fldChar w:fldCharType="separate"/>
            </w:r>
            <w:r w:rsidR="00EE6C95" w:rsidRPr="00167A1B">
              <w:rPr>
                <w:webHidden/>
              </w:rPr>
              <w:t>109</w:t>
            </w:r>
            <w:r w:rsidR="008D022E" w:rsidRPr="00167A1B">
              <w:rPr>
                <w:webHidden/>
              </w:rPr>
              <w:fldChar w:fldCharType="end"/>
            </w:r>
          </w:hyperlink>
        </w:p>
        <w:p w14:paraId="32D96421" w14:textId="253A9985"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63" w:history="1">
            <w:r w:rsidR="008D022E" w:rsidRPr="00167A1B">
              <w:rPr>
                <w:rStyle w:val="Hyperlink"/>
                <w14:numSpacing w14:val="proportional"/>
              </w:rPr>
              <w:t>6.3.</w:t>
            </w:r>
            <w:r w:rsidR="008D022E" w:rsidRPr="00167A1B">
              <w:rPr>
                <w:rStyle w:val="Hyperlink"/>
              </w:rPr>
              <w:t xml:space="preserve"> Indirect impacts </w:t>
            </w:r>
            <w:r w:rsidR="008D022E" w:rsidRPr="00167A1B">
              <w:rPr>
                <w:webHidden/>
              </w:rPr>
              <w:tab/>
            </w:r>
            <w:r w:rsidR="008D022E" w:rsidRPr="00167A1B">
              <w:rPr>
                <w:webHidden/>
              </w:rPr>
              <w:fldChar w:fldCharType="begin"/>
            </w:r>
            <w:r w:rsidR="008D022E" w:rsidRPr="00167A1B">
              <w:rPr>
                <w:webHidden/>
              </w:rPr>
              <w:instrText xml:space="preserve"> PAGEREF _Toc74319763 \h </w:instrText>
            </w:r>
            <w:r w:rsidR="008D022E" w:rsidRPr="00167A1B">
              <w:rPr>
                <w:webHidden/>
              </w:rPr>
            </w:r>
            <w:r w:rsidR="008D022E" w:rsidRPr="00167A1B">
              <w:rPr>
                <w:webHidden/>
              </w:rPr>
              <w:fldChar w:fldCharType="separate"/>
            </w:r>
            <w:r w:rsidR="00EE6C95" w:rsidRPr="00167A1B">
              <w:rPr>
                <w:webHidden/>
              </w:rPr>
              <w:t>113</w:t>
            </w:r>
            <w:r w:rsidR="008D022E" w:rsidRPr="00167A1B">
              <w:rPr>
                <w:webHidden/>
              </w:rPr>
              <w:fldChar w:fldCharType="end"/>
            </w:r>
          </w:hyperlink>
        </w:p>
        <w:p w14:paraId="58E32033" w14:textId="4C1AFF1F"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64" w:history="1">
            <w:r w:rsidR="008D022E" w:rsidRPr="00167A1B">
              <w:rPr>
                <w:rStyle w:val="Hyperlink"/>
                <w14:numSpacing w14:val="proportional"/>
              </w:rPr>
              <w:t>6.4.</w:t>
            </w:r>
            <w:r w:rsidR="008D022E" w:rsidRPr="00167A1B">
              <w:rPr>
                <w:rStyle w:val="Hyperlink"/>
              </w:rPr>
              <w:t xml:space="preserve"> Direct impacts</w:t>
            </w:r>
            <w:r w:rsidR="008D022E" w:rsidRPr="00167A1B">
              <w:rPr>
                <w:webHidden/>
              </w:rPr>
              <w:tab/>
            </w:r>
            <w:r w:rsidR="008D022E" w:rsidRPr="00167A1B">
              <w:rPr>
                <w:webHidden/>
              </w:rPr>
              <w:fldChar w:fldCharType="begin"/>
            </w:r>
            <w:r w:rsidR="008D022E" w:rsidRPr="00167A1B">
              <w:rPr>
                <w:webHidden/>
              </w:rPr>
              <w:instrText xml:space="preserve"> PAGEREF _Toc74319764 \h </w:instrText>
            </w:r>
            <w:r w:rsidR="008D022E" w:rsidRPr="00167A1B">
              <w:rPr>
                <w:webHidden/>
              </w:rPr>
            </w:r>
            <w:r w:rsidR="008D022E" w:rsidRPr="00167A1B">
              <w:rPr>
                <w:webHidden/>
              </w:rPr>
              <w:fldChar w:fldCharType="separate"/>
            </w:r>
            <w:r w:rsidR="00EE6C95" w:rsidRPr="00167A1B">
              <w:rPr>
                <w:webHidden/>
              </w:rPr>
              <w:t>116</w:t>
            </w:r>
            <w:r w:rsidR="008D022E" w:rsidRPr="00167A1B">
              <w:rPr>
                <w:webHidden/>
              </w:rPr>
              <w:fldChar w:fldCharType="end"/>
            </w:r>
          </w:hyperlink>
        </w:p>
        <w:p w14:paraId="1C57390B" w14:textId="773E7758" w:rsidR="008D022E" w:rsidRPr="00167A1B" w:rsidRDefault="008225D3" w:rsidP="00267A5F">
          <w:pPr>
            <w:pStyle w:val="TOC1"/>
            <w:spacing w:after="0"/>
            <w:rPr>
              <w:rFonts w:eastAsiaTheme="minorEastAsia" w:cstheme="minorBidi"/>
              <w:noProof w:val="0"/>
              <w:sz w:val="22"/>
              <w:szCs w:val="22"/>
              <w:lang w:eastAsia="en-GB"/>
            </w:rPr>
          </w:pPr>
          <w:hyperlink w:anchor="_Toc74319765" w:history="1">
            <w:r w:rsidR="008D022E" w:rsidRPr="00167A1B">
              <w:rPr>
                <w:rStyle w:val="Hyperlink"/>
                <w:noProof w:val="0"/>
              </w:rPr>
              <w:t>7.</w:t>
            </w:r>
            <w:r w:rsidR="008D022E" w:rsidRPr="00167A1B">
              <w:rPr>
                <w:rFonts w:eastAsiaTheme="minorEastAsia" w:cstheme="minorBidi"/>
                <w:noProof w:val="0"/>
                <w:sz w:val="22"/>
                <w:szCs w:val="22"/>
                <w:lang w:eastAsia="en-GB"/>
              </w:rPr>
              <w:tab/>
            </w:r>
            <w:r w:rsidR="008D022E" w:rsidRPr="00167A1B">
              <w:rPr>
                <w:rStyle w:val="Hyperlink"/>
                <w:noProof w:val="0"/>
              </w:rPr>
              <w:t>Combinations of measures</w:t>
            </w:r>
            <w:r w:rsidR="008D022E" w:rsidRPr="00167A1B">
              <w:rPr>
                <w:noProof w:val="0"/>
                <w:webHidden/>
              </w:rPr>
              <w:tab/>
            </w:r>
            <w:r w:rsidR="008D022E" w:rsidRPr="00167A1B">
              <w:rPr>
                <w:noProof w:val="0"/>
                <w:webHidden/>
              </w:rPr>
              <w:fldChar w:fldCharType="begin"/>
            </w:r>
            <w:r w:rsidR="008D022E" w:rsidRPr="00167A1B">
              <w:rPr>
                <w:noProof w:val="0"/>
                <w:webHidden/>
              </w:rPr>
              <w:instrText xml:space="preserve"> PAGEREF _Toc74319765 \h </w:instrText>
            </w:r>
            <w:r w:rsidR="008D022E" w:rsidRPr="00167A1B">
              <w:rPr>
                <w:noProof w:val="0"/>
                <w:webHidden/>
              </w:rPr>
            </w:r>
            <w:r w:rsidR="008D022E" w:rsidRPr="00167A1B">
              <w:rPr>
                <w:noProof w:val="0"/>
                <w:webHidden/>
              </w:rPr>
              <w:fldChar w:fldCharType="separate"/>
            </w:r>
            <w:r w:rsidR="00EE6C95" w:rsidRPr="00167A1B">
              <w:rPr>
                <w:noProof w:val="0"/>
                <w:webHidden/>
              </w:rPr>
              <w:t>124</w:t>
            </w:r>
            <w:r w:rsidR="008D022E" w:rsidRPr="00167A1B">
              <w:rPr>
                <w:noProof w:val="0"/>
                <w:webHidden/>
              </w:rPr>
              <w:fldChar w:fldCharType="end"/>
            </w:r>
          </w:hyperlink>
        </w:p>
        <w:p w14:paraId="59341FC7" w14:textId="05EDDD73" w:rsidR="008D022E" w:rsidRPr="00167A1B" w:rsidRDefault="008225D3" w:rsidP="00267A5F">
          <w:pPr>
            <w:pStyle w:val="TOC2"/>
            <w:tabs>
              <w:tab w:val="right" w:leader="dot" w:pos="9061"/>
            </w:tabs>
            <w:spacing w:after="0"/>
            <w:rPr>
              <w:rFonts w:eastAsiaTheme="minorEastAsia" w:cstheme="minorBidi"/>
              <w:sz w:val="22"/>
              <w:szCs w:val="22"/>
              <w:lang w:eastAsia="en-GB"/>
            </w:rPr>
          </w:pPr>
          <w:hyperlink w:anchor="_Toc74319766" w:history="1">
            <w:r w:rsidR="008D022E" w:rsidRPr="00167A1B">
              <w:rPr>
                <w:rStyle w:val="Hyperlink"/>
                <w14:numSpacing w14:val="proportional"/>
              </w:rPr>
              <w:t>7.1.</w:t>
            </w:r>
            <w:r w:rsidR="008D022E" w:rsidRPr="00167A1B">
              <w:rPr>
                <w:rStyle w:val="Hyperlink"/>
              </w:rPr>
              <w:t xml:space="preserve"> Compatibility between different options</w:t>
            </w:r>
            <w:r w:rsidR="008D022E" w:rsidRPr="00167A1B">
              <w:rPr>
                <w:webHidden/>
              </w:rPr>
              <w:tab/>
            </w:r>
            <w:r w:rsidR="008D022E" w:rsidRPr="00167A1B">
              <w:rPr>
                <w:webHidden/>
              </w:rPr>
              <w:fldChar w:fldCharType="begin"/>
            </w:r>
            <w:r w:rsidR="008D022E" w:rsidRPr="00167A1B">
              <w:rPr>
                <w:webHidden/>
              </w:rPr>
              <w:instrText xml:space="preserve"> PAGEREF _Toc74319766 \h </w:instrText>
            </w:r>
            <w:r w:rsidR="008D022E" w:rsidRPr="00167A1B">
              <w:rPr>
                <w:webHidden/>
              </w:rPr>
            </w:r>
            <w:r w:rsidR="008D022E" w:rsidRPr="00167A1B">
              <w:rPr>
                <w:webHidden/>
              </w:rPr>
              <w:fldChar w:fldCharType="separate"/>
            </w:r>
            <w:r w:rsidR="00EE6C95" w:rsidRPr="00167A1B">
              <w:rPr>
                <w:webHidden/>
              </w:rPr>
              <w:t>124</w:t>
            </w:r>
            <w:r w:rsidR="008D022E" w:rsidRPr="00167A1B">
              <w:rPr>
                <w:webHidden/>
              </w:rPr>
              <w:fldChar w:fldCharType="end"/>
            </w:r>
          </w:hyperlink>
        </w:p>
        <w:p w14:paraId="3FB40BC1" w14:textId="008EABA8" w:rsidR="008D022E" w:rsidRPr="00167A1B" w:rsidRDefault="008225D3" w:rsidP="00267A5F">
          <w:pPr>
            <w:pStyle w:val="TOC1"/>
            <w:spacing w:after="0"/>
            <w:rPr>
              <w:rFonts w:eastAsiaTheme="minorEastAsia" w:cstheme="minorBidi"/>
              <w:noProof w:val="0"/>
              <w:sz w:val="22"/>
              <w:szCs w:val="22"/>
              <w:lang w:eastAsia="en-GB"/>
            </w:rPr>
          </w:pPr>
          <w:hyperlink w:anchor="_Toc74319767" w:history="1">
            <w:r w:rsidR="008D022E" w:rsidRPr="00167A1B">
              <w:rPr>
                <w:rStyle w:val="Hyperlink"/>
                <w:noProof w:val="0"/>
              </w:rPr>
              <w:t>8.</w:t>
            </w:r>
            <w:r w:rsidR="008D022E" w:rsidRPr="00167A1B">
              <w:rPr>
                <w:rFonts w:eastAsiaTheme="minorEastAsia" w:cstheme="minorBidi"/>
                <w:noProof w:val="0"/>
                <w:sz w:val="22"/>
                <w:szCs w:val="22"/>
                <w:lang w:eastAsia="en-GB"/>
              </w:rPr>
              <w:tab/>
            </w:r>
            <w:r w:rsidR="008D022E" w:rsidRPr="00167A1B">
              <w:rPr>
                <w:rStyle w:val="Hyperlink"/>
                <w:noProof w:val="0"/>
              </w:rPr>
              <w:t>Comparison of options</w:t>
            </w:r>
            <w:r w:rsidR="008D022E" w:rsidRPr="00167A1B">
              <w:rPr>
                <w:noProof w:val="0"/>
                <w:webHidden/>
              </w:rPr>
              <w:tab/>
            </w:r>
            <w:r w:rsidR="008D022E" w:rsidRPr="00167A1B">
              <w:rPr>
                <w:noProof w:val="0"/>
                <w:webHidden/>
              </w:rPr>
              <w:fldChar w:fldCharType="begin"/>
            </w:r>
            <w:r w:rsidR="008D022E" w:rsidRPr="00167A1B">
              <w:rPr>
                <w:noProof w:val="0"/>
                <w:webHidden/>
              </w:rPr>
              <w:instrText xml:space="preserve"> PAGEREF _Toc74319767 \h </w:instrText>
            </w:r>
            <w:r w:rsidR="008D022E" w:rsidRPr="00167A1B">
              <w:rPr>
                <w:noProof w:val="0"/>
                <w:webHidden/>
              </w:rPr>
            </w:r>
            <w:r w:rsidR="008D022E" w:rsidRPr="00167A1B">
              <w:rPr>
                <w:noProof w:val="0"/>
                <w:webHidden/>
              </w:rPr>
              <w:fldChar w:fldCharType="separate"/>
            </w:r>
            <w:r w:rsidR="00EE6C95" w:rsidRPr="00167A1B">
              <w:rPr>
                <w:noProof w:val="0"/>
                <w:webHidden/>
              </w:rPr>
              <w:t>134</w:t>
            </w:r>
            <w:r w:rsidR="008D022E" w:rsidRPr="00167A1B">
              <w:rPr>
                <w:noProof w:val="0"/>
                <w:webHidden/>
              </w:rPr>
              <w:fldChar w:fldCharType="end"/>
            </w:r>
          </w:hyperlink>
        </w:p>
        <w:p w14:paraId="0DF83E22" w14:textId="5872A7EE" w:rsidR="00E3005A" w:rsidRPr="00167A1B" w:rsidRDefault="0019337E" w:rsidP="00267A5F">
          <w:pPr>
            <w:pStyle w:val="TOC1"/>
            <w:spacing w:after="0"/>
            <w:rPr>
              <w:noProof w:val="0"/>
            </w:rPr>
          </w:pPr>
          <w:r w:rsidRPr="00167A1B">
            <w:rPr>
              <w:noProof w:val="0"/>
            </w:rPr>
            <w:fldChar w:fldCharType="end"/>
          </w:r>
        </w:p>
      </w:sdtContent>
    </w:sdt>
    <w:p w14:paraId="502B630E" w14:textId="52BCB59B" w:rsidR="00B62C21" w:rsidRPr="00167A1B" w:rsidRDefault="00B62C21" w:rsidP="00D8116B">
      <w:pPr>
        <w:pStyle w:val="TOCHeading"/>
        <w:rPr>
          <w:lang w:val="en-GB"/>
        </w:rPr>
      </w:pPr>
      <w:r w:rsidRPr="00167A1B">
        <w:rPr>
          <w:lang w:val="en-GB"/>
        </w:rPr>
        <w:br w:type="page"/>
      </w:r>
    </w:p>
    <w:p w14:paraId="2E489AE0" w14:textId="77777777" w:rsidR="00F54C29" w:rsidRPr="00167A1B" w:rsidRDefault="00F54C29" w:rsidP="00F54C29">
      <w:pPr>
        <w:pStyle w:val="Title1"/>
        <w:numPr>
          <w:ilvl w:val="0"/>
          <w:numId w:val="0"/>
        </w:numPr>
        <w:ind w:left="360" w:hanging="360"/>
        <w:outlineLvl w:val="0"/>
      </w:pPr>
      <w:bookmarkStart w:id="6" w:name="_Toc74320703"/>
      <w:bookmarkStart w:id="7" w:name="_Toc74319739"/>
      <w:r w:rsidRPr="00167A1B">
        <w:lastRenderedPageBreak/>
        <w:t>Executive Summary</w:t>
      </w:r>
      <w:bookmarkEnd w:id="6"/>
      <w:bookmarkEnd w:id="7"/>
    </w:p>
    <w:p w14:paraId="326A4D08" w14:textId="77777777" w:rsidR="00F54C29" w:rsidRPr="00167A1B" w:rsidRDefault="00F54C29" w:rsidP="00F54C29">
      <w:pPr>
        <w:pStyle w:val="BodyText1"/>
        <w:rPr>
          <w:noProof w:val="0"/>
          <w:color w:val="000000"/>
          <w:szCs w:val="22"/>
          <w:shd w:val="clear" w:color="auto" w:fill="FFFFFF"/>
        </w:rPr>
      </w:pPr>
      <w:r w:rsidRPr="00167A1B">
        <w:rPr>
          <w:noProof w:val="0"/>
          <w:szCs w:val="22"/>
        </w:rPr>
        <w:t xml:space="preserve">This study was carried out within the context of the “Common Charger” initiative, on which the European Commission has been working for more than ten years. Since the outset, its rationale has been to reduce the level of fragmentation of charging solutions for mobile phones (and </w:t>
      </w:r>
      <w:r w:rsidRPr="00167A1B">
        <w:rPr>
          <w:noProof w:val="0"/>
          <w:color w:val="000000"/>
          <w:szCs w:val="22"/>
          <w:shd w:val="clear" w:color="auto" w:fill="FFFFFF"/>
        </w:rPr>
        <w:t xml:space="preserve">potentially other small electronic portable devices), in order to enhance consumer convenience and reduce unnecessary electronic waste. In 2009, the main mobile phone manufacturers signed a </w:t>
      </w:r>
      <w:r w:rsidRPr="00167A1B">
        <w:rPr>
          <w:noProof w:val="0"/>
        </w:rPr>
        <w:t xml:space="preserve">Memorandum of Understanding to harmonise chargers for data-enabled mobile telephones sold in the EU. </w:t>
      </w:r>
      <w:r w:rsidRPr="00167A1B">
        <w:rPr>
          <w:bCs/>
          <w:noProof w:val="0"/>
        </w:rPr>
        <w:t>Ever since this expired in 2014, the Commission has been trying to foster the adoption of a new voluntary agreement.</w:t>
      </w:r>
      <w:r w:rsidRPr="00167A1B">
        <w:rPr>
          <w:noProof w:val="0"/>
        </w:rPr>
        <w:t xml:space="preserve"> However, to date, no solution that would be acceptable to both the industry and the Commission has been found.</w:t>
      </w:r>
    </w:p>
    <w:p w14:paraId="3319F496" w14:textId="77777777" w:rsidR="00F54C29" w:rsidRPr="00167A1B" w:rsidRDefault="00F54C29" w:rsidP="00F54C29">
      <w:pPr>
        <w:pStyle w:val="Subtitle10"/>
        <w:rPr>
          <w:noProof w:val="0"/>
        </w:rPr>
      </w:pPr>
      <w:r w:rsidRPr="00167A1B">
        <w:rPr>
          <w:noProof w:val="0"/>
        </w:rPr>
        <w:t>About this study</w:t>
      </w:r>
    </w:p>
    <w:p w14:paraId="05C8FFAE" w14:textId="372AEC87" w:rsidR="00F54C29" w:rsidRPr="00167A1B" w:rsidRDefault="00F54C29" w:rsidP="00F54C29">
      <w:pPr>
        <w:pStyle w:val="BodyText1"/>
        <w:rPr>
          <w:noProof w:val="0"/>
          <w:szCs w:val="22"/>
        </w:rPr>
      </w:pPr>
      <w:r w:rsidRPr="00167A1B">
        <w:rPr>
          <w:noProof w:val="0"/>
          <w:szCs w:val="22"/>
        </w:rPr>
        <w:t>The purpose of the present study is to further strengthen the evidence base for a possible Commission proposal in the context of the “Common Charger” initiative. It focuses on updating, further refining and filling gaps in the results of the previous impact assessment (IA) study carried out in 2019,</w:t>
      </w:r>
      <w:r w:rsidR="00562E0A" w:rsidRPr="00167A1B">
        <w:rPr>
          <w:rStyle w:val="FootnoteReference"/>
          <w:noProof w:val="0"/>
          <w:sz w:val="22"/>
          <w:szCs w:val="22"/>
        </w:rPr>
        <w:footnoteReference w:id="1"/>
      </w:r>
      <w:r w:rsidRPr="00167A1B">
        <w:rPr>
          <w:noProof w:val="0"/>
          <w:szCs w:val="22"/>
        </w:rPr>
        <w:t xml:space="preserve"> by focusing on a set of issues of key interest, namely (1) unbundling – how could the marketing of mobile phones without chargers be facilitated or mandated, and what would be the impacts thereof?; (2) other portable electronic devices – which devices (in addition to mobile phones) could be encompassed within the initiative?; and (3) additional technical analysis of the main features of chargers.</w:t>
      </w:r>
    </w:p>
    <w:p w14:paraId="0B0559E1" w14:textId="77777777" w:rsidR="00F54C29" w:rsidRPr="00167A1B" w:rsidRDefault="00F54C29" w:rsidP="00F54C29">
      <w:pPr>
        <w:pStyle w:val="BodyText1"/>
        <w:rPr>
          <w:noProof w:val="0"/>
        </w:rPr>
      </w:pPr>
      <w:r w:rsidRPr="00167A1B">
        <w:rPr>
          <w:noProof w:val="0"/>
        </w:rPr>
        <w:t xml:space="preserve">The study was carried out by Ipsos and Trinomics (on behalf of a consortium led by Economisti Associati). It is based on research and analysis undertaken between November 2020 and May 2021. </w:t>
      </w:r>
      <w:proofErr w:type="gramStart"/>
      <w:r w:rsidRPr="00167A1B">
        <w:rPr>
          <w:noProof w:val="0"/>
        </w:rPr>
        <w:t>Similarly</w:t>
      </w:r>
      <w:proofErr w:type="gramEnd"/>
      <w:r w:rsidRPr="00167A1B">
        <w:rPr>
          <w:noProof w:val="0"/>
        </w:rPr>
        <w:t xml:space="preserve"> to the first IA study carried out by the same team, the study employed a mixed-methods approach. The sources of evidence include primary data (collected via a series of in-depth interviews with key stakeholders, a survey of a representative panel of consumers, and a survey of stakeholders) as well as secondary data (including statistics, market data, and literature on a wide range of relevant issues). Where possible, key impacts were estimated quantitatively based on a tailor-made dynamic model of the stock of chargers. Other impacts were assessed qualitatively.</w:t>
      </w:r>
    </w:p>
    <w:p w14:paraId="6755D1E5" w14:textId="77777777" w:rsidR="00F54C29" w:rsidRPr="00167A1B" w:rsidRDefault="00F54C29" w:rsidP="00F54C29">
      <w:pPr>
        <w:pStyle w:val="Subtitle10"/>
        <w:rPr>
          <w:noProof w:val="0"/>
        </w:rPr>
      </w:pPr>
      <w:r w:rsidRPr="00167A1B">
        <w:rPr>
          <w:noProof w:val="0"/>
        </w:rPr>
        <w:t>The problem to be addressed</w:t>
      </w:r>
    </w:p>
    <w:p w14:paraId="62623121" w14:textId="77777777" w:rsidR="00F54C29" w:rsidRPr="00167A1B" w:rsidRDefault="00F54C29" w:rsidP="00F54C29">
      <w:pPr>
        <w:pStyle w:val="BodyText1"/>
        <w:rPr>
          <w:noProof w:val="0"/>
        </w:rPr>
      </w:pPr>
      <w:r w:rsidRPr="00167A1B">
        <w:rPr>
          <w:noProof w:val="0"/>
        </w:rPr>
        <w:t xml:space="preserve">There are two main problems the initiative seeks to address: consumer inconvenience and environmental harm. </w:t>
      </w:r>
    </w:p>
    <w:p w14:paraId="6C03B140" w14:textId="3759426D" w:rsidR="00F54C29" w:rsidRPr="00167A1B" w:rsidRDefault="00F54C29" w:rsidP="00F54C29">
      <w:pPr>
        <w:pStyle w:val="BodyText1"/>
        <w:rPr>
          <w:noProof w:val="0"/>
        </w:rPr>
      </w:pPr>
      <w:r w:rsidRPr="00167A1B">
        <w:rPr>
          <w:b/>
          <w:bCs/>
          <w:noProof w:val="0"/>
        </w:rPr>
        <w:t>Consumer inconvenience</w:t>
      </w:r>
      <w:r w:rsidRPr="00167A1B">
        <w:rPr>
          <w:noProof w:val="0"/>
        </w:rPr>
        <w:t xml:space="preserve"> is caused by the remaining fragmentation of charging solutions available in the market, and by the lack of choice as to whether they want to buy a new charger with their mobile phone. There is still fragmentation in the market in terms of connectors used at the device end (due to the co-existence of USB Type-C, USB micro-B, and Apple’s Lightning connector). As regards battery charging protocols, there appears to be near universal interoperability among the solutions on the market today (including the different versions of USB charging technology, as well as proprietary solutions developed by QualComm, Huawei and Oppo) – meaning all mobile phones sold nowadays can be charged safely with any external power supply (EPS) from a reputable </w:t>
      </w:r>
      <w:r w:rsidR="00167A1B" w:rsidRPr="00167A1B">
        <w:rPr>
          <w:noProof w:val="0"/>
        </w:rPr>
        <w:t>manufacturer</w:t>
      </w:r>
      <w:r w:rsidRPr="00167A1B">
        <w:rPr>
          <w:noProof w:val="0"/>
        </w:rPr>
        <w:t xml:space="preserve">. However, the speed of charge can vary significantly depending on the combination of phone and EPS that is used. </w:t>
      </w:r>
    </w:p>
    <w:p w14:paraId="64B3E486" w14:textId="77777777" w:rsidR="00F54C29" w:rsidRPr="00167A1B" w:rsidRDefault="00F54C29" w:rsidP="00F54C29">
      <w:pPr>
        <w:pStyle w:val="BodyText1"/>
        <w:rPr>
          <w:noProof w:val="0"/>
        </w:rPr>
      </w:pPr>
      <w:r w:rsidRPr="00167A1B">
        <w:rPr>
          <w:noProof w:val="0"/>
        </w:rPr>
        <w:t xml:space="preserve">The additional stock of chargers available also generates unnecessary </w:t>
      </w:r>
      <w:r w:rsidRPr="00167A1B">
        <w:rPr>
          <w:b/>
          <w:bCs/>
          <w:noProof w:val="0"/>
        </w:rPr>
        <w:t>use of raw materials, GHG emissions and e-waste</w:t>
      </w:r>
      <w:r w:rsidRPr="00167A1B">
        <w:rPr>
          <w:noProof w:val="0"/>
        </w:rPr>
        <w:t xml:space="preserve"> when chargers are discarded. This problem is alleviated to some extent by the fact that several manufacturers have recently started selling mobile phones unbundled from the EPS (although they continue to bundle the cable). Therefore, the </w:t>
      </w:r>
      <w:r w:rsidRPr="00167A1B">
        <w:rPr>
          <w:noProof w:val="0"/>
        </w:rPr>
        <w:lastRenderedPageBreak/>
        <w:t>consequences of the problem are expected to decrease in the future, as the stock of chargers gradually reduces. However, the growing market share of fast charging EPS, which also tend to be heavier compared to non-fast charging EPS, risks offsetting this positive trend to some extent.</w:t>
      </w:r>
    </w:p>
    <w:p w14:paraId="6452E7AE" w14:textId="77777777" w:rsidR="00F54C29" w:rsidRPr="00167A1B" w:rsidRDefault="00F54C29" w:rsidP="00F54C29">
      <w:pPr>
        <w:pStyle w:val="Subtitle10"/>
        <w:rPr>
          <w:noProof w:val="0"/>
        </w:rPr>
      </w:pPr>
      <w:r w:rsidRPr="00167A1B">
        <w:rPr>
          <w:noProof w:val="0"/>
        </w:rPr>
        <w:t>The policy options</w:t>
      </w:r>
    </w:p>
    <w:p w14:paraId="5B8EF9D7" w14:textId="77777777" w:rsidR="00F54C29" w:rsidRPr="00167A1B" w:rsidRDefault="00F54C29" w:rsidP="00F54C29">
      <w:pPr>
        <w:pStyle w:val="BodyText1"/>
        <w:rPr>
          <w:noProof w:val="0"/>
        </w:rPr>
      </w:pPr>
      <w:r w:rsidRPr="00167A1B">
        <w:rPr>
          <w:noProof w:val="0"/>
        </w:rPr>
        <w:t xml:space="preserve">The policy options as defined for this study comprise individual “measures” that would harmonise or address certain technical aspects related to chargers, or the way in which they are marketed. These options are not necessarily mutually </w:t>
      </w:r>
      <w:proofErr w:type="gramStart"/>
      <w:r w:rsidRPr="00167A1B">
        <w:rPr>
          <w:noProof w:val="0"/>
        </w:rPr>
        <w:t>exclusive, but</w:t>
      </w:r>
      <w:proofErr w:type="gramEnd"/>
      <w:r w:rsidRPr="00167A1B">
        <w:rPr>
          <w:noProof w:val="0"/>
        </w:rPr>
        <w:t xml:space="preserve"> could potentially be combined into a “package” of measures (for more on this, see below).</w:t>
      </w:r>
    </w:p>
    <w:p w14:paraId="1713A212" w14:textId="77777777" w:rsidR="00F54C29" w:rsidRPr="00167A1B" w:rsidRDefault="00F54C29" w:rsidP="00F54C29">
      <w:pPr>
        <w:pStyle w:val="bullet1"/>
        <w:rPr>
          <w:noProof w:val="0"/>
        </w:rPr>
      </w:pPr>
      <w:r w:rsidRPr="00167A1B">
        <w:rPr>
          <w:b/>
          <w:bCs/>
          <w:noProof w:val="0"/>
        </w:rPr>
        <w:t>Option 1: Harmonise connectors on mobile phones</w:t>
      </w:r>
      <w:r w:rsidRPr="00167A1B">
        <w:rPr>
          <w:noProof w:val="0"/>
        </w:rPr>
        <w:t>. This option would entail regulation to ensure all mobile phones have a receptacle for a USB Type-C connector. Proprietary connectors, or solutions that require adapters, would not be allowed.</w:t>
      </w:r>
    </w:p>
    <w:p w14:paraId="673D54C5" w14:textId="77777777" w:rsidR="00F54C29" w:rsidRPr="00167A1B" w:rsidRDefault="00F54C29" w:rsidP="00F54C29">
      <w:pPr>
        <w:pStyle w:val="bullet1"/>
        <w:rPr>
          <w:noProof w:val="0"/>
        </w:rPr>
      </w:pPr>
      <w:r w:rsidRPr="00167A1B">
        <w:rPr>
          <w:b/>
          <w:bCs/>
          <w:noProof w:val="0"/>
        </w:rPr>
        <w:t>Option 2: Require mobile phones to be compatible with USB charging technology</w:t>
      </w:r>
      <w:r w:rsidRPr="00167A1B">
        <w:rPr>
          <w:noProof w:val="0"/>
        </w:rPr>
        <w:t xml:space="preserve">. This option would regulate to ensure all mobile phones incorporate communication protocols that are compatible with USB specifications, specifically USB Type-C for all mobile phones, as well as USB Power Delivery (PD) for phones that can charge at over 15 W. </w:t>
      </w:r>
      <w:r w:rsidRPr="00167A1B">
        <w:rPr>
          <w:noProof w:val="0"/>
          <w:szCs w:val="22"/>
        </w:rPr>
        <w:t>The inclusion of other (proprietary) charging technology in the phone would be permitted, provided USB PD is used when the phone is connected to a USB PD EPS.</w:t>
      </w:r>
    </w:p>
    <w:p w14:paraId="36E9E74D" w14:textId="77777777" w:rsidR="00F54C29" w:rsidRPr="00167A1B" w:rsidRDefault="00F54C29" w:rsidP="00F54C29">
      <w:pPr>
        <w:pStyle w:val="bullet1"/>
        <w:rPr>
          <w:noProof w:val="0"/>
          <w:szCs w:val="22"/>
        </w:rPr>
      </w:pPr>
      <w:r w:rsidRPr="00167A1B">
        <w:rPr>
          <w:b/>
          <w:bCs/>
          <w:noProof w:val="0"/>
          <w:szCs w:val="22"/>
        </w:rPr>
        <w:t>Option 3: Require EPS for mobile phones to comply with USB interoperability guidelines</w:t>
      </w:r>
      <w:r w:rsidRPr="00167A1B">
        <w:rPr>
          <w:noProof w:val="0"/>
          <w:szCs w:val="22"/>
        </w:rPr>
        <w:t>. This option would regulate to require all EPS for mobile phones to be compliant with USB interoperability specifications and communication methods, specifically the international standard IEC 63002:2021 (publication of which was pending at the time of writing). This requirement would apply to all EPS that are sold along with mobile phones, but not to EPS that are marketed separately.</w:t>
      </w:r>
      <w:r w:rsidRPr="00167A1B">
        <w:rPr>
          <w:rStyle w:val="FootnoteReference"/>
          <w:noProof w:val="0"/>
          <w:sz w:val="22"/>
          <w:szCs w:val="22"/>
        </w:rPr>
        <w:footnoteReference w:id="2"/>
      </w:r>
      <w:r w:rsidRPr="00167A1B">
        <w:rPr>
          <w:noProof w:val="0"/>
          <w:szCs w:val="22"/>
        </w:rPr>
        <w:t xml:space="preserve"> </w:t>
      </w:r>
    </w:p>
    <w:p w14:paraId="465B57BA" w14:textId="77777777" w:rsidR="00F54C29" w:rsidRPr="00167A1B" w:rsidRDefault="00F54C29" w:rsidP="00F54C29">
      <w:pPr>
        <w:pStyle w:val="bullet1"/>
        <w:rPr>
          <w:noProof w:val="0"/>
        </w:rPr>
      </w:pPr>
      <w:r w:rsidRPr="00167A1B">
        <w:rPr>
          <w:b/>
          <w:bCs/>
          <w:noProof w:val="0"/>
        </w:rPr>
        <w:t>Option 4: Mandatory unbundling of chargers from mobile phones</w:t>
      </w:r>
      <w:r w:rsidRPr="00167A1B">
        <w:rPr>
          <w:noProof w:val="0"/>
        </w:rPr>
        <w:t xml:space="preserve">. </w:t>
      </w:r>
      <w:r w:rsidRPr="00167A1B">
        <w:rPr>
          <w:noProof w:val="0"/>
          <w:szCs w:val="22"/>
        </w:rPr>
        <w:t xml:space="preserve">This option would oblige all manufacturers to offer unbundled solutions, i.e. give all customers the option of purchasing a new mobile phone without an EPS (option 4.a), or even without either an EPS or cable (option 4.b). Ideally, the regulation should be drafted </w:t>
      </w:r>
      <w:proofErr w:type="gramStart"/>
      <w:r w:rsidRPr="00167A1B">
        <w:rPr>
          <w:noProof w:val="0"/>
          <w:szCs w:val="22"/>
        </w:rPr>
        <w:t>so as to</w:t>
      </w:r>
      <w:proofErr w:type="gramEnd"/>
      <w:r w:rsidRPr="00167A1B">
        <w:rPr>
          <w:noProof w:val="0"/>
          <w:szCs w:val="22"/>
        </w:rPr>
        <w:t xml:space="preserve"> make the phone </w:t>
      </w:r>
      <w:r w:rsidRPr="00167A1B">
        <w:rPr>
          <w:i/>
          <w:iCs/>
          <w:noProof w:val="0"/>
          <w:szCs w:val="22"/>
        </w:rPr>
        <w:t>without</w:t>
      </w:r>
      <w:r w:rsidRPr="00167A1B">
        <w:rPr>
          <w:noProof w:val="0"/>
          <w:szCs w:val="22"/>
        </w:rPr>
        <w:t xml:space="preserve"> the charging equipment the “default” option. In principle, vendors would be free to offer charging accessories as an optional item at the point of sale, and to price these as they see fit.</w:t>
      </w:r>
    </w:p>
    <w:p w14:paraId="394163D8" w14:textId="77777777" w:rsidR="00F54C29" w:rsidRPr="00167A1B" w:rsidRDefault="00F54C29" w:rsidP="00F54C29">
      <w:pPr>
        <w:pStyle w:val="bullet1"/>
        <w:rPr>
          <w:noProof w:val="0"/>
        </w:rPr>
      </w:pPr>
      <w:r w:rsidRPr="00167A1B">
        <w:rPr>
          <w:b/>
          <w:bCs/>
          <w:noProof w:val="0"/>
        </w:rPr>
        <w:t>Option 5: Voluntary interoperability labelling / information scheme</w:t>
      </w:r>
      <w:r w:rsidRPr="00167A1B">
        <w:rPr>
          <w:noProof w:val="0"/>
        </w:rPr>
        <w:t xml:space="preserve">. </w:t>
      </w:r>
      <w:r w:rsidRPr="00167A1B">
        <w:rPr>
          <w:noProof w:val="0"/>
          <w:szCs w:val="22"/>
        </w:rPr>
        <w:t>This option would entail the creation and promotion of a labelling scheme to signal interoperability of EPS and phones with relevant USB specifications, and thereby to stimulate demand for and supply of unbundled solutions. This is a “soft” (i.e. voluntary) option – compliant / compatible EPS and phones could carry the label, but manufacturers would still be free to use other (proprietary) technologies (and therefore not participate in the scheme).</w:t>
      </w:r>
    </w:p>
    <w:p w14:paraId="1CA0372D" w14:textId="77777777" w:rsidR="00F54C29" w:rsidRPr="00167A1B" w:rsidRDefault="00F54C29" w:rsidP="00F54C29">
      <w:pPr>
        <w:pStyle w:val="BodyText1"/>
        <w:rPr>
          <w:noProof w:val="0"/>
        </w:rPr>
      </w:pPr>
    </w:p>
    <w:p w14:paraId="49718DCB" w14:textId="77777777" w:rsidR="00F54C29" w:rsidRPr="00167A1B" w:rsidRDefault="00F54C29" w:rsidP="00F54C29">
      <w:pPr>
        <w:pStyle w:val="Subtitle10"/>
        <w:rPr>
          <w:noProof w:val="0"/>
        </w:rPr>
      </w:pPr>
      <w:r w:rsidRPr="00167A1B">
        <w:rPr>
          <w:noProof w:val="0"/>
        </w:rPr>
        <w:t>Assessment and comparison of impacts</w:t>
      </w:r>
    </w:p>
    <w:p w14:paraId="2459736C" w14:textId="77777777" w:rsidR="00F54C29" w:rsidRPr="00167A1B" w:rsidRDefault="00F54C29" w:rsidP="00F54C29">
      <w:pPr>
        <w:pStyle w:val="BodyText1"/>
        <w:rPr>
          <w:noProof w:val="0"/>
        </w:rPr>
      </w:pPr>
      <w:r w:rsidRPr="00167A1B">
        <w:rPr>
          <w:noProof w:val="0"/>
        </w:rPr>
        <w:t xml:space="preserve">The summary table below shows the impacts of the individual policy options, applied to mobile phones only, relative to the baseline. To facilitate comparison, a multi-criteria analysis (MCA) approach has been used, which has converted the impacts for which the study is able to provide quantified estimates (all of the environmental and some of the economic impacts) as </w:t>
      </w:r>
      <w:r w:rsidRPr="00167A1B">
        <w:rPr>
          <w:noProof w:val="0"/>
        </w:rPr>
        <w:lastRenderedPageBreak/>
        <w:t>well as the ones that were assessed qualitatively (the social and remaining economic impacts) into a common “currency” (from a “major positive” to a “major negative” impact).</w:t>
      </w:r>
    </w:p>
    <w:p w14:paraId="16ADC570" w14:textId="77777777" w:rsidR="00F54C29" w:rsidRPr="00167A1B" w:rsidRDefault="00F54C29" w:rsidP="00F54C29">
      <w:pPr>
        <w:pStyle w:val="BodyText1"/>
        <w:rPr>
          <w:noProof w:val="0"/>
        </w:rPr>
      </w:pPr>
    </w:p>
    <w:p w14:paraId="237C0CF1" w14:textId="4F909E53" w:rsidR="00F54C29" w:rsidRPr="00167A1B" w:rsidRDefault="00F54C29" w:rsidP="00F54C29">
      <w:pPr>
        <w:pStyle w:val="Caption"/>
      </w:pPr>
      <w:r w:rsidRPr="00167A1B">
        <w:t xml:space="preserve">Table </w:t>
      </w:r>
      <w:r w:rsidRPr="00167A1B">
        <w:fldChar w:fldCharType="begin"/>
      </w:r>
      <w:r w:rsidRPr="00167A1B">
        <w:instrText xml:space="preserve"> SEQ Table \* ARABIC </w:instrText>
      </w:r>
      <w:r w:rsidRPr="00167A1B">
        <w:fldChar w:fldCharType="separate"/>
      </w:r>
      <w:r w:rsidR="00953106" w:rsidRPr="00167A1B">
        <w:t>1</w:t>
      </w:r>
      <w:r w:rsidRPr="00167A1B">
        <w:fldChar w:fldCharType="end"/>
      </w:r>
      <w:r w:rsidRPr="00167A1B">
        <w:t xml:space="preserve">: Summary of the main impacts of the policy options </w:t>
      </w:r>
    </w:p>
    <w:tbl>
      <w:tblPr>
        <w:tblStyle w:val="TableGridLight11"/>
        <w:tblW w:w="9628" w:type="dxa"/>
        <w:tblInd w:w="0" w:type="dxa"/>
        <w:tblLayout w:type="fixed"/>
        <w:tblCellMar>
          <w:top w:w="57" w:type="dxa"/>
          <w:left w:w="57" w:type="dxa"/>
          <w:bottom w:w="57" w:type="dxa"/>
          <w:right w:w="57" w:type="dxa"/>
        </w:tblCellMar>
        <w:tblLook w:val="04A0" w:firstRow="1" w:lastRow="0" w:firstColumn="1" w:lastColumn="0" w:noHBand="0" w:noVBand="1"/>
      </w:tblPr>
      <w:tblGrid>
        <w:gridCol w:w="988"/>
        <w:gridCol w:w="2313"/>
        <w:gridCol w:w="1054"/>
        <w:gridCol w:w="1055"/>
        <w:gridCol w:w="1054"/>
        <w:gridCol w:w="1055"/>
        <w:gridCol w:w="1054"/>
        <w:gridCol w:w="1055"/>
      </w:tblGrid>
      <w:tr w:rsidR="00F54C29" w:rsidRPr="00167A1B" w14:paraId="4AADCA72" w14:textId="77777777" w:rsidTr="009D260B">
        <w:trPr>
          <w:tblHeader/>
        </w:trPr>
        <w:tc>
          <w:tcPr>
            <w:tcW w:w="3301" w:type="dxa"/>
            <w:gridSpan w:val="2"/>
            <w:vMerge w:val="restart"/>
          </w:tcPr>
          <w:p w14:paraId="69093651" w14:textId="77777777" w:rsidR="00F54C29" w:rsidRPr="00167A1B" w:rsidRDefault="00F54C29" w:rsidP="009D260B">
            <w:pPr>
              <w:spacing w:after="0"/>
              <w:jc w:val="left"/>
              <w:rPr>
                <w:b/>
                <w:bCs/>
                <w:sz w:val="18"/>
                <w:szCs w:val="18"/>
              </w:rPr>
            </w:pPr>
            <w:r w:rsidRPr="00167A1B">
              <w:rPr>
                <w:b/>
                <w:bCs/>
                <w:sz w:val="18"/>
                <w:szCs w:val="18"/>
              </w:rPr>
              <w:t>Impacts</w:t>
            </w:r>
          </w:p>
        </w:tc>
        <w:tc>
          <w:tcPr>
            <w:tcW w:w="1054" w:type="dxa"/>
          </w:tcPr>
          <w:p w14:paraId="2175A72E" w14:textId="77777777" w:rsidR="00F54C29" w:rsidRPr="00167A1B" w:rsidRDefault="00F54C29" w:rsidP="009D260B">
            <w:pPr>
              <w:spacing w:after="0"/>
              <w:jc w:val="center"/>
              <w:rPr>
                <w:b/>
                <w:bCs/>
                <w:sz w:val="18"/>
                <w:szCs w:val="18"/>
              </w:rPr>
            </w:pPr>
            <w:r w:rsidRPr="00167A1B">
              <w:rPr>
                <w:b/>
                <w:bCs/>
                <w:sz w:val="18"/>
                <w:szCs w:val="18"/>
              </w:rPr>
              <w:t>Option 1</w:t>
            </w:r>
          </w:p>
        </w:tc>
        <w:tc>
          <w:tcPr>
            <w:tcW w:w="1055" w:type="dxa"/>
          </w:tcPr>
          <w:p w14:paraId="399B5CD0" w14:textId="77777777" w:rsidR="00F54C29" w:rsidRPr="00167A1B" w:rsidRDefault="00F54C29" w:rsidP="009D260B">
            <w:pPr>
              <w:spacing w:after="0"/>
              <w:jc w:val="center"/>
              <w:rPr>
                <w:b/>
                <w:bCs/>
                <w:sz w:val="18"/>
                <w:szCs w:val="18"/>
              </w:rPr>
            </w:pPr>
            <w:r w:rsidRPr="00167A1B">
              <w:rPr>
                <w:b/>
                <w:bCs/>
                <w:sz w:val="18"/>
                <w:szCs w:val="18"/>
              </w:rPr>
              <w:t>Option 2</w:t>
            </w:r>
          </w:p>
        </w:tc>
        <w:tc>
          <w:tcPr>
            <w:tcW w:w="1054" w:type="dxa"/>
          </w:tcPr>
          <w:p w14:paraId="18446DE2" w14:textId="77777777" w:rsidR="00F54C29" w:rsidRPr="00167A1B" w:rsidRDefault="00F54C29" w:rsidP="009D260B">
            <w:pPr>
              <w:spacing w:after="0"/>
              <w:jc w:val="center"/>
              <w:rPr>
                <w:b/>
                <w:bCs/>
                <w:sz w:val="18"/>
                <w:szCs w:val="18"/>
              </w:rPr>
            </w:pPr>
            <w:r w:rsidRPr="00167A1B">
              <w:rPr>
                <w:b/>
                <w:bCs/>
                <w:sz w:val="18"/>
                <w:szCs w:val="18"/>
              </w:rPr>
              <w:t>Option 3</w:t>
            </w:r>
          </w:p>
        </w:tc>
        <w:tc>
          <w:tcPr>
            <w:tcW w:w="1055" w:type="dxa"/>
          </w:tcPr>
          <w:p w14:paraId="1438342C" w14:textId="77777777" w:rsidR="00F54C29" w:rsidRPr="00167A1B" w:rsidRDefault="00F54C29" w:rsidP="009D260B">
            <w:pPr>
              <w:spacing w:after="0"/>
              <w:jc w:val="center"/>
              <w:rPr>
                <w:b/>
                <w:bCs/>
                <w:sz w:val="18"/>
                <w:szCs w:val="18"/>
              </w:rPr>
            </w:pPr>
            <w:r w:rsidRPr="00167A1B">
              <w:rPr>
                <w:b/>
                <w:bCs/>
                <w:sz w:val="18"/>
                <w:szCs w:val="18"/>
              </w:rPr>
              <w:t xml:space="preserve">Option </w:t>
            </w:r>
            <w:proofErr w:type="gramStart"/>
            <w:r w:rsidRPr="00167A1B">
              <w:rPr>
                <w:b/>
                <w:bCs/>
                <w:sz w:val="18"/>
                <w:szCs w:val="18"/>
              </w:rPr>
              <w:t>4.a</w:t>
            </w:r>
            <w:proofErr w:type="gramEnd"/>
          </w:p>
        </w:tc>
        <w:tc>
          <w:tcPr>
            <w:tcW w:w="1054" w:type="dxa"/>
          </w:tcPr>
          <w:p w14:paraId="4B3630E2" w14:textId="77777777" w:rsidR="00F54C29" w:rsidRPr="00167A1B" w:rsidRDefault="00F54C29" w:rsidP="009D260B">
            <w:pPr>
              <w:spacing w:after="0"/>
              <w:jc w:val="center"/>
              <w:rPr>
                <w:b/>
                <w:bCs/>
                <w:sz w:val="18"/>
                <w:szCs w:val="18"/>
              </w:rPr>
            </w:pPr>
            <w:r w:rsidRPr="00167A1B">
              <w:rPr>
                <w:b/>
                <w:bCs/>
                <w:sz w:val="18"/>
                <w:szCs w:val="18"/>
              </w:rPr>
              <w:t xml:space="preserve">Option </w:t>
            </w:r>
            <w:proofErr w:type="gramStart"/>
            <w:r w:rsidRPr="00167A1B">
              <w:rPr>
                <w:b/>
                <w:bCs/>
                <w:sz w:val="18"/>
                <w:szCs w:val="18"/>
              </w:rPr>
              <w:t>4.b</w:t>
            </w:r>
            <w:proofErr w:type="gramEnd"/>
          </w:p>
        </w:tc>
        <w:tc>
          <w:tcPr>
            <w:tcW w:w="1055" w:type="dxa"/>
          </w:tcPr>
          <w:p w14:paraId="78FE3114" w14:textId="77777777" w:rsidR="00F54C29" w:rsidRPr="00167A1B" w:rsidRDefault="00F54C29" w:rsidP="009D260B">
            <w:pPr>
              <w:spacing w:after="0"/>
              <w:jc w:val="center"/>
              <w:rPr>
                <w:b/>
                <w:bCs/>
                <w:sz w:val="18"/>
                <w:szCs w:val="18"/>
              </w:rPr>
            </w:pPr>
            <w:r w:rsidRPr="00167A1B">
              <w:rPr>
                <w:b/>
                <w:bCs/>
                <w:sz w:val="18"/>
                <w:szCs w:val="18"/>
              </w:rPr>
              <w:t>Option 5</w:t>
            </w:r>
          </w:p>
        </w:tc>
      </w:tr>
      <w:tr w:rsidR="00F54C29" w:rsidRPr="00167A1B" w14:paraId="15CF1F19" w14:textId="77777777" w:rsidTr="009D260B">
        <w:tc>
          <w:tcPr>
            <w:tcW w:w="3301" w:type="dxa"/>
            <w:gridSpan w:val="2"/>
            <w:vMerge/>
          </w:tcPr>
          <w:p w14:paraId="083C4CC3" w14:textId="77777777" w:rsidR="00F54C29" w:rsidRPr="00167A1B" w:rsidRDefault="00F54C29" w:rsidP="009D260B">
            <w:pPr>
              <w:spacing w:after="0"/>
              <w:jc w:val="left"/>
              <w:rPr>
                <w:sz w:val="18"/>
                <w:szCs w:val="18"/>
              </w:rPr>
            </w:pPr>
          </w:p>
        </w:tc>
        <w:tc>
          <w:tcPr>
            <w:tcW w:w="1054" w:type="dxa"/>
          </w:tcPr>
          <w:p w14:paraId="0C59840C" w14:textId="77777777" w:rsidR="00F54C29" w:rsidRPr="00167A1B" w:rsidRDefault="00F54C29" w:rsidP="009D260B">
            <w:pPr>
              <w:spacing w:after="0"/>
              <w:jc w:val="center"/>
              <w:rPr>
                <w:sz w:val="18"/>
                <w:szCs w:val="18"/>
              </w:rPr>
            </w:pPr>
            <w:r w:rsidRPr="00167A1B">
              <w:rPr>
                <w:sz w:val="18"/>
                <w:szCs w:val="18"/>
              </w:rPr>
              <w:t>Harmonise connectors on mobile phones</w:t>
            </w:r>
          </w:p>
        </w:tc>
        <w:tc>
          <w:tcPr>
            <w:tcW w:w="1055" w:type="dxa"/>
          </w:tcPr>
          <w:p w14:paraId="612B8478" w14:textId="77777777" w:rsidR="00F54C29" w:rsidRPr="00167A1B" w:rsidRDefault="00F54C29" w:rsidP="009D260B">
            <w:pPr>
              <w:spacing w:after="0"/>
              <w:jc w:val="center"/>
              <w:rPr>
                <w:sz w:val="18"/>
                <w:szCs w:val="18"/>
              </w:rPr>
            </w:pPr>
            <w:r w:rsidRPr="00167A1B">
              <w:rPr>
                <w:sz w:val="18"/>
                <w:szCs w:val="18"/>
              </w:rPr>
              <w:t>Require phones to be compatible with USB technology</w:t>
            </w:r>
          </w:p>
        </w:tc>
        <w:tc>
          <w:tcPr>
            <w:tcW w:w="1054" w:type="dxa"/>
          </w:tcPr>
          <w:p w14:paraId="5D85CDB4" w14:textId="77777777" w:rsidR="00F54C29" w:rsidRPr="00167A1B" w:rsidRDefault="00F54C29" w:rsidP="009D260B">
            <w:pPr>
              <w:spacing w:after="0"/>
              <w:jc w:val="center"/>
              <w:rPr>
                <w:sz w:val="18"/>
                <w:szCs w:val="18"/>
              </w:rPr>
            </w:pPr>
            <w:r w:rsidRPr="00167A1B">
              <w:rPr>
                <w:sz w:val="18"/>
                <w:szCs w:val="18"/>
              </w:rPr>
              <w:t>Require EPS for phones to comply with USB interop. guidelines</w:t>
            </w:r>
          </w:p>
        </w:tc>
        <w:tc>
          <w:tcPr>
            <w:tcW w:w="1055" w:type="dxa"/>
          </w:tcPr>
          <w:p w14:paraId="7131519F" w14:textId="77777777" w:rsidR="00F54C29" w:rsidRPr="00167A1B" w:rsidRDefault="00F54C29" w:rsidP="009D260B">
            <w:pPr>
              <w:spacing w:after="0"/>
              <w:jc w:val="center"/>
              <w:rPr>
                <w:sz w:val="18"/>
                <w:szCs w:val="18"/>
              </w:rPr>
            </w:pPr>
            <w:r w:rsidRPr="00167A1B">
              <w:rPr>
                <w:sz w:val="18"/>
                <w:szCs w:val="18"/>
              </w:rPr>
              <w:t>Mandatory unbundling of EPS</w:t>
            </w:r>
          </w:p>
        </w:tc>
        <w:tc>
          <w:tcPr>
            <w:tcW w:w="1054" w:type="dxa"/>
          </w:tcPr>
          <w:p w14:paraId="0C153BCC" w14:textId="77777777" w:rsidR="00F54C29" w:rsidRPr="00167A1B" w:rsidRDefault="00F54C29" w:rsidP="009D260B">
            <w:pPr>
              <w:spacing w:after="0"/>
              <w:jc w:val="center"/>
              <w:rPr>
                <w:sz w:val="18"/>
                <w:szCs w:val="18"/>
              </w:rPr>
            </w:pPr>
            <w:r w:rsidRPr="00167A1B">
              <w:rPr>
                <w:sz w:val="18"/>
                <w:szCs w:val="18"/>
              </w:rPr>
              <w:t>Mandatory unbundling of EPS and Cable</w:t>
            </w:r>
          </w:p>
        </w:tc>
        <w:tc>
          <w:tcPr>
            <w:tcW w:w="1055" w:type="dxa"/>
          </w:tcPr>
          <w:p w14:paraId="25A3BE7A" w14:textId="77777777" w:rsidR="00F54C29" w:rsidRPr="00167A1B" w:rsidRDefault="00F54C29" w:rsidP="009D260B">
            <w:pPr>
              <w:spacing w:after="0"/>
              <w:jc w:val="center"/>
              <w:rPr>
                <w:sz w:val="18"/>
                <w:szCs w:val="18"/>
              </w:rPr>
            </w:pPr>
            <w:r w:rsidRPr="00167A1B">
              <w:rPr>
                <w:sz w:val="18"/>
                <w:szCs w:val="18"/>
              </w:rPr>
              <w:t>Interopera-bility labelling / information scheme</w:t>
            </w:r>
          </w:p>
        </w:tc>
      </w:tr>
      <w:tr w:rsidR="00F54C29" w:rsidRPr="00167A1B" w14:paraId="5ABF830A" w14:textId="77777777" w:rsidTr="009D260B">
        <w:trPr>
          <w:trHeight w:val="414"/>
        </w:trPr>
        <w:tc>
          <w:tcPr>
            <w:tcW w:w="988" w:type="dxa"/>
            <w:vMerge w:val="restart"/>
          </w:tcPr>
          <w:p w14:paraId="45E8AE37" w14:textId="77777777" w:rsidR="00F54C29" w:rsidRPr="00167A1B" w:rsidRDefault="00F54C29" w:rsidP="009D260B">
            <w:pPr>
              <w:spacing w:after="0"/>
              <w:jc w:val="left"/>
              <w:rPr>
                <w:b/>
                <w:bCs/>
                <w:sz w:val="18"/>
                <w:szCs w:val="18"/>
              </w:rPr>
            </w:pPr>
            <w:r w:rsidRPr="00167A1B">
              <w:rPr>
                <w:b/>
                <w:bCs/>
                <w:sz w:val="18"/>
                <w:szCs w:val="18"/>
              </w:rPr>
              <w:t>Environ-mental</w:t>
            </w:r>
          </w:p>
        </w:tc>
        <w:tc>
          <w:tcPr>
            <w:tcW w:w="2313" w:type="dxa"/>
            <w:vAlign w:val="center"/>
          </w:tcPr>
          <w:p w14:paraId="0A704D4C" w14:textId="77777777" w:rsidR="00F54C29" w:rsidRPr="00167A1B" w:rsidRDefault="00F54C29" w:rsidP="009D260B">
            <w:pPr>
              <w:spacing w:after="0"/>
              <w:jc w:val="left"/>
              <w:rPr>
                <w:sz w:val="18"/>
                <w:szCs w:val="18"/>
              </w:rPr>
            </w:pPr>
            <w:r w:rsidRPr="00167A1B">
              <w:rPr>
                <w:sz w:val="18"/>
                <w:szCs w:val="18"/>
              </w:rPr>
              <w:t>GHG emissions</w:t>
            </w:r>
          </w:p>
        </w:tc>
        <w:tc>
          <w:tcPr>
            <w:tcW w:w="1054" w:type="dxa"/>
            <w:shd w:val="clear" w:color="auto" w:fill="FAE1DC"/>
            <w:vAlign w:val="center"/>
          </w:tcPr>
          <w:p w14:paraId="115223DF" w14:textId="77777777" w:rsidR="00F54C29" w:rsidRPr="00167A1B" w:rsidRDefault="00F54C29" w:rsidP="009D260B">
            <w:pPr>
              <w:spacing w:after="0"/>
              <w:jc w:val="center"/>
              <w:rPr>
                <w:sz w:val="18"/>
                <w:szCs w:val="18"/>
              </w:rPr>
            </w:pPr>
            <w:r w:rsidRPr="00167A1B">
              <w:rPr>
                <w:sz w:val="18"/>
                <w:szCs w:val="18"/>
              </w:rPr>
              <w:t>0/-</w:t>
            </w:r>
          </w:p>
        </w:tc>
        <w:tc>
          <w:tcPr>
            <w:tcW w:w="1055" w:type="dxa"/>
            <w:shd w:val="clear" w:color="auto" w:fill="CDF7E9"/>
            <w:vAlign w:val="center"/>
          </w:tcPr>
          <w:p w14:paraId="1736CB86" w14:textId="77777777" w:rsidR="00F54C29" w:rsidRPr="00167A1B" w:rsidRDefault="00F54C29" w:rsidP="009D260B">
            <w:pPr>
              <w:spacing w:after="0"/>
              <w:jc w:val="center"/>
              <w:rPr>
                <w:sz w:val="18"/>
                <w:szCs w:val="18"/>
              </w:rPr>
            </w:pPr>
            <w:r w:rsidRPr="00167A1B">
              <w:rPr>
                <w:sz w:val="18"/>
                <w:szCs w:val="18"/>
              </w:rPr>
              <w:t>0/+</w:t>
            </w:r>
          </w:p>
        </w:tc>
        <w:tc>
          <w:tcPr>
            <w:tcW w:w="1054" w:type="dxa"/>
            <w:shd w:val="clear" w:color="auto" w:fill="FAE1DC"/>
            <w:vAlign w:val="center"/>
          </w:tcPr>
          <w:p w14:paraId="2C2A9F49" w14:textId="77777777" w:rsidR="00F54C29" w:rsidRPr="00167A1B" w:rsidRDefault="00F54C29" w:rsidP="009D260B">
            <w:pPr>
              <w:spacing w:after="0"/>
              <w:jc w:val="center"/>
              <w:rPr>
                <w:sz w:val="18"/>
                <w:szCs w:val="18"/>
              </w:rPr>
            </w:pPr>
            <w:r w:rsidRPr="00167A1B">
              <w:rPr>
                <w:sz w:val="18"/>
                <w:szCs w:val="18"/>
              </w:rPr>
              <w:t>0/-</w:t>
            </w:r>
          </w:p>
        </w:tc>
        <w:tc>
          <w:tcPr>
            <w:tcW w:w="1055" w:type="dxa"/>
            <w:shd w:val="clear" w:color="auto" w:fill="69E7BD"/>
            <w:vAlign w:val="center"/>
          </w:tcPr>
          <w:p w14:paraId="7A2D718F" w14:textId="77777777" w:rsidR="00F54C29" w:rsidRPr="00167A1B" w:rsidRDefault="00F54C29" w:rsidP="009D260B">
            <w:pPr>
              <w:spacing w:after="0"/>
              <w:jc w:val="center"/>
              <w:rPr>
                <w:sz w:val="18"/>
                <w:szCs w:val="18"/>
              </w:rPr>
            </w:pPr>
            <w:r w:rsidRPr="00167A1B">
              <w:rPr>
                <w:sz w:val="18"/>
                <w:szCs w:val="18"/>
              </w:rPr>
              <w:t>+/++</w:t>
            </w:r>
          </w:p>
        </w:tc>
        <w:tc>
          <w:tcPr>
            <w:tcW w:w="1054" w:type="dxa"/>
            <w:shd w:val="clear" w:color="auto" w:fill="1EC08A" w:themeFill="accent4"/>
            <w:vAlign w:val="center"/>
          </w:tcPr>
          <w:p w14:paraId="3C6A6413" w14:textId="77777777" w:rsidR="00F54C29" w:rsidRPr="00167A1B" w:rsidRDefault="00F54C29" w:rsidP="009D260B">
            <w:pPr>
              <w:spacing w:after="0"/>
              <w:jc w:val="center"/>
              <w:rPr>
                <w:sz w:val="18"/>
                <w:szCs w:val="18"/>
              </w:rPr>
            </w:pPr>
            <w:r w:rsidRPr="00167A1B">
              <w:rPr>
                <w:sz w:val="18"/>
                <w:szCs w:val="18"/>
              </w:rPr>
              <w:t>++</w:t>
            </w:r>
          </w:p>
        </w:tc>
        <w:tc>
          <w:tcPr>
            <w:tcW w:w="1055" w:type="dxa"/>
            <w:shd w:val="clear" w:color="auto" w:fill="CDF7E9"/>
            <w:vAlign w:val="center"/>
          </w:tcPr>
          <w:p w14:paraId="588E00BF" w14:textId="77777777" w:rsidR="00F54C29" w:rsidRPr="00167A1B" w:rsidRDefault="00F54C29" w:rsidP="009D260B">
            <w:pPr>
              <w:spacing w:after="0"/>
              <w:jc w:val="center"/>
              <w:rPr>
                <w:sz w:val="18"/>
                <w:szCs w:val="18"/>
              </w:rPr>
            </w:pPr>
            <w:r w:rsidRPr="00167A1B">
              <w:rPr>
                <w:sz w:val="18"/>
                <w:szCs w:val="18"/>
              </w:rPr>
              <w:t>0/+</w:t>
            </w:r>
          </w:p>
        </w:tc>
      </w:tr>
      <w:tr w:rsidR="00F54C29" w:rsidRPr="00167A1B" w14:paraId="53286C27" w14:textId="77777777" w:rsidTr="009D260B">
        <w:trPr>
          <w:trHeight w:val="414"/>
        </w:trPr>
        <w:tc>
          <w:tcPr>
            <w:tcW w:w="988" w:type="dxa"/>
            <w:vMerge/>
          </w:tcPr>
          <w:p w14:paraId="001306CE" w14:textId="77777777" w:rsidR="00F54C29" w:rsidRPr="00167A1B" w:rsidRDefault="00F54C29" w:rsidP="009D260B">
            <w:pPr>
              <w:spacing w:after="0"/>
              <w:jc w:val="left"/>
              <w:rPr>
                <w:b/>
                <w:bCs/>
                <w:sz w:val="18"/>
                <w:szCs w:val="18"/>
              </w:rPr>
            </w:pPr>
          </w:p>
        </w:tc>
        <w:tc>
          <w:tcPr>
            <w:tcW w:w="2313" w:type="dxa"/>
            <w:vAlign w:val="center"/>
          </w:tcPr>
          <w:p w14:paraId="74F8BD16" w14:textId="77777777" w:rsidR="00F54C29" w:rsidRPr="00167A1B" w:rsidRDefault="00F54C29" w:rsidP="009D260B">
            <w:pPr>
              <w:spacing w:after="0"/>
              <w:jc w:val="left"/>
              <w:rPr>
                <w:sz w:val="18"/>
                <w:szCs w:val="18"/>
              </w:rPr>
            </w:pPr>
            <w:r w:rsidRPr="00167A1B">
              <w:rPr>
                <w:sz w:val="18"/>
                <w:szCs w:val="18"/>
              </w:rPr>
              <w:t>Material use</w:t>
            </w:r>
          </w:p>
        </w:tc>
        <w:tc>
          <w:tcPr>
            <w:tcW w:w="1054" w:type="dxa"/>
            <w:shd w:val="clear" w:color="auto" w:fill="FAE1DC"/>
            <w:vAlign w:val="center"/>
          </w:tcPr>
          <w:p w14:paraId="057AF44D" w14:textId="77777777" w:rsidR="00F54C29" w:rsidRPr="00167A1B" w:rsidRDefault="00F54C29" w:rsidP="009D260B">
            <w:pPr>
              <w:spacing w:after="0"/>
              <w:jc w:val="center"/>
              <w:rPr>
                <w:sz w:val="18"/>
                <w:szCs w:val="18"/>
              </w:rPr>
            </w:pPr>
            <w:r w:rsidRPr="00167A1B">
              <w:rPr>
                <w:sz w:val="18"/>
                <w:szCs w:val="18"/>
              </w:rPr>
              <w:t>0/-</w:t>
            </w:r>
          </w:p>
        </w:tc>
        <w:tc>
          <w:tcPr>
            <w:tcW w:w="1055" w:type="dxa"/>
            <w:shd w:val="clear" w:color="auto" w:fill="CDF7E9"/>
            <w:vAlign w:val="center"/>
          </w:tcPr>
          <w:p w14:paraId="58FAE019" w14:textId="77777777" w:rsidR="00F54C29" w:rsidRPr="00167A1B" w:rsidRDefault="00F54C29" w:rsidP="009D260B">
            <w:pPr>
              <w:spacing w:after="0"/>
              <w:jc w:val="center"/>
              <w:rPr>
                <w:sz w:val="18"/>
                <w:szCs w:val="18"/>
              </w:rPr>
            </w:pPr>
            <w:r w:rsidRPr="00167A1B">
              <w:rPr>
                <w:sz w:val="18"/>
                <w:szCs w:val="18"/>
              </w:rPr>
              <w:t>0/+</w:t>
            </w:r>
          </w:p>
        </w:tc>
        <w:tc>
          <w:tcPr>
            <w:tcW w:w="1054" w:type="dxa"/>
            <w:shd w:val="clear" w:color="auto" w:fill="FAE1DC"/>
            <w:vAlign w:val="center"/>
          </w:tcPr>
          <w:p w14:paraId="2B740CC7" w14:textId="77777777" w:rsidR="00F54C29" w:rsidRPr="00167A1B" w:rsidRDefault="00F54C29" w:rsidP="009D260B">
            <w:pPr>
              <w:spacing w:after="0"/>
              <w:jc w:val="center"/>
              <w:rPr>
                <w:sz w:val="18"/>
                <w:szCs w:val="18"/>
              </w:rPr>
            </w:pPr>
            <w:r w:rsidRPr="00167A1B">
              <w:rPr>
                <w:sz w:val="18"/>
                <w:szCs w:val="18"/>
              </w:rPr>
              <w:t>0/-</w:t>
            </w:r>
          </w:p>
        </w:tc>
        <w:tc>
          <w:tcPr>
            <w:tcW w:w="1055" w:type="dxa"/>
            <w:shd w:val="clear" w:color="auto" w:fill="69E7BD"/>
            <w:vAlign w:val="center"/>
          </w:tcPr>
          <w:p w14:paraId="1E1B0523" w14:textId="77777777" w:rsidR="00F54C29" w:rsidRPr="00167A1B" w:rsidRDefault="00F54C29" w:rsidP="009D260B">
            <w:pPr>
              <w:spacing w:after="0"/>
              <w:jc w:val="center"/>
              <w:rPr>
                <w:sz w:val="18"/>
                <w:szCs w:val="18"/>
              </w:rPr>
            </w:pPr>
            <w:r w:rsidRPr="00167A1B">
              <w:rPr>
                <w:sz w:val="18"/>
                <w:szCs w:val="18"/>
              </w:rPr>
              <w:t>+/++</w:t>
            </w:r>
          </w:p>
        </w:tc>
        <w:tc>
          <w:tcPr>
            <w:tcW w:w="1054" w:type="dxa"/>
            <w:shd w:val="clear" w:color="auto" w:fill="1EC08A"/>
            <w:vAlign w:val="center"/>
          </w:tcPr>
          <w:p w14:paraId="0DA0D733" w14:textId="77777777" w:rsidR="00F54C29" w:rsidRPr="00167A1B" w:rsidRDefault="00F54C29" w:rsidP="009D260B">
            <w:pPr>
              <w:spacing w:after="0"/>
              <w:jc w:val="center"/>
              <w:rPr>
                <w:sz w:val="18"/>
                <w:szCs w:val="18"/>
              </w:rPr>
            </w:pPr>
            <w:r w:rsidRPr="00167A1B">
              <w:rPr>
                <w:sz w:val="18"/>
                <w:szCs w:val="18"/>
              </w:rPr>
              <w:t>++</w:t>
            </w:r>
          </w:p>
        </w:tc>
        <w:tc>
          <w:tcPr>
            <w:tcW w:w="1055" w:type="dxa"/>
            <w:shd w:val="clear" w:color="auto" w:fill="CDF7E9"/>
            <w:vAlign w:val="center"/>
          </w:tcPr>
          <w:p w14:paraId="6E6C7DF1" w14:textId="77777777" w:rsidR="00F54C29" w:rsidRPr="00167A1B" w:rsidRDefault="00F54C29" w:rsidP="009D260B">
            <w:pPr>
              <w:spacing w:after="0"/>
              <w:jc w:val="center"/>
              <w:rPr>
                <w:sz w:val="18"/>
                <w:szCs w:val="18"/>
              </w:rPr>
            </w:pPr>
            <w:r w:rsidRPr="00167A1B">
              <w:rPr>
                <w:sz w:val="18"/>
                <w:szCs w:val="18"/>
              </w:rPr>
              <w:t>0/+</w:t>
            </w:r>
          </w:p>
        </w:tc>
      </w:tr>
      <w:tr w:rsidR="00F54C29" w:rsidRPr="00167A1B" w14:paraId="3B8F6F0D" w14:textId="77777777" w:rsidTr="009D260B">
        <w:trPr>
          <w:trHeight w:val="414"/>
        </w:trPr>
        <w:tc>
          <w:tcPr>
            <w:tcW w:w="988" w:type="dxa"/>
            <w:vMerge/>
          </w:tcPr>
          <w:p w14:paraId="50C9F9B2" w14:textId="77777777" w:rsidR="00F54C29" w:rsidRPr="00167A1B" w:rsidRDefault="00F54C29" w:rsidP="009D260B">
            <w:pPr>
              <w:spacing w:after="0"/>
              <w:jc w:val="left"/>
              <w:rPr>
                <w:b/>
                <w:bCs/>
                <w:sz w:val="18"/>
                <w:szCs w:val="18"/>
              </w:rPr>
            </w:pPr>
          </w:p>
        </w:tc>
        <w:tc>
          <w:tcPr>
            <w:tcW w:w="2313" w:type="dxa"/>
            <w:vAlign w:val="center"/>
          </w:tcPr>
          <w:p w14:paraId="6F7D0039" w14:textId="77777777" w:rsidR="00F54C29" w:rsidRPr="00167A1B" w:rsidRDefault="00F54C29" w:rsidP="009D260B">
            <w:pPr>
              <w:spacing w:after="0"/>
              <w:jc w:val="left"/>
              <w:rPr>
                <w:sz w:val="18"/>
                <w:szCs w:val="18"/>
              </w:rPr>
            </w:pPr>
            <w:r w:rsidRPr="00167A1B">
              <w:rPr>
                <w:sz w:val="18"/>
                <w:szCs w:val="18"/>
              </w:rPr>
              <w:t>Electronic waste</w:t>
            </w:r>
          </w:p>
        </w:tc>
        <w:tc>
          <w:tcPr>
            <w:tcW w:w="1054" w:type="dxa"/>
            <w:shd w:val="clear" w:color="auto" w:fill="FAE1DC"/>
            <w:vAlign w:val="center"/>
          </w:tcPr>
          <w:p w14:paraId="297E6D64" w14:textId="77777777" w:rsidR="00F54C29" w:rsidRPr="00167A1B" w:rsidRDefault="00F54C29" w:rsidP="009D260B">
            <w:pPr>
              <w:spacing w:after="0"/>
              <w:jc w:val="center"/>
              <w:rPr>
                <w:sz w:val="18"/>
                <w:szCs w:val="18"/>
              </w:rPr>
            </w:pPr>
            <w:r w:rsidRPr="00167A1B">
              <w:rPr>
                <w:sz w:val="18"/>
                <w:szCs w:val="18"/>
              </w:rPr>
              <w:t>0/-</w:t>
            </w:r>
          </w:p>
        </w:tc>
        <w:tc>
          <w:tcPr>
            <w:tcW w:w="1055" w:type="dxa"/>
            <w:shd w:val="clear" w:color="auto" w:fill="CDF7E9"/>
            <w:vAlign w:val="center"/>
          </w:tcPr>
          <w:p w14:paraId="72375158" w14:textId="77777777" w:rsidR="00F54C29" w:rsidRPr="00167A1B" w:rsidRDefault="00F54C29" w:rsidP="009D260B">
            <w:pPr>
              <w:spacing w:after="0"/>
              <w:jc w:val="center"/>
              <w:rPr>
                <w:sz w:val="18"/>
                <w:szCs w:val="18"/>
              </w:rPr>
            </w:pPr>
            <w:r w:rsidRPr="00167A1B">
              <w:rPr>
                <w:sz w:val="18"/>
                <w:szCs w:val="18"/>
              </w:rPr>
              <w:t>0/+</w:t>
            </w:r>
          </w:p>
        </w:tc>
        <w:tc>
          <w:tcPr>
            <w:tcW w:w="1054" w:type="dxa"/>
            <w:shd w:val="clear" w:color="auto" w:fill="FAE1DC"/>
            <w:vAlign w:val="center"/>
          </w:tcPr>
          <w:p w14:paraId="4F3889C4" w14:textId="77777777" w:rsidR="00F54C29" w:rsidRPr="00167A1B" w:rsidRDefault="00F54C29" w:rsidP="009D260B">
            <w:pPr>
              <w:spacing w:after="0"/>
              <w:jc w:val="center"/>
              <w:rPr>
                <w:sz w:val="18"/>
                <w:szCs w:val="18"/>
              </w:rPr>
            </w:pPr>
            <w:r w:rsidRPr="00167A1B">
              <w:rPr>
                <w:sz w:val="18"/>
                <w:szCs w:val="18"/>
              </w:rPr>
              <w:t>0/-</w:t>
            </w:r>
          </w:p>
        </w:tc>
        <w:tc>
          <w:tcPr>
            <w:tcW w:w="1055" w:type="dxa"/>
            <w:shd w:val="clear" w:color="auto" w:fill="9BEFD3"/>
            <w:vAlign w:val="center"/>
          </w:tcPr>
          <w:p w14:paraId="4709F427" w14:textId="77777777" w:rsidR="00F54C29" w:rsidRPr="00167A1B" w:rsidRDefault="00F54C29" w:rsidP="009D260B">
            <w:pPr>
              <w:spacing w:after="0"/>
              <w:jc w:val="center"/>
              <w:rPr>
                <w:sz w:val="18"/>
                <w:szCs w:val="18"/>
              </w:rPr>
            </w:pPr>
            <w:r w:rsidRPr="00167A1B">
              <w:rPr>
                <w:sz w:val="18"/>
                <w:szCs w:val="18"/>
              </w:rPr>
              <w:t>+</w:t>
            </w:r>
          </w:p>
        </w:tc>
        <w:tc>
          <w:tcPr>
            <w:tcW w:w="1054" w:type="dxa"/>
            <w:shd w:val="clear" w:color="auto" w:fill="69E7BD"/>
            <w:vAlign w:val="center"/>
          </w:tcPr>
          <w:p w14:paraId="63E84EBD" w14:textId="77777777" w:rsidR="00F54C29" w:rsidRPr="00167A1B" w:rsidRDefault="00F54C29" w:rsidP="009D260B">
            <w:pPr>
              <w:spacing w:after="0"/>
              <w:jc w:val="center"/>
              <w:rPr>
                <w:sz w:val="18"/>
                <w:szCs w:val="18"/>
              </w:rPr>
            </w:pPr>
            <w:r w:rsidRPr="00167A1B">
              <w:rPr>
                <w:sz w:val="18"/>
                <w:szCs w:val="18"/>
              </w:rPr>
              <w:t>+/++</w:t>
            </w:r>
          </w:p>
        </w:tc>
        <w:tc>
          <w:tcPr>
            <w:tcW w:w="1055" w:type="dxa"/>
            <w:shd w:val="clear" w:color="auto" w:fill="CDF7E9"/>
            <w:vAlign w:val="center"/>
          </w:tcPr>
          <w:p w14:paraId="622188F1" w14:textId="77777777" w:rsidR="00F54C29" w:rsidRPr="00167A1B" w:rsidRDefault="00F54C29" w:rsidP="009D260B">
            <w:pPr>
              <w:spacing w:after="0"/>
              <w:jc w:val="center"/>
              <w:rPr>
                <w:sz w:val="18"/>
                <w:szCs w:val="18"/>
              </w:rPr>
            </w:pPr>
            <w:r w:rsidRPr="00167A1B">
              <w:rPr>
                <w:sz w:val="18"/>
                <w:szCs w:val="18"/>
              </w:rPr>
              <w:t>0/+</w:t>
            </w:r>
          </w:p>
        </w:tc>
      </w:tr>
      <w:tr w:rsidR="00F54C29" w:rsidRPr="00167A1B" w14:paraId="07056631" w14:textId="77777777" w:rsidTr="009D260B">
        <w:trPr>
          <w:trHeight w:val="414"/>
        </w:trPr>
        <w:tc>
          <w:tcPr>
            <w:tcW w:w="988" w:type="dxa"/>
            <w:vMerge w:val="restart"/>
          </w:tcPr>
          <w:p w14:paraId="08A415F9" w14:textId="77777777" w:rsidR="00F54C29" w:rsidRPr="00167A1B" w:rsidRDefault="00F54C29" w:rsidP="009D260B">
            <w:pPr>
              <w:spacing w:after="0"/>
              <w:jc w:val="left"/>
              <w:rPr>
                <w:b/>
                <w:bCs/>
                <w:sz w:val="18"/>
                <w:szCs w:val="18"/>
              </w:rPr>
            </w:pPr>
            <w:r w:rsidRPr="00167A1B">
              <w:rPr>
                <w:b/>
                <w:bCs/>
                <w:sz w:val="18"/>
                <w:szCs w:val="18"/>
              </w:rPr>
              <w:t>Economic</w:t>
            </w:r>
          </w:p>
        </w:tc>
        <w:tc>
          <w:tcPr>
            <w:tcW w:w="2313" w:type="dxa"/>
            <w:vAlign w:val="center"/>
          </w:tcPr>
          <w:p w14:paraId="19EBB98A" w14:textId="77777777" w:rsidR="00F54C29" w:rsidRPr="00167A1B" w:rsidRDefault="00F54C29" w:rsidP="009D260B">
            <w:pPr>
              <w:spacing w:after="0"/>
              <w:jc w:val="left"/>
              <w:rPr>
                <w:sz w:val="18"/>
                <w:szCs w:val="18"/>
              </w:rPr>
            </w:pPr>
            <w:r w:rsidRPr="00167A1B">
              <w:rPr>
                <w:sz w:val="18"/>
                <w:szCs w:val="18"/>
              </w:rPr>
              <w:t xml:space="preserve">Cost to consumers </w:t>
            </w:r>
          </w:p>
        </w:tc>
        <w:tc>
          <w:tcPr>
            <w:tcW w:w="1054" w:type="dxa"/>
            <w:shd w:val="clear" w:color="auto" w:fill="69E7BD"/>
            <w:vAlign w:val="center"/>
          </w:tcPr>
          <w:p w14:paraId="0339B2EF" w14:textId="77777777" w:rsidR="00F54C29" w:rsidRPr="00167A1B" w:rsidRDefault="00F54C29" w:rsidP="009D260B">
            <w:pPr>
              <w:spacing w:after="0"/>
              <w:jc w:val="center"/>
              <w:rPr>
                <w:sz w:val="18"/>
                <w:szCs w:val="18"/>
              </w:rPr>
            </w:pPr>
            <w:r w:rsidRPr="00167A1B">
              <w:rPr>
                <w:sz w:val="18"/>
                <w:szCs w:val="18"/>
              </w:rPr>
              <w:t>+/++</w:t>
            </w:r>
          </w:p>
        </w:tc>
        <w:tc>
          <w:tcPr>
            <w:tcW w:w="1055" w:type="dxa"/>
            <w:shd w:val="clear" w:color="auto" w:fill="9BEFD3"/>
            <w:vAlign w:val="center"/>
          </w:tcPr>
          <w:p w14:paraId="57923F75" w14:textId="77777777" w:rsidR="00F54C29" w:rsidRPr="00167A1B" w:rsidRDefault="00F54C29" w:rsidP="009D260B">
            <w:pPr>
              <w:spacing w:after="0"/>
              <w:jc w:val="center"/>
              <w:rPr>
                <w:sz w:val="18"/>
                <w:szCs w:val="18"/>
              </w:rPr>
            </w:pPr>
            <w:r w:rsidRPr="00167A1B">
              <w:rPr>
                <w:sz w:val="18"/>
                <w:szCs w:val="18"/>
              </w:rPr>
              <w:t>+</w:t>
            </w:r>
          </w:p>
        </w:tc>
        <w:tc>
          <w:tcPr>
            <w:tcW w:w="1054" w:type="dxa"/>
            <w:shd w:val="clear" w:color="auto" w:fill="9BEFD3"/>
            <w:vAlign w:val="center"/>
          </w:tcPr>
          <w:p w14:paraId="20995409" w14:textId="77777777" w:rsidR="00F54C29" w:rsidRPr="00167A1B" w:rsidRDefault="00F54C29" w:rsidP="009D260B">
            <w:pPr>
              <w:spacing w:after="0"/>
              <w:jc w:val="center"/>
              <w:rPr>
                <w:sz w:val="18"/>
                <w:szCs w:val="18"/>
              </w:rPr>
            </w:pPr>
            <w:r w:rsidRPr="00167A1B">
              <w:rPr>
                <w:sz w:val="18"/>
                <w:szCs w:val="18"/>
              </w:rPr>
              <w:t>+</w:t>
            </w:r>
          </w:p>
        </w:tc>
        <w:tc>
          <w:tcPr>
            <w:tcW w:w="1055" w:type="dxa"/>
            <w:shd w:val="clear" w:color="auto" w:fill="F5C3B9"/>
            <w:vAlign w:val="center"/>
          </w:tcPr>
          <w:p w14:paraId="3539904C" w14:textId="77777777" w:rsidR="00F54C29" w:rsidRPr="00167A1B" w:rsidRDefault="00F54C29" w:rsidP="009D260B">
            <w:pPr>
              <w:spacing w:after="0"/>
              <w:jc w:val="center"/>
              <w:rPr>
                <w:sz w:val="18"/>
                <w:szCs w:val="18"/>
              </w:rPr>
            </w:pPr>
            <w:r w:rsidRPr="00167A1B">
              <w:rPr>
                <w:sz w:val="18"/>
                <w:szCs w:val="18"/>
              </w:rPr>
              <w:t>-</w:t>
            </w:r>
          </w:p>
        </w:tc>
        <w:tc>
          <w:tcPr>
            <w:tcW w:w="1054" w:type="dxa"/>
            <w:shd w:val="clear" w:color="auto" w:fill="F5C3B9"/>
            <w:vAlign w:val="center"/>
          </w:tcPr>
          <w:p w14:paraId="7C6181D5" w14:textId="77777777" w:rsidR="00F54C29" w:rsidRPr="00167A1B" w:rsidRDefault="00F54C29" w:rsidP="009D260B">
            <w:pPr>
              <w:spacing w:after="0"/>
              <w:jc w:val="center"/>
              <w:rPr>
                <w:sz w:val="18"/>
                <w:szCs w:val="18"/>
              </w:rPr>
            </w:pPr>
            <w:r w:rsidRPr="00167A1B">
              <w:rPr>
                <w:sz w:val="18"/>
                <w:szCs w:val="18"/>
              </w:rPr>
              <w:t>-</w:t>
            </w:r>
          </w:p>
        </w:tc>
        <w:tc>
          <w:tcPr>
            <w:tcW w:w="1055" w:type="dxa"/>
            <w:shd w:val="clear" w:color="auto" w:fill="FAE1DC"/>
            <w:vAlign w:val="center"/>
          </w:tcPr>
          <w:p w14:paraId="43BEBA7F" w14:textId="77777777" w:rsidR="00F54C29" w:rsidRPr="00167A1B" w:rsidRDefault="00F54C29" w:rsidP="009D260B">
            <w:pPr>
              <w:spacing w:after="0"/>
              <w:jc w:val="center"/>
              <w:rPr>
                <w:sz w:val="18"/>
                <w:szCs w:val="18"/>
              </w:rPr>
            </w:pPr>
            <w:r w:rsidRPr="00167A1B">
              <w:rPr>
                <w:sz w:val="18"/>
                <w:szCs w:val="18"/>
              </w:rPr>
              <w:t>0/-</w:t>
            </w:r>
          </w:p>
        </w:tc>
      </w:tr>
      <w:tr w:rsidR="00F54C29" w:rsidRPr="00167A1B" w14:paraId="2EFC2E6D" w14:textId="77777777" w:rsidTr="009D260B">
        <w:trPr>
          <w:trHeight w:val="414"/>
        </w:trPr>
        <w:tc>
          <w:tcPr>
            <w:tcW w:w="988" w:type="dxa"/>
            <w:vMerge/>
          </w:tcPr>
          <w:p w14:paraId="752E2749" w14:textId="77777777" w:rsidR="00F54C29" w:rsidRPr="00167A1B" w:rsidRDefault="00F54C29" w:rsidP="009D260B">
            <w:pPr>
              <w:spacing w:after="0"/>
              <w:jc w:val="left"/>
              <w:rPr>
                <w:b/>
                <w:bCs/>
                <w:sz w:val="18"/>
                <w:szCs w:val="18"/>
              </w:rPr>
            </w:pPr>
          </w:p>
        </w:tc>
        <w:tc>
          <w:tcPr>
            <w:tcW w:w="2313" w:type="dxa"/>
            <w:vAlign w:val="center"/>
          </w:tcPr>
          <w:p w14:paraId="06A61249" w14:textId="77777777" w:rsidR="00F54C29" w:rsidRPr="00167A1B" w:rsidRDefault="00F54C29" w:rsidP="009D260B">
            <w:pPr>
              <w:spacing w:after="0"/>
              <w:jc w:val="left"/>
              <w:rPr>
                <w:sz w:val="18"/>
                <w:szCs w:val="18"/>
              </w:rPr>
            </w:pPr>
            <w:r w:rsidRPr="00167A1B">
              <w:rPr>
                <w:sz w:val="18"/>
                <w:szCs w:val="18"/>
              </w:rPr>
              <w:t xml:space="preserve">Gross profit of manufacturers of chargers </w:t>
            </w:r>
          </w:p>
        </w:tc>
        <w:tc>
          <w:tcPr>
            <w:tcW w:w="1054" w:type="dxa"/>
            <w:shd w:val="clear" w:color="auto" w:fill="F0A697"/>
            <w:vAlign w:val="center"/>
          </w:tcPr>
          <w:p w14:paraId="2C182A40" w14:textId="77777777" w:rsidR="00F54C29" w:rsidRPr="00167A1B" w:rsidRDefault="00F54C29" w:rsidP="009D260B">
            <w:pPr>
              <w:spacing w:after="0"/>
              <w:jc w:val="center"/>
              <w:rPr>
                <w:sz w:val="18"/>
                <w:szCs w:val="18"/>
              </w:rPr>
            </w:pPr>
            <w:r w:rsidRPr="00167A1B">
              <w:rPr>
                <w:sz w:val="18"/>
                <w:szCs w:val="18"/>
              </w:rPr>
              <w:t>-/--</w:t>
            </w:r>
          </w:p>
        </w:tc>
        <w:tc>
          <w:tcPr>
            <w:tcW w:w="1055" w:type="dxa"/>
            <w:shd w:val="clear" w:color="auto" w:fill="FAE1DC"/>
            <w:vAlign w:val="center"/>
          </w:tcPr>
          <w:p w14:paraId="3619A7C7" w14:textId="77777777" w:rsidR="00F54C29" w:rsidRPr="00167A1B" w:rsidRDefault="00F54C29" w:rsidP="009D260B">
            <w:pPr>
              <w:spacing w:after="0"/>
              <w:jc w:val="center"/>
              <w:rPr>
                <w:sz w:val="18"/>
                <w:szCs w:val="18"/>
              </w:rPr>
            </w:pPr>
            <w:r w:rsidRPr="00167A1B">
              <w:rPr>
                <w:sz w:val="18"/>
                <w:szCs w:val="18"/>
              </w:rPr>
              <w:t>0/-</w:t>
            </w:r>
          </w:p>
        </w:tc>
        <w:tc>
          <w:tcPr>
            <w:tcW w:w="1054" w:type="dxa"/>
            <w:shd w:val="clear" w:color="auto" w:fill="FAE1DC"/>
            <w:vAlign w:val="center"/>
          </w:tcPr>
          <w:p w14:paraId="11463E8F" w14:textId="77777777" w:rsidR="00F54C29" w:rsidRPr="00167A1B" w:rsidRDefault="00F54C29" w:rsidP="009D260B">
            <w:pPr>
              <w:spacing w:after="0"/>
              <w:jc w:val="center"/>
              <w:rPr>
                <w:sz w:val="18"/>
                <w:szCs w:val="18"/>
              </w:rPr>
            </w:pPr>
            <w:r w:rsidRPr="00167A1B">
              <w:rPr>
                <w:sz w:val="18"/>
                <w:szCs w:val="18"/>
              </w:rPr>
              <w:t>0/-</w:t>
            </w:r>
          </w:p>
        </w:tc>
        <w:tc>
          <w:tcPr>
            <w:tcW w:w="1055" w:type="dxa"/>
            <w:shd w:val="clear" w:color="auto" w:fill="F5C3B9"/>
            <w:vAlign w:val="center"/>
          </w:tcPr>
          <w:p w14:paraId="4EDAAF71" w14:textId="77777777" w:rsidR="00F54C29" w:rsidRPr="00167A1B" w:rsidRDefault="00F54C29" w:rsidP="009D260B">
            <w:pPr>
              <w:spacing w:after="0"/>
              <w:jc w:val="center"/>
              <w:rPr>
                <w:sz w:val="18"/>
                <w:szCs w:val="18"/>
              </w:rPr>
            </w:pPr>
            <w:r w:rsidRPr="00167A1B">
              <w:rPr>
                <w:sz w:val="18"/>
                <w:szCs w:val="18"/>
              </w:rPr>
              <w:t>-</w:t>
            </w:r>
          </w:p>
        </w:tc>
        <w:tc>
          <w:tcPr>
            <w:tcW w:w="1054" w:type="dxa"/>
            <w:shd w:val="clear" w:color="auto" w:fill="E76C53"/>
            <w:vAlign w:val="center"/>
          </w:tcPr>
          <w:p w14:paraId="3689646F" w14:textId="77777777" w:rsidR="00F54C29" w:rsidRPr="00167A1B" w:rsidRDefault="00F54C29" w:rsidP="009D260B">
            <w:pPr>
              <w:spacing w:after="0"/>
              <w:jc w:val="center"/>
              <w:rPr>
                <w:sz w:val="18"/>
                <w:szCs w:val="18"/>
              </w:rPr>
            </w:pPr>
            <w:r w:rsidRPr="00167A1B">
              <w:rPr>
                <w:sz w:val="18"/>
                <w:szCs w:val="18"/>
              </w:rPr>
              <w:t>--</w:t>
            </w:r>
          </w:p>
        </w:tc>
        <w:tc>
          <w:tcPr>
            <w:tcW w:w="1055" w:type="dxa"/>
            <w:shd w:val="clear" w:color="auto" w:fill="FAE1DC"/>
            <w:vAlign w:val="center"/>
          </w:tcPr>
          <w:p w14:paraId="4FDEBCC2" w14:textId="77777777" w:rsidR="00F54C29" w:rsidRPr="00167A1B" w:rsidRDefault="00F54C29" w:rsidP="009D260B">
            <w:pPr>
              <w:spacing w:after="0"/>
              <w:jc w:val="center"/>
              <w:rPr>
                <w:sz w:val="18"/>
                <w:szCs w:val="18"/>
              </w:rPr>
            </w:pPr>
            <w:r w:rsidRPr="00167A1B">
              <w:rPr>
                <w:sz w:val="18"/>
                <w:szCs w:val="18"/>
              </w:rPr>
              <w:t>0/-</w:t>
            </w:r>
          </w:p>
        </w:tc>
      </w:tr>
      <w:tr w:rsidR="00F54C29" w:rsidRPr="00167A1B" w14:paraId="149B7D8D" w14:textId="77777777" w:rsidTr="009D260B">
        <w:trPr>
          <w:trHeight w:val="104"/>
        </w:trPr>
        <w:tc>
          <w:tcPr>
            <w:tcW w:w="988" w:type="dxa"/>
            <w:vMerge/>
          </w:tcPr>
          <w:p w14:paraId="1B8DDE2C" w14:textId="77777777" w:rsidR="00F54C29" w:rsidRPr="00167A1B" w:rsidRDefault="00F54C29" w:rsidP="009D260B">
            <w:pPr>
              <w:spacing w:after="0"/>
              <w:jc w:val="left"/>
              <w:rPr>
                <w:b/>
                <w:bCs/>
                <w:sz w:val="18"/>
                <w:szCs w:val="18"/>
              </w:rPr>
            </w:pPr>
          </w:p>
        </w:tc>
        <w:tc>
          <w:tcPr>
            <w:tcW w:w="2313" w:type="dxa"/>
            <w:vAlign w:val="center"/>
          </w:tcPr>
          <w:p w14:paraId="2C90F7E8" w14:textId="77777777" w:rsidR="00F54C29" w:rsidRPr="00167A1B" w:rsidRDefault="00F54C29" w:rsidP="009D260B">
            <w:pPr>
              <w:spacing w:after="0"/>
              <w:jc w:val="left"/>
              <w:rPr>
                <w:sz w:val="18"/>
                <w:szCs w:val="18"/>
              </w:rPr>
            </w:pPr>
            <w:r w:rsidRPr="00167A1B">
              <w:rPr>
                <w:sz w:val="18"/>
                <w:szCs w:val="18"/>
              </w:rPr>
              <w:t xml:space="preserve">Gross profit of distributors and retailers </w:t>
            </w:r>
          </w:p>
        </w:tc>
        <w:tc>
          <w:tcPr>
            <w:tcW w:w="1054" w:type="dxa"/>
            <w:shd w:val="clear" w:color="auto" w:fill="F0A697"/>
            <w:vAlign w:val="center"/>
          </w:tcPr>
          <w:p w14:paraId="5083426B" w14:textId="77777777" w:rsidR="00F54C29" w:rsidRPr="00167A1B" w:rsidRDefault="00F54C29" w:rsidP="009D260B">
            <w:pPr>
              <w:spacing w:after="0"/>
              <w:jc w:val="center"/>
              <w:rPr>
                <w:sz w:val="18"/>
                <w:szCs w:val="18"/>
              </w:rPr>
            </w:pPr>
            <w:r w:rsidRPr="00167A1B">
              <w:rPr>
                <w:sz w:val="18"/>
                <w:szCs w:val="18"/>
              </w:rPr>
              <w:t>-/--</w:t>
            </w:r>
          </w:p>
        </w:tc>
        <w:tc>
          <w:tcPr>
            <w:tcW w:w="1055" w:type="dxa"/>
            <w:shd w:val="clear" w:color="auto" w:fill="F5C3B9"/>
            <w:vAlign w:val="center"/>
          </w:tcPr>
          <w:p w14:paraId="5697D31E" w14:textId="77777777" w:rsidR="00F54C29" w:rsidRPr="00167A1B" w:rsidRDefault="00F54C29" w:rsidP="009D260B">
            <w:pPr>
              <w:spacing w:after="0"/>
              <w:jc w:val="center"/>
              <w:rPr>
                <w:sz w:val="18"/>
                <w:szCs w:val="18"/>
              </w:rPr>
            </w:pPr>
            <w:r w:rsidRPr="00167A1B">
              <w:rPr>
                <w:sz w:val="18"/>
                <w:szCs w:val="18"/>
              </w:rPr>
              <w:t>-</w:t>
            </w:r>
          </w:p>
        </w:tc>
        <w:tc>
          <w:tcPr>
            <w:tcW w:w="1054" w:type="dxa"/>
            <w:shd w:val="clear" w:color="auto" w:fill="F5C3B9"/>
            <w:vAlign w:val="center"/>
          </w:tcPr>
          <w:p w14:paraId="198B1458" w14:textId="77777777" w:rsidR="00F54C29" w:rsidRPr="00167A1B" w:rsidRDefault="00F54C29" w:rsidP="009D260B">
            <w:pPr>
              <w:spacing w:after="0"/>
              <w:jc w:val="center"/>
              <w:rPr>
                <w:sz w:val="18"/>
                <w:szCs w:val="18"/>
              </w:rPr>
            </w:pPr>
            <w:r w:rsidRPr="00167A1B">
              <w:rPr>
                <w:sz w:val="18"/>
                <w:szCs w:val="18"/>
              </w:rPr>
              <w:t>-</w:t>
            </w:r>
          </w:p>
        </w:tc>
        <w:tc>
          <w:tcPr>
            <w:tcW w:w="1055" w:type="dxa"/>
            <w:shd w:val="clear" w:color="auto" w:fill="1EC08A"/>
            <w:vAlign w:val="center"/>
          </w:tcPr>
          <w:p w14:paraId="079843C5" w14:textId="77777777" w:rsidR="00F54C29" w:rsidRPr="00167A1B" w:rsidRDefault="00F54C29" w:rsidP="009D260B">
            <w:pPr>
              <w:spacing w:after="0"/>
              <w:jc w:val="center"/>
              <w:rPr>
                <w:sz w:val="18"/>
                <w:szCs w:val="18"/>
              </w:rPr>
            </w:pPr>
            <w:r w:rsidRPr="00167A1B">
              <w:rPr>
                <w:sz w:val="18"/>
                <w:szCs w:val="18"/>
              </w:rPr>
              <w:t>++</w:t>
            </w:r>
          </w:p>
        </w:tc>
        <w:tc>
          <w:tcPr>
            <w:tcW w:w="1054" w:type="dxa"/>
            <w:shd w:val="clear" w:color="auto" w:fill="1EC08A"/>
            <w:vAlign w:val="center"/>
          </w:tcPr>
          <w:p w14:paraId="776CA133" w14:textId="77777777" w:rsidR="00F54C29" w:rsidRPr="00167A1B" w:rsidRDefault="00F54C29" w:rsidP="009D260B">
            <w:pPr>
              <w:spacing w:after="0"/>
              <w:jc w:val="center"/>
              <w:rPr>
                <w:sz w:val="18"/>
                <w:szCs w:val="18"/>
              </w:rPr>
            </w:pPr>
            <w:r w:rsidRPr="00167A1B">
              <w:rPr>
                <w:sz w:val="18"/>
                <w:szCs w:val="18"/>
              </w:rPr>
              <w:t>++</w:t>
            </w:r>
          </w:p>
        </w:tc>
        <w:tc>
          <w:tcPr>
            <w:tcW w:w="1055" w:type="dxa"/>
            <w:shd w:val="clear" w:color="auto" w:fill="FAE1DC"/>
            <w:vAlign w:val="center"/>
          </w:tcPr>
          <w:p w14:paraId="1D710A0E" w14:textId="77777777" w:rsidR="00F54C29" w:rsidRPr="00167A1B" w:rsidRDefault="00F54C29" w:rsidP="009D260B">
            <w:pPr>
              <w:spacing w:after="0"/>
              <w:jc w:val="center"/>
              <w:rPr>
                <w:sz w:val="18"/>
                <w:szCs w:val="18"/>
              </w:rPr>
            </w:pPr>
            <w:r w:rsidRPr="00167A1B">
              <w:rPr>
                <w:sz w:val="18"/>
                <w:szCs w:val="18"/>
              </w:rPr>
              <w:t>0/-</w:t>
            </w:r>
          </w:p>
        </w:tc>
      </w:tr>
      <w:tr w:rsidR="00F54C29" w:rsidRPr="00167A1B" w14:paraId="47909025" w14:textId="77777777" w:rsidTr="009D260B">
        <w:trPr>
          <w:trHeight w:val="20"/>
        </w:trPr>
        <w:tc>
          <w:tcPr>
            <w:tcW w:w="988" w:type="dxa"/>
            <w:vMerge/>
          </w:tcPr>
          <w:p w14:paraId="2C2C421F" w14:textId="77777777" w:rsidR="00F54C29" w:rsidRPr="00167A1B" w:rsidRDefault="00F54C29" w:rsidP="009D260B">
            <w:pPr>
              <w:spacing w:after="0"/>
              <w:jc w:val="left"/>
              <w:rPr>
                <w:b/>
                <w:bCs/>
                <w:sz w:val="18"/>
                <w:szCs w:val="18"/>
              </w:rPr>
            </w:pPr>
          </w:p>
        </w:tc>
        <w:tc>
          <w:tcPr>
            <w:tcW w:w="2313" w:type="dxa"/>
            <w:vAlign w:val="center"/>
          </w:tcPr>
          <w:p w14:paraId="38F16612" w14:textId="77777777" w:rsidR="00F54C29" w:rsidRPr="00167A1B" w:rsidRDefault="00F54C29" w:rsidP="009D260B">
            <w:pPr>
              <w:spacing w:after="0"/>
              <w:jc w:val="left"/>
              <w:rPr>
                <w:sz w:val="18"/>
                <w:szCs w:val="18"/>
              </w:rPr>
            </w:pPr>
            <w:r w:rsidRPr="00167A1B">
              <w:rPr>
                <w:sz w:val="18"/>
                <w:szCs w:val="18"/>
              </w:rPr>
              <w:t>Innovation</w:t>
            </w:r>
          </w:p>
        </w:tc>
        <w:tc>
          <w:tcPr>
            <w:tcW w:w="1054" w:type="dxa"/>
            <w:shd w:val="clear" w:color="auto" w:fill="F5C3B9"/>
            <w:vAlign w:val="center"/>
          </w:tcPr>
          <w:p w14:paraId="1FE58CF8" w14:textId="77777777" w:rsidR="00F54C29" w:rsidRPr="00167A1B" w:rsidRDefault="00F54C29" w:rsidP="009D260B">
            <w:pPr>
              <w:spacing w:after="0"/>
              <w:jc w:val="center"/>
              <w:rPr>
                <w:sz w:val="18"/>
                <w:szCs w:val="18"/>
              </w:rPr>
            </w:pPr>
            <w:r w:rsidRPr="00167A1B">
              <w:rPr>
                <w:sz w:val="18"/>
                <w:szCs w:val="18"/>
              </w:rPr>
              <w:t>-</w:t>
            </w:r>
          </w:p>
        </w:tc>
        <w:tc>
          <w:tcPr>
            <w:tcW w:w="1055" w:type="dxa"/>
            <w:vAlign w:val="center"/>
          </w:tcPr>
          <w:p w14:paraId="445DC40F" w14:textId="77777777" w:rsidR="00F54C29" w:rsidRPr="00167A1B" w:rsidRDefault="00F54C29" w:rsidP="009D260B">
            <w:pPr>
              <w:spacing w:after="0"/>
              <w:jc w:val="center"/>
              <w:rPr>
                <w:sz w:val="18"/>
                <w:szCs w:val="18"/>
              </w:rPr>
            </w:pPr>
            <w:r w:rsidRPr="00167A1B">
              <w:rPr>
                <w:sz w:val="18"/>
                <w:szCs w:val="18"/>
              </w:rPr>
              <w:t>0</w:t>
            </w:r>
          </w:p>
        </w:tc>
        <w:tc>
          <w:tcPr>
            <w:tcW w:w="1054" w:type="dxa"/>
            <w:shd w:val="clear" w:color="auto" w:fill="F0A697"/>
            <w:vAlign w:val="center"/>
          </w:tcPr>
          <w:p w14:paraId="5C37559B" w14:textId="77777777" w:rsidR="00F54C29" w:rsidRPr="00167A1B" w:rsidRDefault="00F54C29" w:rsidP="009D260B">
            <w:pPr>
              <w:spacing w:after="0"/>
              <w:jc w:val="center"/>
              <w:rPr>
                <w:sz w:val="18"/>
                <w:szCs w:val="18"/>
              </w:rPr>
            </w:pPr>
            <w:r w:rsidRPr="00167A1B">
              <w:rPr>
                <w:sz w:val="18"/>
                <w:szCs w:val="18"/>
              </w:rPr>
              <w:t>-/--</w:t>
            </w:r>
          </w:p>
        </w:tc>
        <w:tc>
          <w:tcPr>
            <w:tcW w:w="1055" w:type="dxa"/>
            <w:vAlign w:val="center"/>
          </w:tcPr>
          <w:p w14:paraId="51DBF333" w14:textId="77777777" w:rsidR="00F54C29" w:rsidRPr="00167A1B" w:rsidRDefault="00F54C29" w:rsidP="009D260B">
            <w:pPr>
              <w:spacing w:after="0"/>
              <w:jc w:val="center"/>
              <w:rPr>
                <w:sz w:val="18"/>
                <w:szCs w:val="18"/>
              </w:rPr>
            </w:pPr>
            <w:r w:rsidRPr="00167A1B">
              <w:rPr>
                <w:sz w:val="18"/>
                <w:szCs w:val="18"/>
              </w:rPr>
              <w:t>0</w:t>
            </w:r>
          </w:p>
        </w:tc>
        <w:tc>
          <w:tcPr>
            <w:tcW w:w="1054" w:type="dxa"/>
            <w:vAlign w:val="center"/>
          </w:tcPr>
          <w:p w14:paraId="7E0DC7D6" w14:textId="77777777" w:rsidR="00F54C29" w:rsidRPr="00167A1B" w:rsidRDefault="00F54C29" w:rsidP="009D260B">
            <w:pPr>
              <w:spacing w:after="0"/>
              <w:jc w:val="center"/>
              <w:rPr>
                <w:sz w:val="18"/>
                <w:szCs w:val="18"/>
              </w:rPr>
            </w:pPr>
            <w:r w:rsidRPr="00167A1B">
              <w:rPr>
                <w:sz w:val="18"/>
                <w:szCs w:val="18"/>
              </w:rPr>
              <w:t>0</w:t>
            </w:r>
          </w:p>
        </w:tc>
        <w:tc>
          <w:tcPr>
            <w:tcW w:w="1055" w:type="dxa"/>
            <w:vAlign w:val="center"/>
          </w:tcPr>
          <w:p w14:paraId="71B8548D" w14:textId="77777777" w:rsidR="00F54C29" w:rsidRPr="00167A1B" w:rsidRDefault="00F54C29" w:rsidP="009D260B">
            <w:pPr>
              <w:spacing w:after="0"/>
              <w:jc w:val="center"/>
              <w:rPr>
                <w:sz w:val="18"/>
                <w:szCs w:val="18"/>
              </w:rPr>
            </w:pPr>
            <w:r w:rsidRPr="00167A1B">
              <w:rPr>
                <w:sz w:val="18"/>
                <w:szCs w:val="18"/>
              </w:rPr>
              <w:t>0</w:t>
            </w:r>
          </w:p>
        </w:tc>
      </w:tr>
      <w:tr w:rsidR="00F54C29" w:rsidRPr="00167A1B" w14:paraId="44ECE1AE" w14:textId="77777777" w:rsidTr="009D260B">
        <w:trPr>
          <w:trHeight w:val="20"/>
        </w:trPr>
        <w:tc>
          <w:tcPr>
            <w:tcW w:w="988" w:type="dxa"/>
            <w:vMerge/>
          </w:tcPr>
          <w:p w14:paraId="0FF6BD14" w14:textId="77777777" w:rsidR="00F54C29" w:rsidRPr="00167A1B" w:rsidRDefault="00F54C29" w:rsidP="009D260B">
            <w:pPr>
              <w:spacing w:after="0"/>
              <w:jc w:val="left"/>
              <w:rPr>
                <w:b/>
                <w:bCs/>
                <w:sz w:val="18"/>
                <w:szCs w:val="18"/>
              </w:rPr>
            </w:pPr>
          </w:p>
        </w:tc>
        <w:tc>
          <w:tcPr>
            <w:tcW w:w="2313" w:type="dxa"/>
            <w:vAlign w:val="center"/>
          </w:tcPr>
          <w:p w14:paraId="07C04F62" w14:textId="77777777" w:rsidR="00F54C29" w:rsidRPr="00167A1B" w:rsidRDefault="00F54C29" w:rsidP="009D260B">
            <w:pPr>
              <w:spacing w:after="0"/>
              <w:jc w:val="left"/>
              <w:rPr>
                <w:sz w:val="18"/>
                <w:szCs w:val="18"/>
              </w:rPr>
            </w:pPr>
            <w:r w:rsidRPr="00167A1B">
              <w:rPr>
                <w:sz w:val="18"/>
                <w:szCs w:val="18"/>
              </w:rPr>
              <w:t>Other impacts on competitiveness</w:t>
            </w:r>
          </w:p>
        </w:tc>
        <w:tc>
          <w:tcPr>
            <w:tcW w:w="1054" w:type="dxa"/>
            <w:shd w:val="clear" w:color="auto" w:fill="F5C3B9"/>
            <w:vAlign w:val="center"/>
          </w:tcPr>
          <w:p w14:paraId="77B20F08" w14:textId="77777777" w:rsidR="00F54C29" w:rsidRPr="00167A1B" w:rsidRDefault="00F54C29" w:rsidP="009D260B">
            <w:pPr>
              <w:spacing w:after="0"/>
              <w:jc w:val="center"/>
              <w:rPr>
                <w:sz w:val="18"/>
                <w:szCs w:val="18"/>
              </w:rPr>
            </w:pPr>
            <w:r w:rsidRPr="00167A1B">
              <w:rPr>
                <w:sz w:val="18"/>
                <w:szCs w:val="18"/>
              </w:rPr>
              <w:t>-</w:t>
            </w:r>
          </w:p>
        </w:tc>
        <w:tc>
          <w:tcPr>
            <w:tcW w:w="1055" w:type="dxa"/>
            <w:vAlign w:val="center"/>
          </w:tcPr>
          <w:p w14:paraId="04F79B19" w14:textId="77777777" w:rsidR="00F54C29" w:rsidRPr="00167A1B" w:rsidRDefault="00F54C29" w:rsidP="009D260B">
            <w:pPr>
              <w:spacing w:after="0"/>
              <w:jc w:val="center"/>
              <w:rPr>
                <w:sz w:val="18"/>
                <w:szCs w:val="18"/>
              </w:rPr>
            </w:pPr>
            <w:r w:rsidRPr="00167A1B">
              <w:rPr>
                <w:sz w:val="18"/>
                <w:szCs w:val="18"/>
              </w:rPr>
              <w:t>0</w:t>
            </w:r>
          </w:p>
        </w:tc>
        <w:tc>
          <w:tcPr>
            <w:tcW w:w="1054" w:type="dxa"/>
            <w:shd w:val="clear" w:color="auto" w:fill="FAE1DC"/>
            <w:vAlign w:val="center"/>
          </w:tcPr>
          <w:p w14:paraId="2A05C4DB" w14:textId="77777777" w:rsidR="00F54C29" w:rsidRPr="00167A1B" w:rsidRDefault="00F54C29" w:rsidP="009D260B">
            <w:pPr>
              <w:spacing w:after="0"/>
              <w:jc w:val="center"/>
              <w:rPr>
                <w:sz w:val="18"/>
                <w:szCs w:val="18"/>
              </w:rPr>
            </w:pPr>
            <w:r w:rsidRPr="00167A1B">
              <w:rPr>
                <w:sz w:val="18"/>
                <w:szCs w:val="18"/>
              </w:rPr>
              <w:t>0/-</w:t>
            </w:r>
          </w:p>
        </w:tc>
        <w:tc>
          <w:tcPr>
            <w:tcW w:w="1055" w:type="dxa"/>
            <w:vAlign w:val="center"/>
          </w:tcPr>
          <w:p w14:paraId="3A5DD6EE" w14:textId="77777777" w:rsidR="00F54C29" w:rsidRPr="00167A1B" w:rsidRDefault="00F54C29" w:rsidP="009D260B">
            <w:pPr>
              <w:spacing w:after="0"/>
              <w:jc w:val="center"/>
              <w:rPr>
                <w:sz w:val="18"/>
                <w:szCs w:val="18"/>
              </w:rPr>
            </w:pPr>
            <w:r w:rsidRPr="00167A1B">
              <w:rPr>
                <w:sz w:val="18"/>
                <w:szCs w:val="18"/>
              </w:rPr>
              <w:t>0</w:t>
            </w:r>
          </w:p>
        </w:tc>
        <w:tc>
          <w:tcPr>
            <w:tcW w:w="1054" w:type="dxa"/>
            <w:vAlign w:val="center"/>
          </w:tcPr>
          <w:p w14:paraId="3D0B4C57" w14:textId="77777777" w:rsidR="00F54C29" w:rsidRPr="00167A1B" w:rsidRDefault="00F54C29" w:rsidP="009D260B">
            <w:pPr>
              <w:spacing w:after="0"/>
              <w:jc w:val="center"/>
              <w:rPr>
                <w:sz w:val="18"/>
                <w:szCs w:val="18"/>
              </w:rPr>
            </w:pPr>
            <w:r w:rsidRPr="00167A1B">
              <w:rPr>
                <w:sz w:val="18"/>
                <w:szCs w:val="18"/>
              </w:rPr>
              <w:t>0</w:t>
            </w:r>
          </w:p>
        </w:tc>
        <w:tc>
          <w:tcPr>
            <w:tcW w:w="1055" w:type="dxa"/>
            <w:vAlign w:val="center"/>
          </w:tcPr>
          <w:p w14:paraId="757C8450" w14:textId="77777777" w:rsidR="00F54C29" w:rsidRPr="00167A1B" w:rsidRDefault="00F54C29" w:rsidP="009D260B">
            <w:pPr>
              <w:spacing w:after="0"/>
              <w:jc w:val="center"/>
              <w:rPr>
                <w:sz w:val="18"/>
                <w:szCs w:val="18"/>
              </w:rPr>
            </w:pPr>
            <w:r w:rsidRPr="00167A1B">
              <w:rPr>
                <w:sz w:val="18"/>
                <w:szCs w:val="18"/>
              </w:rPr>
              <w:t>0</w:t>
            </w:r>
          </w:p>
        </w:tc>
      </w:tr>
      <w:tr w:rsidR="00F54C29" w:rsidRPr="00167A1B" w14:paraId="6FC345CA" w14:textId="77777777" w:rsidTr="009D260B">
        <w:trPr>
          <w:trHeight w:val="20"/>
        </w:trPr>
        <w:tc>
          <w:tcPr>
            <w:tcW w:w="988" w:type="dxa"/>
            <w:vMerge/>
          </w:tcPr>
          <w:p w14:paraId="4E9AAA59" w14:textId="77777777" w:rsidR="00F54C29" w:rsidRPr="00167A1B" w:rsidRDefault="00F54C29" w:rsidP="009D260B">
            <w:pPr>
              <w:spacing w:after="0"/>
              <w:jc w:val="left"/>
              <w:rPr>
                <w:b/>
                <w:bCs/>
                <w:sz w:val="18"/>
                <w:szCs w:val="18"/>
              </w:rPr>
            </w:pPr>
          </w:p>
        </w:tc>
        <w:tc>
          <w:tcPr>
            <w:tcW w:w="2313" w:type="dxa"/>
            <w:vAlign w:val="center"/>
          </w:tcPr>
          <w:p w14:paraId="1E8605E1" w14:textId="77777777" w:rsidR="00F54C29" w:rsidRPr="00167A1B" w:rsidRDefault="00F54C29" w:rsidP="009D260B">
            <w:pPr>
              <w:spacing w:after="0"/>
              <w:jc w:val="left"/>
              <w:rPr>
                <w:sz w:val="18"/>
                <w:szCs w:val="18"/>
              </w:rPr>
            </w:pPr>
            <w:r w:rsidRPr="00167A1B">
              <w:rPr>
                <w:sz w:val="18"/>
                <w:szCs w:val="18"/>
              </w:rPr>
              <w:t>Operating costs and conduct of business</w:t>
            </w:r>
          </w:p>
        </w:tc>
        <w:tc>
          <w:tcPr>
            <w:tcW w:w="1054" w:type="dxa"/>
            <w:shd w:val="clear" w:color="auto" w:fill="F5C3B9"/>
            <w:vAlign w:val="center"/>
          </w:tcPr>
          <w:p w14:paraId="169C51A5" w14:textId="77777777" w:rsidR="00F54C29" w:rsidRPr="00167A1B" w:rsidRDefault="00F54C29" w:rsidP="009D260B">
            <w:pPr>
              <w:spacing w:after="0"/>
              <w:jc w:val="center"/>
              <w:rPr>
                <w:sz w:val="18"/>
                <w:szCs w:val="18"/>
              </w:rPr>
            </w:pPr>
            <w:r w:rsidRPr="00167A1B">
              <w:rPr>
                <w:sz w:val="18"/>
                <w:szCs w:val="18"/>
              </w:rPr>
              <w:t>-</w:t>
            </w:r>
          </w:p>
        </w:tc>
        <w:tc>
          <w:tcPr>
            <w:tcW w:w="1055" w:type="dxa"/>
            <w:shd w:val="clear" w:color="auto" w:fill="FAE1DC"/>
            <w:vAlign w:val="center"/>
          </w:tcPr>
          <w:p w14:paraId="05F4F6AB" w14:textId="77777777" w:rsidR="00F54C29" w:rsidRPr="00167A1B" w:rsidRDefault="00F54C29" w:rsidP="009D260B">
            <w:pPr>
              <w:spacing w:after="0"/>
              <w:jc w:val="center"/>
              <w:rPr>
                <w:sz w:val="18"/>
                <w:szCs w:val="18"/>
              </w:rPr>
            </w:pPr>
            <w:r w:rsidRPr="00167A1B">
              <w:rPr>
                <w:sz w:val="18"/>
                <w:szCs w:val="18"/>
              </w:rPr>
              <w:t>0/-</w:t>
            </w:r>
          </w:p>
        </w:tc>
        <w:tc>
          <w:tcPr>
            <w:tcW w:w="1054" w:type="dxa"/>
            <w:shd w:val="clear" w:color="auto" w:fill="F5C3B9"/>
            <w:vAlign w:val="center"/>
          </w:tcPr>
          <w:p w14:paraId="21A7BBCA" w14:textId="77777777" w:rsidR="00F54C29" w:rsidRPr="00167A1B" w:rsidRDefault="00F54C29" w:rsidP="009D260B">
            <w:pPr>
              <w:spacing w:after="0"/>
              <w:jc w:val="center"/>
              <w:rPr>
                <w:sz w:val="18"/>
                <w:szCs w:val="18"/>
              </w:rPr>
            </w:pPr>
            <w:r w:rsidRPr="00167A1B">
              <w:rPr>
                <w:sz w:val="18"/>
                <w:szCs w:val="18"/>
              </w:rPr>
              <w:t>-</w:t>
            </w:r>
          </w:p>
        </w:tc>
        <w:tc>
          <w:tcPr>
            <w:tcW w:w="1055" w:type="dxa"/>
            <w:shd w:val="clear" w:color="auto" w:fill="FAE1DC"/>
            <w:vAlign w:val="center"/>
          </w:tcPr>
          <w:p w14:paraId="3ADBFAAB" w14:textId="77777777" w:rsidR="00F54C29" w:rsidRPr="00167A1B" w:rsidRDefault="00F54C29" w:rsidP="009D260B">
            <w:pPr>
              <w:spacing w:after="0"/>
              <w:jc w:val="center"/>
              <w:rPr>
                <w:sz w:val="18"/>
                <w:szCs w:val="18"/>
              </w:rPr>
            </w:pPr>
            <w:r w:rsidRPr="00167A1B">
              <w:rPr>
                <w:sz w:val="18"/>
                <w:szCs w:val="18"/>
              </w:rPr>
              <w:t>0/-</w:t>
            </w:r>
          </w:p>
        </w:tc>
        <w:tc>
          <w:tcPr>
            <w:tcW w:w="1054" w:type="dxa"/>
            <w:shd w:val="clear" w:color="auto" w:fill="FAE1DC"/>
            <w:vAlign w:val="center"/>
          </w:tcPr>
          <w:p w14:paraId="242C3423" w14:textId="77777777" w:rsidR="00F54C29" w:rsidRPr="00167A1B" w:rsidRDefault="00F54C29" w:rsidP="009D260B">
            <w:pPr>
              <w:spacing w:after="0"/>
              <w:jc w:val="center"/>
              <w:rPr>
                <w:sz w:val="18"/>
                <w:szCs w:val="18"/>
              </w:rPr>
            </w:pPr>
            <w:r w:rsidRPr="00167A1B">
              <w:rPr>
                <w:sz w:val="18"/>
                <w:szCs w:val="18"/>
              </w:rPr>
              <w:t>0/-</w:t>
            </w:r>
          </w:p>
        </w:tc>
        <w:tc>
          <w:tcPr>
            <w:tcW w:w="1055" w:type="dxa"/>
            <w:shd w:val="clear" w:color="auto" w:fill="FAE1DC"/>
            <w:vAlign w:val="center"/>
          </w:tcPr>
          <w:p w14:paraId="4ED8D72A" w14:textId="77777777" w:rsidR="00F54C29" w:rsidRPr="00167A1B" w:rsidRDefault="00F54C29" w:rsidP="009D260B">
            <w:pPr>
              <w:spacing w:after="0"/>
              <w:jc w:val="center"/>
              <w:rPr>
                <w:sz w:val="18"/>
                <w:szCs w:val="18"/>
              </w:rPr>
            </w:pPr>
            <w:r w:rsidRPr="00167A1B">
              <w:rPr>
                <w:sz w:val="18"/>
                <w:szCs w:val="18"/>
              </w:rPr>
              <w:t>0/-</w:t>
            </w:r>
          </w:p>
        </w:tc>
      </w:tr>
      <w:tr w:rsidR="00F54C29" w:rsidRPr="00167A1B" w14:paraId="4EB686DC" w14:textId="77777777" w:rsidTr="009D260B">
        <w:trPr>
          <w:trHeight w:val="414"/>
        </w:trPr>
        <w:tc>
          <w:tcPr>
            <w:tcW w:w="988" w:type="dxa"/>
            <w:vMerge/>
          </w:tcPr>
          <w:p w14:paraId="315946ED" w14:textId="77777777" w:rsidR="00F54C29" w:rsidRPr="00167A1B" w:rsidRDefault="00F54C29" w:rsidP="009D260B">
            <w:pPr>
              <w:spacing w:after="0"/>
              <w:jc w:val="left"/>
              <w:rPr>
                <w:b/>
                <w:bCs/>
                <w:sz w:val="18"/>
                <w:szCs w:val="18"/>
              </w:rPr>
            </w:pPr>
          </w:p>
        </w:tc>
        <w:tc>
          <w:tcPr>
            <w:tcW w:w="2313" w:type="dxa"/>
            <w:vAlign w:val="center"/>
          </w:tcPr>
          <w:p w14:paraId="4902C558" w14:textId="77777777" w:rsidR="00F54C29" w:rsidRPr="00167A1B" w:rsidRDefault="00F54C29" w:rsidP="009D260B">
            <w:pPr>
              <w:spacing w:after="0"/>
              <w:jc w:val="left"/>
              <w:rPr>
                <w:sz w:val="18"/>
                <w:szCs w:val="18"/>
              </w:rPr>
            </w:pPr>
            <w:r w:rsidRPr="00167A1B">
              <w:rPr>
                <w:sz w:val="18"/>
                <w:szCs w:val="18"/>
              </w:rPr>
              <w:t>Costs to public authorities (EU)</w:t>
            </w:r>
          </w:p>
        </w:tc>
        <w:tc>
          <w:tcPr>
            <w:tcW w:w="1054" w:type="dxa"/>
            <w:vAlign w:val="center"/>
          </w:tcPr>
          <w:p w14:paraId="0A59933E" w14:textId="77777777" w:rsidR="00F54C29" w:rsidRPr="00167A1B" w:rsidRDefault="00F54C29" w:rsidP="009D260B">
            <w:pPr>
              <w:spacing w:after="0"/>
              <w:jc w:val="center"/>
              <w:rPr>
                <w:sz w:val="18"/>
                <w:szCs w:val="18"/>
              </w:rPr>
            </w:pPr>
            <w:r w:rsidRPr="00167A1B">
              <w:rPr>
                <w:sz w:val="18"/>
                <w:szCs w:val="18"/>
              </w:rPr>
              <w:t>0</w:t>
            </w:r>
          </w:p>
        </w:tc>
        <w:tc>
          <w:tcPr>
            <w:tcW w:w="1055" w:type="dxa"/>
            <w:vAlign w:val="center"/>
          </w:tcPr>
          <w:p w14:paraId="297275EF" w14:textId="77777777" w:rsidR="00F54C29" w:rsidRPr="00167A1B" w:rsidRDefault="00F54C29" w:rsidP="009D260B">
            <w:pPr>
              <w:spacing w:after="0"/>
              <w:jc w:val="center"/>
              <w:rPr>
                <w:sz w:val="18"/>
                <w:szCs w:val="18"/>
              </w:rPr>
            </w:pPr>
            <w:r w:rsidRPr="00167A1B">
              <w:rPr>
                <w:sz w:val="18"/>
                <w:szCs w:val="18"/>
              </w:rPr>
              <w:t>0</w:t>
            </w:r>
          </w:p>
        </w:tc>
        <w:tc>
          <w:tcPr>
            <w:tcW w:w="1054" w:type="dxa"/>
            <w:vAlign w:val="center"/>
          </w:tcPr>
          <w:p w14:paraId="27232572" w14:textId="77777777" w:rsidR="00F54C29" w:rsidRPr="00167A1B" w:rsidRDefault="00F54C29" w:rsidP="009D260B">
            <w:pPr>
              <w:spacing w:after="0"/>
              <w:jc w:val="center"/>
              <w:rPr>
                <w:sz w:val="18"/>
                <w:szCs w:val="18"/>
              </w:rPr>
            </w:pPr>
            <w:r w:rsidRPr="00167A1B">
              <w:rPr>
                <w:sz w:val="18"/>
                <w:szCs w:val="18"/>
              </w:rPr>
              <w:t>0</w:t>
            </w:r>
          </w:p>
        </w:tc>
        <w:tc>
          <w:tcPr>
            <w:tcW w:w="1055" w:type="dxa"/>
            <w:vAlign w:val="center"/>
          </w:tcPr>
          <w:p w14:paraId="0A60552B" w14:textId="77777777" w:rsidR="00F54C29" w:rsidRPr="00167A1B" w:rsidRDefault="00F54C29" w:rsidP="009D260B">
            <w:pPr>
              <w:spacing w:after="0"/>
              <w:jc w:val="center"/>
              <w:rPr>
                <w:sz w:val="18"/>
                <w:szCs w:val="18"/>
              </w:rPr>
            </w:pPr>
            <w:r w:rsidRPr="00167A1B">
              <w:rPr>
                <w:sz w:val="18"/>
                <w:szCs w:val="18"/>
              </w:rPr>
              <w:t>0</w:t>
            </w:r>
          </w:p>
        </w:tc>
        <w:tc>
          <w:tcPr>
            <w:tcW w:w="1054" w:type="dxa"/>
            <w:vAlign w:val="center"/>
          </w:tcPr>
          <w:p w14:paraId="2CB0026D" w14:textId="77777777" w:rsidR="00F54C29" w:rsidRPr="00167A1B" w:rsidRDefault="00F54C29" w:rsidP="009D260B">
            <w:pPr>
              <w:spacing w:after="0"/>
              <w:jc w:val="center"/>
              <w:rPr>
                <w:sz w:val="18"/>
                <w:szCs w:val="18"/>
              </w:rPr>
            </w:pPr>
            <w:r w:rsidRPr="00167A1B">
              <w:rPr>
                <w:sz w:val="18"/>
                <w:szCs w:val="18"/>
              </w:rPr>
              <w:t>0</w:t>
            </w:r>
          </w:p>
        </w:tc>
        <w:tc>
          <w:tcPr>
            <w:tcW w:w="1055" w:type="dxa"/>
            <w:shd w:val="clear" w:color="auto" w:fill="F0A697"/>
            <w:vAlign w:val="center"/>
          </w:tcPr>
          <w:p w14:paraId="7759E516" w14:textId="77777777" w:rsidR="00F54C29" w:rsidRPr="00167A1B" w:rsidRDefault="00F54C29" w:rsidP="009D260B">
            <w:pPr>
              <w:spacing w:after="0"/>
              <w:jc w:val="center"/>
              <w:rPr>
                <w:sz w:val="18"/>
                <w:szCs w:val="18"/>
              </w:rPr>
            </w:pPr>
            <w:r w:rsidRPr="00167A1B">
              <w:rPr>
                <w:sz w:val="18"/>
                <w:szCs w:val="18"/>
              </w:rPr>
              <w:t>-/--</w:t>
            </w:r>
          </w:p>
        </w:tc>
      </w:tr>
      <w:tr w:rsidR="00F54C29" w:rsidRPr="00167A1B" w14:paraId="71F72F6A" w14:textId="77777777" w:rsidTr="009D260B">
        <w:trPr>
          <w:trHeight w:val="414"/>
        </w:trPr>
        <w:tc>
          <w:tcPr>
            <w:tcW w:w="988" w:type="dxa"/>
            <w:vMerge/>
          </w:tcPr>
          <w:p w14:paraId="4B608827" w14:textId="77777777" w:rsidR="00F54C29" w:rsidRPr="00167A1B" w:rsidRDefault="00F54C29" w:rsidP="009D260B">
            <w:pPr>
              <w:spacing w:after="0"/>
              <w:jc w:val="left"/>
              <w:rPr>
                <w:b/>
                <w:bCs/>
                <w:sz w:val="18"/>
                <w:szCs w:val="18"/>
              </w:rPr>
            </w:pPr>
          </w:p>
        </w:tc>
        <w:tc>
          <w:tcPr>
            <w:tcW w:w="2313" w:type="dxa"/>
            <w:vAlign w:val="center"/>
          </w:tcPr>
          <w:p w14:paraId="51541F07" w14:textId="77777777" w:rsidR="00F54C29" w:rsidRPr="00167A1B" w:rsidRDefault="00F54C29" w:rsidP="009D260B">
            <w:pPr>
              <w:spacing w:after="0"/>
              <w:jc w:val="left"/>
              <w:rPr>
                <w:sz w:val="18"/>
                <w:szCs w:val="18"/>
              </w:rPr>
            </w:pPr>
            <w:r w:rsidRPr="00167A1B">
              <w:rPr>
                <w:sz w:val="18"/>
                <w:szCs w:val="18"/>
              </w:rPr>
              <w:t>Impacts on SMEs (EU)</w:t>
            </w:r>
          </w:p>
        </w:tc>
        <w:tc>
          <w:tcPr>
            <w:tcW w:w="1054" w:type="dxa"/>
            <w:shd w:val="clear" w:color="auto" w:fill="FAE1DC"/>
            <w:vAlign w:val="center"/>
          </w:tcPr>
          <w:p w14:paraId="233727BC" w14:textId="77777777" w:rsidR="00F54C29" w:rsidRPr="00167A1B" w:rsidRDefault="00F54C29" w:rsidP="009D260B">
            <w:pPr>
              <w:spacing w:after="0"/>
              <w:jc w:val="center"/>
              <w:rPr>
                <w:sz w:val="18"/>
                <w:szCs w:val="18"/>
              </w:rPr>
            </w:pPr>
            <w:r w:rsidRPr="00167A1B">
              <w:rPr>
                <w:sz w:val="18"/>
                <w:szCs w:val="18"/>
              </w:rPr>
              <w:t>0/-</w:t>
            </w:r>
          </w:p>
        </w:tc>
        <w:tc>
          <w:tcPr>
            <w:tcW w:w="1055" w:type="dxa"/>
            <w:shd w:val="clear" w:color="auto" w:fill="FAE1DC"/>
            <w:vAlign w:val="center"/>
          </w:tcPr>
          <w:p w14:paraId="15FC291F" w14:textId="77777777" w:rsidR="00F54C29" w:rsidRPr="00167A1B" w:rsidRDefault="00F54C29" w:rsidP="009D260B">
            <w:pPr>
              <w:spacing w:after="0"/>
              <w:jc w:val="center"/>
              <w:rPr>
                <w:sz w:val="18"/>
                <w:szCs w:val="18"/>
              </w:rPr>
            </w:pPr>
            <w:r w:rsidRPr="00167A1B">
              <w:rPr>
                <w:sz w:val="18"/>
                <w:szCs w:val="18"/>
              </w:rPr>
              <w:t>0/-</w:t>
            </w:r>
          </w:p>
        </w:tc>
        <w:tc>
          <w:tcPr>
            <w:tcW w:w="1054" w:type="dxa"/>
            <w:shd w:val="clear" w:color="auto" w:fill="auto"/>
            <w:vAlign w:val="center"/>
          </w:tcPr>
          <w:p w14:paraId="05C24B3A" w14:textId="77777777" w:rsidR="00F54C29" w:rsidRPr="00167A1B" w:rsidRDefault="00F54C29" w:rsidP="009D260B">
            <w:pPr>
              <w:spacing w:after="0"/>
              <w:jc w:val="center"/>
              <w:rPr>
                <w:sz w:val="18"/>
                <w:szCs w:val="18"/>
              </w:rPr>
            </w:pPr>
            <w:r w:rsidRPr="00167A1B">
              <w:rPr>
                <w:sz w:val="18"/>
                <w:szCs w:val="18"/>
              </w:rPr>
              <w:t>0</w:t>
            </w:r>
          </w:p>
        </w:tc>
        <w:tc>
          <w:tcPr>
            <w:tcW w:w="1055" w:type="dxa"/>
            <w:shd w:val="clear" w:color="auto" w:fill="auto"/>
            <w:vAlign w:val="center"/>
          </w:tcPr>
          <w:p w14:paraId="09CCB60F" w14:textId="77777777" w:rsidR="00F54C29" w:rsidRPr="00167A1B" w:rsidRDefault="00F54C29" w:rsidP="009D260B">
            <w:pPr>
              <w:spacing w:after="0"/>
              <w:jc w:val="center"/>
              <w:rPr>
                <w:sz w:val="18"/>
                <w:szCs w:val="18"/>
              </w:rPr>
            </w:pPr>
            <w:r w:rsidRPr="00167A1B">
              <w:rPr>
                <w:sz w:val="18"/>
                <w:szCs w:val="18"/>
              </w:rPr>
              <w:t>0</w:t>
            </w:r>
          </w:p>
        </w:tc>
        <w:tc>
          <w:tcPr>
            <w:tcW w:w="1054" w:type="dxa"/>
            <w:shd w:val="clear" w:color="auto" w:fill="auto"/>
            <w:vAlign w:val="center"/>
          </w:tcPr>
          <w:p w14:paraId="0D710397" w14:textId="77777777" w:rsidR="00F54C29" w:rsidRPr="00167A1B" w:rsidRDefault="00F54C29" w:rsidP="009D260B">
            <w:pPr>
              <w:spacing w:after="0"/>
              <w:jc w:val="center"/>
              <w:rPr>
                <w:sz w:val="18"/>
                <w:szCs w:val="18"/>
              </w:rPr>
            </w:pPr>
            <w:r w:rsidRPr="00167A1B">
              <w:rPr>
                <w:sz w:val="18"/>
                <w:szCs w:val="18"/>
              </w:rPr>
              <w:t>0</w:t>
            </w:r>
          </w:p>
        </w:tc>
        <w:tc>
          <w:tcPr>
            <w:tcW w:w="1055" w:type="dxa"/>
            <w:shd w:val="clear" w:color="auto" w:fill="auto"/>
            <w:vAlign w:val="center"/>
          </w:tcPr>
          <w:p w14:paraId="43A37CCA" w14:textId="77777777" w:rsidR="00F54C29" w:rsidRPr="00167A1B" w:rsidRDefault="00F54C29" w:rsidP="009D260B">
            <w:pPr>
              <w:spacing w:after="0"/>
              <w:jc w:val="center"/>
              <w:rPr>
                <w:sz w:val="18"/>
                <w:szCs w:val="18"/>
              </w:rPr>
            </w:pPr>
            <w:r w:rsidRPr="00167A1B">
              <w:rPr>
                <w:sz w:val="18"/>
                <w:szCs w:val="18"/>
              </w:rPr>
              <w:t>0</w:t>
            </w:r>
          </w:p>
        </w:tc>
      </w:tr>
      <w:tr w:rsidR="00136C56" w:rsidRPr="00167A1B" w14:paraId="7AE51BB7" w14:textId="77777777" w:rsidTr="00AE6FC5">
        <w:trPr>
          <w:trHeight w:val="414"/>
        </w:trPr>
        <w:tc>
          <w:tcPr>
            <w:tcW w:w="988" w:type="dxa"/>
            <w:vMerge w:val="restart"/>
          </w:tcPr>
          <w:p w14:paraId="32E2F423" w14:textId="77777777" w:rsidR="00136C56" w:rsidRPr="00167A1B" w:rsidRDefault="00136C56" w:rsidP="00136C56">
            <w:pPr>
              <w:spacing w:after="0"/>
              <w:jc w:val="left"/>
              <w:rPr>
                <w:b/>
                <w:bCs/>
                <w:sz w:val="18"/>
                <w:szCs w:val="18"/>
              </w:rPr>
            </w:pPr>
            <w:r w:rsidRPr="00167A1B">
              <w:rPr>
                <w:b/>
                <w:bCs/>
                <w:sz w:val="18"/>
                <w:szCs w:val="18"/>
              </w:rPr>
              <w:t>Social</w:t>
            </w:r>
          </w:p>
        </w:tc>
        <w:tc>
          <w:tcPr>
            <w:tcW w:w="2313" w:type="dxa"/>
            <w:vAlign w:val="center"/>
          </w:tcPr>
          <w:p w14:paraId="47BCBBA8" w14:textId="77777777" w:rsidR="00136C56" w:rsidRPr="00167A1B" w:rsidRDefault="00136C56" w:rsidP="00136C56">
            <w:pPr>
              <w:spacing w:after="0"/>
              <w:jc w:val="left"/>
              <w:rPr>
                <w:sz w:val="18"/>
                <w:szCs w:val="18"/>
              </w:rPr>
            </w:pPr>
            <w:r w:rsidRPr="00167A1B">
              <w:rPr>
                <w:sz w:val="18"/>
                <w:szCs w:val="18"/>
              </w:rPr>
              <w:t>Consumer convenience</w:t>
            </w:r>
          </w:p>
        </w:tc>
        <w:tc>
          <w:tcPr>
            <w:tcW w:w="1054" w:type="dxa"/>
            <w:shd w:val="clear" w:color="auto" w:fill="9BEFD3"/>
            <w:vAlign w:val="center"/>
          </w:tcPr>
          <w:p w14:paraId="2E77E6D0" w14:textId="77777777" w:rsidR="00136C56" w:rsidRPr="00167A1B" w:rsidRDefault="00136C56" w:rsidP="00136C56">
            <w:pPr>
              <w:spacing w:after="0"/>
              <w:jc w:val="center"/>
              <w:rPr>
                <w:sz w:val="18"/>
                <w:szCs w:val="18"/>
              </w:rPr>
            </w:pPr>
            <w:r w:rsidRPr="00167A1B">
              <w:rPr>
                <w:sz w:val="18"/>
                <w:szCs w:val="18"/>
              </w:rPr>
              <w:t>+</w:t>
            </w:r>
          </w:p>
        </w:tc>
        <w:tc>
          <w:tcPr>
            <w:tcW w:w="1055" w:type="dxa"/>
            <w:shd w:val="clear" w:color="auto" w:fill="9BEFD3"/>
            <w:vAlign w:val="center"/>
          </w:tcPr>
          <w:p w14:paraId="48DE77AE" w14:textId="77777777" w:rsidR="00136C56" w:rsidRPr="00167A1B" w:rsidRDefault="00136C56" w:rsidP="00136C56">
            <w:pPr>
              <w:spacing w:after="0"/>
              <w:jc w:val="center"/>
              <w:rPr>
                <w:sz w:val="18"/>
                <w:szCs w:val="18"/>
              </w:rPr>
            </w:pPr>
            <w:r w:rsidRPr="00167A1B">
              <w:rPr>
                <w:sz w:val="18"/>
                <w:szCs w:val="18"/>
              </w:rPr>
              <w:t>+</w:t>
            </w:r>
          </w:p>
        </w:tc>
        <w:tc>
          <w:tcPr>
            <w:tcW w:w="1054" w:type="dxa"/>
            <w:shd w:val="clear" w:color="auto" w:fill="9BEFD3"/>
            <w:vAlign w:val="center"/>
          </w:tcPr>
          <w:p w14:paraId="19A217F1" w14:textId="77777777" w:rsidR="00136C56" w:rsidRPr="00167A1B" w:rsidRDefault="00136C56" w:rsidP="00136C56">
            <w:pPr>
              <w:spacing w:after="0"/>
              <w:jc w:val="center"/>
              <w:rPr>
                <w:sz w:val="18"/>
                <w:szCs w:val="18"/>
              </w:rPr>
            </w:pPr>
            <w:r w:rsidRPr="00167A1B">
              <w:rPr>
                <w:sz w:val="18"/>
                <w:szCs w:val="18"/>
              </w:rPr>
              <w:t>+</w:t>
            </w:r>
          </w:p>
        </w:tc>
        <w:tc>
          <w:tcPr>
            <w:tcW w:w="1055" w:type="dxa"/>
            <w:shd w:val="clear" w:color="auto" w:fill="F0A697" w:themeFill="accent1" w:themeFillTint="99"/>
            <w:vAlign w:val="center"/>
          </w:tcPr>
          <w:p w14:paraId="7A7D4832" w14:textId="4C956845" w:rsidR="00136C56" w:rsidRPr="00167A1B" w:rsidRDefault="00136C56" w:rsidP="00136C56">
            <w:pPr>
              <w:spacing w:after="0"/>
              <w:jc w:val="center"/>
              <w:rPr>
                <w:sz w:val="18"/>
                <w:szCs w:val="18"/>
              </w:rPr>
            </w:pPr>
            <w:r w:rsidRPr="00167A1B">
              <w:rPr>
                <w:sz w:val="18"/>
                <w:szCs w:val="18"/>
              </w:rPr>
              <w:t>-/--</w:t>
            </w:r>
          </w:p>
        </w:tc>
        <w:tc>
          <w:tcPr>
            <w:tcW w:w="1054" w:type="dxa"/>
            <w:shd w:val="clear" w:color="auto" w:fill="E76C53"/>
            <w:vAlign w:val="center"/>
          </w:tcPr>
          <w:p w14:paraId="3347A997" w14:textId="77777777" w:rsidR="00136C56" w:rsidRPr="00167A1B" w:rsidRDefault="00136C56" w:rsidP="00136C56">
            <w:pPr>
              <w:spacing w:after="0"/>
              <w:jc w:val="center"/>
              <w:rPr>
                <w:sz w:val="18"/>
                <w:szCs w:val="18"/>
              </w:rPr>
            </w:pPr>
            <w:r w:rsidRPr="00167A1B">
              <w:rPr>
                <w:sz w:val="18"/>
                <w:szCs w:val="18"/>
              </w:rPr>
              <w:t>--</w:t>
            </w:r>
          </w:p>
        </w:tc>
        <w:tc>
          <w:tcPr>
            <w:tcW w:w="1055" w:type="dxa"/>
            <w:shd w:val="clear" w:color="auto" w:fill="9BEFD3"/>
            <w:vAlign w:val="center"/>
          </w:tcPr>
          <w:p w14:paraId="5F41D068" w14:textId="77777777" w:rsidR="00136C56" w:rsidRPr="00167A1B" w:rsidRDefault="00136C56" w:rsidP="00136C56">
            <w:pPr>
              <w:spacing w:after="0"/>
              <w:jc w:val="center"/>
              <w:rPr>
                <w:sz w:val="18"/>
                <w:szCs w:val="18"/>
              </w:rPr>
            </w:pPr>
            <w:r w:rsidRPr="00167A1B">
              <w:rPr>
                <w:sz w:val="18"/>
                <w:szCs w:val="18"/>
              </w:rPr>
              <w:t>+</w:t>
            </w:r>
          </w:p>
        </w:tc>
      </w:tr>
      <w:tr w:rsidR="00136C56" w:rsidRPr="00167A1B" w14:paraId="02192A69" w14:textId="77777777" w:rsidTr="00AE6FC5">
        <w:trPr>
          <w:trHeight w:val="414"/>
        </w:trPr>
        <w:tc>
          <w:tcPr>
            <w:tcW w:w="988" w:type="dxa"/>
            <w:vMerge/>
          </w:tcPr>
          <w:p w14:paraId="426537F0" w14:textId="77777777" w:rsidR="00136C56" w:rsidRPr="00167A1B" w:rsidRDefault="00136C56" w:rsidP="00136C56">
            <w:pPr>
              <w:spacing w:after="0"/>
              <w:jc w:val="left"/>
              <w:rPr>
                <w:sz w:val="18"/>
                <w:szCs w:val="18"/>
              </w:rPr>
            </w:pPr>
          </w:p>
        </w:tc>
        <w:tc>
          <w:tcPr>
            <w:tcW w:w="2313" w:type="dxa"/>
            <w:vAlign w:val="center"/>
          </w:tcPr>
          <w:p w14:paraId="401FC0CA" w14:textId="77777777" w:rsidR="00136C56" w:rsidRPr="00167A1B" w:rsidRDefault="00136C56" w:rsidP="00136C56">
            <w:pPr>
              <w:spacing w:after="0"/>
              <w:jc w:val="left"/>
              <w:rPr>
                <w:sz w:val="18"/>
                <w:szCs w:val="18"/>
              </w:rPr>
            </w:pPr>
            <w:r w:rsidRPr="00167A1B">
              <w:rPr>
                <w:sz w:val="18"/>
                <w:szCs w:val="18"/>
              </w:rPr>
              <w:t>Product safety &amp; illicit markets</w:t>
            </w:r>
          </w:p>
        </w:tc>
        <w:tc>
          <w:tcPr>
            <w:tcW w:w="1054" w:type="dxa"/>
            <w:shd w:val="clear" w:color="auto" w:fill="CDF7E9"/>
            <w:vAlign w:val="center"/>
          </w:tcPr>
          <w:p w14:paraId="1D33CD9E" w14:textId="77777777" w:rsidR="00136C56" w:rsidRPr="00167A1B" w:rsidRDefault="00136C56" w:rsidP="00136C56">
            <w:pPr>
              <w:spacing w:after="0"/>
              <w:jc w:val="center"/>
              <w:rPr>
                <w:sz w:val="18"/>
                <w:szCs w:val="18"/>
              </w:rPr>
            </w:pPr>
            <w:r w:rsidRPr="00167A1B">
              <w:rPr>
                <w:sz w:val="18"/>
                <w:szCs w:val="18"/>
              </w:rPr>
              <w:t>0/+</w:t>
            </w:r>
          </w:p>
        </w:tc>
        <w:tc>
          <w:tcPr>
            <w:tcW w:w="1055" w:type="dxa"/>
            <w:shd w:val="clear" w:color="auto" w:fill="CDF7E9"/>
            <w:vAlign w:val="center"/>
          </w:tcPr>
          <w:p w14:paraId="6763DDC5" w14:textId="77777777" w:rsidR="00136C56" w:rsidRPr="00167A1B" w:rsidRDefault="00136C56" w:rsidP="00136C56">
            <w:pPr>
              <w:spacing w:after="0"/>
              <w:jc w:val="center"/>
              <w:rPr>
                <w:sz w:val="18"/>
                <w:szCs w:val="18"/>
              </w:rPr>
            </w:pPr>
            <w:r w:rsidRPr="00167A1B">
              <w:rPr>
                <w:sz w:val="18"/>
                <w:szCs w:val="18"/>
              </w:rPr>
              <w:t>0/+</w:t>
            </w:r>
          </w:p>
        </w:tc>
        <w:tc>
          <w:tcPr>
            <w:tcW w:w="1054" w:type="dxa"/>
            <w:shd w:val="clear" w:color="auto" w:fill="CDF7E9"/>
            <w:vAlign w:val="center"/>
          </w:tcPr>
          <w:p w14:paraId="7D3FB152" w14:textId="77777777" w:rsidR="00136C56" w:rsidRPr="00167A1B" w:rsidRDefault="00136C56" w:rsidP="00136C56">
            <w:pPr>
              <w:spacing w:after="0"/>
              <w:jc w:val="center"/>
              <w:rPr>
                <w:sz w:val="18"/>
                <w:szCs w:val="18"/>
              </w:rPr>
            </w:pPr>
            <w:r w:rsidRPr="00167A1B">
              <w:rPr>
                <w:sz w:val="18"/>
                <w:szCs w:val="18"/>
              </w:rPr>
              <w:t>0/+</w:t>
            </w:r>
          </w:p>
        </w:tc>
        <w:tc>
          <w:tcPr>
            <w:tcW w:w="1055" w:type="dxa"/>
            <w:shd w:val="clear" w:color="auto" w:fill="F0A697" w:themeFill="accent1" w:themeFillTint="99"/>
            <w:vAlign w:val="center"/>
          </w:tcPr>
          <w:p w14:paraId="0F828011" w14:textId="400EDF6A" w:rsidR="00136C56" w:rsidRPr="00167A1B" w:rsidRDefault="00136C56" w:rsidP="00136C56">
            <w:pPr>
              <w:spacing w:after="0"/>
              <w:jc w:val="center"/>
              <w:rPr>
                <w:sz w:val="18"/>
                <w:szCs w:val="18"/>
              </w:rPr>
            </w:pPr>
            <w:r w:rsidRPr="00167A1B">
              <w:rPr>
                <w:sz w:val="18"/>
                <w:szCs w:val="18"/>
              </w:rPr>
              <w:t>-/--</w:t>
            </w:r>
          </w:p>
        </w:tc>
        <w:tc>
          <w:tcPr>
            <w:tcW w:w="1054" w:type="dxa"/>
            <w:shd w:val="clear" w:color="auto" w:fill="E76C53"/>
            <w:vAlign w:val="center"/>
          </w:tcPr>
          <w:p w14:paraId="1C77C799" w14:textId="77777777" w:rsidR="00136C56" w:rsidRPr="00167A1B" w:rsidRDefault="00136C56" w:rsidP="00136C56">
            <w:pPr>
              <w:spacing w:after="0"/>
              <w:jc w:val="center"/>
              <w:rPr>
                <w:sz w:val="18"/>
                <w:szCs w:val="18"/>
              </w:rPr>
            </w:pPr>
            <w:r w:rsidRPr="00167A1B">
              <w:rPr>
                <w:sz w:val="18"/>
                <w:szCs w:val="18"/>
              </w:rPr>
              <w:t>--</w:t>
            </w:r>
          </w:p>
        </w:tc>
        <w:tc>
          <w:tcPr>
            <w:tcW w:w="1055" w:type="dxa"/>
            <w:shd w:val="clear" w:color="auto" w:fill="CDF7E9"/>
            <w:vAlign w:val="center"/>
          </w:tcPr>
          <w:p w14:paraId="3A30EDA2" w14:textId="77777777" w:rsidR="00136C56" w:rsidRPr="00167A1B" w:rsidRDefault="00136C56" w:rsidP="00136C56">
            <w:pPr>
              <w:spacing w:after="0"/>
              <w:jc w:val="center"/>
              <w:rPr>
                <w:sz w:val="18"/>
                <w:szCs w:val="18"/>
              </w:rPr>
            </w:pPr>
            <w:r w:rsidRPr="00167A1B">
              <w:rPr>
                <w:sz w:val="18"/>
                <w:szCs w:val="18"/>
              </w:rPr>
              <w:t>0/+</w:t>
            </w:r>
          </w:p>
        </w:tc>
      </w:tr>
    </w:tbl>
    <w:p w14:paraId="1A7CA75C" w14:textId="77777777" w:rsidR="00F54C29" w:rsidRPr="00167A1B" w:rsidRDefault="00F54C29" w:rsidP="00F54C29">
      <w:pPr>
        <w:spacing w:after="0"/>
        <w:rPr>
          <w:rFonts w:ascii="Arial" w:hAnsi="Arial" w:cs="Arial"/>
          <w:color w:val="000000"/>
          <w:sz w:val="18"/>
          <w:szCs w:val="18"/>
        </w:rPr>
      </w:pPr>
    </w:p>
    <w:tbl>
      <w:tblPr>
        <w:tblStyle w:val="TableGridLight"/>
        <w:tblW w:w="9072"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4"/>
        <w:gridCol w:w="1814"/>
        <w:gridCol w:w="1815"/>
        <w:gridCol w:w="1814"/>
        <w:gridCol w:w="1815"/>
      </w:tblGrid>
      <w:tr w:rsidR="00F54C29" w:rsidRPr="00167A1B" w14:paraId="22B401E5" w14:textId="77777777" w:rsidTr="009D260B">
        <w:trPr>
          <w:trHeight w:val="210"/>
        </w:trPr>
        <w:tc>
          <w:tcPr>
            <w:tcW w:w="1814" w:type="dxa"/>
          </w:tcPr>
          <w:p w14:paraId="3B2D2427" w14:textId="77777777" w:rsidR="00F54C29" w:rsidRPr="00167A1B" w:rsidRDefault="00F54C29" w:rsidP="009D260B">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 Major positive impact</w:t>
            </w:r>
          </w:p>
        </w:tc>
        <w:tc>
          <w:tcPr>
            <w:tcW w:w="1814" w:type="dxa"/>
          </w:tcPr>
          <w:p w14:paraId="4DD0D1B2" w14:textId="77777777" w:rsidR="00F54C29" w:rsidRPr="00167A1B" w:rsidRDefault="00F54C29" w:rsidP="009D260B">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 Minor positive impact</w:t>
            </w:r>
          </w:p>
        </w:tc>
        <w:tc>
          <w:tcPr>
            <w:tcW w:w="1815" w:type="dxa"/>
          </w:tcPr>
          <w:p w14:paraId="5F097839" w14:textId="77777777" w:rsidR="00F54C29" w:rsidRPr="00167A1B" w:rsidRDefault="00F54C29" w:rsidP="009D260B">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0 No or negligible impact</w:t>
            </w:r>
          </w:p>
        </w:tc>
        <w:tc>
          <w:tcPr>
            <w:tcW w:w="1814" w:type="dxa"/>
          </w:tcPr>
          <w:p w14:paraId="09560564" w14:textId="77777777" w:rsidR="00F54C29" w:rsidRPr="00167A1B" w:rsidRDefault="00F54C29" w:rsidP="009D260B">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 Minor negative impact</w:t>
            </w:r>
          </w:p>
        </w:tc>
        <w:tc>
          <w:tcPr>
            <w:tcW w:w="1815" w:type="dxa"/>
          </w:tcPr>
          <w:p w14:paraId="44198945" w14:textId="77777777" w:rsidR="00F54C29" w:rsidRPr="00167A1B" w:rsidRDefault="00F54C29" w:rsidP="009D260B">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 Major negative impact</w:t>
            </w:r>
          </w:p>
        </w:tc>
      </w:tr>
    </w:tbl>
    <w:p w14:paraId="6EB98242" w14:textId="77777777" w:rsidR="00F54C29" w:rsidRPr="00167A1B" w:rsidRDefault="00F54C29" w:rsidP="00F54C29">
      <w:pPr>
        <w:pStyle w:val="BodyText1"/>
        <w:keepNext/>
        <w:rPr>
          <w:noProof w:val="0"/>
        </w:rPr>
      </w:pPr>
      <w:r w:rsidRPr="00167A1B">
        <w:rPr>
          <w:noProof w:val="0"/>
        </w:rPr>
        <w:t>The main impacts shown in the table can be summed up as follows:</w:t>
      </w:r>
    </w:p>
    <w:p w14:paraId="5DC71689" w14:textId="77777777" w:rsidR="00F54C29" w:rsidRPr="00167A1B" w:rsidRDefault="00F54C29" w:rsidP="00F54C29">
      <w:pPr>
        <w:pStyle w:val="bullet1"/>
        <w:rPr>
          <w:noProof w:val="0"/>
        </w:rPr>
      </w:pPr>
      <w:r w:rsidRPr="00167A1B">
        <w:rPr>
          <w:b/>
          <w:bCs/>
          <w:noProof w:val="0"/>
        </w:rPr>
        <w:t>Environmental impacts:</w:t>
      </w:r>
      <w:r w:rsidRPr="00167A1B">
        <w:rPr>
          <w:noProof w:val="0"/>
        </w:rPr>
        <w:t xml:space="preserve"> As can be seen, options 1, 2, 3 and 5 only have very minor, potentially negligible (no more than 1.5% change compared with the baseline) impacts on the environment, as they are expected to lead to very small changes in the </w:t>
      </w:r>
      <w:r w:rsidRPr="00167A1B">
        <w:rPr>
          <w:i/>
          <w:iCs/>
          <w:noProof w:val="0"/>
        </w:rPr>
        <w:t>number</w:t>
      </w:r>
      <w:r w:rsidRPr="00167A1B">
        <w:rPr>
          <w:noProof w:val="0"/>
        </w:rPr>
        <w:t xml:space="preserve"> of chargers sold, as well as, in some cases, to changes in the </w:t>
      </w:r>
      <w:r w:rsidRPr="00167A1B">
        <w:rPr>
          <w:i/>
          <w:iCs/>
          <w:noProof w:val="0"/>
        </w:rPr>
        <w:t>types</w:t>
      </w:r>
      <w:r w:rsidRPr="00167A1B">
        <w:rPr>
          <w:noProof w:val="0"/>
        </w:rPr>
        <w:t xml:space="preserve"> of chargers sold (with very minor impacts on their weight and composition). From an environmental perspective, unbundling is the only intervention that offers major benefits. However, compared with the estimates in the first IA study, these benefits are smaller than anticipated (between 3% and 9% reduction in environmental impacts for option 4.a, and between 10% and 20% for option 4.b, compared to the baseline) due to the fact that a part of the market has begun to sell phones without EPS voluntarily. </w:t>
      </w:r>
    </w:p>
    <w:p w14:paraId="39B869A6" w14:textId="57B49A9D" w:rsidR="00F54C29" w:rsidRPr="00167A1B" w:rsidRDefault="00F54C29" w:rsidP="00F54C29">
      <w:pPr>
        <w:pStyle w:val="bullet1"/>
        <w:rPr>
          <w:noProof w:val="0"/>
        </w:rPr>
      </w:pPr>
      <w:r w:rsidRPr="00167A1B">
        <w:rPr>
          <w:b/>
          <w:bCs/>
          <w:noProof w:val="0"/>
        </w:rPr>
        <w:lastRenderedPageBreak/>
        <w:t>Economic impacts</w:t>
      </w:r>
      <w:r w:rsidRPr="00167A1B">
        <w:rPr>
          <w:noProof w:val="0"/>
        </w:rPr>
        <w:t xml:space="preserve">: From an economic perspective, the option that generates the most savings for consumers is option 1, due to the savings from switching from (more expensive) Lightning cables to USB Type-C cables, and the reduction in standalone sales of cables (Lightning cables are replaced more frequently than standard cables, </w:t>
      </w:r>
      <w:r w:rsidRPr="00167A1B">
        <w:rPr>
          <w:noProof w:val="0"/>
          <w:szCs w:val="22"/>
        </w:rPr>
        <w:t xml:space="preserve">according to the results of the consumer survey). This option delivers relatively high economic costs for manufacturers and </w:t>
      </w:r>
      <w:proofErr w:type="gramStart"/>
      <w:r w:rsidRPr="00167A1B">
        <w:rPr>
          <w:noProof w:val="0"/>
          <w:szCs w:val="22"/>
        </w:rPr>
        <w:t>distributors, and</w:t>
      </w:r>
      <w:proofErr w:type="gramEnd"/>
      <w:r w:rsidRPr="00167A1B">
        <w:rPr>
          <w:noProof w:val="0"/>
          <w:szCs w:val="22"/>
        </w:rPr>
        <w:t xml:space="preserve"> </w:t>
      </w:r>
      <w:r w:rsidR="00136C56" w:rsidRPr="00167A1B">
        <w:rPr>
          <w:noProof w:val="0"/>
          <w:szCs w:val="22"/>
        </w:rPr>
        <w:t xml:space="preserve">may </w:t>
      </w:r>
      <w:r w:rsidRPr="00167A1B">
        <w:rPr>
          <w:noProof w:val="0"/>
          <w:szCs w:val="22"/>
        </w:rPr>
        <w:t>slightly constrain innovation.</w:t>
      </w:r>
      <w:r w:rsidR="00562E0A" w:rsidRPr="00167A1B">
        <w:rPr>
          <w:rStyle w:val="FootnoteReference"/>
          <w:noProof w:val="0"/>
          <w:sz w:val="22"/>
          <w:szCs w:val="22"/>
        </w:rPr>
        <w:footnoteReference w:id="3"/>
      </w:r>
      <w:r w:rsidRPr="00167A1B">
        <w:rPr>
          <w:noProof w:val="0"/>
          <w:szCs w:val="22"/>
        </w:rPr>
        <w:t xml:space="preserve"> It may also entail minor</w:t>
      </w:r>
      <w:r w:rsidRPr="00167A1B">
        <w:rPr>
          <w:noProof w:val="0"/>
        </w:rPr>
        <w:t xml:space="preserve"> economic costs for SMEs in the EU. Options 2 and 3 are relatively similar in terms of reducing costs for </w:t>
      </w:r>
      <w:proofErr w:type="gramStart"/>
      <w:r w:rsidRPr="00167A1B">
        <w:rPr>
          <w:noProof w:val="0"/>
        </w:rPr>
        <w:t>consumers, and</w:t>
      </w:r>
      <w:proofErr w:type="gramEnd"/>
      <w:r w:rsidRPr="00167A1B">
        <w:rPr>
          <w:noProof w:val="0"/>
        </w:rPr>
        <w:t xml:space="preserve"> generate similar costs for the industry. However, option 2 affects the competitive landscape less and does not constrain innovation. Options 4.a and 4.b deliver similar results, including small cost increases for consumers. Both options, but especially option 4.b, generate a loss of gross profit for manufacturers of chargers, given the reduced number of EPS and cables that would be sold in the EU.</w:t>
      </w:r>
    </w:p>
    <w:p w14:paraId="72B9E403" w14:textId="77777777" w:rsidR="00F54C29" w:rsidRPr="00167A1B" w:rsidRDefault="00F54C29" w:rsidP="00F54C29">
      <w:pPr>
        <w:pStyle w:val="bullet1"/>
        <w:rPr>
          <w:noProof w:val="0"/>
        </w:rPr>
      </w:pPr>
      <w:r w:rsidRPr="00167A1B">
        <w:rPr>
          <w:b/>
          <w:bCs/>
          <w:noProof w:val="0"/>
        </w:rPr>
        <w:t>Social impacts</w:t>
      </w:r>
      <w:r w:rsidRPr="00167A1B">
        <w:rPr>
          <w:noProof w:val="0"/>
        </w:rPr>
        <w:t>: Options 1, 2, 3 and 5 are all expected to result in minor convenience benefits for consumers (each of them addresses the different sources of inconvenience to varying extents), as well as very small improvements in terms of product safety and illicit markets (mainly due to the expected very small reduction in stand-alone charger sales). For the mandatory unbundling options, the conclusion is the opposite: these would reduce consumer convenience overall (especially option 4.b), since the convenience gains for consumers who are keen to have fewer chargers are outweighed by the inconvenience for the majority of consumers for whom the provision of a charger along with new phones is important. They would also lead to higher stand-alone charger sales, some of which are likely to be counterfeit and/or substandard.</w:t>
      </w:r>
    </w:p>
    <w:p w14:paraId="606D37B5" w14:textId="77777777" w:rsidR="00F54C29" w:rsidRPr="00167A1B" w:rsidRDefault="00F54C29" w:rsidP="00F54C29">
      <w:pPr>
        <w:pStyle w:val="BodyText1"/>
        <w:rPr>
          <w:noProof w:val="0"/>
        </w:rPr>
      </w:pPr>
    </w:p>
    <w:p w14:paraId="58FEF4E4" w14:textId="77777777" w:rsidR="00F54C29" w:rsidRPr="00167A1B" w:rsidRDefault="00F54C29" w:rsidP="00F54C29">
      <w:pPr>
        <w:pStyle w:val="Subtitle10"/>
        <w:rPr>
          <w:noProof w:val="0"/>
        </w:rPr>
      </w:pPr>
      <w:r w:rsidRPr="00167A1B">
        <w:rPr>
          <w:noProof w:val="0"/>
        </w:rPr>
        <w:t>Combinations / packages of options</w:t>
      </w:r>
    </w:p>
    <w:p w14:paraId="4805BC60" w14:textId="77777777" w:rsidR="00F54C29" w:rsidRPr="00167A1B" w:rsidRDefault="00F54C29" w:rsidP="00F54C29">
      <w:pPr>
        <w:pStyle w:val="BodyText1"/>
        <w:rPr>
          <w:noProof w:val="0"/>
        </w:rPr>
      </w:pPr>
      <w:r w:rsidRPr="00167A1B">
        <w:rPr>
          <w:noProof w:val="0"/>
        </w:rPr>
        <w:t>As noted above, the policy options are not necessarily mutually exclusive, but could be combined into a “package” of measures. There are five main combinations: option 1 can be combined with either option 2 or 3, as well as with option 4; option 2 could also be combined with option 4.</w:t>
      </w:r>
    </w:p>
    <w:p w14:paraId="1F1877C8" w14:textId="77777777" w:rsidR="00F54C29" w:rsidRPr="00167A1B" w:rsidRDefault="00F54C29" w:rsidP="00F54C29">
      <w:pPr>
        <w:pStyle w:val="BodyText1"/>
        <w:rPr>
          <w:noProof w:val="0"/>
        </w:rPr>
      </w:pPr>
      <w:r w:rsidRPr="00167A1B">
        <w:rPr>
          <w:noProof w:val="0"/>
        </w:rPr>
        <w:t>By and large, when combined, the impacts of the different options would “stack”, meaning the cumulative impacts of the packages of options can be expected to be equal to the sum of the impacts of the options individually. However, there are some exceptions to this, namely:</w:t>
      </w:r>
    </w:p>
    <w:p w14:paraId="08B80362" w14:textId="77777777" w:rsidR="00F54C29" w:rsidRPr="00167A1B" w:rsidRDefault="00F54C29" w:rsidP="00F54C29">
      <w:pPr>
        <w:pStyle w:val="bullet1"/>
        <w:rPr>
          <w:noProof w:val="0"/>
        </w:rPr>
      </w:pPr>
      <w:r w:rsidRPr="00167A1B">
        <w:rPr>
          <w:noProof w:val="0"/>
        </w:rPr>
        <w:t>Options 1, 2 and 3 would all lead to the elimination of USB micro-B connectors from all mobile phones (among other effects). When combined, the specific effects of this would obviously only accrue once, meaning the (positive as well as negative) impacts of the package would be slightly smaller than the sum of the impacts of the relevant options individually.</w:t>
      </w:r>
    </w:p>
    <w:p w14:paraId="16668445" w14:textId="58F5446C" w:rsidR="00F54C29" w:rsidRPr="00167A1B" w:rsidRDefault="00F54C29" w:rsidP="00F54C29">
      <w:pPr>
        <w:pStyle w:val="bullet1"/>
        <w:rPr>
          <w:noProof w:val="0"/>
        </w:rPr>
      </w:pPr>
      <w:r w:rsidRPr="00167A1B">
        <w:rPr>
          <w:noProof w:val="0"/>
        </w:rPr>
        <w:t>If any of the “</w:t>
      </w:r>
      <w:r w:rsidR="00167A1B" w:rsidRPr="00167A1B">
        <w:rPr>
          <w:noProof w:val="0"/>
        </w:rPr>
        <w:t>harmonisation</w:t>
      </w:r>
      <w:r w:rsidRPr="00167A1B">
        <w:rPr>
          <w:noProof w:val="0"/>
        </w:rPr>
        <w:t>” options 1, 2 or 3 is combined with mandatory unbundling (option 4.a or 4.b), there would likely be synergy effects that enhance the overall benefits of the relevant package to slightly beyond those of the options individually, as the enhanced interoperability and/or consumer awareness of this lead to a small reduction in demand for stand-alone chargers, because slightly fewer consumers would be likely to choose to purchase an EPS along with a new unbundled phone (options 2 and 3), and/or a new cable along with an EPS bought separately (option 1).</w:t>
      </w:r>
    </w:p>
    <w:p w14:paraId="75ED1159" w14:textId="77777777" w:rsidR="00F54C29" w:rsidRPr="00167A1B" w:rsidRDefault="00F54C29" w:rsidP="00F54C29">
      <w:pPr>
        <w:pStyle w:val="BodyText1"/>
        <w:rPr>
          <w:noProof w:val="0"/>
        </w:rPr>
      </w:pPr>
      <w:r w:rsidRPr="00167A1B">
        <w:rPr>
          <w:noProof w:val="0"/>
        </w:rPr>
        <w:lastRenderedPageBreak/>
        <w:t xml:space="preserve">Option 5 (an interoperability labelling / information scheme) could serve as a flanking measure to </w:t>
      </w:r>
      <w:r w:rsidRPr="00167A1B">
        <w:rPr>
          <w:i/>
          <w:iCs/>
          <w:noProof w:val="0"/>
        </w:rPr>
        <w:t>any</w:t>
      </w:r>
      <w:r w:rsidRPr="00167A1B">
        <w:rPr>
          <w:noProof w:val="0"/>
        </w:rPr>
        <w:t xml:space="preserve"> of the options or packages. We expect that its marginal effects when combined with any of these would always be in line with those of the scheme individually.</w:t>
      </w:r>
    </w:p>
    <w:p w14:paraId="22BF6BB6" w14:textId="77777777" w:rsidR="00F54C29" w:rsidRPr="00167A1B" w:rsidRDefault="00F54C29" w:rsidP="00F54C29">
      <w:pPr>
        <w:pStyle w:val="BodyText1"/>
        <w:rPr>
          <w:noProof w:val="0"/>
        </w:rPr>
      </w:pPr>
      <w:r w:rsidRPr="00167A1B">
        <w:rPr>
          <w:noProof w:val="0"/>
        </w:rPr>
        <w:t>The table below provides a summary of the main impacts of the five packages, applied to mobile phones only, again using an MCA approach to combine impacts that have been estimated quantitatively and others that have been assessed qualitatively:</w:t>
      </w:r>
    </w:p>
    <w:p w14:paraId="2493D9A5" w14:textId="77777777" w:rsidR="00F54C29" w:rsidRPr="00167A1B" w:rsidRDefault="00F54C29" w:rsidP="00F54C29">
      <w:pPr>
        <w:pStyle w:val="bullet1"/>
        <w:rPr>
          <w:noProof w:val="0"/>
        </w:rPr>
      </w:pPr>
      <w:r w:rsidRPr="00167A1B">
        <w:rPr>
          <w:b/>
          <w:bCs/>
          <w:noProof w:val="0"/>
        </w:rPr>
        <w:t>Environmental impacts</w:t>
      </w:r>
      <w:r w:rsidRPr="00167A1B">
        <w:rPr>
          <w:noProof w:val="0"/>
        </w:rPr>
        <w:t>: Packages 3, 4 and 5 provide significant environmental benefits. These would be highest for package 5. Although they are in the same broad range as those of the other two (‘+/++’ for GHG emissions and material use, ‘+’ for e-waste), the estimated reductions (see chapter 7) are around 10% higher than for package 4, 30% higher than for package 3, and 50% higher than those that would result from mandatory unbundling (option 4.a) alone.</w:t>
      </w:r>
    </w:p>
    <w:p w14:paraId="57114F14" w14:textId="77777777" w:rsidR="00F54C29" w:rsidRPr="00167A1B" w:rsidRDefault="00F54C29" w:rsidP="00F54C29">
      <w:pPr>
        <w:pStyle w:val="bullet1"/>
        <w:rPr>
          <w:noProof w:val="0"/>
        </w:rPr>
      </w:pPr>
      <w:r w:rsidRPr="00167A1B">
        <w:rPr>
          <w:b/>
          <w:bCs/>
          <w:noProof w:val="0"/>
        </w:rPr>
        <w:t>Economic impacts</w:t>
      </w:r>
      <w:r w:rsidRPr="00167A1B">
        <w:rPr>
          <w:noProof w:val="0"/>
        </w:rPr>
        <w:t>: All packages except package 4 would lead to savings for consumers; these would be most significant under packages 1 and 2 (which do not entail mandatory unbundling). All packages (especially package 3) would reduce the benefits for charger manufacturers and wholesalers; packages 1 and 2 would also lead to reduced benefits for charger distributors and retailers, while packages 3, 4 and 5 would increase their benefits (due to the higher standalone charger sales). Package 4 is the one that generates the smallest negative impacts on the competitive landscape, innovation, and operating costs for the industry, whereas package 2 is the most disruptive, with significant impacts on innovation and operating costs. All the packages may generate small costs for SMEs in Europe as they all imply the move from USB micro-B connectors to USB Type-C.</w:t>
      </w:r>
    </w:p>
    <w:p w14:paraId="4E139EB0" w14:textId="11A19F8F" w:rsidR="00F54C29" w:rsidRPr="00167A1B" w:rsidRDefault="00F54C29" w:rsidP="00F54C29">
      <w:pPr>
        <w:pStyle w:val="bullet1"/>
        <w:rPr>
          <w:noProof w:val="0"/>
        </w:rPr>
      </w:pPr>
      <w:r w:rsidRPr="00167A1B">
        <w:rPr>
          <w:b/>
          <w:bCs/>
          <w:noProof w:val="0"/>
        </w:rPr>
        <w:t>Social impacts</w:t>
      </w:r>
      <w:r w:rsidRPr="00167A1B">
        <w:rPr>
          <w:noProof w:val="0"/>
        </w:rPr>
        <w:t xml:space="preserve">: While packages 1 and 2 would have a minor positive effect on consumer convenience and lead to very small improvements in terms of product safety and illicit markets (for the same reasons as options 1, 2 and 3 individually), packages 3, 4 and </w:t>
      </w:r>
      <w:r w:rsidR="00136C56" w:rsidRPr="00167A1B">
        <w:rPr>
          <w:noProof w:val="0"/>
        </w:rPr>
        <w:t xml:space="preserve">(to a slightly lesser extent) </w:t>
      </w:r>
      <w:r w:rsidRPr="00167A1B">
        <w:rPr>
          <w:noProof w:val="0"/>
        </w:rPr>
        <w:t>5 would have minor negative impacts. This is because the improvements from options 1</w:t>
      </w:r>
      <w:r w:rsidR="00136C56" w:rsidRPr="00167A1B">
        <w:rPr>
          <w:noProof w:val="0"/>
        </w:rPr>
        <w:t xml:space="preserve"> and/or</w:t>
      </w:r>
      <w:r w:rsidRPr="00167A1B">
        <w:rPr>
          <w:noProof w:val="0"/>
        </w:rPr>
        <w:t xml:space="preserve"> 2 would be likely to alleviate, but not entirely offset the consumer inconvenience and increased demand for standalone EPS generated by mandatory unbundling. </w:t>
      </w:r>
    </w:p>
    <w:p w14:paraId="61BB9968" w14:textId="77777777" w:rsidR="00F54C29" w:rsidRPr="00167A1B" w:rsidRDefault="00F54C29" w:rsidP="00F54C29">
      <w:pPr>
        <w:pStyle w:val="BodyText1"/>
        <w:rPr>
          <w:noProof w:val="0"/>
        </w:rPr>
      </w:pPr>
    </w:p>
    <w:p w14:paraId="74F911F4" w14:textId="1D10E625" w:rsidR="00F54C29" w:rsidRPr="00167A1B" w:rsidRDefault="00F54C29" w:rsidP="00F54C29">
      <w:pPr>
        <w:pStyle w:val="Caption"/>
      </w:pPr>
      <w:r w:rsidRPr="00167A1B">
        <w:t xml:space="preserve">Table </w:t>
      </w:r>
      <w:r w:rsidRPr="00167A1B">
        <w:fldChar w:fldCharType="begin"/>
      </w:r>
      <w:r w:rsidRPr="00167A1B">
        <w:instrText xml:space="preserve"> SEQ Table \* ARABIC </w:instrText>
      </w:r>
      <w:r w:rsidRPr="00167A1B">
        <w:fldChar w:fldCharType="separate"/>
      </w:r>
      <w:r w:rsidR="00953106" w:rsidRPr="00167A1B">
        <w:t>2</w:t>
      </w:r>
      <w:r w:rsidRPr="00167A1B">
        <w:fldChar w:fldCharType="end"/>
      </w:r>
      <w:r w:rsidRPr="00167A1B">
        <w:t>: Summary of the main impacts of the packages of options</w:t>
      </w:r>
    </w:p>
    <w:tbl>
      <w:tblPr>
        <w:tblStyle w:val="TableGridLight11"/>
        <w:tblW w:w="9067" w:type="dxa"/>
        <w:tblInd w:w="0" w:type="dxa"/>
        <w:tblLayout w:type="fixed"/>
        <w:tblCellMar>
          <w:top w:w="57" w:type="dxa"/>
          <w:left w:w="57" w:type="dxa"/>
          <w:bottom w:w="57" w:type="dxa"/>
          <w:right w:w="57" w:type="dxa"/>
        </w:tblCellMar>
        <w:tblLook w:val="04A0" w:firstRow="1" w:lastRow="0" w:firstColumn="1" w:lastColumn="0" w:noHBand="0" w:noVBand="1"/>
      </w:tblPr>
      <w:tblGrid>
        <w:gridCol w:w="988"/>
        <w:gridCol w:w="2313"/>
        <w:gridCol w:w="1153"/>
        <w:gridCol w:w="1153"/>
        <w:gridCol w:w="1153"/>
        <w:gridCol w:w="1153"/>
        <w:gridCol w:w="1154"/>
      </w:tblGrid>
      <w:tr w:rsidR="00F54C29" w:rsidRPr="00167A1B" w14:paraId="4230DBC3" w14:textId="77777777" w:rsidTr="009D260B">
        <w:trPr>
          <w:tblHeader/>
        </w:trPr>
        <w:tc>
          <w:tcPr>
            <w:tcW w:w="3301" w:type="dxa"/>
            <w:gridSpan w:val="2"/>
            <w:vMerge w:val="restart"/>
          </w:tcPr>
          <w:p w14:paraId="1232C26B" w14:textId="77777777" w:rsidR="00F54C29" w:rsidRPr="00167A1B" w:rsidRDefault="00F54C29" w:rsidP="009D260B">
            <w:pPr>
              <w:spacing w:after="0"/>
              <w:jc w:val="left"/>
              <w:rPr>
                <w:b/>
                <w:bCs/>
                <w:sz w:val="18"/>
                <w:szCs w:val="18"/>
              </w:rPr>
            </w:pPr>
            <w:r w:rsidRPr="00167A1B">
              <w:rPr>
                <w:b/>
                <w:bCs/>
                <w:sz w:val="18"/>
                <w:szCs w:val="18"/>
              </w:rPr>
              <w:t>Impacts</w:t>
            </w:r>
          </w:p>
        </w:tc>
        <w:tc>
          <w:tcPr>
            <w:tcW w:w="1153" w:type="dxa"/>
            <w:vAlign w:val="center"/>
          </w:tcPr>
          <w:p w14:paraId="40593141" w14:textId="77777777" w:rsidR="00F54C29" w:rsidRPr="00167A1B" w:rsidRDefault="00F54C29" w:rsidP="009D260B">
            <w:pPr>
              <w:spacing w:after="0"/>
              <w:jc w:val="center"/>
              <w:rPr>
                <w:b/>
                <w:bCs/>
                <w:sz w:val="18"/>
                <w:szCs w:val="18"/>
              </w:rPr>
            </w:pPr>
            <w:r w:rsidRPr="00167A1B">
              <w:rPr>
                <w:b/>
                <w:bCs/>
                <w:sz w:val="18"/>
                <w:szCs w:val="18"/>
              </w:rPr>
              <w:t>Package 1</w:t>
            </w:r>
          </w:p>
        </w:tc>
        <w:tc>
          <w:tcPr>
            <w:tcW w:w="1153" w:type="dxa"/>
            <w:vAlign w:val="center"/>
          </w:tcPr>
          <w:p w14:paraId="38C34ECC" w14:textId="77777777" w:rsidR="00F54C29" w:rsidRPr="00167A1B" w:rsidRDefault="00F54C29" w:rsidP="009D260B">
            <w:pPr>
              <w:spacing w:after="0"/>
              <w:jc w:val="center"/>
              <w:rPr>
                <w:b/>
                <w:bCs/>
                <w:sz w:val="18"/>
                <w:szCs w:val="18"/>
              </w:rPr>
            </w:pPr>
            <w:r w:rsidRPr="00167A1B">
              <w:rPr>
                <w:b/>
                <w:bCs/>
                <w:sz w:val="18"/>
                <w:szCs w:val="18"/>
              </w:rPr>
              <w:t>Package 2</w:t>
            </w:r>
          </w:p>
        </w:tc>
        <w:tc>
          <w:tcPr>
            <w:tcW w:w="1153" w:type="dxa"/>
            <w:vAlign w:val="center"/>
          </w:tcPr>
          <w:p w14:paraId="37B2CD30" w14:textId="77777777" w:rsidR="00F54C29" w:rsidRPr="00167A1B" w:rsidRDefault="00F54C29" w:rsidP="009D260B">
            <w:pPr>
              <w:spacing w:after="0"/>
              <w:jc w:val="center"/>
              <w:rPr>
                <w:b/>
                <w:bCs/>
                <w:sz w:val="18"/>
                <w:szCs w:val="18"/>
              </w:rPr>
            </w:pPr>
            <w:r w:rsidRPr="00167A1B">
              <w:rPr>
                <w:b/>
                <w:bCs/>
                <w:sz w:val="18"/>
                <w:szCs w:val="18"/>
              </w:rPr>
              <w:t>Package 3</w:t>
            </w:r>
          </w:p>
        </w:tc>
        <w:tc>
          <w:tcPr>
            <w:tcW w:w="1153" w:type="dxa"/>
            <w:vAlign w:val="center"/>
          </w:tcPr>
          <w:p w14:paraId="6176858C" w14:textId="77777777" w:rsidR="00F54C29" w:rsidRPr="00167A1B" w:rsidRDefault="00F54C29" w:rsidP="009D260B">
            <w:pPr>
              <w:spacing w:after="0"/>
              <w:jc w:val="center"/>
              <w:rPr>
                <w:b/>
                <w:bCs/>
                <w:sz w:val="18"/>
                <w:szCs w:val="18"/>
              </w:rPr>
            </w:pPr>
            <w:r w:rsidRPr="00167A1B">
              <w:rPr>
                <w:b/>
                <w:bCs/>
                <w:sz w:val="18"/>
                <w:szCs w:val="18"/>
              </w:rPr>
              <w:t>Package 4</w:t>
            </w:r>
          </w:p>
        </w:tc>
        <w:tc>
          <w:tcPr>
            <w:tcW w:w="1154" w:type="dxa"/>
            <w:vAlign w:val="center"/>
          </w:tcPr>
          <w:p w14:paraId="1AEE4745" w14:textId="77777777" w:rsidR="00F54C29" w:rsidRPr="00167A1B" w:rsidRDefault="00F54C29" w:rsidP="009D260B">
            <w:pPr>
              <w:spacing w:after="0"/>
              <w:jc w:val="center"/>
              <w:rPr>
                <w:b/>
                <w:bCs/>
                <w:sz w:val="18"/>
                <w:szCs w:val="18"/>
              </w:rPr>
            </w:pPr>
            <w:r w:rsidRPr="00167A1B">
              <w:rPr>
                <w:b/>
                <w:bCs/>
                <w:sz w:val="18"/>
                <w:szCs w:val="18"/>
              </w:rPr>
              <w:t>Package 5</w:t>
            </w:r>
          </w:p>
        </w:tc>
      </w:tr>
      <w:tr w:rsidR="00F54C29" w:rsidRPr="00167A1B" w14:paraId="386F874C" w14:textId="77777777" w:rsidTr="009D260B">
        <w:tc>
          <w:tcPr>
            <w:tcW w:w="3301" w:type="dxa"/>
            <w:gridSpan w:val="2"/>
            <w:vMerge/>
          </w:tcPr>
          <w:p w14:paraId="676B9C6F" w14:textId="77777777" w:rsidR="00F54C29" w:rsidRPr="00167A1B" w:rsidRDefault="00F54C29" w:rsidP="009D260B">
            <w:pPr>
              <w:spacing w:after="0"/>
              <w:jc w:val="left"/>
              <w:rPr>
                <w:sz w:val="18"/>
                <w:szCs w:val="18"/>
              </w:rPr>
            </w:pPr>
          </w:p>
        </w:tc>
        <w:tc>
          <w:tcPr>
            <w:tcW w:w="1153" w:type="dxa"/>
            <w:vAlign w:val="bottom"/>
          </w:tcPr>
          <w:p w14:paraId="265D2AF0" w14:textId="77777777" w:rsidR="00F54C29" w:rsidRPr="00167A1B" w:rsidRDefault="00F54C29" w:rsidP="009D260B">
            <w:pPr>
              <w:spacing w:after="0"/>
              <w:jc w:val="center"/>
              <w:rPr>
                <w:sz w:val="18"/>
                <w:szCs w:val="18"/>
              </w:rPr>
            </w:pPr>
            <w:r w:rsidRPr="00167A1B">
              <w:rPr>
                <w:sz w:val="18"/>
                <w:szCs w:val="18"/>
              </w:rPr>
              <w:t>Package combining PO 1 &amp; 2</w:t>
            </w:r>
          </w:p>
        </w:tc>
        <w:tc>
          <w:tcPr>
            <w:tcW w:w="1153" w:type="dxa"/>
            <w:vAlign w:val="bottom"/>
          </w:tcPr>
          <w:p w14:paraId="5F450025" w14:textId="77777777" w:rsidR="00F54C29" w:rsidRPr="00167A1B" w:rsidRDefault="00F54C29" w:rsidP="009D260B">
            <w:pPr>
              <w:spacing w:after="0"/>
              <w:jc w:val="center"/>
              <w:rPr>
                <w:sz w:val="18"/>
                <w:szCs w:val="18"/>
              </w:rPr>
            </w:pPr>
            <w:r w:rsidRPr="00167A1B">
              <w:rPr>
                <w:sz w:val="18"/>
                <w:szCs w:val="18"/>
              </w:rPr>
              <w:t>Package combining PO 1 &amp; 3</w:t>
            </w:r>
          </w:p>
        </w:tc>
        <w:tc>
          <w:tcPr>
            <w:tcW w:w="1153" w:type="dxa"/>
            <w:vAlign w:val="bottom"/>
          </w:tcPr>
          <w:p w14:paraId="752365CD" w14:textId="77777777" w:rsidR="00F54C29" w:rsidRPr="00167A1B" w:rsidRDefault="00F54C29" w:rsidP="009D260B">
            <w:pPr>
              <w:spacing w:after="0"/>
              <w:jc w:val="center"/>
              <w:rPr>
                <w:sz w:val="18"/>
                <w:szCs w:val="18"/>
              </w:rPr>
            </w:pPr>
            <w:r w:rsidRPr="00167A1B">
              <w:rPr>
                <w:sz w:val="18"/>
                <w:szCs w:val="18"/>
              </w:rPr>
              <w:t>Package combining PO 1 &amp; 4a</w:t>
            </w:r>
          </w:p>
        </w:tc>
        <w:tc>
          <w:tcPr>
            <w:tcW w:w="1153" w:type="dxa"/>
            <w:vAlign w:val="bottom"/>
          </w:tcPr>
          <w:p w14:paraId="6A056BEC" w14:textId="77777777" w:rsidR="00F54C29" w:rsidRPr="00167A1B" w:rsidRDefault="00F54C29" w:rsidP="009D260B">
            <w:pPr>
              <w:spacing w:after="0"/>
              <w:jc w:val="center"/>
              <w:rPr>
                <w:sz w:val="18"/>
                <w:szCs w:val="18"/>
              </w:rPr>
            </w:pPr>
            <w:r w:rsidRPr="00167A1B">
              <w:rPr>
                <w:sz w:val="18"/>
                <w:szCs w:val="18"/>
              </w:rPr>
              <w:t>Package combining PO 2 &amp; 4a</w:t>
            </w:r>
          </w:p>
        </w:tc>
        <w:tc>
          <w:tcPr>
            <w:tcW w:w="1154" w:type="dxa"/>
            <w:vAlign w:val="bottom"/>
          </w:tcPr>
          <w:p w14:paraId="6D0A1FB6" w14:textId="77777777" w:rsidR="00F54C29" w:rsidRPr="00167A1B" w:rsidRDefault="00F54C29" w:rsidP="009D260B">
            <w:pPr>
              <w:spacing w:after="0"/>
              <w:jc w:val="center"/>
              <w:rPr>
                <w:sz w:val="18"/>
                <w:szCs w:val="18"/>
              </w:rPr>
            </w:pPr>
            <w:r w:rsidRPr="00167A1B">
              <w:rPr>
                <w:sz w:val="18"/>
                <w:szCs w:val="18"/>
              </w:rPr>
              <w:t>Package combining PO 1, 2 &amp; 4a</w:t>
            </w:r>
          </w:p>
        </w:tc>
      </w:tr>
      <w:tr w:rsidR="00F54C29" w:rsidRPr="00167A1B" w14:paraId="21C31475" w14:textId="77777777" w:rsidTr="009D260B">
        <w:trPr>
          <w:trHeight w:val="414"/>
        </w:trPr>
        <w:tc>
          <w:tcPr>
            <w:tcW w:w="988" w:type="dxa"/>
            <w:vMerge w:val="restart"/>
          </w:tcPr>
          <w:p w14:paraId="29A643F4" w14:textId="77777777" w:rsidR="00F54C29" w:rsidRPr="00167A1B" w:rsidRDefault="00F54C29" w:rsidP="009D260B">
            <w:pPr>
              <w:spacing w:after="0"/>
              <w:jc w:val="left"/>
              <w:rPr>
                <w:b/>
                <w:bCs/>
                <w:sz w:val="18"/>
                <w:szCs w:val="18"/>
              </w:rPr>
            </w:pPr>
            <w:r w:rsidRPr="00167A1B">
              <w:rPr>
                <w:b/>
                <w:bCs/>
                <w:sz w:val="18"/>
                <w:szCs w:val="18"/>
              </w:rPr>
              <w:t>Environ-mental</w:t>
            </w:r>
          </w:p>
        </w:tc>
        <w:tc>
          <w:tcPr>
            <w:tcW w:w="2313" w:type="dxa"/>
            <w:vAlign w:val="center"/>
          </w:tcPr>
          <w:p w14:paraId="6A89BD35" w14:textId="77777777" w:rsidR="00F54C29" w:rsidRPr="00167A1B" w:rsidRDefault="00F54C29" w:rsidP="009D260B">
            <w:pPr>
              <w:spacing w:after="0"/>
              <w:jc w:val="left"/>
              <w:rPr>
                <w:sz w:val="18"/>
                <w:szCs w:val="18"/>
              </w:rPr>
            </w:pPr>
            <w:r w:rsidRPr="00167A1B">
              <w:rPr>
                <w:sz w:val="18"/>
                <w:szCs w:val="18"/>
              </w:rPr>
              <w:t>GHG emissions</w:t>
            </w:r>
          </w:p>
        </w:tc>
        <w:tc>
          <w:tcPr>
            <w:tcW w:w="1153" w:type="dxa"/>
            <w:shd w:val="clear" w:color="auto" w:fill="CDF7E9" w:themeFill="accent4" w:themeFillTint="33"/>
            <w:vAlign w:val="center"/>
          </w:tcPr>
          <w:p w14:paraId="412C84BA" w14:textId="77777777" w:rsidR="00F54C29" w:rsidRPr="00167A1B" w:rsidRDefault="00F54C29" w:rsidP="009D260B">
            <w:pPr>
              <w:spacing w:after="0"/>
              <w:jc w:val="center"/>
              <w:rPr>
                <w:sz w:val="18"/>
                <w:szCs w:val="18"/>
              </w:rPr>
            </w:pPr>
            <w:r w:rsidRPr="00167A1B">
              <w:rPr>
                <w:sz w:val="18"/>
                <w:szCs w:val="18"/>
              </w:rPr>
              <w:t>0/+</w:t>
            </w:r>
          </w:p>
        </w:tc>
        <w:tc>
          <w:tcPr>
            <w:tcW w:w="1153" w:type="dxa"/>
            <w:shd w:val="clear" w:color="auto" w:fill="FAE1DC" w:themeFill="accent1" w:themeFillTint="33"/>
            <w:vAlign w:val="center"/>
          </w:tcPr>
          <w:p w14:paraId="63ECB1AE" w14:textId="77777777" w:rsidR="00F54C29" w:rsidRPr="00167A1B" w:rsidRDefault="00F54C29" w:rsidP="009D260B">
            <w:pPr>
              <w:spacing w:after="0"/>
              <w:jc w:val="center"/>
              <w:rPr>
                <w:sz w:val="18"/>
                <w:szCs w:val="18"/>
              </w:rPr>
            </w:pPr>
            <w:r w:rsidRPr="00167A1B">
              <w:rPr>
                <w:sz w:val="18"/>
                <w:szCs w:val="18"/>
              </w:rPr>
              <w:t>0/-</w:t>
            </w:r>
          </w:p>
        </w:tc>
        <w:tc>
          <w:tcPr>
            <w:tcW w:w="1153" w:type="dxa"/>
            <w:shd w:val="clear" w:color="auto" w:fill="69E7BD" w:themeFill="accent4" w:themeFillTint="99"/>
            <w:vAlign w:val="center"/>
          </w:tcPr>
          <w:p w14:paraId="0A693F73"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69E7BD" w:themeFill="accent4" w:themeFillTint="99"/>
            <w:vAlign w:val="center"/>
          </w:tcPr>
          <w:p w14:paraId="02B3CD16" w14:textId="77777777" w:rsidR="00F54C29" w:rsidRPr="00167A1B" w:rsidRDefault="00F54C29" w:rsidP="009D260B">
            <w:pPr>
              <w:spacing w:after="0"/>
              <w:jc w:val="center"/>
              <w:rPr>
                <w:sz w:val="18"/>
                <w:szCs w:val="18"/>
              </w:rPr>
            </w:pPr>
            <w:r w:rsidRPr="00167A1B">
              <w:rPr>
                <w:sz w:val="18"/>
                <w:szCs w:val="18"/>
              </w:rPr>
              <w:t>+/++</w:t>
            </w:r>
          </w:p>
        </w:tc>
        <w:tc>
          <w:tcPr>
            <w:tcW w:w="1154" w:type="dxa"/>
            <w:shd w:val="clear" w:color="auto" w:fill="69E7BD" w:themeFill="accent4" w:themeFillTint="99"/>
            <w:vAlign w:val="center"/>
          </w:tcPr>
          <w:p w14:paraId="46CF8235" w14:textId="77777777" w:rsidR="00F54C29" w:rsidRPr="00167A1B" w:rsidRDefault="00F54C29" w:rsidP="009D260B">
            <w:pPr>
              <w:spacing w:after="0"/>
              <w:jc w:val="center"/>
              <w:rPr>
                <w:sz w:val="18"/>
                <w:szCs w:val="18"/>
              </w:rPr>
            </w:pPr>
            <w:r w:rsidRPr="00167A1B">
              <w:rPr>
                <w:sz w:val="18"/>
                <w:szCs w:val="18"/>
              </w:rPr>
              <w:t>+/++</w:t>
            </w:r>
          </w:p>
        </w:tc>
      </w:tr>
      <w:tr w:rsidR="00F54C29" w:rsidRPr="00167A1B" w14:paraId="69859C77" w14:textId="77777777" w:rsidTr="009D260B">
        <w:trPr>
          <w:trHeight w:val="414"/>
        </w:trPr>
        <w:tc>
          <w:tcPr>
            <w:tcW w:w="988" w:type="dxa"/>
            <w:vMerge/>
          </w:tcPr>
          <w:p w14:paraId="53F497E2" w14:textId="77777777" w:rsidR="00F54C29" w:rsidRPr="00167A1B" w:rsidRDefault="00F54C29" w:rsidP="009D260B">
            <w:pPr>
              <w:spacing w:after="0"/>
              <w:jc w:val="left"/>
              <w:rPr>
                <w:b/>
                <w:bCs/>
                <w:sz w:val="18"/>
                <w:szCs w:val="18"/>
              </w:rPr>
            </w:pPr>
          </w:p>
        </w:tc>
        <w:tc>
          <w:tcPr>
            <w:tcW w:w="2313" w:type="dxa"/>
            <w:vAlign w:val="center"/>
          </w:tcPr>
          <w:p w14:paraId="69738899" w14:textId="77777777" w:rsidR="00F54C29" w:rsidRPr="00167A1B" w:rsidRDefault="00F54C29" w:rsidP="009D260B">
            <w:pPr>
              <w:spacing w:after="0"/>
              <w:jc w:val="left"/>
              <w:rPr>
                <w:sz w:val="18"/>
                <w:szCs w:val="18"/>
              </w:rPr>
            </w:pPr>
            <w:r w:rsidRPr="00167A1B">
              <w:rPr>
                <w:sz w:val="18"/>
                <w:szCs w:val="18"/>
              </w:rPr>
              <w:t>Material use</w:t>
            </w:r>
          </w:p>
        </w:tc>
        <w:tc>
          <w:tcPr>
            <w:tcW w:w="1153" w:type="dxa"/>
            <w:shd w:val="clear" w:color="auto" w:fill="CDF7E9" w:themeFill="accent4" w:themeFillTint="33"/>
            <w:vAlign w:val="center"/>
          </w:tcPr>
          <w:p w14:paraId="104C4B13" w14:textId="77777777" w:rsidR="00F54C29" w:rsidRPr="00167A1B" w:rsidRDefault="00F54C29" w:rsidP="009D260B">
            <w:pPr>
              <w:spacing w:after="0"/>
              <w:jc w:val="center"/>
              <w:rPr>
                <w:sz w:val="18"/>
                <w:szCs w:val="18"/>
              </w:rPr>
            </w:pPr>
            <w:r w:rsidRPr="00167A1B">
              <w:rPr>
                <w:sz w:val="18"/>
                <w:szCs w:val="18"/>
              </w:rPr>
              <w:t>0/+</w:t>
            </w:r>
          </w:p>
        </w:tc>
        <w:tc>
          <w:tcPr>
            <w:tcW w:w="1153" w:type="dxa"/>
            <w:shd w:val="clear" w:color="auto" w:fill="FAE1DC" w:themeFill="accent1" w:themeFillTint="33"/>
            <w:vAlign w:val="center"/>
          </w:tcPr>
          <w:p w14:paraId="59E8C42F" w14:textId="77777777" w:rsidR="00F54C29" w:rsidRPr="00167A1B" w:rsidRDefault="00F54C29" w:rsidP="009D260B">
            <w:pPr>
              <w:spacing w:after="0"/>
              <w:jc w:val="center"/>
              <w:rPr>
                <w:sz w:val="18"/>
                <w:szCs w:val="18"/>
              </w:rPr>
            </w:pPr>
            <w:r w:rsidRPr="00167A1B">
              <w:rPr>
                <w:sz w:val="18"/>
                <w:szCs w:val="18"/>
              </w:rPr>
              <w:t>0/-</w:t>
            </w:r>
          </w:p>
        </w:tc>
        <w:tc>
          <w:tcPr>
            <w:tcW w:w="1153" w:type="dxa"/>
            <w:shd w:val="clear" w:color="auto" w:fill="69E7BD" w:themeFill="accent4" w:themeFillTint="99"/>
            <w:vAlign w:val="center"/>
          </w:tcPr>
          <w:p w14:paraId="51BB2653"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69E7BD" w:themeFill="accent4" w:themeFillTint="99"/>
            <w:vAlign w:val="center"/>
          </w:tcPr>
          <w:p w14:paraId="13BA2389" w14:textId="77777777" w:rsidR="00F54C29" w:rsidRPr="00167A1B" w:rsidRDefault="00F54C29" w:rsidP="009D260B">
            <w:pPr>
              <w:spacing w:after="0"/>
              <w:jc w:val="center"/>
              <w:rPr>
                <w:sz w:val="18"/>
                <w:szCs w:val="18"/>
              </w:rPr>
            </w:pPr>
            <w:r w:rsidRPr="00167A1B">
              <w:rPr>
                <w:sz w:val="18"/>
                <w:szCs w:val="18"/>
              </w:rPr>
              <w:t>+/++</w:t>
            </w:r>
          </w:p>
        </w:tc>
        <w:tc>
          <w:tcPr>
            <w:tcW w:w="1154" w:type="dxa"/>
            <w:shd w:val="clear" w:color="auto" w:fill="69E7BD" w:themeFill="accent4" w:themeFillTint="99"/>
            <w:vAlign w:val="center"/>
          </w:tcPr>
          <w:p w14:paraId="66F1E907" w14:textId="77777777" w:rsidR="00F54C29" w:rsidRPr="00167A1B" w:rsidRDefault="00F54C29" w:rsidP="009D260B">
            <w:pPr>
              <w:spacing w:after="0"/>
              <w:jc w:val="center"/>
              <w:rPr>
                <w:sz w:val="18"/>
                <w:szCs w:val="18"/>
              </w:rPr>
            </w:pPr>
            <w:r w:rsidRPr="00167A1B">
              <w:rPr>
                <w:sz w:val="18"/>
                <w:szCs w:val="18"/>
              </w:rPr>
              <w:t>+/++</w:t>
            </w:r>
          </w:p>
        </w:tc>
      </w:tr>
      <w:tr w:rsidR="00F54C29" w:rsidRPr="00167A1B" w14:paraId="7E70C6F5" w14:textId="77777777" w:rsidTr="009D260B">
        <w:trPr>
          <w:trHeight w:val="414"/>
        </w:trPr>
        <w:tc>
          <w:tcPr>
            <w:tcW w:w="988" w:type="dxa"/>
            <w:vMerge/>
          </w:tcPr>
          <w:p w14:paraId="45D062C9" w14:textId="77777777" w:rsidR="00F54C29" w:rsidRPr="00167A1B" w:rsidRDefault="00F54C29" w:rsidP="009D260B">
            <w:pPr>
              <w:spacing w:after="0"/>
              <w:jc w:val="left"/>
              <w:rPr>
                <w:b/>
                <w:bCs/>
                <w:sz w:val="18"/>
                <w:szCs w:val="18"/>
              </w:rPr>
            </w:pPr>
          </w:p>
        </w:tc>
        <w:tc>
          <w:tcPr>
            <w:tcW w:w="2313" w:type="dxa"/>
            <w:vAlign w:val="center"/>
          </w:tcPr>
          <w:p w14:paraId="666AA5E3" w14:textId="77777777" w:rsidR="00F54C29" w:rsidRPr="00167A1B" w:rsidRDefault="00F54C29" w:rsidP="009D260B">
            <w:pPr>
              <w:spacing w:after="0"/>
              <w:jc w:val="left"/>
              <w:rPr>
                <w:sz w:val="18"/>
                <w:szCs w:val="18"/>
              </w:rPr>
            </w:pPr>
            <w:r w:rsidRPr="00167A1B">
              <w:rPr>
                <w:sz w:val="18"/>
                <w:szCs w:val="18"/>
              </w:rPr>
              <w:t>Electronic waste</w:t>
            </w:r>
          </w:p>
        </w:tc>
        <w:tc>
          <w:tcPr>
            <w:tcW w:w="1153" w:type="dxa"/>
            <w:shd w:val="clear" w:color="auto" w:fill="auto"/>
            <w:vAlign w:val="center"/>
          </w:tcPr>
          <w:p w14:paraId="246AF2BF" w14:textId="77777777" w:rsidR="00F54C29" w:rsidRPr="00167A1B" w:rsidRDefault="00F54C29" w:rsidP="009D260B">
            <w:pPr>
              <w:spacing w:after="0"/>
              <w:jc w:val="center"/>
              <w:rPr>
                <w:sz w:val="18"/>
                <w:szCs w:val="18"/>
              </w:rPr>
            </w:pPr>
            <w:r w:rsidRPr="00167A1B">
              <w:rPr>
                <w:sz w:val="18"/>
                <w:szCs w:val="18"/>
              </w:rPr>
              <w:t>0</w:t>
            </w:r>
          </w:p>
        </w:tc>
        <w:tc>
          <w:tcPr>
            <w:tcW w:w="1153" w:type="dxa"/>
            <w:shd w:val="clear" w:color="auto" w:fill="FAE1DC" w:themeFill="accent1" w:themeFillTint="33"/>
            <w:vAlign w:val="center"/>
          </w:tcPr>
          <w:p w14:paraId="35EF57D6" w14:textId="77777777" w:rsidR="00F54C29" w:rsidRPr="00167A1B" w:rsidRDefault="00F54C29" w:rsidP="009D260B">
            <w:pPr>
              <w:spacing w:after="0"/>
              <w:jc w:val="center"/>
              <w:rPr>
                <w:sz w:val="18"/>
                <w:szCs w:val="18"/>
              </w:rPr>
            </w:pPr>
            <w:r w:rsidRPr="00167A1B">
              <w:rPr>
                <w:sz w:val="18"/>
                <w:szCs w:val="18"/>
              </w:rPr>
              <w:t>0/-</w:t>
            </w:r>
          </w:p>
        </w:tc>
        <w:tc>
          <w:tcPr>
            <w:tcW w:w="1153" w:type="dxa"/>
            <w:shd w:val="clear" w:color="auto" w:fill="9BEFD3" w:themeFill="accent4" w:themeFillTint="66"/>
            <w:vAlign w:val="center"/>
          </w:tcPr>
          <w:p w14:paraId="3A098D66"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9BEFD3" w:themeFill="accent4" w:themeFillTint="66"/>
            <w:vAlign w:val="center"/>
          </w:tcPr>
          <w:p w14:paraId="1B826809" w14:textId="77777777" w:rsidR="00F54C29" w:rsidRPr="00167A1B" w:rsidRDefault="00F54C29" w:rsidP="009D260B">
            <w:pPr>
              <w:spacing w:after="0"/>
              <w:jc w:val="center"/>
              <w:rPr>
                <w:sz w:val="18"/>
                <w:szCs w:val="18"/>
              </w:rPr>
            </w:pPr>
            <w:r w:rsidRPr="00167A1B">
              <w:rPr>
                <w:sz w:val="18"/>
                <w:szCs w:val="18"/>
              </w:rPr>
              <w:t>+</w:t>
            </w:r>
          </w:p>
        </w:tc>
        <w:tc>
          <w:tcPr>
            <w:tcW w:w="1154" w:type="dxa"/>
            <w:shd w:val="clear" w:color="auto" w:fill="9BEFD3" w:themeFill="accent4" w:themeFillTint="66"/>
            <w:vAlign w:val="center"/>
          </w:tcPr>
          <w:p w14:paraId="74DDDCE9" w14:textId="77777777" w:rsidR="00F54C29" w:rsidRPr="00167A1B" w:rsidRDefault="00F54C29" w:rsidP="009D260B">
            <w:pPr>
              <w:spacing w:after="0"/>
              <w:jc w:val="center"/>
              <w:rPr>
                <w:sz w:val="18"/>
                <w:szCs w:val="18"/>
              </w:rPr>
            </w:pPr>
            <w:r w:rsidRPr="00167A1B">
              <w:rPr>
                <w:sz w:val="18"/>
                <w:szCs w:val="18"/>
              </w:rPr>
              <w:t>+</w:t>
            </w:r>
          </w:p>
        </w:tc>
      </w:tr>
      <w:tr w:rsidR="00F54C29" w:rsidRPr="00167A1B" w14:paraId="39F2FAB5" w14:textId="77777777" w:rsidTr="009D260B">
        <w:trPr>
          <w:trHeight w:val="414"/>
        </w:trPr>
        <w:tc>
          <w:tcPr>
            <w:tcW w:w="988" w:type="dxa"/>
            <w:vMerge w:val="restart"/>
          </w:tcPr>
          <w:p w14:paraId="478DAFFF" w14:textId="77777777" w:rsidR="00F54C29" w:rsidRPr="00167A1B" w:rsidRDefault="00F54C29" w:rsidP="009D260B">
            <w:pPr>
              <w:spacing w:after="0"/>
              <w:jc w:val="left"/>
              <w:rPr>
                <w:b/>
                <w:bCs/>
                <w:sz w:val="18"/>
                <w:szCs w:val="18"/>
              </w:rPr>
            </w:pPr>
            <w:r w:rsidRPr="00167A1B">
              <w:rPr>
                <w:b/>
                <w:bCs/>
                <w:sz w:val="18"/>
                <w:szCs w:val="18"/>
              </w:rPr>
              <w:t>Economic</w:t>
            </w:r>
          </w:p>
        </w:tc>
        <w:tc>
          <w:tcPr>
            <w:tcW w:w="2313" w:type="dxa"/>
            <w:vAlign w:val="center"/>
          </w:tcPr>
          <w:p w14:paraId="21A5A161" w14:textId="77777777" w:rsidR="00F54C29" w:rsidRPr="00167A1B" w:rsidRDefault="00F54C29" w:rsidP="009D260B">
            <w:pPr>
              <w:spacing w:after="0"/>
              <w:jc w:val="left"/>
              <w:rPr>
                <w:sz w:val="18"/>
                <w:szCs w:val="18"/>
              </w:rPr>
            </w:pPr>
            <w:r w:rsidRPr="00167A1B">
              <w:rPr>
                <w:sz w:val="18"/>
                <w:szCs w:val="18"/>
              </w:rPr>
              <w:t xml:space="preserve">Cost to consumers </w:t>
            </w:r>
          </w:p>
        </w:tc>
        <w:tc>
          <w:tcPr>
            <w:tcW w:w="1153" w:type="dxa"/>
            <w:shd w:val="clear" w:color="auto" w:fill="69E7BD" w:themeFill="accent4" w:themeFillTint="99"/>
            <w:vAlign w:val="center"/>
          </w:tcPr>
          <w:p w14:paraId="6A2CD49C"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69E7BD" w:themeFill="accent4" w:themeFillTint="99"/>
            <w:vAlign w:val="center"/>
          </w:tcPr>
          <w:p w14:paraId="54E564B9"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69E7BD" w:themeFill="accent4" w:themeFillTint="99"/>
            <w:vAlign w:val="center"/>
          </w:tcPr>
          <w:p w14:paraId="7F55F74D"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auto"/>
            <w:vAlign w:val="center"/>
          </w:tcPr>
          <w:p w14:paraId="1FFD4CF8" w14:textId="77777777" w:rsidR="00F54C29" w:rsidRPr="00167A1B" w:rsidRDefault="00F54C29" w:rsidP="009D260B">
            <w:pPr>
              <w:spacing w:after="0"/>
              <w:jc w:val="center"/>
              <w:rPr>
                <w:sz w:val="18"/>
                <w:szCs w:val="18"/>
              </w:rPr>
            </w:pPr>
            <w:r w:rsidRPr="00167A1B">
              <w:rPr>
                <w:sz w:val="18"/>
                <w:szCs w:val="18"/>
              </w:rPr>
              <w:t>0</w:t>
            </w:r>
          </w:p>
        </w:tc>
        <w:tc>
          <w:tcPr>
            <w:tcW w:w="1154" w:type="dxa"/>
            <w:shd w:val="clear" w:color="auto" w:fill="9BEFD3" w:themeFill="accent4" w:themeFillTint="66"/>
            <w:vAlign w:val="center"/>
          </w:tcPr>
          <w:p w14:paraId="537E93A5" w14:textId="77777777" w:rsidR="00F54C29" w:rsidRPr="00167A1B" w:rsidRDefault="00F54C29" w:rsidP="009D260B">
            <w:pPr>
              <w:spacing w:after="0"/>
              <w:jc w:val="center"/>
              <w:rPr>
                <w:sz w:val="18"/>
                <w:szCs w:val="18"/>
              </w:rPr>
            </w:pPr>
            <w:r w:rsidRPr="00167A1B">
              <w:rPr>
                <w:sz w:val="18"/>
                <w:szCs w:val="18"/>
              </w:rPr>
              <w:t>+</w:t>
            </w:r>
          </w:p>
        </w:tc>
      </w:tr>
      <w:tr w:rsidR="00F54C29" w:rsidRPr="00167A1B" w14:paraId="329E567C" w14:textId="77777777" w:rsidTr="009D260B">
        <w:trPr>
          <w:trHeight w:val="414"/>
        </w:trPr>
        <w:tc>
          <w:tcPr>
            <w:tcW w:w="988" w:type="dxa"/>
            <w:vMerge/>
          </w:tcPr>
          <w:p w14:paraId="3988BC75" w14:textId="77777777" w:rsidR="00F54C29" w:rsidRPr="00167A1B" w:rsidRDefault="00F54C29" w:rsidP="009D260B">
            <w:pPr>
              <w:spacing w:after="0"/>
              <w:jc w:val="left"/>
              <w:rPr>
                <w:b/>
                <w:bCs/>
                <w:sz w:val="18"/>
                <w:szCs w:val="18"/>
              </w:rPr>
            </w:pPr>
          </w:p>
        </w:tc>
        <w:tc>
          <w:tcPr>
            <w:tcW w:w="2313" w:type="dxa"/>
            <w:vAlign w:val="center"/>
          </w:tcPr>
          <w:p w14:paraId="4DB2B204" w14:textId="77777777" w:rsidR="00F54C29" w:rsidRPr="00167A1B" w:rsidRDefault="00F54C29" w:rsidP="009D260B">
            <w:pPr>
              <w:spacing w:after="0"/>
              <w:jc w:val="left"/>
              <w:rPr>
                <w:sz w:val="18"/>
                <w:szCs w:val="18"/>
              </w:rPr>
            </w:pPr>
            <w:r w:rsidRPr="00167A1B">
              <w:rPr>
                <w:sz w:val="18"/>
                <w:szCs w:val="18"/>
              </w:rPr>
              <w:t xml:space="preserve">Gross profit of manufacturers of chargers </w:t>
            </w:r>
          </w:p>
        </w:tc>
        <w:tc>
          <w:tcPr>
            <w:tcW w:w="1153" w:type="dxa"/>
            <w:shd w:val="clear" w:color="auto" w:fill="F0A697" w:themeFill="accent1" w:themeFillTint="99"/>
            <w:vAlign w:val="center"/>
          </w:tcPr>
          <w:p w14:paraId="5B64114D"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F0A697" w:themeFill="accent1" w:themeFillTint="99"/>
            <w:vAlign w:val="center"/>
          </w:tcPr>
          <w:p w14:paraId="28F8AC9D"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E76C53" w:themeFill="accent1"/>
            <w:vAlign w:val="center"/>
          </w:tcPr>
          <w:p w14:paraId="6702BD41"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F0A697" w:themeFill="accent1" w:themeFillTint="99"/>
            <w:vAlign w:val="center"/>
          </w:tcPr>
          <w:p w14:paraId="6F23459F" w14:textId="77777777" w:rsidR="00F54C29" w:rsidRPr="00167A1B" w:rsidRDefault="00F54C29" w:rsidP="009D260B">
            <w:pPr>
              <w:spacing w:after="0"/>
              <w:jc w:val="center"/>
              <w:rPr>
                <w:sz w:val="18"/>
                <w:szCs w:val="18"/>
              </w:rPr>
            </w:pPr>
            <w:r w:rsidRPr="00167A1B">
              <w:rPr>
                <w:sz w:val="18"/>
                <w:szCs w:val="18"/>
              </w:rPr>
              <w:t>-/--</w:t>
            </w:r>
          </w:p>
        </w:tc>
        <w:tc>
          <w:tcPr>
            <w:tcW w:w="1154" w:type="dxa"/>
            <w:shd w:val="clear" w:color="auto" w:fill="F0A697" w:themeFill="accent1" w:themeFillTint="99"/>
            <w:vAlign w:val="center"/>
          </w:tcPr>
          <w:p w14:paraId="3732CAE4" w14:textId="77777777" w:rsidR="00F54C29" w:rsidRPr="00167A1B" w:rsidRDefault="00F54C29" w:rsidP="009D260B">
            <w:pPr>
              <w:spacing w:after="0"/>
              <w:jc w:val="center"/>
              <w:rPr>
                <w:sz w:val="18"/>
                <w:szCs w:val="18"/>
              </w:rPr>
            </w:pPr>
            <w:r w:rsidRPr="00167A1B">
              <w:rPr>
                <w:sz w:val="18"/>
                <w:szCs w:val="18"/>
              </w:rPr>
              <w:t>-/--</w:t>
            </w:r>
          </w:p>
        </w:tc>
      </w:tr>
      <w:tr w:rsidR="00F54C29" w:rsidRPr="00167A1B" w14:paraId="14AE241E" w14:textId="77777777" w:rsidTr="009D260B">
        <w:trPr>
          <w:trHeight w:val="414"/>
        </w:trPr>
        <w:tc>
          <w:tcPr>
            <w:tcW w:w="988" w:type="dxa"/>
            <w:vMerge/>
          </w:tcPr>
          <w:p w14:paraId="7F689BB9" w14:textId="77777777" w:rsidR="00F54C29" w:rsidRPr="00167A1B" w:rsidRDefault="00F54C29" w:rsidP="009D260B">
            <w:pPr>
              <w:spacing w:after="0"/>
              <w:jc w:val="left"/>
              <w:rPr>
                <w:b/>
                <w:bCs/>
                <w:sz w:val="18"/>
                <w:szCs w:val="18"/>
              </w:rPr>
            </w:pPr>
          </w:p>
        </w:tc>
        <w:tc>
          <w:tcPr>
            <w:tcW w:w="2313" w:type="dxa"/>
            <w:vAlign w:val="center"/>
          </w:tcPr>
          <w:p w14:paraId="6B2B0FC0" w14:textId="77777777" w:rsidR="00F54C29" w:rsidRPr="00167A1B" w:rsidRDefault="00F54C29" w:rsidP="009D260B">
            <w:pPr>
              <w:spacing w:after="0"/>
              <w:jc w:val="left"/>
              <w:rPr>
                <w:sz w:val="18"/>
                <w:szCs w:val="18"/>
              </w:rPr>
            </w:pPr>
            <w:r w:rsidRPr="00167A1B">
              <w:rPr>
                <w:sz w:val="18"/>
                <w:szCs w:val="18"/>
              </w:rPr>
              <w:t xml:space="preserve">Gross profit of distributors and retailers </w:t>
            </w:r>
          </w:p>
        </w:tc>
        <w:tc>
          <w:tcPr>
            <w:tcW w:w="1153" w:type="dxa"/>
            <w:shd w:val="clear" w:color="auto" w:fill="F0A697" w:themeFill="accent1" w:themeFillTint="99"/>
            <w:vAlign w:val="center"/>
          </w:tcPr>
          <w:p w14:paraId="6E082937"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F0A697" w:themeFill="accent1" w:themeFillTint="99"/>
            <w:vAlign w:val="center"/>
          </w:tcPr>
          <w:p w14:paraId="4A22158C"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9BEFD3" w:themeFill="accent4" w:themeFillTint="66"/>
            <w:vAlign w:val="center"/>
          </w:tcPr>
          <w:p w14:paraId="18A16B5C"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69E7BD" w:themeFill="accent4" w:themeFillTint="99"/>
            <w:vAlign w:val="center"/>
          </w:tcPr>
          <w:p w14:paraId="03A0778D" w14:textId="77777777" w:rsidR="00F54C29" w:rsidRPr="00167A1B" w:rsidRDefault="00F54C29" w:rsidP="009D260B">
            <w:pPr>
              <w:spacing w:after="0"/>
              <w:jc w:val="center"/>
              <w:rPr>
                <w:sz w:val="18"/>
                <w:szCs w:val="18"/>
              </w:rPr>
            </w:pPr>
            <w:r w:rsidRPr="00167A1B">
              <w:rPr>
                <w:sz w:val="18"/>
                <w:szCs w:val="18"/>
              </w:rPr>
              <w:t>+/++</w:t>
            </w:r>
          </w:p>
        </w:tc>
        <w:tc>
          <w:tcPr>
            <w:tcW w:w="1154" w:type="dxa"/>
            <w:shd w:val="clear" w:color="auto" w:fill="69E7BD" w:themeFill="accent4" w:themeFillTint="99"/>
            <w:vAlign w:val="center"/>
          </w:tcPr>
          <w:p w14:paraId="3E170881" w14:textId="77777777" w:rsidR="00F54C29" w:rsidRPr="00167A1B" w:rsidRDefault="00F54C29" w:rsidP="009D260B">
            <w:pPr>
              <w:spacing w:after="0"/>
              <w:jc w:val="center"/>
              <w:rPr>
                <w:sz w:val="18"/>
                <w:szCs w:val="18"/>
              </w:rPr>
            </w:pPr>
            <w:r w:rsidRPr="00167A1B">
              <w:rPr>
                <w:sz w:val="18"/>
                <w:szCs w:val="18"/>
              </w:rPr>
              <w:t>+/++</w:t>
            </w:r>
          </w:p>
        </w:tc>
      </w:tr>
      <w:tr w:rsidR="00F54C29" w:rsidRPr="00167A1B" w14:paraId="0C379984" w14:textId="77777777" w:rsidTr="009D260B">
        <w:trPr>
          <w:trHeight w:val="20"/>
        </w:trPr>
        <w:tc>
          <w:tcPr>
            <w:tcW w:w="988" w:type="dxa"/>
            <w:vMerge/>
          </w:tcPr>
          <w:p w14:paraId="77AC51E9" w14:textId="77777777" w:rsidR="00F54C29" w:rsidRPr="00167A1B" w:rsidRDefault="00F54C29" w:rsidP="009D260B">
            <w:pPr>
              <w:spacing w:after="0"/>
              <w:jc w:val="left"/>
              <w:rPr>
                <w:b/>
                <w:bCs/>
                <w:sz w:val="18"/>
                <w:szCs w:val="18"/>
              </w:rPr>
            </w:pPr>
          </w:p>
        </w:tc>
        <w:tc>
          <w:tcPr>
            <w:tcW w:w="2313" w:type="dxa"/>
            <w:vAlign w:val="center"/>
          </w:tcPr>
          <w:p w14:paraId="28CF4EA2" w14:textId="77777777" w:rsidR="00F54C29" w:rsidRPr="00167A1B" w:rsidRDefault="00F54C29" w:rsidP="009D260B">
            <w:pPr>
              <w:spacing w:after="0"/>
              <w:jc w:val="left"/>
              <w:rPr>
                <w:sz w:val="18"/>
                <w:szCs w:val="18"/>
              </w:rPr>
            </w:pPr>
            <w:r w:rsidRPr="00167A1B">
              <w:rPr>
                <w:sz w:val="18"/>
                <w:szCs w:val="18"/>
              </w:rPr>
              <w:t>Innovation</w:t>
            </w:r>
          </w:p>
        </w:tc>
        <w:tc>
          <w:tcPr>
            <w:tcW w:w="1153" w:type="dxa"/>
            <w:shd w:val="clear" w:color="auto" w:fill="FAE1DC"/>
            <w:vAlign w:val="center"/>
          </w:tcPr>
          <w:p w14:paraId="34086169" w14:textId="77777777" w:rsidR="00F54C29" w:rsidRPr="00167A1B" w:rsidRDefault="00F54C29" w:rsidP="009D260B">
            <w:pPr>
              <w:spacing w:after="0"/>
              <w:jc w:val="center"/>
              <w:rPr>
                <w:sz w:val="18"/>
                <w:szCs w:val="18"/>
              </w:rPr>
            </w:pPr>
            <w:r w:rsidRPr="00167A1B">
              <w:rPr>
                <w:sz w:val="18"/>
                <w:szCs w:val="18"/>
              </w:rPr>
              <w:t>0/-</w:t>
            </w:r>
          </w:p>
        </w:tc>
        <w:tc>
          <w:tcPr>
            <w:tcW w:w="1153" w:type="dxa"/>
            <w:shd w:val="clear" w:color="auto" w:fill="E76C53"/>
            <w:vAlign w:val="center"/>
          </w:tcPr>
          <w:p w14:paraId="408DDAB4"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FAE1DC"/>
            <w:vAlign w:val="center"/>
          </w:tcPr>
          <w:p w14:paraId="1D0BF1E7" w14:textId="77777777" w:rsidR="00F54C29" w:rsidRPr="00167A1B" w:rsidRDefault="00F54C29" w:rsidP="009D260B">
            <w:pPr>
              <w:spacing w:after="0"/>
              <w:jc w:val="center"/>
              <w:rPr>
                <w:sz w:val="18"/>
                <w:szCs w:val="18"/>
              </w:rPr>
            </w:pPr>
            <w:r w:rsidRPr="00167A1B">
              <w:rPr>
                <w:sz w:val="18"/>
                <w:szCs w:val="18"/>
              </w:rPr>
              <w:t>0/-</w:t>
            </w:r>
          </w:p>
        </w:tc>
        <w:tc>
          <w:tcPr>
            <w:tcW w:w="1153" w:type="dxa"/>
            <w:shd w:val="clear" w:color="auto" w:fill="auto"/>
            <w:vAlign w:val="center"/>
          </w:tcPr>
          <w:p w14:paraId="6E4BDB78" w14:textId="77777777" w:rsidR="00F54C29" w:rsidRPr="00167A1B" w:rsidRDefault="00F54C29" w:rsidP="009D260B">
            <w:pPr>
              <w:spacing w:after="0"/>
              <w:jc w:val="center"/>
              <w:rPr>
                <w:sz w:val="18"/>
                <w:szCs w:val="18"/>
              </w:rPr>
            </w:pPr>
            <w:r w:rsidRPr="00167A1B">
              <w:rPr>
                <w:sz w:val="18"/>
                <w:szCs w:val="18"/>
              </w:rPr>
              <w:t>0</w:t>
            </w:r>
          </w:p>
        </w:tc>
        <w:tc>
          <w:tcPr>
            <w:tcW w:w="1154" w:type="dxa"/>
            <w:shd w:val="clear" w:color="auto" w:fill="FAE1DC"/>
            <w:vAlign w:val="center"/>
          </w:tcPr>
          <w:p w14:paraId="6F2F7F68" w14:textId="77777777" w:rsidR="00F54C29" w:rsidRPr="00167A1B" w:rsidRDefault="00F54C29" w:rsidP="009D260B">
            <w:pPr>
              <w:spacing w:after="0"/>
              <w:jc w:val="center"/>
              <w:rPr>
                <w:sz w:val="18"/>
                <w:szCs w:val="18"/>
              </w:rPr>
            </w:pPr>
            <w:r w:rsidRPr="00167A1B">
              <w:rPr>
                <w:sz w:val="18"/>
                <w:szCs w:val="18"/>
              </w:rPr>
              <w:t>0/-</w:t>
            </w:r>
          </w:p>
        </w:tc>
      </w:tr>
      <w:tr w:rsidR="00F54C29" w:rsidRPr="00167A1B" w14:paraId="476D64BE" w14:textId="77777777" w:rsidTr="009D260B">
        <w:trPr>
          <w:trHeight w:val="20"/>
        </w:trPr>
        <w:tc>
          <w:tcPr>
            <w:tcW w:w="988" w:type="dxa"/>
            <w:vMerge/>
          </w:tcPr>
          <w:p w14:paraId="4C09239C" w14:textId="77777777" w:rsidR="00F54C29" w:rsidRPr="00167A1B" w:rsidRDefault="00F54C29" w:rsidP="009D260B">
            <w:pPr>
              <w:spacing w:after="0"/>
              <w:jc w:val="left"/>
              <w:rPr>
                <w:b/>
                <w:bCs/>
                <w:sz w:val="18"/>
                <w:szCs w:val="18"/>
              </w:rPr>
            </w:pPr>
          </w:p>
        </w:tc>
        <w:tc>
          <w:tcPr>
            <w:tcW w:w="2313" w:type="dxa"/>
            <w:vAlign w:val="center"/>
          </w:tcPr>
          <w:p w14:paraId="15A7FC87" w14:textId="77777777" w:rsidR="00F54C29" w:rsidRPr="00167A1B" w:rsidRDefault="00F54C29" w:rsidP="009D260B">
            <w:pPr>
              <w:spacing w:after="0"/>
              <w:jc w:val="left"/>
              <w:rPr>
                <w:sz w:val="18"/>
                <w:szCs w:val="18"/>
              </w:rPr>
            </w:pPr>
            <w:r w:rsidRPr="00167A1B">
              <w:rPr>
                <w:sz w:val="18"/>
                <w:szCs w:val="18"/>
              </w:rPr>
              <w:t>Other impacts on competitiveness</w:t>
            </w:r>
          </w:p>
        </w:tc>
        <w:tc>
          <w:tcPr>
            <w:tcW w:w="1153" w:type="dxa"/>
            <w:shd w:val="clear" w:color="auto" w:fill="F5C3B9"/>
            <w:vAlign w:val="center"/>
          </w:tcPr>
          <w:p w14:paraId="688F8D40"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F0A697"/>
            <w:vAlign w:val="center"/>
          </w:tcPr>
          <w:p w14:paraId="662AB1A8"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F5C3B9"/>
            <w:vAlign w:val="center"/>
          </w:tcPr>
          <w:p w14:paraId="0EEE58F8"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auto"/>
            <w:vAlign w:val="center"/>
          </w:tcPr>
          <w:p w14:paraId="68D7DAE3" w14:textId="77777777" w:rsidR="00F54C29" w:rsidRPr="00167A1B" w:rsidRDefault="00F54C29" w:rsidP="009D260B">
            <w:pPr>
              <w:spacing w:after="0"/>
              <w:jc w:val="center"/>
              <w:rPr>
                <w:sz w:val="18"/>
                <w:szCs w:val="18"/>
              </w:rPr>
            </w:pPr>
            <w:r w:rsidRPr="00167A1B">
              <w:rPr>
                <w:sz w:val="18"/>
                <w:szCs w:val="18"/>
              </w:rPr>
              <w:t>0</w:t>
            </w:r>
          </w:p>
        </w:tc>
        <w:tc>
          <w:tcPr>
            <w:tcW w:w="1154" w:type="dxa"/>
            <w:shd w:val="clear" w:color="auto" w:fill="F5C3B9"/>
            <w:vAlign w:val="center"/>
          </w:tcPr>
          <w:p w14:paraId="3BF52A88" w14:textId="77777777" w:rsidR="00F54C29" w:rsidRPr="00167A1B" w:rsidRDefault="00F54C29" w:rsidP="009D260B">
            <w:pPr>
              <w:spacing w:after="0"/>
              <w:jc w:val="center"/>
              <w:rPr>
                <w:sz w:val="18"/>
                <w:szCs w:val="18"/>
              </w:rPr>
            </w:pPr>
            <w:r w:rsidRPr="00167A1B">
              <w:rPr>
                <w:sz w:val="18"/>
                <w:szCs w:val="18"/>
              </w:rPr>
              <w:t>-</w:t>
            </w:r>
          </w:p>
        </w:tc>
      </w:tr>
      <w:tr w:rsidR="00F54C29" w:rsidRPr="00167A1B" w14:paraId="48D12928" w14:textId="77777777" w:rsidTr="009D260B">
        <w:trPr>
          <w:trHeight w:val="20"/>
        </w:trPr>
        <w:tc>
          <w:tcPr>
            <w:tcW w:w="988" w:type="dxa"/>
            <w:vMerge/>
          </w:tcPr>
          <w:p w14:paraId="4ABEB5D9" w14:textId="77777777" w:rsidR="00F54C29" w:rsidRPr="00167A1B" w:rsidRDefault="00F54C29" w:rsidP="009D260B">
            <w:pPr>
              <w:spacing w:after="0"/>
              <w:jc w:val="left"/>
              <w:rPr>
                <w:b/>
                <w:bCs/>
                <w:sz w:val="18"/>
                <w:szCs w:val="18"/>
              </w:rPr>
            </w:pPr>
          </w:p>
        </w:tc>
        <w:tc>
          <w:tcPr>
            <w:tcW w:w="2313" w:type="dxa"/>
            <w:vAlign w:val="center"/>
          </w:tcPr>
          <w:p w14:paraId="11532418" w14:textId="77777777" w:rsidR="00F54C29" w:rsidRPr="00167A1B" w:rsidRDefault="00F54C29" w:rsidP="009D260B">
            <w:pPr>
              <w:spacing w:after="0"/>
              <w:jc w:val="left"/>
              <w:rPr>
                <w:sz w:val="18"/>
                <w:szCs w:val="18"/>
              </w:rPr>
            </w:pPr>
            <w:r w:rsidRPr="00167A1B">
              <w:rPr>
                <w:sz w:val="18"/>
                <w:szCs w:val="18"/>
              </w:rPr>
              <w:t>Operating costs and conduct of business</w:t>
            </w:r>
          </w:p>
        </w:tc>
        <w:tc>
          <w:tcPr>
            <w:tcW w:w="1153" w:type="dxa"/>
            <w:shd w:val="clear" w:color="auto" w:fill="F5C3B9" w:themeFill="accent1" w:themeFillTint="66"/>
            <w:vAlign w:val="center"/>
          </w:tcPr>
          <w:p w14:paraId="3D9C7387"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F0A697" w:themeFill="accent1" w:themeFillTint="99"/>
            <w:vAlign w:val="center"/>
          </w:tcPr>
          <w:p w14:paraId="3608CE79"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F5C3B9" w:themeFill="accent1" w:themeFillTint="66"/>
            <w:vAlign w:val="center"/>
          </w:tcPr>
          <w:p w14:paraId="0AE5B5ED" w14:textId="77777777" w:rsidR="00F54C29" w:rsidRPr="00167A1B" w:rsidRDefault="00F54C29" w:rsidP="009D260B">
            <w:pPr>
              <w:spacing w:after="0"/>
              <w:jc w:val="center"/>
              <w:rPr>
                <w:sz w:val="18"/>
                <w:szCs w:val="18"/>
              </w:rPr>
            </w:pPr>
            <w:r w:rsidRPr="00167A1B">
              <w:rPr>
                <w:sz w:val="18"/>
                <w:szCs w:val="18"/>
              </w:rPr>
              <w:t>-</w:t>
            </w:r>
          </w:p>
        </w:tc>
        <w:tc>
          <w:tcPr>
            <w:tcW w:w="1153" w:type="dxa"/>
            <w:shd w:val="clear" w:color="auto" w:fill="F5C3B9"/>
            <w:vAlign w:val="center"/>
          </w:tcPr>
          <w:p w14:paraId="298100E4" w14:textId="77777777" w:rsidR="00F54C29" w:rsidRPr="00167A1B" w:rsidRDefault="00F54C29" w:rsidP="009D260B">
            <w:pPr>
              <w:spacing w:after="0"/>
              <w:jc w:val="center"/>
              <w:rPr>
                <w:sz w:val="18"/>
                <w:szCs w:val="18"/>
              </w:rPr>
            </w:pPr>
            <w:r w:rsidRPr="00167A1B">
              <w:rPr>
                <w:sz w:val="18"/>
                <w:szCs w:val="18"/>
              </w:rPr>
              <w:t>-</w:t>
            </w:r>
          </w:p>
        </w:tc>
        <w:tc>
          <w:tcPr>
            <w:tcW w:w="1154" w:type="dxa"/>
            <w:shd w:val="clear" w:color="auto" w:fill="F0A697" w:themeFill="accent1" w:themeFillTint="99"/>
            <w:vAlign w:val="center"/>
          </w:tcPr>
          <w:p w14:paraId="550C02B8" w14:textId="77777777" w:rsidR="00F54C29" w:rsidRPr="00167A1B" w:rsidRDefault="00F54C29" w:rsidP="009D260B">
            <w:pPr>
              <w:spacing w:after="0"/>
              <w:jc w:val="center"/>
              <w:rPr>
                <w:sz w:val="18"/>
                <w:szCs w:val="18"/>
              </w:rPr>
            </w:pPr>
            <w:r w:rsidRPr="00167A1B">
              <w:rPr>
                <w:sz w:val="18"/>
                <w:szCs w:val="18"/>
              </w:rPr>
              <w:t>-/--</w:t>
            </w:r>
          </w:p>
        </w:tc>
      </w:tr>
      <w:tr w:rsidR="00F54C29" w:rsidRPr="00167A1B" w14:paraId="7A0E1F8D" w14:textId="77777777" w:rsidTr="009D260B">
        <w:trPr>
          <w:trHeight w:val="414"/>
        </w:trPr>
        <w:tc>
          <w:tcPr>
            <w:tcW w:w="988" w:type="dxa"/>
            <w:vMerge/>
          </w:tcPr>
          <w:p w14:paraId="1B24B4FB" w14:textId="77777777" w:rsidR="00F54C29" w:rsidRPr="00167A1B" w:rsidRDefault="00F54C29" w:rsidP="009D260B">
            <w:pPr>
              <w:spacing w:after="0"/>
              <w:jc w:val="left"/>
              <w:rPr>
                <w:b/>
                <w:bCs/>
                <w:sz w:val="18"/>
                <w:szCs w:val="18"/>
              </w:rPr>
            </w:pPr>
          </w:p>
        </w:tc>
        <w:tc>
          <w:tcPr>
            <w:tcW w:w="2313" w:type="dxa"/>
            <w:vAlign w:val="center"/>
          </w:tcPr>
          <w:p w14:paraId="6A3FC5AA" w14:textId="77777777" w:rsidR="00F54C29" w:rsidRPr="00167A1B" w:rsidRDefault="00F54C29" w:rsidP="009D260B">
            <w:pPr>
              <w:spacing w:after="0"/>
              <w:jc w:val="left"/>
              <w:rPr>
                <w:sz w:val="18"/>
                <w:szCs w:val="18"/>
              </w:rPr>
            </w:pPr>
            <w:r w:rsidRPr="00167A1B">
              <w:rPr>
                <w:sz w:val="18"/>
                <w:szCs w:val="18"/>
              </w:rPr>
              <w:t>Costs to public authorities (EU)</w:t>
            </w:r>
          </w:p>
        </w:tc>
        <w:tc>
          <w:tcPr>
            <w:tcW w:w="1153" w:type="dxa"/>
            <w:shd w:val="clear" w:color="auto" w:fill="auto"/>
            <w:vAlign w:val="center"/>
          </w:tcPr>
          <w:p w14:paraId="2B8F0BB6" w14:textId="77777777" w:rsidR="00F54C29" w:rsidRPr="00167A1B" w:rsidRDefault="00F54C29" w:rsidP="009D260B">
            <w:pPr>
              <w:spacing w:after="0"/>
              <w:jc w:val="center"/>
              <w:rPr>
                <w:sz w:val="18"/>
                <w:szCs w:val="18"/>
              </w:rPr>
            </w:pPr>
            <w:r w:rsidRPr="00167A1B">
              <w:rPr>
                <w:sz w:val="18"/>
                <w:szCs w:val="18"/>
              </w:rPr>
              <w:t>0</w:t>
            </w:r>
          </w:p>
        </w:tc>
        <w:tc>
          <w:tcPr>
            <w:tcW w:w="1153" w:type="dxa"/>
            <w:shd w:val="clear" w:color="auto" w:fill="auto"/>
            <w:vAlign w:val="center"/>
          </w:tcPr>
          <w:p w14:paraId="29C10FBF" w14:textId="77777777" w:rsidR="00F54C29" w:rsidRPr="00167A1B" w:rsidRDefault="00F54C29" w:rsidP="009D260B">
            <w:pPr>
              <w:spacing w:after="0"/>
              <w:jc w:val="center"/>
              <w:rPr>
                <w:sz w:val="18"/>
                <w:szCs w:val="18"/>
              </w:rPr>
            </w:pPr>
            <w:r w:rsidRPr="00167A1B">
              <w:rPr>
                <w:sz w:val="18"/>
                <w:szCs w:val="18"/>
              </w:rPr>
              <w:t>0</w:t>
            </w:r>
          </w:p>
        </w:tc>
        <w:tc>
          <w:tcPr>
            <w:tcW w:w="1153" w:type="dxa"/>
            <w:shd w:val="clear" w:color="auto" w:fill="auto"/>
            <w:vAlign w:val="center"/>
          </w:tcPr>
          <w:p w14:paraId="6E85E8ED" w14:textId="77777777" w:rsidR="00F54C29" w:rsidRPr="00167A1B" w:rsidRDefault="00F54C29" w:rsidP="009D260B">
            <w:pPr>
              <w:spacing w:after="0"/>
              <w:jc w:val="center"/>
              <w:rPr>
                <w:sz w:val="18"/>
                <w:szCs w:val="18"/>
              </w:rPr>
            </w:pPr>
            <w:r w:rsidRPr="00167A1B">
              <w:rPr>
                <w:sz w:val="18"/>
                <w:szCs w:val="18"/>
              </w:rPr>
              <w:t>0</w:t>
            </w:r>
          </w:p>
        </w:tc>
        <w:tc>
          <w:tcPr>
            <w:tcW w:w="1153" w:type="dxa"/>
            <w:shd w:val="clear" w:color="auto" w:fill="auto"/>
            <w:vAlign w:val="center"/>
          </w:tcPr>
          <w:p w14:paraId="2245C46F" w14:textId="77777777" w:rsidR="00F54C29" w:rsidRPr="00167A1B" w:rsidRDefault="00F54C29" w:rsidP="009D260B">
            <w:pPr>
              <w:spacing w:after="0"/>
              <w:jc w:val="center"/>
              <w:rPr>
                <w:sz w:val="18"/>
                <w:szCs w:val="18"/>
              </w:rPr>
            </w:pPr>
            <w:r w:rsidRPr="00167A1B">
              <w:rPr>
                <w:sz w:val="18"/>
                <w:szCs w:val="18"/>
              </w:rPr>
              <w:t>0</w:t>
            </w:r>
          </w:p>
        </w:tc>
        <w:tc>
          <w:tcPr>
            <w:tcW w:w="1154" w:type="dxa"/>
            <w:shd w:val="clear" w:color="auto" w:fill="auto"/>
            <w:vAlign w:val="center"/>
          </w:tcPr>
          <w:p w14:paraId="698DA55F" w14:textId="77777777" w:rsidR="00F54C29" w:rsidRPr="00167A1B" w:rsidRDefault="00F54C29" w:rsidP="009D260B">
            <w:pPr>
              <w:spacing w:after="0"/>
              <w:jc w:val="center"/>
              <w:rPr>
                <w:sz w:val="18"/>
                <w:szCs w:val="18"/>
              </w:rPr>
            </w:pPr>
            <w:r w:rsidRPr="00167A1B">
              <w:rPr>
                <w:sz w:val="18"/>
                <w:szCs w:val="18"/>
              </w:rPr>
              <w:t>0</w:t>
            </w:r>
          </w:p>
        </w:tc>
      </w:tr>
      <w:tr w:rsidR="00F54C29" w:rsidRPr="00167A1B" w14:paraId="33A604E1" w14:textId="77777777" w:rsidTr="009D260B">
        <w:trPr>
          <w:trHeight w:val="414"/>
        </w:trPr>
        <w:tc>
          <w:tcPr>
            <w:tcW w:w="988" w:type="dxa"/>
            <w:vMerge/>
          </w:tcPr>
          <w:p w14:paraId="0ADD4F99" w14:textId="77777777" w:rsidR="00F54C29" w:rsidRPr="00167A1B" w:rsidRDefault="00F54C29" w:rsidP="009D260B">
            <w:pPr>
              <w:spacing w:after="0"/>
              <w:jc w:val="left"/>
              <w:rPr>
                <w:b/>
                <w:bCs/>
                <w:sz w:val="18"/>
                <w:szCs w:val="18"/>
              </w:rPr>
            </w:pPr>
          </w:p>
        </w:tc>
        <w:tc>
          <w:tcPr>
            <w:tcW w:w="2313" w:type="dxa"/>
            <w:vAlign w:val="center"/>
          </w:tcPr>
          <w:p w14:paraId="67435F4C" w14:textId="77777777" w:rsidR="00F54C29" w:rsidRPr="00167A1B" w:rsidRDefault="00F54C29" w:rsidP="009D260B">
            <w:pPr>
              <w:spacing w:after="0"/>
              <w:jc w:val="left"/>
              <w:rPr>
                <w:sz w:val="18"/>
                <w:szCs w:val="18"/>
              </w:rPr>
            </w:pPr>
            <w:r w:rsidRPr="00167A1B">
              <w:rPr>
                <w:sz w:val="18"/>
                <w:szCs w:val="18"/>
              </w:rPr>
              <w:t>Impacts on SMEs (EU)</w:t>
            </w:r>
          </w:p>
        </w:tc>
        <w:tc>
          <w:tcPr>
            <w:tcW w:w="1153" w:type="dxa"/>
            <w:shd w:val="clear" w:color="auto" w:fill="FAE1DC"/>
            <w:vAlign w:val="center"/>
          </w:tcPr>
          <w:p w14:paraId="1EABC1B9" w14:textId="77777777" w:rsidR="00F54C29" w:rsidRPr="00167A1B" w:rsidRDefault="00F54C29" w:rsidP="009D260B">
            <w:pPr>
              <w:spacing w:after="0"/>
              <w:jc w:val="center"/>
              <w:rPr>
                <w:sz w:val="18"/>
                <w:szCs w:val="18"/>
              </w:rPr>
            </w:pPr>
            <w:r w:rsidRPr="00167A1B">
              <w:rPr>
                <w:sz w:val="18"/>
                <w:szCs w:val="18"/>
              </w:rPr>
              <w:t>0/-</w:t>
            </w:r>
          </w:p>
        </w:tc>
        <w:tc>
          <w:tcPr>
            <w:tcW w:w="1153" w:type="dxa"/>
            <w:shd w:val="clear" w:color="auto" w:fill="FAE1DC"/>
            <w:vAlign w:val="center"/>
          </w:tcPr>
          <w:p w14:paraId="3E33AB40" w14:textId="77777777" w:rsidR="00F54C29" w:rsidRPr="00167A1B" w:rsidRDefault="00F54C29" w:rsidP="009D260B">
            <w:pPr>
              <w:spacing w:after="0"/>
              <w:jc w:val="center"/>
              <w:rPr>
                <w:sz w:val="18"/>
                <w:szCs w:val="18"/>
              </w:rPr>
            </w:pPr>
            <w:r w:rsidRPr="00167A1B">
              <w:rPr>
                <w:sz w:val="18"/>
                <w:szCs w:val="18"/>
              </w:rPr>
              <w:t>0/-</w:t>
            </w:r>
          </w:p>
        </w:tc>
        <w:tc>
          <w:tcPr>
            <w:tcW w:w="1153" w:type="dxa"/>
            <w:shd w:val="clear" w:color="auto" w:fill="FAE1DC"/>
            <w:vAlign w:val="center"/>
          </w:tcPr>
          <w:p w14:paraId="5F3D964E" w14:textId="77777777" w:rsidR="00F54C29" w:rsidRPr="00167A1B" w:rsidRDefault="00F54C29" w:rsidP="009D260B">
            <w:pPr>
              <w:spacing w:after="0"/>
              <w:jc w:val="center"/>
              <w:rPr>
                <w:sz w:val="18"/>
                <w:szCs w:val="18"/>
              </w:rPr>
            </w:pPr>
            <w:r w:rsidRPr="00167A1B">
              <w:rPr>
                <w:sz w:val="18"/>
                <w:szCs w:val="18"/>
              </w:rPr>
              <w:t>0/-</w:t>
            </w:r>
          </w:p>
        </w:tc>
        <w:tc>
          <w:tcPr>
            <w:tcW w:w="1153" w:type="dxa"/>
            <w:shd w:val="clear" w:color="auto" w:fill="FAE1DC"/>
            <w:vAlign w:val="center"/>
          </w:tcPr>
          <w:p w14:paraId="58BC294B" w14:textId="77777777" w:rsidR="00F54C29" w:rsidRPr="00167A1B" w:rsidRDefault="00F54C29" w:rsidP="009D260B">
            <w:pPr>
              <w:spacing w:after="0"/>
              <w:jc w:val="center"/>
              <w:rPr>
                <w:sz w:val="18"/>
                <w:szCs w:val="18"/>
              </w:rPr>
            </w:pPr>
            <w:r w:rsidRPr="00167A1B">
              <w:rPr>
                <w:sz w:val="18"/>
                <w:szCs w:val="18"/>
              </w:rPr>
              <w:t>0/-</w:t>
            </w:r>
          </w:p>
        </w:tc>
        <w:tc>
          <w:tcPr>
            <w:tcW w:w="1154" w:type="dxa"/>
            <w:shd w:val="clear" w:color="auto" w:fill="FAE1DC"/>
            <w:vAlign w:val="center"/>
          </w:tcPr>
          <w:p w14:paraId="4588FEDC" w14:textId="77777777" w:rsidR="00F54C29" w:rsidRPr="00167A1B" w:rsidRDefault="00F54C29" w:rsidP="009D260B">
            <w:pPr>
              <w:spacing w:after="0"/>
              <w:jc w:val="center"/>
              <w:rPr>
                <w:sz w:val="18"/>
                <w:szCs w:val="18"/>
              </w:rPr>
            </w:pPr>
            <w:r w:rsidRPr="00167A1B">
              <w:rPr>
                <w:sz w:val="18"/>
                <w:szCs w:val="18"/>
              </w:rPr>
              <w:t>0/-</w:t>
            </w:r>
          </w:p>
        </w:tc>
      </w:tr>
      <w:tr w:rsidR="00136C56" w:rsidRPr="00167A1B" w14:paraId="6B6826A8" w14:textId="77777777" w:rsidTr="00AE6FC5">
        <w:trPr>
          <w:trHeight w:val="414"/>
        </w:trPr>
        <w:tc>
          <w:tcPr>
            <w:tcW w:w="988" w:type="dxa"/>
            <w:vMerge w:val="restart"/>
          </w:tcPr>
          <w:p w14:paraId="0316061B" w14:textId="77777777" w:rsidR="00136C56" w:rsidRPr="00167A1B" w:rsidRDefault="00136C56" w:rsidP="00136C56">
            <w:pPr>
              <w:spacing w:after="0"/>
              <w:jc w:val="left"/>
              <w:rPr>
                <w:b/>
                <w:bCs/>
                <w:sz w:val="18"/>
                <w:szCs w:val="18"/>
              </w:rPr>
            </w:pPr>
            <w:r w:rsidRPr="00167A1B">
              <w:rPr>
                <w:b/>
                <w:bCs/>
                <w:sz w:val="18"/>
                <w:szCs w:val="18"/>
              </w:rPr>
              <w:t>Social</w:t>
            </w:r>
          </w:p>
        </w:tc>
        <w:tc>
          <w:tcPr>
            <w:tcW w:w="2313" w:type="dxa"/>
            <w:vAlign w:val="center"/>
          </w:tcPr>
          <w:p w14:paraId="7EF4EF87" w14:textId="77777777" w:rsidR="00136C56" w:rsidRPr="00167A1B" w:rsidRDefault="00136C56" w:rsidP="00136C56">
            <w:pPr>
              <w:spacing w:after="0"/>
              <w:jc w:val="left"/>
              <w:rPr>
                <w:sz w:val="18"/>
                <w:szCs w:val="18"/>
              </w:rPr>
            </w:pPr>
            <w:r w:rsidRPr="00167A1B">
              <w:rPr>
                <w:sz w:val="18"/>
                <w:szCs w:val="18"/>
              </w:rPr>
              <w:t>Consumer convenience</w:t>
            </w:r>
          </w:p>
        </w:tc>
        <w:tc>
          <w:tcPr>
            <w:tcW w:w="1153" w:type="dxa"/>
            <w:shd w:val="clear" w:color="auto" w:fill="9BEFD3" w:themeFill="accent4" w:themeFillTint="66"/>
            <w:vAlign w:val="center"/>
          </w:tcPr>
          <w:p w14:paraId="15961751" w14:textId="77777777" w:rsidR="00136C56" w:rsidRPr="00167A1B" w:rsidRDefault="00136C56" w:rsidP="00136C56">
            <w:pPr>
              <w:spacing w:after="0"/>
              <w:jc w:val="center"/>
              <w:rPr>
                <w:sz w:val="18"/>
                <w:szCs w:val="18"/>
              </w:rPr>
            </w:pPr>
            <w:r w:rsidRPr="00167A1B">
              <w:rPr>
                <w:sz w:val="18"/>
                <w:szCs w:val="18"/>
              </w:rPr>
              <w:t>+</w:t>
            </w:r>
          </w:p>
        </w:tc>
        <w:tc>
          <w:tcPr>
            <w:tcW w:w="1153" w:type="dxa"/>
            <w:shd w:val="clear" w:color="auto" w:fill="9BEFD3" w:themeFill="accent4" w:themeFillTint="66"/>
            <w:vAlign w:val="center"/>
          </w:tcPr>
          <w:p w14:paraId="3A093FFD" w14:textId="77777777" w:rsidR="00136C56" w:rsidRPr="00167A1B" w:rsidRDefault="00136C56" w:rsidP="00136C56">
            <w:pPr>
              <w:spacing w:after="0"/>
              <w:jc w:val="center"/>
              <w:rPr>
                <w:sz w:val="18"/>
                <w:szCs w:val="18"/>
              </w:rPr>
            </w:pPr>
            <w:r w:rsidRPr="00167A1B">
              <w:rPr>
                <w:sz w:val="18"/>
                <w:szCs w:val="18"/>
              </w:rPr>
              <w:t>+</w:t>
            </w:r>
          </w:p>
        </w:tc>
        <w:tc>
          <w:tcPr>
            <w:tcW w:w="1153" w:type="dxa"/>
            <w:shd w:val="clear" w:color="auto" w:fill="F5C3B9" w:themeFill="accent1" w:themeFillTint="66"/>
            <w:vAlign w:val="center"/>
          </w:tcPr>
          <w:p w14:paraId="0FE8A448" w14:textId="33715A07" w:rsidR="00136C56" w:rsidRPr="00167A1B" w:rsidRDefault="00136C56" w:rsidP="00136C56">
            <w:pPr>
              <w:spacing w:after="0"/>
              <w:jc w:val="center"/>
              <w:rPr>
                <w:sz w:val="18"/>
                <w:szCs w:val="18"/>
              </w:rPr>
            </w:pPr>
            <w:r w:rsidRPr="00167A1B">
              <w:rPr>
                <w:sz w:val="18"/>
                <w:szCs w:val="18"/>
              </w:rPr>
              <w:t>-</w:t>
            </w:r>
          </w:p>
        </w:tc>
        <w:tc>
          <w:tcPr>
            <w:tcW w:w="1153" w:type="dxa"/>
            <w:shd w:val="clear" w:color="auto" w:fill="F5C3B9" w:themeFill="accent1" w:themeFillTint="66"/>
            <w:vAlign w:val="center"/>
          </w:tcPr>
          <w:p w14:paraId="6AF309B0" w14:textId="1E97873A" w:rsidR="00136C56" w:rsidRPr="00167A1B" w:rsidRDefault="00136C56" w:rsidP="00136C56">
            <w:pPr>
              <w:spacing w:after="0"/>
              <w:jc w:val="center"/>
              <w:rPr>
                <w:sz w:val="18"/>
                <w:szCs w:val="18"/>
              </w:rPr>
            </w:pPr>
            <w:r w:rsidRPr="00167A1B">
              <w:rPr>
                <w:sz w:val="18"/>
                <w:szCs w:val="18"/>
              </w:rPr>
              <w:t>-</w:t>
            </w:r>
          </w:p>
        </w:tc>
        <w:tc>
          <w:tcPr>
            <w:tcW w:w="1154" w:type="dxa"/>
            <w:shd w:val="clear" w:color="auto" w:fill="FAE1DC" w:themeFill="accent1" w:themeFillTint="33"/>
            <w:vAlign w:val="center"/>
          </w:tcPr>
          <w:p w14:paraId="08C7933C" w14:textId="77777777" w:rsidR="00136C56" w:rsidRPr="00167A1B" w:rsidRDefault="00136C56" w:rsidP="00136C56">
            <w:pPr>
              <w:spacing w:after="0"/>
              <w:jc w:val="center"/>
              <w:rPr>
                <w:sz w:val="18"/>
                <w:szCs w:val="18"/>
              </w:rPr>
            </w:pPr>
            <w:r w:rsidRPr="00167A1B">
              <w:rPr>
                <w:sz w:val="18"/>
                <w:szCs w:val="18"/>
              </w:rPr>
              <w:t>0/-</w:t>
            </w:r>
          </w:p>
        </w:tc>
      </w:tr>
      <w:tr w:rsidR="00AE6FC5" w:rsidRPr="00167A1B" w14:paraId="7528F216" w14:textId="77777777" w:rsidTr="00AE6FC5">
        <w:trPr>
          <w:trHeight w:val="414"/>
        </w:trPr>
        <w:tc>
          <w:tcPr>
            <w:tcW w:w="988" w:type="dxa"/>
            <w:vMerge/>
          </w:tcPr>
          <w:p w14:paraId="159FEE46" w14:textId="77777777" w:rsidR="00AE6FC5" w:rsidRPr="00167A1B" w:rsidRDefault="00AE6FC5" w:rsidP="00AE6FC5">
            <w:pPr>
              <w:spacing w:after="0"/>
              <w:jc w:val="left"/>
              <w:rPr>
                <w:sz w:val="18"/>
                <w:szCs w:val="18"/>
              </w:rPr>
            </w:pPr>
          </w:p>
        </w:tc>
        <w:tc>
          <w:tcPr>
            <w:tcW w:w="2313" w:type="dxa"/>
            <w:vAlign w:val="center"/>
          </w:tcPr>
          <w:p w14:paraId="3384B4FE" w14:textId="77777777" w:rsidR="00AE6FC5" w:rsidRPr="00167A1B" w:rsidRDefault="00AE6FC5" w:rsidP="00AE6FC5">
            <w:pPr>
              <w:spacing w:after="0"/>
              <w:jc w:val="left"/>
              <w:rPr>
                <w:sz w:val="18"/>
                <w:szCs w:val="18"/>
              </w:rPr>
            </w:pPr>
            <w:r w:rsidRPr="00167A1B">
              <w:rPr>
                <w:sz w:val="18"/>
                <w:szCs w:val="18"/>
              </w:rPr>
              <w:t>Product safety &amp; illicit markets</w:t>
            </w:r>
          </w:p>
        </w:tc>
        <w:tc>
          <w:tcPr>
            <w:tcW w:w="1153" w:type="dxa"/>
            <w:shd w:val="clear" w:color="auto" w:fill="CDF7E9" w:themeFill="accent4" w:themeFillTint="33"/>
            <w:vAlign w:val="center"/>
          </w:tcPr>
          <w:p w14:paraId="05204BA5" w14:textId="77777777" w:rsidR="00AE6FC5" w:rsidRPr="00167A1B" w:rsidRDefault="00AE6FC5" w:rsidP="00AE6FC5">
            <w:pPr>
              <w:spacing w:after="0"/>
              <w:jc w:val="center"/>
              <w:rPr>
                <w:sz w:val="18"/>
                <w:szCs w:val="18"/>
              </w:rPr>
            </w:pPr>
            <w:r w:rsidRPr="00167A1B">
              <w:rPr>
                <w:sz w:val="18"/>
                <w:szCs w:val="18"/>
              </w:rPr>
              <w:t>0/+</w:t>
            </w:r>
          </w:p>
        </w:tc>
        <w:tc>
          <w:tcPr>
            <w:tcW w:w="1153" w:type="dxa"/>
            <w:shd w:val="clear" w:color="auto" w:fill="CDF7E9" w:themeFill="accent4" w:themeFillTint="33"/>
            <w:vAlign w:val="center"/>
          </w:tcPr>
          <w:p w14:paraId="4302A47A" w14:textId="77777777" w:rsidR="00AE6FC5" w:rsidRPr="00167A1B" w:rsidRDefault="00AE6FC5" w:rsidP="00AE6FC5">
            <w:pPr>
              <w:spacing w:after="0"/>
              <w:jc w:val="center"/>
              <w:rPr>
                <w:sz w:val="18"/>
                <w:szCs w:val="18"/>
              </w:rPr>
            </w:pPr>
            <w:r w:rsidRPr="00167A1B">
              <w:rPr>
                <w:sz w:val="18"/>
                <w:szCs w:val="18"/>
              </w:rPr>
              <w:t>0/+</w:t>
            </w:r>
          </w:p>
        </w:tc>
        <w:tc>
          <w:tcPr>
            <w:tcW w:w="1153" w:type="dxa"/>
            <w:shd w:val="clear" w:color="auto" w:fill="F5C3B9" w:themeFill="accent1" w:themeFillTint="66"/>
            <w:vAlign w:val="center"/>
          </w:tcPr>
          <w:p w14:paraId="576CA440" w14:textId="362B76E4" w:rsidR="00AE6FC5" w:rsidRPr="00167A1B" w:rsidRDefault="00AE6FC5" w:rsidP="00AE6FC5">
            <w:pPr>
              <w:spacing w:after="0"/>
              <w:jc w:val="center"/>
              <w:rPr>
                <w:sz w:val="18"/>
                <w:szCs w:val="18"/>
              </w:rPr>
            </w:pPr>
            <w:r w:rsidRPr="00167A1B">
              <w:rPr>
                <w:sz w:val="18"/>
                <w:szCs w:val="18"/>
              </w:rPr>
              <w:t>-</w:t>
            </w:r>
          </w:p>
        </w:tc>
        <w:tc>
          <w:tcPr>
            <w:tcW w:w="1153" w:type="dxa"/>
            <w:shd w:val="clear" w:color="auto" w:fill="F5C3B9" w:themeFill="accent1" w:themeFillTint="66"/>
            <w:vAlign w:val="center"/>
          </w:tcPr>
          <w:p w14:paraId="7DE61379" w14:textId="3C7CD2DC" w:rsidR="00AE6FC5" w:rsidRPr="00167A1B" w:rsidRDefault="00AE6FC5" w:rsidP="00AE6FC5">
            <w:pPr>
              <w:spacing w:after="0"/>
              <w:jc w:val="center"/>
              <w:rPr>
                <w:sz w:val="18"/>
                <w:szCs w:val="18"/>
              </w:rPr>
            </w:pPr>
            <w:r w:rsidRPr="00167A1B">
              <w:rPr>
                <w:sz w:val="18"/>
                <w:szCs w:val="18"/>
              </w:rPr>
              <w:t>-</w:t>
            </w:r>
          </w:p>
        </w:tc>
        <w:tc>
          <w:tcPr>
            <w:tcW w:w="1154" w:type="dxa"/>
            <w:shd w:val="clear" w:color="auto" w:fill="FAE1DC" w:themeFill="accent1" w:themeFillTint="33"/>
            <w:vAlign w:val="center"/>
          </w:tcPr>
          <w:p w14:paraId="7E85FC31" w14:textId="77777777" w:rsidR="00AE6FC5" w:rsidRPr="00167A1B" w:rsidRDefault="00AE6FC5" w:rsidP="00AE6FC5">
            <w:pPr>
              <w:spacing w:after="0"/>
              <w:jc w:val="center"/>
              <w:rPr>
                <w:sz w:val="18"/>
                <w:szCs w:val="18"/>
              </w:rPr>
            </w:pPr>
            <w:r w:rsidRPr="00167A1B">
              <w:rPr>
                <w:sz w:val="18"/>
                <w:szCs w:val="18"/>
              </w:rPr>
              <w:t>0/-</w:t>
            </w:r>
          </w:p>
        </w:tc>
      </w:tr>
    </w:tbl>
    <w:p w14:paraId="3EDC33CC" w14:textId="77777777" w:rsidR="00F54C29" w:rsidRPr="00167A1B" w:rsidRDefault="00F54C29" w:rsidP="00F54C29">
      <w:pPr>
        <w:pStyle w:val="BodyText1"/>
        <w:rPr>
          <w:noProof w:val="0"/>
        </w:rPr>
      </w:pPr>
    </w:p>
    <w:p w14:paraId="20BBF20D" w14:textId="77777777" w:rsidR="00F54C29" w:rsidRPr="00167A1B" w:rsidRDefault="00F54C29" w:rsidP="00F54C29">
      <w:pPr>
        <w:pStyle w:val="Subtitle10"/>
        <w:rPr>
          <w:noProof w:val="0"/>
        </w:rPr>
      </w:pPr>
      <w:r w:rsidRPr="00167A1B">
        <w:rPr>
          <w:noProof w:val="0"/>
        </w:rPr>
        <w:t>Other portable electronic devices</w:t>
      </w:r>
    </w:p>
    <w:p w14:paraId="6541A780" w14:textId="77777777" w:rsidR="00F54C29" w:rsidRPr="00167A1B" w:rsidRDefault="00F54C29" w:rsidP="00F54C29">
      <w:pPr>
        <w:pStyle w:val="BodyText1"/>
        <w:rPr>
          <w:noProof w:val="0"/>
        </w:rPr>
      </w:pPr>
      <w:r w:rsidRPr="00167A1B">
        <w:rPr>
          <w:noProof w:val="0"/>
        </w:rPr>
        <w:t xml:space="preserve">As discussed in chapter 6 of this report, </w:t>
      </w:r>
      <w:proofErr w:type="gramStart"/>
      <w:r w:rsidRPr="00167A1B">
        <w:rPr>
          <w:noProof w:val="0"/>
        </w:rPr>
        <w:t>all of</w:t>
      </w:r>
      <w:proofErr w:type="gramEnd"/>
      <w:r w:rsidRPr="00167A1B">
        <w:rPr>
          <w:noProof w:val="0"/>
        </w:rPr>
        <w:t xml:space="preserve"> the options could potentially also affect certain types of other portable electronic devices beyond mobile phones (in particular tablets, headphones and earbuds, hand-held video game consoles, portable speakers, e-readers, smartwatches and fitness trackers):</w:t>
      </w:r>
    </w:p>
    <w:p w14:paraId="22C3BDFB" w14:textId="77777777" w:rsidR="00F54C29" w:rsidRPr="00167A1B" w:rsidRDefault="00F54C29" w:rsidP="00F54C29">
      <w:pPr>
        <w:pStyle w:val="bullet1"/>
        <w:rPr>
          <w:noProof w:val="0"/>
        </w:rPr>
      </w:pPr>
      <w:r w:rsidRPr="00167A1B">
        <w:rPr>
          <w:b/>
          <w:bCs/>
          <w:noProof w:val="0"/>
        </w:rPr>
        <w:t>Indirectly</w:t>
      </w:r>
      <w:r w:rsidRPr="00167A1B">
        <w:rPr>
          <w:noProof w:val="0"/>
        </w:rPr>
        <w:t>, due to voluntary changes in manufacturer / vendor behaviour, shifts in consumer demand, or other relevant mechanisms that would “spill over” from mobile phones to the chargers of other devices (even though these would not be obliged to comply with the same rules or regulations).</w:t>
      </w:r>
    </w:p>
    <w:p w14:paraId="4A5C0FEA" w14:textId="77777777" w:rsidR="00F54C29" w:rsidRPr="00167A1B" w:rsidRDefault="00F54C29" w:rsidP="00F54C29">
      <w:pPr>
        <w:pStyle w:val="bullet1"/>
        <w:rPr>
          <w:noProof w:val="0"/>
        </w:rPr>
      </w:pPr>
      <w:r w:rsidRPr="00167A1B">
        <w:rPr>
          <w:b/>
          <w:bCs/>
          <w:noProof w:val="0"/>
        </w:rPr>
        <w:t>Directly</w:t>
      </w:r>
      <w:r w:rsidRPr="00167A1B">
        <w:rPr>
          <w:noProof w:val="0"/>
        </w:rPr>
        <w:t>, if the scope of the initiative was broadened to also apply to certain other devices. Not all options (and hence packages) are equally well suited to all categories of devices considered in this study. In particular:</w:t>
      </w:r>
    </w:p>
    <w:p w14:paraId="48DB53A8" w14:textId="77777777" w:rsidR="00F54C29" w:rsidRPr="00167A1B" w:rsidRDefault="00F54C29" w:rsidP="00F54C29">
      <w:pPr>
        <w:pStyle w:val="bullet1"/>
        <w:numPr>
          <w:ilvl w:val="1"/>
          <w:numId w:val="22"/>
        </w:numPr>
        <w:rPr>
          <w:noProof w:val="0"/>
        </w:rPr>
      </w:pPr>
      <w:r w:rsidRPr="00167A1B">
        <w:rPr>
          <w:noProof w:val="0"/>
        </w:rPr>
        <w:t>Making USB Type-C connectors mandatory (option 1) would not be appropriate for smartwatches and fitness trackers due to their specific form and uses.</w:t>
      </w:r>
    </w:p>
    <w:p w14:paraId="21253118" w14:textId="77777777" w:rsidR="00F54C29" w:rsidRPr="00167A1B" w:rsidRDefault="00F54C29" w:rsidP="00F54C29">
      <w:pPr>
        <w:pStyle w:val="bullet1"/>
        <w:numPr>
          <w:ilvl w:val="1"/>
          <w:numId w:val="22"/>
        </w:numPr>
        <w:rPr>
          <w:noProof w:val="0"/>
        </w:rPr>
      </w:pPr>
      <w:r w:rsidRPr="00167A1B">
        <w:rPr>
          <w:noProof w:val="0"/>
        </w:rPr>
        <w:t>Harmonising communication protocols (options 2 and 3) would be problematic for devices that routinely charge at low wattages (including earwear and e-readers), or for devices with removable batteries (mainly digital cameras), as there would be insufficient benefits to justify the costs.</w:t>
      </w:r>
    </w:p>
    <w:p w14:paraId="2AD93020" w14:textId="5BB39F11" w:rsidR="00F54C29" w:rsidRPr="00167A1B" w:rsidRDefault="00F54C29" w:rsidP="00F54C29">
      <w:pPr>
        <w:pStyle w:val="bullet1"/>
        <w:numPr>
          <w:ilvl w:val="1"/>
          <w:numId w:val="22"/>
        </w:numPr>
        <w:rPr>
          <w:noProof w:val="0"/>
        </w:rPr>
      </w:pPr>
      <w:r w:rsidRPr="00167A1B">
        <w:rPr>
          <w:noProof w:val="0"/>
        </w:rPr>
        <w:t xml:space="preserve">Making unbundling of EPS mandatory (option 4.a) for devices where this is already the norm (in particular earwear) would be </w:t>
      </w:r>
      <w:proofErr w:type="gramStart"/>
      <w:r w:rsidRPr="00167A1B">
        <w:rPr>
          <w:noProof w:val="0"/>
        </w:rPr>
        <w:t xml:space="preserve">possible, </w:t>
      </w:r>
      <w:r w:rsidR="00C64086" w:rsidRPr="00167A1B">
        <w:rPr>
          <w:noProof w:val="0"/>
        </w:rPr>
        <w:t>but</w:t>
      </w:r>
      <w:proofErr w:type="gramEnd"/>
      <w:r w:rsidRPr="00167A1B">
        <w:rPr>
          <w:noProof w:val="0"/>
        </w:rPr>
        <w:t xml:space="preserve"> would not result in any positive or negative impacts.</w:t>
      </w:r>
    </w:p>
    <w:p w14:paraId="6917FD43" w14:textId="77777777" w:rsidR="00F54C29" w:rsidRPr="00167A1B" w:rsidRDefault="00F54C29" w:rsidP="00F54C29">
      <w:pPr>
        <w:pStyle w:val="bullet1"/>
        <w:numPr>
          <w:ilvl w:val="1"/>
          <w:numId w:val="22"/>
        </w:numPr>
        <w:rPr>
          <w:noProof w:val="0"/>
        </w:rPr>
      </w:pPr>
      <w:r w:rsidRPr="00167A1B">
        <w:rPr>
          <w:noProof w:val="0"/>
        </w:rPr>
        <w:t>Out of the seven groups of portable electronic devices that were considered as part of this study, the three for which all options appear applicable without giving rise to any significant concerns (other than the negative impacts that also apply to mobile phones) are tablets, hand-held video game consoles, and portable speakers.</w:t>
      </w:r>
    </w:p>
    <w:p w14:paraId="585BD1AC" w14:textId="77777777" w:rsidR="00F54C29" w:rsidRPr="00167A1B" w:rsidRDefault="00F54C29" w:rsidP="00F54C29">
      <w:pPr>
        <w:pStyle w:val="bullet1"/>
        <w:numPr>
          <w:ilvl w:val="0"/>
          <w:numId w:val="0"/>
        </w:numPr>
        <w:rPr>
          <w:noProof w:val="0"/>
        </w:rPr>
      </w:pPr>
      <w:r w:rsidRPr="00167A1B">
        <w:rPr>
          <w:noProof w:val="0"/>
        </w:rPr>
        <w:t xml:space="preserve">Overall, these indirect as well as potential direct effects would amplify the positive as well as negative impacts of the initiative as outlined above. The key drivers of impact are very similar to those that apply to mobile phones and their chargers, albeit with certain nuances for specific options and device categories. As regards the scale of these additional impacts, this would be smaller than for mobile phones, based mainly on the simple fact that far fewer such devices are sold and used in the EU than mobile phones. </w:t>
      </w:r>
    </w:p>
    <w:p w14:paraId="5587A79F" w14:textId="77777777" w:rsidR="00F54C29" w:rsidRPr="00167A1B" w:rsidRDefault="00F54C29" w:rsidP="00F54C29">
      <w:pPr>
        <w:pStyle w:val="BodyText1"/>
        <w:rPr>
          <w:noProof w:val="0"/>
        </w:rPr>
      </w:pPr>
    </w:p>
    <w:p w14:paraId="50366D6E" w14:textId="77777777" w:rsidR="00F54C29" w:rsidRPr="00167A1B" w:rsidRDefault="00F54C29" w:rsidP="00F54C29">
      <w:pPr>
        <w:pStyle w:val="Subtitle10"/>
        <w:rPr>
          <w:noProof w:val="0"/>
        </w:rPr>
      </w:pPr>
      <w:r w:rsidRPr="00167A1B">
        <w:rPr>
          <w:noProof w:val="0"/>
        </w:rPr>
        <w:lastRenderedPageBreak/>
        <w:t>Concluding remarks</w:t>
      </w:r>
    </w:p>
    <w:p w14:paraId="5310F9AA" w14:textId="77777777" w:rsidR="00F54C29" w:rsidRPr="00167A1B" w:rsidRDefault="00F54C29" w:rsidP="00F54C29">
      <w:pPr>
        <w:pStyle w:val="BodyText1"/>
        <w:rPr>
          <w:noProof w:val="0"/>
        </w:rPr>
      </w:pPr>
      <w:r w:rsidRPr="00167A1B">
        <w:rPr>
          <w:noProof w:val="0"/>
        </w:rPr>
        <w:t xml:space="preserve">Based on the analysis presented in this report, the only option for which the balance of benefits vs costs is relatively unambiguously positive is </w:t>
      </w:r>
      <w:r w:rsidRPr="00167A1B">
        <w:rPr>
          <w:b/>
          <w:bCs/>
          <w:noProof w:val="0"/>
        </w:rPr>
        <w:t>option 2</w:t>
      </w:r>
      <w:r w:rsidRPr="00167A1B">
        <w:rPr>
          <w:noProof w:val="0"/>
        </w:rPr>
        <w:t>. It provides modest benefits for consumers, as well as some very minor environmental benefits, with only very small cost implications for economic operators. Although, as discussed in detail previously, this option would only require phone manufacturers to make relatively small changes to their products (many of which are already fully compliant), and would not significantly enhance interoperability as such, it would nonetheless represent a step forward in terms of cementing the already existing, near universal interoperability of phones and chargers, as well as raising consumer awareness of this fact (if accompanied by effective flanking information requirements).</w:t>
      </w:r>
    </w:p>
    <w:p w14:paraId="4D46CD64" w14:textId="77777777" w:rsidR="00F54C29" w:rsidRPr="00167A1B" w:rsidRDefault="00F54C29" w:rsidP="00F54C29">
      <w:pPr>
        <w:pStyle w:val="BodyText1"/>
        <w:rPr>
          <w:noProof w:val="0"/>
        </w:rPr>
      </w:pPr>
      <w:r w:rsidRPr="00167A1B">
        <w:rPr>
          <w:b/>
          <w:bCs/>
          <w:noProof w:val="0"/>
        </w:rPr>
        <w:t>Option 3</w:t>
      </w:r>
      <w:r w:rsidRPr="00167A1B">
        <w:rPr>
          <w:noProof w:val="0"/>
        </w:rPr>
        <w:t xml:space="preserve"> pursues a similar objective as option 2, but would be less effective overall, given that it would place more restrictions on proprietary fast charging solutions, and that it becomes less effective the more unbundling takes place (since it could only apply to “in the box” EPS). Nonetheless, the imminent publication of IEC 63002:2021 means this option is potentially worth exploring further in a broader context, as the basis for a possible future “universal EPS” initiative.</w:t>
      </w:r>
    </w:p>
    <w:p w14:paraId="46B52991" w14:textId="70BFB7A8" w:rsidR="001E7477" w:rsidRPr="00167A1B" w:rsidRDefault="001E7477" w:rsidP="001E7477">
      <w:pPr>
        <w:pStyle w:val="BodyText1"/>
        <w:rPr>
          <w:rFonts w:asciiTheme="minorHAnsi" w:hAnsiTheme="minorHAnsi" w:cstheme="minorHAnsi"/>
          <w:noProof w:val="0"/>
          <w:szCs w:val="22"/>
        </w:rPr>
      </w:pPr>
      <w:r w:rsidRPr="00167A1B">
        <w:rPr>
          <w:rFonts w:asciiTheme="minorHAnsi" w:hAnsiTheme="minorHAnsi" w:cstheme="minorHAnsi"/>
          <w:noProof w:val="0"/>
          <w:szCs w:val="22"/>
        </w:rPr>
        <w:t>Regarding</w:t>
      </w:r>
      <w:r w:rsidRPr="00167A1B">
        <w:rPr>
          <w:rFonts w:asciiTheme="minorHAnsi" w:hAnsiTheme="minorHAnsi" w:cstheme="minorHAnsi"/>
          <w:b/>
          <w:bCs/>
          <w:noProof w:val="0"/>
          <w:szCs w:val="22"/>
        </w:rPr>
        <w:t xml:space="preserve"> option 1</w:t>
      </w:r>
      <w:r w:rsidRPr="00167A1B">
        <w:rPr>
          <w:rFonts w:asciiTheme="minorHAnsi" w:hAnsiTheme="minorHAnsi" w:cstheme="minorHAnsi"/>
          <w:noProof w:val="0"/>
          <w:szCs w:val="22"/>
        </w:rPr>
        <w:t>, it is important to reiterate that, while option 2 would also imply the mandatory adoption of USB Type-C connectors at either the device or the EPS end (or both), option 1 would go beyond this by requiring USB Type-C connectors at the device end, and banning proprietary connectors entirely.</w:t>
      </w:r>
      <w:r w:rsidRPr="00167A1B">
        <w:rPr>
          <w:rStyle w:val="FootnoteReference"/>
          <w:rFonts w:cstheme="minorHAnsi"/>
          <w:noProof w:val="0"/>
          <w:sz w:val="22"/>
          <w:szCs w:val="22"/>
        </w:rPr>
        <w:footnoteReference w:id="4"/>
      </w:r>
      <w:r w:rsidRPr="00167A1B">
        <w:rPr>
          <w:rFonts w:asciiTheme="minorHAnsi" w:hAnsiTheme="minorHAnsi" w:cstheme="minorHAnsi"/>
          <w:noProof w:val="0"/>
          <w:szCs w:val="22"/>
        </w:rPr>
        <w:t xml:space="preserve"> As already described in the first IA study, this would generate both positive and negative impacts: it would imply minor benefits for consumers, but at a non-negligible cost for manufacturers, including a possible constraining effect on future innovation. When considering the option in isolation (i.e. not in a package), it also delivers negative environmental impacts. However, when combined with unbundling, we expect there to be small synergy effects that would improve the environmental performance (see below). </w:t>
      </w:r>
    </w:p>
    <w:p w14:paraId="7D427B00" w14:textId="20D41EC3" w:rsidR="00F54C29" w:rsidRPr="00167A1B" w:rsidRDefault="00F54C29" w:rsidP="00F54C29">
      <w:pPr>
        <w:pStyle w:val="BodyText1"/>
        <w:rPr>
          <w:noProof w:val="0"/>
        </w:rPr>
      </w:pPr>
      <w:r w:rsidRPr="00167A1B">
        <w:rPr>
          <w:noProof w:val="0"/>
        </w:rPr>
        <w:t xml:space="preserve">As regards the </w:t>
      </w:r>
      <w:r w:rsidRPr="00167A1B">
        <w:rPr>
          <w:b/>
          <w:bCs/>
          <w:noProof w:val="0"/>
        </w:rPr>
        <w:t>unbundling options</w:t>
      </w:r>
      <w:r w:rsidRPr="00167A1B">
        <w:rPr>
          <w:noProof w:val="0"/>
        </w:rPr>
        <w:t xml:space="preserve">, these imply very clear and obvious trade-offs – most importantly, significant environmental benefits vs a significant financial cost and loss of convenience for consumers. Whether the benefits outweigh and justify the costs is a political decision. Nonetheless, it is perhaps worth asking whether now </w:t>
      </w:r>
      <w:proofErr w:type="gramStart"/>
      <w:r w:rsidRPr="00167A1B">
        <w:rPr>
          <w:noProof w:val="0"/>
        </w:rPr>
        <w:t xml:space="preserve">is the </w:t>
      </w:r>
      <w:r w:rsidR="00805D43" w:rsidRPr="00167A1B">
        <w:rPr>
          <w:noProof w:val="0"/>
        </w:rPr>
        <w:t xml:space="preserve">ideal </w:t>
      </w:r>
      <w:r w:rsidRPr="00167A1B">
        <w:rPr>
          <w:noProof w:val="0"/>
        </w:rPr>
        <w:t>time</w:t>
      </w:r>
      <w:proofErr w:type="gramEnd"/>
      <w:r w:rsidRPr="00167A1B">
        <w:rPr>
          <w:noProof w:val="0"/>
        </w:rPr>
        <w:t xml:space="preserve"> to make unbundling mandatory, when significant parts of the market are already moving in this direction voluntarily, to some extent risking negative reactions from their customers. </w:t>
      </w:r>
      <w:r w:rsidR="00805D43" w:rsidRPr="00167A1B">
        <w:rPr>
          <w:noProof w:val="0"/>
        </w:rPr>
        <w:t>In the view of the study team, it could be argued that it might</w:t>
      </w:r>
      <w:r w:rsidRPr="00167A1B">
        <w:rPr>
          <w:noProof w:val="0"/>
        </w:rPr>
        <w:t xml:space="preserve"> be more politically and practically expedient for the EU to observe the markets further, and consider regulating in due course, if unbundling does not progress as hoped, rather than step in now, and risk becoming the target of negative sentiment among consumers that would otherwise be directed at manufacturers.</w:t>
      </w:r>
    </w:p>
    <w:p w14:paraId="7A75BB90" w14:textId="77777777" w:rsidR="00F54C29" w:rsidRPr="00167A1B" w:rsidRDefault="00F54C29" w:rsidP="00F54C29">
      <w:pPr>
        <w:pStyle w:val="BodyText1"/>
        <w:rPr>
          <w:noProof w:val="0"/>
        </w:rPr>
      </w:pPr>
      <w:r w:rsidRPr="00167A1B">
        <w:rPr>
          <w:noProof w:val="0"/>
        </w:rPr>
        <w:t xml:space="preserve">As regards </w:t>
      </w:r>
      <w:r w:rsidRPr="00167A1B">
        <w:rPr>
          <w:b/>
          <w:bCs/>
          <w:noProof w:val="0"/>
        </w:rPr>
        <w:t>option 5</w:t>
      </w:r>
      <w:r w:rsidRPr="00167A1B">
        <w:rPr>
          <w:noProof w:val="0"/>
        </w:rPr>
        <w:t xml:space="preserve"> (the voluntary interoperability labelling scheme), this would have the potential to bring non-negligible benefits, either on its own or in combination with any of the other options. It therefore seems worth pursuing further, i.e. launching consultations with relevant stakeholders to further explore if and how such a scheme could be designed, launched, managed and monitored, and potentially carrying out market research to test its likely acceptance by consumers, and what design features could help maximise its effectiveness. </w:t>
      </w:r>
    </w:p>
    <w:p w14:paraId="11A97A3A" w14:textId="78885701" w:rsidR="00F54C29" w:rsidRPr="00167A1B" w:rsidRDefault="00F54C29" w:rsidP="00F54C29">
      <w:pPr>
        <w:pStyle w:val="BodyText1"/>
        <w:rPr>
          <w:noProof w:val="0"/>
        </w:rPr>
      </w:pPr>
      <w:r w:rsidRPr="00167A1B">
        <w:rPr>
          <w:noProof w:val="0"/>
        </w:rPr>
        <w:t xml:space="preserve">When considering the packages of options, </w:t>
      </w:r>
      <w:r w:rsidRPr="00167A1B">
        <w:rPr>
          <w:b/>
          <w:bCs/>
          <w:noProof w:val="0"/>
        </w:rPr>
        <w:t>package 5</w:t>
      </w:r>
      <w:r w:rsidRPr="00167A1B">
        <w:rPr>
          <w:noProof w:val="0"/>
        </w:rPr>
        <w:t xml:space="preserve"> would provide the best environmental results of all options and packages (except option 4.b), due to the expected synergy effects resulting in lower demand for standalone EPS as well as cables. It would result in minor savings for consumers, as well as additional benefits for distributors and retailers of chargers, at the expense of charger manufacturers and wholesalers, who would see their gross profits significantly reduced. Mobile phone manufacturers would face increased operating costs, in </w:t>
      </w:r>
      <w:r w:rsidRPr="00167A1B">
        <w:rPr>
          <w:noProof w:val="0"/>
        </w:rPr>
        <w:lastRenderedPageBreak/>
        <w:t>particular those that have invested in proprietary connectors</w:t>
      </w:r>
      <w:r w:rsidR="005648BE" w:rsidRPr="00167A1B">
        <w:rPr>
          <w:noProof w:val="0"/>
        </w:rPr>
        <w:t xml:space="preserve"> as well as manufacturers of lower tier phones</w:t>
      </w:r>
      <w:r w:rsidRPr="00167A1B">
        <w:rPr>
          <w:noProof w:val="0"/>
        </w:rPr>
        <w:t>, and would have to re-design their products, packaging and/or business models (though this cost would be reduced if, as envisaged here, the new rules only apply to new models launched on the market after a given date, providing for an adequate transition period). Consumers would still be likely to be inconvenienced by this package, but the harmonisation elements it includes would alleviate the negative impact of unbundling to some extent.</w:t>
      </w:r>
    </w:p>
    <w:p w14:paraId="238C2EAD" w14:textId="77777777" w:rsidR="00F54C29" w:rsidRPr="00167A1B" w:rsidRDefault="00F54C29" w:rsidP="00F54C29">
      <w:pPr>
        <w:pStyle w:val="BodyText1"/>
        <w:rPr>
          <w:noProof w:val="0"/>
        </w:rPr>
      </w:pPr>
    </w:p>
    <w:p w14:paraId="3FCE849F" w14:textId="77777777" w:rsidR="00F54C29" w:rsidRPr="00167A1B" w:rsidRDefault="00F54C29" w:rsidP="00F54C29">
      <w:pPr>
        <w:pStyle w:val="BodyText1"/>
        <w:rPr>
          <w:noProof w:val="0"/>
        </w:rPr>
      </w:pPr>
      <w:r w:rsidRPr="00167A1B">
        <w:rPr>
          <w:noProof w:val="0"/>
        </w:rPr>
        <w:br w:type="page"/>
      </w:r>
    </w:p>
    <w:p w14:paraId="1FC1A3CA" w14:textId="2C4DCD6C" w:rsidR="00507CA9" w:rsidRPr="00167A1B" w:rsidRDefault="00507CA9" w:rsidP="00507CA9">
      <w:pPr>
        <w:pStyle w:val="Title1"/>
        <w:outlineLvl w:val="0"/>
      </w:pPr>
      <w:bookmarkStart w:id="8" w:name="_Toc74319740"/>
      <w:r w:rsidRPr="00167A1B">
        <w:lastRenderedPageBreak/>
        <w:t>Introduction</w:t>
      </w:r>
      <w:bookmarkEnd w:id="8"/>
    </w:p>
    <w:p w14:paraId="1D04867B" w14:textId="1A0E75BC" w:rsidR="00D3512D" w:rsidRPr="00167A1B" w:rsidRDefault="00D3512D" w:rsidP="00D3512D">
      <w:pPr>
        <w:pStyle w:val="BodyText1"/>
        <w:rPr>
          <w:noProof w:val="0"/>
        </w:rPr>
      </w:pPr>
      <w:r w:rsidRPr="00167A1B">
        <w:rPr>
          <w:noProof w:val="0"/>
        </w:rPr>
        <w:t xml:space="preserve">This document is the final report of Impact Assessment Study to Assess Unbundling of Chargers. The aim of this study is to provide input for the Commission impact assessment accompanying a new initiative to limit fragmentation of charging solutions for mobile phones and similar devices, </w:t>
      </w:r>
      <w:r w:rsidRPr="00167A1B">
        <w:rPr>
          <w:noProof w:val="0"/>
          <w:szCs w:val="24"/>
        </w:rPr>
        <w:t xml:space="preserve">while also looking </w:t>
      </w:r>
      <w:r w:rsidRPr="00167A1B">
        <w:rPr>
          <w:noProof w:val="0"/>
        </w:rPr>
        <w:t>at the environmental impacts, and in particular at the potential for unbundling</w:t>
      </w:r>
      <w:r w:rsidR="00BA500B" w:rsidRPr="00167A1B">
        <w:rPr>
          <w:noProof w:val="0"/>
        </w:rPr>
        <w:t>, i.e. the selling of electronic devices without a charger</w:t>
      </w:r>
      <w:r w:rsidRPr="00167A1B">
        <w:rPr>
          <w:noProof w:val="0"/>
        </w:rPr>
        <w:t xml:space="preserve">. </w:t>
      </w:r>
    </w:p>
    <w:p w14:paraId="51A7DA46" w14:textId="37C76F32" w:rsidR="00D3512D" w:rsidRPr="00167A1B" w:rsidRDefault="00D3512D" w:rsidP="00D3512D">
      <w:pPr>
        <w:pStyle w:val="BodyText1"/>
        <w:rPr>
          <w:noProof w:val="0"/>
        </w:rPr>
      </w:pPr>
      <w:r w:rsidRPr="00167A1B">
        <w:rPr>
          <w:noProof w:val="0"/>
        </w:rPr>
        <w:t xml:space="preserve">The report was written by Ipsos and Trinomics (on behalf of a consortium led by Economisti Associati), based on research and analysis undertaken between November 2020 and </w:t>
      </w:r>
      <w:r w:rsidR="000F1EC6" w:rsidRPr="00167A1B">
        <w:rPr>
          <w:noProof w:val="0"/>
        </w:rPr>
        <w:t xml:space="preserve">May </w:t>
      </w:r>
      <w:r w:rsidRPr="00167A1B">
        <w:rPr>
          <w:noProof w:val="0"/>
        </w:rPr>
        <w:t>2021. It was commissioned by the European Commission (Directorate-General for Internal Market, Industry, Entrepreneurship and SMEs).</w:t>
      </w:r>
    </w:p>
    <w:p w14:paraId="2F6D951C" w14:textId="77777777" w:rsidR="00D3512D" w:rsidRPr="00167A1B" w:rsidRDefault="00D3512D" w:rsidP="00D3512D">
      <w:pPr>
        <w:pStyle w:val="BodyText1"/>
        <w:rPr>
          <w:noProof w:val="0"/>
        </w:rPr>
      </w:pPr>
      <w:r w:rsidRPr="00167A1B">
        <w:rPr>
          <w:noProof w:val="0"/>
        </w:rPr>
        <w:t>The report is structured as follows:</w:t>
      </w:r>
    </w:p>
    <w:p w14:paraId="19FE194F" w14:textId="197AC72A" w:rsidR="00D3512D" w:rsidRPr="00167A1B" w:rsidRDefault="00D3512D" w:rsidP="00D3512D">
      <w:pPr>
        <w:pStyle w:val="bullet1"/>
        <w:rPr>
          <w:noProof w:val="0"/>
        </w:rPr>
      </w:pPr>
      <w:r w:rsidRPr="00167A1B">
        <w:rPr>
          <w:noProof w:val="0"/>
        </w:rPr>
        <w:t>Chapter 1 provides a brief overview of the aim</w:t>
      </w:r>
      <w:r w:rsidR="006E3F74" w:rsidRPr="00167A1B">
        <w:rPr>
          <w:noProof w:val="0"/>
        </w:rPr>
        <w:t>,</w:t>
      </w:r>
      <w:r w:rsidRPr="00167A1B">
        <w:rPr>
          <w:noProof w:val="0"/>
        </w:rPr>
        <w:t xml:space="preserve"> context</w:t>
      </w:r>
      <w:r w:rsidR="006E3F74" w:rsidRPr="00167A1B">
        <w:rPr>
          <w:noProof w:val="0"/>
        </w:rPr>
        <w:t>, and methodology</w:t>
      </w:r>
      <w:r w:rsidRPr="00167A1B">
        <w:rPr>
          <w:noProof w:val="0"/>
        </w:rPr>
        <w:t xml:space="preserve"> of the study.</w:t>
      </w:r>
    </w:p>
    <w:p w14:paraId="441D9FC6" w14:textId="1F618980" w:rsidR="00D3512D" w:rsidRPr="00167A1B" w:rsidRDefault="00D3512D" w:rsidP="00D3512D">
      <w:pPr>
        <w:pStyle w:val="bullet1"/>
        <w:rPr>
          <w:noProof w:val="0"/>
        </w:rPr>
      </w:pPr>
      <w:r w:rsidRPr="00167A1B">
        <w:rPr>
          <w:noProof w:val="0"/>
        </w:rPr>
        <w:t>Chapter 2 contains the definition of the problem the initiative is meant to address, including its drivers and consequences.</w:t>
      </w:r>
    </w:p>
    <w:p w14:paraId="3F8751FC" w14:textId="51D16317" w:rsidR="00D3512D" w:rsidRPr="00167A1B" w:rsidRDefault="00D3512D" w:rsidP="00D3512D">
      <w:pPr>
        <w:pStyle w:val="bullet1"/>
        <w:rPr>
          <w:noProof w:val="0"/>
        </w:rPr>
      </w:pPr>
      <w:r w:rsidRPr="00167A1B">
        <w:rPr>
          <w:noProof w:val="0"/>
        </w:rPr>
        <w:t xml:space="preserve">Chapter </w:t>
      </w:r>
      <w:r w:rsidR="006E3F74" w:rsidRPr="00167A1B">
        <w:rPr>
          <w:noProof w:val="0"/>
        </w:rPr>
        <w:t>3</w:t>
      </w:r>
      <w:r w:rsidRPr="00167A1B">
        <w:rPr>
          <w:noProof w:val="0"/>
        </w:rPr>
        <w:t xml:space="preserve"> describes the policy options that </w:t>
      </w:r>
      <w:r w:rsidR="006E3F74" w:rsidRPr="00167A1B">
        <w:rPr>
          <w:noProof w:val="0"/>
        </w:rPr>
        <w:t>were</w:t>
      </w:r>
      <w:r w:rsidRPr="00167A1B">
        <w:rPr>
          <w:noProof w:val="0"/>
        </w:rPr>
        <w:t xml:space="preserve"> shortlisted for in-depth assessment, </w:t>
      </w:r>
      <w:r w:rsidR="006E3F74" w:rsidRPr="00167A1B">
        <w:rPr>
          <w:noProof w:val="0"/>
        </w:rPr>
        <w:t>as well as other possible options that</w:t>
      </w:r>
      <w:r w:rsidRPr="00167A1B">
        <w:rPr>
          <w:noProof w:val="0"/>
        </w:rPr>
        <w:t xml:space="preserve"> were considered</w:t>
      </w:r>
      <w:r w:rsidR="006E3F74" w:rsidRPr="00167A1B">
        <w:rPr>
          <w:noProof w:val="0"/>
        </w:rPr>
        <w:t xml:space="preserve"> but subsequently discarded</w:t>
      </w:r>
      <w:r w:rsidRPr="00167A1B">
        <w:rPr>
          <w:noProof w:val="0"/>
        </w:rPr>
        <w:t>.</w:t>
      </w:r>
    </w:p>
    <w:p w14:paraId="0BA04885" w14:textId="3DC40B52" w:rsidR="006E3F74" w:rsidRPr="00167A1B" w:rsidRDefault="006E3F74" w:rsidP="00D3512D">
      <w:pPr>
        <w:pStyle w:val="bullet1"/>
        <w:rPr>
          <w:noProof w:val="0"/>
        </w:rPr>
      </w:pPr>
      <w:r w:rsidRPr="00167A1B">
        <w:rPr>
          <w:noProof w:val="0"/>
        </w:rPr>
        <w:t>Chapter 4 provides an overview of the approach to assessing the main relevant impacts.</w:t>
      </w:r>
    </w:p>
    <w:p w14:paraId="45610F55" w14:textId="6BB2BA12" w:rsidR="00D3512D" w:rsidRPr="00167A1B" w:rsidRDefault="00D3512D" w:rsidP="00D3512D">
      <w:pPr>
        <w:pStyle w:val="bullet1"/>
        <w:rPr>
          <w:noProof w:val="0"/>
        </w:rPr>
      </w:pPr>
      <w:r w:rsidRPr="00167A1B">
        <w:rPr>
          <w:noProof w:val="0"/>
        </w:rPr>
        <w:t>Chapter 5 contains the analysis of the likely social, environmental and economic impacts of the different options</w:t>
      </w:r>
      <w:r w:rsidR="006E3F74" w:rsidRPr="00167A1B">
        <w:rPr>
          <w:noProof w:val="0"/>
        </w:rPr>
        <w:t xml:space="preserve"> as they apply specifically to mobile phones</w:t>
      </w:r>
      <w:r w:rsidRPr="00167A1B">
        <w:rPr>
          <w:noProof w:val="0"/>
        </w:rPr>
        <w:t>.</w:t>
      </w:r>
    </w:p>
    <w:p w14:paraId="42993335" w14:textId="5D6E7EA8" w:rsidR="006E3F74" w:rsidRPr="00167A1B" w:rsidRDefault="006E3F74" w:rsidP="00D3512D">
      <w:pPr>
        <w:pStyle w:val="bullet1"/>
        <w:rPr>
          <w:noProof w:val="0"/>
        </w:rPr>
      </w:pPr>
      <w:r w:rsidRPr="00167A1B">
        <w:rPr>
          <w:noProof w:val="0"/>
        </w:rPr>
        <w:t xml:space="preserve">Chapter 6 broadens the scope to other portable electronic </w:t>
      </w:r>
      <w:proofErr w:type="gramStart"/>
      <w:r w:rsidRPr="00167A1B">
        <w:rPr>
          <w:noProof w:val="0"/>
        </w:rPr>
        <w:t>devices, and</w:t>
      </w:r>
      <w:proofErr w:type="gramEnd"/>
      <w:r w:rsidRPr="00167A1B">
        <w:rPr>
          <w:noProof w:val="0"/>
        </w:rPr>
        <w:t xml:space="preserve"> discusses which types of devices could potentially be encompassed, and the main direct and indirect effects.</w:t>
      </w:r>
    </w:p>
    <w:p w14:paraId="72FDC8BF" w14:textId="035902AC" w:rsidR="006E3F74" w:rsidRPr="00167A1B" w:rsidRDefault="006E3F74" w:rsidP="00D3512D">
      <w:pPr>
        <w:pStyle w:val="bullet1"/>
        <w:rPr>
          <w:noProof w:val="0"/>
        </w:rPr>
      </w:pPr>
      <w:r w:rsidRPr="00167A1B">
        <w:rPr>
          <w:noProof w:val="0"/>
        </w:rPr>
        <w:t>Chapter 7 discusses if and how the main policy options / measures could be combined into “packages”, and how the impacts of these would differ from those of the options individually.</w:t>
      </w:r>
    </w:p>
    <w:p w14:paraId="3796011A" w14:textId="017BAD31" w:rsidR="00D3512D" w:rsidRPr="00167A1B" w:rsidRDefault="00D3512D" w:rsidP="00D3512D">
      <w:pPr>
        <w:pStyle w:val="bullet1"/>
        <w:rPr>
          <w:noProof w:val="0"/>
        </w:rPr>
      </w:pPr>
      <w:r w:rsidRPr="00167A1B">
        <w:rPr>
          <w:noProof w:val="0"/>
        </w:rPr>
        <w:t xml:space="preserve">Chapter </w:t>
      </w:r>
      <w:r w:rsidR="006E3F74" w:rsidRPr="00167A1B">
        <w:rPr>
          <w:noProof w:val="0"/>
        </w:rPr>
        <w:t>8</w:t>
      </w:r>
      <w:r w:rsidRPr="00167A1B">
        <w:rPr>
          <w:noProof w:val="0"/>
        </w:rPr>
        <w:t xml:space="preserve"> summarises the main likely impacts of all shortlisted policy </w:t>
      </w:r>
      <w:proofErr w:type="gramStart"/>
      <w:r w:rsidRPr="00167A1B">
        <w:rPr>
          <w:noProof w:val="0"/>
        </w:rPr>
        <w:t>options, and</w:t>
      </w:r>
      <w:proofErr w:type="gramEnd"/>
      <w:r w:rsidRPr="00167A1B">
        <w:rPr>
          <w:noProof w:val="0"/>
        </w:rPr>
        <w:t xml:space="preserve"> compares these to provide an aid to the political decision making process this study is intended to support.</w:t>
      </w:r>
    </w:p>
    <w:p w14:paraId="10B51864" w14:textId="6A3A26B8" w:rsidR="00D3512D" w:rsidRPr="00167A1B" w:rsidRDefault="00D3512D" w:rsidP="00D3512D">
      <w:pPr>
        <w:pStyle w:val="bullet1"/>
        <w:rPr>
          <w:noProof w:val="0"/>
        </w:rPr>
      </w:pPr>
      <w:r w:rsidRPr="00167A1B">
        <w:rPr>
          <w:noProof w:val="0"/>
        </w:rPr>
        <w:t>The Annexes</w:t>
      </w:r>
      <w:r w:rsidR="00121BF1" w:rsidRPr="00167A1B">
        <w:rPr>
          <w:noProof w:val="0"/>
        </w:rPr>
        <w:t xml:space="preserve">, provided in a separate document, </w:t>
      </w:r>
      <w:r w:rsidRPr="00167A1B">
        <w:rPr>
          <w:noProof w:val="0"/>
        </w:rPr>
        <w:t xml:space="preserve">contain supporting materials, including details on the methodological approach, </w:t>
      </w:r>
      <w:r w:rsidR="006E3F74" w:rsidRPr="00167A1B">
        <w:rPr>
          <w:noProof w:val="0"/>
        </w:rPr>
        <w:t>the results of the</w:t>
      </w:r>
      <w:r w:rsidRPr="00167A1B">
        <w:rPr>
          <w:noProof w:val="0"/>
        </w:rPr>
        <w:t xml:space="preserve"> survey</w:t>
      </w:r>
      <w:r w:rsidR="006E3F74" w:rsidRPr="00167A1B">
        <w:rPr>
          <w:noProof w:val="0"/>
        </w:rPr>
        <w:t>s</w:t>
      </w:r>
      <w:r w:rsidRPr="00167A1B">
        <w:rPr>
          <w:noProof w:val="0"/>
        </w:rPr>
        <w:t xml:space="preserve"> carried out </w:t>
      </w:r>
      <w:r w:rsidR="006E3F74" w:rsidRPr="00167A1B">
        <w:rPr>
          <w:noProof w:val="0"/>
        </w:rPr>
        <w:t>as part of the study, technical and market analysis, etc</w:t>
      </w:r>
      <w:r w:rsidRPr="00167A1B">
        <w:rPr>
          <w:noProof w:val="0"/>
        </w:rPr>
        <w:t>.</w:t>
      </w:r>
    </w:p>
    <w:p w14:paraId="4A4D92C6" w14:textId="4896F26E" w:rsidR="00D3512D" w:rsidRPr="00167A1B" w:rsidRDefault="00D3512D" w:rsidP="00D3512D">
      <w:pPr>
        <w:pStyle w:val="BodyText1"/>
        <w:rPr>
          <w:noProof w:val="0"/>
        </w:rPr>
      </w:pPr>
    </w:p>
    <w:p w14:paraId="61DF4E2F" w14:textId="1001F8BB" w:rsidR="006E3F74" w:rsidRPr="00167A1B" w:rsidRDefault="00BA500B" w:rsidP="006E3F74">
      <w:pPr>
        <w:pStyle w:val="Title2"/>
      </w:pPr>
      <w:r w:rsidRPr="00167A1B">
        <w:t>The policy context</w:t>
      </w:r>
    </w:p>
    <w:p w14:paraId="52263C5C" w14:textId="77777777" w:rsidR="006E3F74" w:rsidRPr="00167A1B" w:rsidRDefault="006E3F74" w:rsidP="006E3F74">
      <w:pPr>
        <w:pStyle w:val="BodyText1"/>
        <w:rPr>
          <w:noProof w:val="0"/>
          <w:color w:val="000000"/>
          <w:szCs w:val="22"/>
          <w:shd w:val="clear" w:color="auto" w:fill="FFFFFF"/>
        </w:rPr>
      </w:pPr>
      <w:r w:rsidRPr="00167A1B">
        <w:rPr>
          <w:noProof w:val="0"/>
          <w:szCs w:val="22"/>
        </w:rPr>
        <w:t xml:space="preserve">This study needs to be seen within the context of the “Common Charger” initiative, on which the Commission has been working for more than ten years. Since the outset, its rationale has been to reduce the level of fragmentation of charging solutions for mobile phones (and </w:t>
      </w:r>
      <w:r w:rsidRPr="00167A1B">
        <w:rPr>
          <w:noProof w:val="0"/>
          <w:color w:val="000000"/>
          <w:szCs w:val="22"/>
          <w:shd w:val="clear" w:color="auto" w:fill="FFFFFF"/>
        </w:rPr>
        <w:t>potentially other small electronic portable devices), in order to enhance consumer convenience and reduce unnecessary electronic waste. Some of the key milestones of this initiative to date have included:</w:t>
      </w:r>
    </w:p>
    <w:p w14:paraId="1FE67AA7" w14:textId="77777777" w:rsidR="006E3F74" w:rsidRPr="00167A1B" w:rsidRDefault="006E3F74" w:rsidP="006E3F74">
      <w:pPr>
        <w:pStyle w:val="bullet1"/>
        <w:rPr>
          <w:noProof w:val="0"/>
          <w:szCs w:val="22"/>
        </w:rPr>
      </w:pPr>
      <w:r w:rsidRPr="00167A1B">
        <w:rPr>
          <w:b/>
          <w:bCs/>
          <w:noProof w:val="0"/>
          <w:szCs w:val="22"/>
        </w:rPr>
        <w:lastRenderedPageBreak/>
        <w:t>2009</w:t>
      </w:r>
      <w:r w:rsidRPr="00167A1B">
        <w:rPr>
          <w:noProof w:val="0"/>
          <w:szCs w:val="22"/>
        </w:rPr>
        <w:t>: Signature of a Memorandum of Understanding</w:t>
      </w:r>
      <w:r w:rsidRPr="00167A1B">
        <w:rPr>
          <w:noProof w:val="0"/>
          <w:szCs w:val="22"/>
          <w:vertAlign w:val="superscript"/>
        </w:rPr>
        <w:footnoteReference w:id="5"/>
      </w:r>
      <w:r w:rsidRPr="00167A1B">
        <w:rPr>
          <w:noProof w:val="0"/>
          <w:szCs w:val="22"/>
        </w:rPr>
        <w:t xml:space="preserve"> (“MoU”) to harmonise chargers for data-enabled mobile telephones sold in the EU, by which the signatories</w:t>
      </w:r>
      <w:r w:rsidRPr="00167A1B">
        <w:rPr>
          <w:noProof w:val="0"/>
          <w:szCs w:val="22"/>
          <w:vertAlign w:val="superscript"/>
        </w:rPr>
        <w:footnoteReference w:id="6"/>
      </w:r>
      <w:r w:rsidRPr="00167A1B">
        <w:rPr>
          <w:noProof w:val="0"/>
          <w:szCs w:val="22"/>
        </w:rPr>
        <w:t xml:space="preserve"> agreed to develop a common specification based on the USB 2.0 micro-B interface. For those phones that did not have a USB micro-B interface, an adaptor was allowed under the terms of the MoU.</w:t>
      </w:r>
    </w:p>
    <w:p w14:paraId="67FC1B5A" w14:textId="77777777" w:rsidR="006E3F74" w:rsidRPr="00167A1B" w:rsidRDefault="006E3F74" w:rsidP="006E3F74">
      <w:pPr>
        <w:pStyle w:val="bullet1"/>
        <w:rPr>
          <w:noProof w:val="0"/>
          <w:szCs w:val="22"/>
        </w:rPr>
      </w:pPr>
      <w:r w:rsidRPr="00167A1B">
        <w:rPr>
          <w:b/>
          <w:bCs/>
          <w:noProof w:val="0"/>
          <w:szCs w:val="22"/>
        </w:rPr>
        <w:t>2014</w:t>
      </w:r>
      <w:r w:rsidRPr="00167A1B">
        <w:rPr>
          <w:noProof w:val="0"/>
          <w:szCs w:val="22"/>
        </w:rPr>
        <w:t>: Expiry of the MoU (after two letters of renewal). A study</w:t>
      </w:r>
      <w:r w:rsidRPr="00167A1B">
        <w:rPr>
          <w:noProof w:val="0"/>
          <w:szCs w:val="22"/>
          <w:vertAlign w:val="superscript"/>
        </w:rPr>
        <w:footnoteReference w:id="7"/>
      </w:r>
      <w:r w:rsidRPr="00167A1B">
        <w:rPr>
          <w:noProof w:val="0"/>
          <w:szCs w:val="22"/>
        </w:rPr>
        <w:t xml:space="preserve"> found that the MoU was effective at harmonising charging solutions and improving consumer convenience, but that decoupling had not been achieved to any significant extent, limiting the expected benefits for the environment.</w:t>
      </w:r>
    </w:p>
    <w:p w14:paraId="4DB23EDC" w14:textId="77777777" w:rsidR="006E3F74" w:rsidRPr="00167A1B" w:rsidRDefault="006E3F74" w:rsidP="006E3F74">
      <w:pPr>
        <w:pStyle w:val="bullet1"/>
        <w:rPr>
          <w:noProof w:val="0"/>
          <w:szCs w:val="22"/>
        </w:rPr>
      </w:pPr>
      <w:r w:rsidRPr="00167A1B">
        <w:rPr>
          <w:b/>
          <w:bCs/>
          <w:noProof w:val="0"/>
          <w:szCs w:val="22"/>
        </w:rPr>
        <w:t>2018</w:t>
      </w:r>
      <w:r w:rsidRPr="00167A1B">
        <w:rPr>
          <w:noProof w:val="0"/>
          <w:szCs w:val="22"/>
        </w:rPr>
        <w:t>: Following discussions with the Commission, the industry proposed a new MoU</w:t>
      </w:r>
      <w:r w:rsidRPr="00167A1B">
        <w:rPr>
          <w:noProof w:val="0"/>
          <w:szCs w:val="22"/>
          <w:vertAlign w:val="superscript"/>
        </w:rPr>
        <w:footnoteReference w:id="8"/>
      </w:r>
      <w:r w:rsidRPr="00167A1B">
        <w:rPr>
          <w:noProof w:val="0"/>
          <w:szCs w:val="22"/>
        </w:rPr>
        <w:t xml:space="preserve"> on the future common charging solution for smartphones, whereby signatures agreed to “gradually transition to the new common charging solution for Smartphones based on USB Type-C”. However, the Commission refused to endorse the new MoU, stating that it did not fully align with the EU’s harmonisation objectives. A number of MEPs also expressed their disappointment with the proposed </w:t>
      </w:r>
      <w:proofErr w:type="gramStart"/>
      <w:r w:rsidRPr="00167A1B">
        <w:rPr>
          <w:noProof w:val="0"/>
          <w:szCs w:val="22"/>
        </w:rPr>
        <w:t>MoU, and</w:t>
      </w:r>
      <w:proofErr w:type="gramEnd"/>
      <w:r w:rsidRPr="00167A1B">
        <w:rPr>
          <w:noProof w:val="0"/>
          <w:szCs w:val="22"/>
        </w:rPr>
        <w:t xml:space="preserve"> urged the Commission to “take decisive action.”</w:t>
      </w:r>
      <w:r w:rsidRPr="00167A1B">
        <w:rPr>
          <w:noProof w:val="0"/>
          <w:szCs w:val="22"/>
          <w:vertAlign w:val="superscript"/>
        </w:rPr>
        <w:footnoteReference w:id="9"/>
      </w:r>
      <w:r w:rsidRPr="00167A1B">
        <w:rPr>
          <w:noProof w:val="0"/>
          <w:szCs w:val="22"/>
        </w:rPr>
        <w:t xml:space="preserve"> </w:t>
      </w:r>
    </w:p>
    <w:p w14:paraId="231112BD" w14:textId="77777777" w:rsidR="00BA500B" w:rsidRPr="00167A1B" w:rsidRDefault="006E3F74" w:rsidP="00BA500B">
      <w:pPr>
        <w:pStyle w:val="bullet1"/>
        <w:rPr>
          <w:noProof w:val="0"/>
          <w:szCs w:val="22"/>
        </w:rPr>
      </w:pPr>
      <w:r w:rsidRPr="00167A1B">
        <w:rPr>
          <w:b/>
          <w:bCs/>
          <w:noProof w:val="0"/>
          <w:szCs w:val="22"/>
        </w:rPr>
        <w:t>2019</w:t>
      </w:r>
      <w:r w:rsidRPr="00167A1B">
        <w:rPr>
          <w:noProof w:val="0"/>
          <w:szCs w:val="22"/>
        </w:rPr>
        <w:t>: The Commission launched an impact assessment study (hereinafter referred to as the first IA study).</w:t>
      </w:r>
      <w:r w:rsidRPr="00167A1B">
        <w:rPr>
          <w:rStyle w:val="FootnoteReference"/>
          <w:noProof w:val="0"/>
          <w:sz w:val="22"/>
          <w:szCs w:val="22"/>
        </w:rPr>
        <w:footnoteReference w:id="10"/>
      </w:r>
      <w:r w:rsidRPr="00167A1B">
        <w:rPr>
          <w:noProof w:val="0"/>
          <w:szCs w:val="22"/>
        </w:rPr>
        <w:t xml:space="preserve"> It identified and assessed a range of policy options to address and harmonise both the connectors used for charging mobile phones (and potentially other electronic devices), and the external power supply (EPS). It also explored how to facilitate unbundling (sometimes also referred to decoupling</w:t>
      </w:r>
      <w:r w:rsidR="00BA500B" w:rsidRPr="00167A1B">
        <w:rPr>
          <w:noProof w:val="0"/>
          <w:szCs w:val="22"/>
        </w:rPr>
        <w:t>), but in a more limited amount of depth.</w:t>
      </w:r>
    </w:p>
    <w:p w14:paraId="01FBA738" w14:textId="635AF260" w:rsidR="006E3F74" w:rsidRPr="00167A1B" w:rsidRDefault="006E3F74" w:rsidP="00BA500B">
      <w:pPr>
        <w:pStyle w:val="bullet1"/>
        <w:rPr>
          <w:noProof w:val="0"/>
          <w:szCs w:val="22"/>
        </w:rPr>
      </w:pPr>
      <w:r w:rsidRPr="00167A1B">
        <w:rPr>
          <w:b/>
          <w:bCs/>
          <w:noProof w:val="0"/>
          <w:szCs w:val="22"/>
        </w:rPr>
        <w:t>2020</w:t>
      </w:r>
      <w:r w:rsidRPr="00167A1B">
        <w:rPr>
          <w:noProof w:val="0"/>
          <w:szCs w:val="22"/>
        </w:rPr>
        <w:t>: The European Parliament adopted a Resolution</w:t>
      </w:r>
      <w:r w:rsidRPr="00167A1B">
        <w:rPr>
          <w:rStyle w:val="FootnoteReference"/>
          <w:noProof w:val="0"/>
          <w:sz w:val="22"/>
          <w:szCs w:val="22"/>
        </w:rPr>
        <w:footnoteReference w:id="11"/>
      </w:r>
      <w:r w:rsidRPr="00167A1B">
        <w:rPr>
          <w:noProof w:val="0"/>
          <w:szCs w:val="22"/>
        </w:rPr>
        <w:t xml:space="preserve"> calling on the Commission to adopt a standard for a common charger “as a matter of urgency in order to avoid further internal market fragmentation”, while also urging the Commission to ensure that “consumers are no longer obliged to buy new chargers with each new device, thereby reducing the volume of chargers produced per year”, based on the consideration that decoupling strategies “would allow for greater environmental benefits”, but “should avoid potentially higher prices for consumers”. The Commission announced a legislative proposal would be tabled in the third quarter of 2020, but this was postponed to 2021 due to the Covid-19 crisis.</w:t>
      </w:r>
      <w:r w:rsidRPr="00167A1B">
        <w:rPr>
          <w:rStyle w:val="FootnoteReference"/>
          <w:noProof w:val="0"/>
          <w:sz w:val="22"/>
          <w:szCs w:val="22"/>
        </w:rPr>
        <w:footnoteReference w:id="12"/>
      </w:r>
      <w:r w:rsidRPr="00167A1B">
        <w:rPr>
          <w:noProof w:val="0"/>
          <w:szCs w:val="22"/>
        </w:rPr>
        <w:t xml:space="preserve"> </w:t>
      </w:r>
    </w:p>
    <w:p w14:paraId="3311303B" w14:textId="77777777" w:rsidR="00BA500B" w:rsidRPr="00167A1B" w:rsidRDefault="00BA500B" w:rsidP="00BA500B">
      <w:pPr>
        <w:pStyle w:val="BodyText1"/>
        <w:rPr>
          <w:noProof w:val="0"/>
        </w:rPr>
      </w:pPr>
    </w:p>
    <w:p w14:paraId="1C283DF6" w14:textId="77777777" w:rsidR="00BA500B" w:rsidRPr="00167A1B" w:rsidRDefault="00BA500B" w:rsidP="00BA500B">
      <w:pPr>
        <w:pStyle w:val="Title2"/>
      </w:pPr>
      <w:r w:rsidRPr="00167A1B">
        <w:t>About this study</w:t>
      </w:r>
    </w:p>
    <w:p w14:paraId="6198D084" w14:textId="28B03455" w:rsidR="00BA500B" w:rsidRPr="00167A1B" w:rsidRDefault="00BA500B" w:rsidP="00BA500B">
      <w:pPr>
        <w:pStyle w:val="BodyText1"/>
        <w:rPr>
          <w:noProof w:val="0"/>
          <w:szCs w:val="22"/>
        </w:rPr>
      </w:pPr>
      <w:r w:rsidRPr="00167A1B">
        <w:rPr>
          <w:noProof w:val="0"/>
          <w:szCs w:val="22"/>
        </w:rPr>
        <w:t xml:space="preserve">The purpose of the present study is to further strengthen the evidence base for a possible Commission proposal in the context of the “common chargers” initiative. Given that, partly based on the results of the first (2019) IA study, the main focus of the initiative has to some </w:t>
      </w:r>
      <w:r w:rsidRPr="00167A1B">
        <w:rPr>
          <w:noProof w:val="0"/>
          <w:szCs w:val="22"/>
        </w:rPr>
        <w:lastRenderedPageBreak/>
        <w:t>extent shifted away from the issue of consumer convenience and towards the environmental dimension, there is a need for additional evidence and analysis to ensure the most pertinent issues and options are duly considered, and their likely economic, environmental and social impacts can be understood and estimated with a sufficient degree of certainty and rigour to justify (regulatory) EU action.</w:t>
      </w:r>
    </w:p>
    <w:p w14:paraId="3E843038" w14:textId="4B42C0CA" w:rsidR="00BA500B" w:rsidRPr="00167A1B" w:rsidRDefault="00BA500B" w:rsidP="00BA500B">
      <w:pPr>
        <w:pStyle w:val="BodyText1"/>
        <w:rPr>
          <w:noProof w:val="0"/>
          <w:szCs w:val="22"/>
        </w:rPr>
      </w:pPr>
      <w:r w:rsidRPr="00167A1B">
        <w:rPr>
          <w:noProof w:val="0"/>
          <w:szCs w:val="22"/>
        </w:rPr>
        <w:t>Specifically, this study focuses on updating, further refining and filling gaps in the results of the previous study, by focusing on a limited set of issues of key interest. These are:</w:t>
      </w:r>
    </w:p>
    <w:p w14:paraId="703AAD22" w14:textId="71B435F0" w:rsidR="00BA500B" w:rsidRPr="00167A1B" w:rsidRDefault="00BA500B" w:rsidP="00BA500B">
      <w:pPr>
        <w:pStyle w:val="bullet1"/>
        <w:rPr>
          <w:noProof w:val="0"/>
          <w:szCs w:val="22"/>
        </w:rPr>
      </w:pPr>
      <w:r w:rsidRPr="00167A1B">
        <w:rPr>
          <w:b/>
          <w:bCs/>
          <w:noProof w:val="0"/>
          <w:szCs w:val="22"/>
        </w:rPr>
        <w:t>Unbundling</w:t>
      </w:r>
      <w:r w:rsidRPr="00167A1B">
        <w:rPr>
          <w:noProof w:val="0"/>
          <w:szCs w:val="22"/>
        </w:rPr>
        <w:t>: How could this be facilitated (by a voluntary approach) or mandated (via regulation), and what would be the impacts thereof (both in isolation and in combination with the relevant harmonisation / standardisation options assessed as part of the first IA study)?</w:t>
      </w:r>
    </w:p>
    <w:p w14:paraId="1610D48F" w14:textId="77777777" w:rsidR="00BA500B" w:rsidRPr="00167A1B" w:rsidRDefault="00BA500B" w:rsidP="00BA500B">
      <w:pPr>
        <w:pStyle w:val="bullet1"/>
        <w:rPr>
          <w:noProof w:val="0"/>
          <w:szCs w:val="22"/>
        </w:rPr>
      </w:pPr>
      <w:r w:rsidRPr="00167A1B">
        <w:rPr>
          <w:b/>
          <w:bCs/>
          <w:noProof w:val="0"/>
          <w:szCs w:val="22"/>
        </w:rPr>
        <w:t>Other portable electronic devices</w:t>
      </w:r>
      <w:r w:rsidRPr="00167A1B">
        <w:rPr>
          <w:noProof w:val="0"/>
          <w:szCs w:val="22"/>
        </w:rPr>
        <w:t xml:space="preserve">: In more specific terms than those defined as part of the first IA study, which devices (in addition to mobile phones) could / should be encompassed within the initiative, </w:t>
      </w:r>
      <w:proofErr w:type="gramStart"/>
      <w:r w:rsidRPr="00167A1B">
        <w:rPr>
          <w:noProof w:val="0"/>
          <w:szCs w:val="22"/>
        </w:rPr>
        <w:t>taking into account</w:t>
      </w:r>
      <w:proofErr w:type="gramEnd"/>
      <w:r w:rsidRPr="00167A1B">
        <w:rPr>
          <w:noProof w:val="0"/>
          <w:szCs w:val="22"/>
        </w:rPr>
        <w:t xml:space="preserve"> their charging profiles? And what would be the main (environmental and other) impacts of their inclusion?</w:t>
      </w:r>
    </w:p>
    <w:p w14:paraId="1EB7384F" w14:textId="7CAF5616" w:rsidR="00BA500B" w:rsidRPr="00167A1B" w:rsidRDefault="00BA500B" w:rsidP="00BA500B">
      <w:pPr>
        <w:pStyle w:val="bullet1"/>
        <w:rPr>
          <w:noProof w:val="0"/>
          <w:szCs w:val="22"/>
        </w:rPr>
      </w:pPr>
      <w:r w:rsidRPr="00167A1B">
        <w:rPr>
          <w:b/>
          <w:bCs/>
          <w:noProof w:val="0"/>
          <w:szCs w:val="22"/>
        </w:rPr>
        <w:t>Additional technical analysis</w:t>
      </w:r>
      <w:r w:rsidRPr="00167A1B">
        <w:rPr>
          <w:noProof w:val="0"/>
          <w:szCs w:val="22"/>
        </w:rPr>
        <w:t xml:space="preserve">: What are the main physical and software/firmware features of chargers (including their durability), </w:t>
      </w:r>
      <w:proofErr w:type="gramStart"/>
      <w:r w:rsidRPr="00167A1B">
        <w:rPr>
          <w:noProof w:val="0"/>
          <w:szCs w:val="22"/>
        </w:rPr>
        <w:t>so as to</w:t>
      </w:r>
      <w:proofErr w:type="gramEnd"/>
      <w:r w:rsidRPr="00167A1B">
        <w:rPr>
          <w:noProof w:val="0"/>
          <w:szCs w:val="22"/>
        </w:rPr>
        <w:t xml:space="preserve"> facilitate an assessment of the likely impacts of the unbundling options on aspects such as product safety, charging performance, and battery life? </w:t>
      </w:r>
    </w:p>
    <w:p w14:paraId="75F7F7AD" w14:textId="5EF00EB0" w:rsidR="00BA500B" w:rsidRPr="00167A1B" w:rsidRDefault="00BA500B" w:rsidP="00BA500B">
      <w:pPr>
        <w:pStyle w:val="BodyText1"/>
        <w:rPr>
          <w:noProof w:val="0"/>
          <w:szCs w:val="22"/>
          <w:lang w:eastAsia="it-IT"/>
        </w:rPr>
      </w:pPr>
      <w:r w:rsidRPr="00167A1B">
        <w:rPr>
          <w:noProof w:val="0"/>
          <w:szCs w:val="22"/>
          <w:lang w:eastAsia="it-IT"/>
        </w:rPr>
        <w:t xml:space="preserve">In order to respond to these key questions, the study was charged with </w:t>
      </w:r>
      <w:r w:rsidRPr="00167A1B">
        <w:rPr>
          <w:b/>
          <w:bCs/>
          <w:noProof w:val="0"/>
          <w:szCs w:val="22"/>
          <w:lang w:eastAsia="it-IT"/>
        </w:rPr>
        <w:t>four main tasks</w:t>
      </w:r>
      <w:r w:rsidRPr="00167A1B">
        <w:rPr>
          <w:noProof w:val="0"/>
          <w:szCs w:val="22"/>
          <w:lang w:eastAsia="it-IT"/>
        </w:rPr>
        <w:t>:</w:t>
      </w:r>
    </w:p>
    <w:p w14:paraId="44E5A4E7" w14:textId="3E3D5F37" w:rsidR="00BA500B" w:rsidRPr="00167A1B" w:rsidRDefault="00BA500B" w:rsidP="00827359">
      <w:pPr>
        <w:pStyle w:val="bullet1"/>
        <w:numPr>
          <w:ilvl w:val="0"/>
          <w:numId w:val="40"/>
        </w:numPr>
        <w:rPr>
          <w:noProof w:val="0"/>
          <w:szCs w:val="22"/>
          <w:lang w:eastAsia="it-IT"/>
        </w:rPr>
      </w:pPr>
      <w:r w:rsidRPr="00167A1B">
        <w:rPr>
          <w:b/>
          <w:bCs/>
          <w:noProof w:val="0"/>
          <w:szCs w:val="22"/>
          <w:lang w:eastAsia="it-IT"/>
        </w:rPr>
        <w:t>Collection of market data related to charging solutions</w:t>
      </w:r>
      <w:r w:rsidRPr="00167A1B">
        <w:rPr>
          <w:noProof w:val="0"/>
          <w:szCs w:val="22"/>
          <w:lang w:eastAsia="it-IT"/>
        </w:rPr>
        <w:t>: The study is to provide an updated analysis of market data (</w:t>
      </w:r>
      <w:r w:rsidRPr="00167A1B">
        <w:rPr>
          <w:noProof w:val="0"/>
          <w:szCs w:val="22"/>
        </w:rPr>
        <w:t xml:space="preserve">main figure and trends) for </w:t>
      </w:r>
      <w:r w:rsidRPr="00167A1B">
        <w:rPr>
          <w:noProof w:val="0"/>
          <w:szCs w:val="22"/>
          <w:lang w:eastAsia="it-IT"/>
        </w:rPr>
        <w:t xml:space="preserve">mobile phone chargers in Europe, as well as </w:t>
      </w:r>
      <w:r w:rsidRPr="00167A1B">
        <w:rPr>
          <w:noProof w:val="0"/>
          <w:szCs w:val="22"/>
        </w:rPr>
        <w:t>for other small portable electronic devices requiring similar charging capacity.</w:t>
      </w:r>
      <w:r w:rsidRPr="00167A1B">
        <w:rPr>
          <w:noProof w:val="0"/>
          <w:szCs w:val="22"/>
          <w:lang w:eastAsia="it-IT"/>
        </w:rPr>
        <w:t xml:space="preserve"> </w:t>
      </w:r>
    </w:p>
    <w:p w14:paraId="38F411E7" w14:textId="2D660C07" w:rsidR="00BA500B" w:rsidRPr="00167A1B" w:rsidRDefault="00BA500B" w:rsidP="00827359">
      <w:pPr>
        <w:pStyle w:val="bullet1"/>
        <w:numPr>
          <w:ilvl w:val="0"/>
          <w:numId w:val="40"/>
        </w:numPr>
        <w:rPr>
          <w:noProof w:val="0"/>
          <w:szCs w:val="22"/>
          <w:lang w:eastAsia="it-IT"/>
        </w:rPr>
      </w:pPr>
      <w:r w:rsidRPr="00167A1B">
        <w:rPr>
          <w:b/>
          <w:bCs/>
          <w:noProof w:val="0"/>
          <w:szCs w:val="22"/>
          <w:lang w:eastAsia="it-IT"/>
        </w:rPr>
        <w:t>Mapping of environmental schemes for electronic devices</w:t>
      </w:r>
      <w:r w:rsidRPr="00167A1B">
        <w:rPr>
          <w:noProof w:val="0"/>
          <w:szCs w:val="22"/>
          <w:lang w:eastAsia="it-IT"/>
        </w:rPr>
        <w:t xml:space="preserve">: The study is to </w:t>
      </w:r>
      <w:r w:rsidRPr="00167A1B">
        <w:rPr>
          <w:noProof w:val="0"/>
          <w:szCs w:val="22"/>
        </w:rPr>
        <w:t>map existing and foreseen environmental schemes for electronic devices, which aim to increase energy efficiency or reduce e-waste, and could potentially be implemented for decoupling of mobile phones and other electronic devices.</w:t>
      </w:r>
    </w:p>
    <w:p w14:paraId="065F988C" w14:textId="49F2DF33" w:rsidR="00BA500B" w:rsidRPr="00167A1B" w:rsidRDefault="00BA500B" w:rsidP="00827359">
      <w:pPr>
        <w:pStyle w:val="bullet1"/>
        <w:numPr>
          <w:ilvl w:val="0"/>
          <w:numId w:val="40"/>
        </w:numPr>
        <w:rPr>
          <w:noProof w:val="0"/>
          <w:szCs w:val="22"/>
        </w:rPr>
      </w:pPr>
      <w:r w:rsidRPr="00167A1B">
        <w:rPr>
          <w:b/>
          <w:bCs/>
          <w:noProof w:val="0"/>
          <w:szCs w:val="22"/>
          <w:lang w:eastAsia="it-IT"/>
        </w:rPr>
        <w:t>Analysis on technical requirements and charger types</w:t>
      </w:r>
      <w:r w:rsidRPr="00167A1B">
        <w:rPr>
          <w:noProof w:val="0"/>
          <w:szCs w:val="22"/>
          <w:lang w:eastAsia="it-IT"/>
        </w:rPr>
        <w:t xml:space="preserve">: </w:t>
      </w:r>
      <w:r w:rsidRPr="00167A1B">
        <w:rPr>
          <w:noProof w:val="0"/>
          <w:szCs w:val="22"/>
        </w:rPr>
        <w:t xml:space="preserve">The study is to provide updated technical analysis of the ‘charger’ products, composed of the ‘external power supply’ (EPS) and the cord/cable, including a definition of their main physical and software / firmware features. </w:t>
      </w:r>
    </w:p>
    <w:p w14:paraId="1C6BED3B" w14:textId="480D3880" w:rsidR="00BA500B" w:rsidRPr="00167A1B" w:rsidRDefault="00BA500B" w:rsidP="00827359">
      <w:pPr>
        <w:pStyle w:val="bullet1"/>
        <w:numPr>
          <w:ilvl w:val="0"/>
          <w:numId w:val="40"/>
        </w:numPr>
        <w:rPr>
          <w:noProof w:val="0"/>
          <w:szCs w:val="22"/>
          <w:lang w:eastAsia="it-IT"/>
        </w:rPr>
      </w:pPr>
      <w:r w:rsidRPr="00167A1B">
        <w:rPr>
          <w:b/>
          <w:bCs/>
          <w:noProof w:val="0"/>
          <w:szCs w:val="22"/>
          <w:lang w:eastAsia="it-IT"/>
        </w:rPr>
        <w:t>Assessment of impacts of policy options</w:t>
      </w:r>
      <w:r w:rsidRPr="00167A1B">
        <w:rPr>
          <w:noProof w:val="0"/>
          <w:szCs w:val="22"/>
          <w:lang w:eastAsia="it-IT"/>
        </w:rPr>
        <w:t xml:space="preserve">: </w:t>
      </w:r>
      <w:r w:rsidRPr="00167A1B">
        <w:rPr>
          <w:bCs/>
          <w:noProof w:val="0"/>
          <w:szCs w:val="22"/>
        </w:rPr>
        <w:t>The study is to analyse the impacts of a range of policy options related to decoupling, their cost-effectiveness, their impact on consumers, e-waste and industry.</w:t>
      </w:r>
    </w:p>
    <w:p w14:paraId="7824976F" w14:textId="4A6523F2" w:rsidR="00BA500B" w:rsidRPr="00167A1B" w:rsidRDefault="00BA500B" w:rsidP="00BA500B">
      <w:pPr>
        <w:pStyle w:val="BodyText1"/>
        <w:rPr>
          <w:i/>
          <w:iCs/>
          <w:noProof w:val="0"/>
          <w:szCs w:val="22"/>
          <w:lang w:eastAsia="it-IT"/>
        </w:rPr>
      </w:pPr>
      <w:r w:rsidRPr="00167A1B">
        <w:rPr>
          <w:noProof w:val="0"/>
          <w:szCs w:val="22"/>
          <w:lang w:eastAsia="it-IT"/>
        </w:rPr>
        <w:t xml:space="preserve">The first three tasks are </w:t>
      </w:r>
      <w:r w:rsidRPr="00167A1B">
        <w:rPr>
          <w:b/>
          <w:bCs/>
          <w:noProof w:val="0"/>
          <w:szCs w:val="22"/>
          <w:lang w:eastAsia="it-IT"/>
        </w:rPr>
        <w:t>“preparatory” tasks</w:t>
      </w:r>
      <w:r w:rsidRPr="00167A1B">
        <w:rPr>
          <w:noProof w:val="0"/>
          <w:szCs w:val="22"/>
          <w:lang w:eastAsia="it-IT"/>
        </w:rPr>
        <w:t xml:space="preserve"> for the impact assessment. The updated analysis of the markets for mobile phone chargers, and relevant other small portable devices (Task 1) is a key precondition for the subsequent modelling of the impacts of different policy options. The mapping of existing and foreseen environmental schemes for electronic devices (Task 2) provides contextual information and inspiration for the identification and assessment of policy options that could facilitate unbundling. The updated analysis of technical requirements and charger types (Task 3) ensures both the definition of options and the assessment of impacts is technically sound and realistic in view of the actual key features of relevant types of chargers.</w:t>
      </w:r>
    </w:p>
    <w:p w14:paraId="2ED28758" w14:textId="48E6604F" w:rsidR="00BA500B" w:rsidRPr="00167A1B" w:rsidRDefault="00BA500B" w:rsidP="00D302F9">
      <w:pPr>
        <w:pStyle w:val="BodyText1"/>
        <w:rPr>
          <w:noProof w:val="0"/>
          <w:szCs w:val="22"/>
          <w:lang w:eastAsia="it-IT"/>
        </w:rPr>
      </w:pPr>
      <w:r w:rsidRPr="00167A1B">
        <w:rPr>
          <w:noProof w:val="0"/>
          <w:szCs w:val="22"/>
          <w:lang w:eastAsia="it-IT"/>
        </w:rPr>
        <w:t xml:space="preserve">Task 4 relates to the </w:t>
      </w:r>
      <w:r w:rsidRPr="00167A1B">
        <w:rPr>
          <w:b/>
          <w:bCs/>
          <w:noProof w:val="0"/>
          <w:szCs w:val="22"/>
          <w:lang w:eastAsia="it-IT"/>
        </w:rPr>
        <w:t xml:space="preserve">impact assessment </w:t>
      </w:r>
      <w:r w:rsidRPr="00167A1B">
        <w:rPr>
          <w:b/>
          <w:bCs/>
          <w:i/>
          <w:iCs/>
          <w:noProof w:val="0"/>
          <w:szCs w:val="22"/>
          <w:lang w:eastAsia="it-IT"/>
        </w:rPr>
        <w:t>per se</w:t>
      </w:r>
      <w:r w:rsidRPr="00167A1B">
        <w:rPr>
          <w:noProof w:val="0"/>
          <w:szCs w:val="22"/>
          <w:lang w:eastAsia="it-IT"/>
        </w:rPr>
        <w:t>. Building on the results of the first IA study (including the problem definition and the identification and assessment of technical</w:t>
      </w:r>
      <w:r w:rsidRPr="00167A1B">
        <w:rPr>
          <w:noProof w:val="0"/>
          <w:szCs w:val="22"/>
        </w:rPr>
        <w:t xml:space="preserve"> options for a “common” charger</w:t>
      </w:r>
      <w:r w:rsidRPr="00167A1B">
        <w:rPr>
          <w:noProof w:val="0"/>
          <w:szCs w:val="22"/>
          <w:lang w:eastAsia="it-IT"/>
        </w:rPr>
        <w:t>), and o</w:t>
      </w:r>
      <w:r w:rsidR="00D302F9" w:rsidRPr="00167A1B">
        <w:rPr>
          <w:noProof w:val="0"/>
          <w:szCs w:val="22"/>
          <w:lang w:eastAsia="it-IT"/>
        </w:rPr>
        <w:t>n</w:t>
      </w:r>
      <w:r w:rsidRPr="00167A1B">
        <w:rPr>
          <w:noProof w:val="0"/>
          <w:szCs w:val="22"/>
          <w:lang w:eastAsia="it-IT"/>
        </w:rPr>
        <w:t xml:space="preserve"> the three “preparatory” tasks, it </w:t>
      </w:r>
      <w:r w:rsidR="00D302F9" w:rsidRPr="00167A1B">
        <w:rPr>
          <w:noProof w:val="0"/>
          <w:szCs w:val="22"/>
          <w:lang w:eastAsia="it-IT"/>
        </w:rPr>
        <w:t xml:space="preserve">identifies the most promising policy options, and assesses their likely environmental, economic and social impacts. </w:t>
      </w:r>
      <w:r w:rsidRPr="00167A1B">
        <w:rPr>
          <w:noProof w:val="0"/>
          <w:szCs w:val="22"/>
          <w:lang w:eastAsia="it-IT"/>
        </w:rPr>
        <w:t xml:space="preserve">The </w:t>
      </w:r>
      <w:r w:rsidRPr="00167A1B">
        <w:rPr>
          <w:noProof w:val="0"/>
          <w:szCs w:val="22"/>
          <w:lang w:eastAsia="it-IT"/>
        </w:rPr>
        <w:lastRenderedPageBreak/>
        <w:t xml:space="preserve">assessment </w:t>
      </w:r>
      <w:r w:rsidR="00D302F9" w:rsidRPr="00167A1B">
        <w:rPr>
          <w:noProof w:val="0"/>
          <w:szCs w:val="22"/>
          <w:lang w:eastAsia="it-IT"/>
        </w:rPr>
        <w:t>is</w:t>
      </w:r>
      <w:r w:rsidRPr="00167A1B">
        <w:rPr>
          <w:noProof w:val="0"/>
          <w:szCs w:val="22"/>
          <w:lang w:eastAsia="it-IT"/>
        </w:rPr>
        <w:t xml:space="preserve"> conducted in accordance with the relevant parts of the Commission’s Better Regulation Guidelines and Toolbox.</w:t>
      </w:r>
      <w:r w:rsidRPr="00167A1B">
        <w:rPr>
          <w:rStyle w:val="FootnoteReference"/>
          <w:noProof w:val="0"/>
          <w:sz w:val="22"/>
          <w:szCs w:val="22"/>
          <w:lang w:eastAsia="it-IT"/>
        </w:rPr>
        <w:footnoteReference w:id="13"/>
      </w:r>
      <w:r w:rsidRPr="00167A1B">
        <w:rPr>
          <w:noProof w:val="0"/>
          <w:szCs w:val="22"/>
          <w:lang w:eastAsia="it-IT"/>
        </w:rPr>
        <w:t xml:space="preserve"> </w:t>
      </w:r>
    </w:p>
    <w:p w14:paraId="4909A3CB" w14:textId="77777777" w:rsidR="00D302F9" w:rsidRPr="00167A1B" w:rsidRDefault="00D302F9" w:rsidP="00D302F9">
      <w:pPr>
        <w:pStyle w:val="BodyText1"/>
        <w:rPr>
          <w:noProof w:val="0"/>
          <w:lang w:eastAsia="it-IT"/>
        </w:rPr>
      </w:pPr>
    </w:p>
    <w:p w14:paraId="4C306878" w14:textId="68189DE3" w:rsidR="00BA500B" w:rsidRPr="00167A1B" w:rsidRDefault="00D302F9" w:rsidP="00D302F9">
      <w:pPr>
        <w:pStyle w:val="Title2"/>
      </w:pPr>
      <w:r w:rsidRPr="00167A1B">
        <w:t>Methodology</w:t>
      </w:r>
    </w:p>
    <w:p w14:paraId="3D4C5F09" w14:textId="0AD51895" w:rsidR="00D302F9" w:rsidRPr="00167A1B" w:rsidRDefault="00D302F9" w:rsidP="00D302F9">
      <w:pPr>
        <w:pStyle w:val="BodyText1"/>
        <w:rPr>
          <w:noProof w:val="0"/>
        </w:rPr>
      </w:pPr>
      <w:proofErr w:type="gramStart"/>
      <w:r w:rsidRPr="00167A1B">
        <w:rPr>
          <w:noProof w:val="0"/>
        </w:rPr>
        <w:t>Similarly</w:t>
      </w:r>
      <w:proofErr w:type="gramEnd"/>
      <w:r w:rsidRPr="00167A1B">
        <w:rPr>
          <w:noProof w:val="0"/>
        </w:rPr>
        <w:t xml:space="preserve"> to the first IA study carried out by the same team, the study employed a mixed-methods approach, relying on a series of different sources of evidence and analytical tools and techniques to respond to the main study questions and tasks. Following an initial structuring / inception phase, the study proceeded to carrying out the three preparatory tasks listed </w:t>
      </w:r>
      <w:proofErr w:type="gramStart"/>
      <w:r w:rsidRPr="00167A1B">
        <w:rPr>
          <w:noProof w:val="0"/>
        </w:rPr>
        <w:t>above, and</w:t>
      </w:r>
      <w:proofErr w:type="gramEnd"/>
      <w:r w:rsidRPr="00167A1B">
        <w:rPr>
          <w:noProof w:val="0"/>
        </w:rPr>
        <w:t xml:space="preserve"> identifying and screening relevant options; before proceeding to the assessment of their likely impacts.</w:t>
      </w:r>
    </w:p>
    <w:p w14:paraId="2C1CC3CD" w14:textId="19A653F6" w:rsidR="00A66580" w:rsidRPr="00167A1B" w:rsidRDefault="00A66580" w:rsidP="00A66580">
      <w:pPr>
        <w:pStyle w:val="Subtitle10"/>
        <w:rPr>
          <w:noProof w:val="0"/>
        </w:rPr>
      </w:pPr>
      <w:r w:rsidRPr="00167A1B">
        <w:rPr>
          <w:noProof w:val="0"/>
        </w:rPr>
        <w:t>Sources of evidence</w:t>
      </w:r>
    </w:p>
    <w:p w14:paraId="3473E931" w14:textId="428CD51E" w:rsidR="00D302F9" w:rsidRPr="00167A1B" w:rsidRDefault="00D302F9" w:rsidP="00D302F9">
      <w:pPr>
        <w:pStyle w:val="BodyText1"/>
        <w:rPr>
          <w:noProof w:val="0"/>
        </w:rPr>
      </w:pPr>
      <w:r w:rsidRPr="00167A1B">
        <w:rPr>
          <w:noProof w:val="0"/>
        </w:rPr>
        <w:t>The evidence base for the study consists of both primary and secondary data, gathered and reviewed via the following main methods:</w:t>
      </w:r>
    </w:p>
    <w:p w14:paraId="7835EAB2" w14:textId="2CB82F8E" w:rsidR="00D302F9" w:rsidRPr="00167A1B" w:rsidRDefault="00D302F9" w:rsidP="00F3069C">
      <w:pPr>
        <w:pStyle w:val="bullet1"/>
        <w:rPr>
          <w:noProof w:val="0"/>
        </w:rPr>
      </w:pPr>
      <w:r w:rsidRPr="00167A1B">
        <w:rPr>
          <w:b/>
          <w:bCs/>
          <w:noProof w:val="0"/>
        </w:rPr>
        <w:t>Review of documentation and literature</w:t>
      </w:r>
      <w:r w:rsidRPr="00167A1B">
        <w:rPr>
          <w:noProof w:val="0"/>
        </w:rPr>
        <w:t>: The study team identified and reviewed a wide range of documents on topics that relate to the issues analysed, including</w:t>
      </w:r>
      <w:r w:rsidR="00F3069C" w:rsidRPr="00167A1B">
        <w:rPr>
          <w:noProof w:val="0"/>
        </w:rPr>
        <w:t xml:space="preserve"> policy documents and legislation; relevant studies, academic and grey literature; technical standards and specifications; as well as technical documentation and information from</w:t>
      </w:r>
      <w:r w:rsidRPr="00167A1B">
        <w:rPr>
          <w:noProof w:val="0"/>
        </w:rPr>
        <w:t xml:space="preserve"> specialised and corporate websites</w:t>
      </w:r>
      <w:r w:rsidR="00F3069C" w:rsidRPr="00167A1B">
        <w:rPr>
          <w:noProof w:val="0"/>
        </w:rPr>
        <w:t xml:space="preserve">. </w:t>
      </w:r>
    </w:p>
    <w:p w14:paraId="1706803B" w14:textId="4A66BCE3" w:rsidR="00F3069C" w:rsidRPr="00167A1B" w:rsidRDefault="00F3069C" w:rsidP="00D302F9">
      <w:pPr>
        <w:pStyle w:val="bullet1"/>
        <w:rPr>
          <w:noProof w:val="0"/>
        </w:rPr>
      </w:pPr>
      <w:r w:rsidRPr="00167A1B">
        <w:rPr>
          <w:b/>
          <w:bCs/>
          <w:noProof w:val="0"/>
        </w:rPr>
        <w:t>Market data review and analysis</w:t>
      </w:r>
      <w:r w:rsidRPr="00167A1B">
        <w:rPr>
          <w:noProof w:val="0"/>
        </w:rPr>
        <w:t xml:space="preserve">: The study team compiled and analysed data on relevant market trends for different devices, using both commercial and public sources, in order to develop an understanding of the annual shipments and total stock of chargers in the EU. </w:t>
      </w:r>
    </w:p>
    <w:p w14:paraId="21A692DD" w14:textId="61ABB9C3" w:rsidR="00D302F9" w:rsidRPr="00167A1B" w:rsidRDefault="00D302F9" w:rsidP="00D302F9">
      <w:pPr>
        <w:pStyle w:val="bullet1"/>
        <w:rPr>
          <w:noProof w:val="0"/>
        </w:rPr>
      </w:pPr>
      <w:r w:rsidRPr="00167A1B">
        <w:rPr>
          <w:b/>
          <w:bCs/>
          <w:noProof w:val="0"/>
        </w:rPr>
        <w:t>Consumer survey</w:t>
      </w:r>
      <w:r w:rsidRPr="00167A1B">
        <w:rPr>
          <w:noProof w:val="0"/>
        </w:rPr>
        <w:t xml:space="preserve">: </w:t>
      </w:r>
      <w:r w:rsidR="00F3069C" w:rsidRPr="00167A1B">
        <w:rPr>
          <w:noProof w:val="0"/>
        </w:rPr>
        <w:t>A survey of a representative sample of 5,000 consumers was carried out</w:t>
      </w:r>
      <w:r w:rsidRPr="00167A1B">
        <w:rPr>
          <w:noProof w:val="0"/>
        </w:rPr>
        <w:t xml:space="preserve"> in mid-January 2021. </w:t>
      </w:r>
      <w:r w:rsidR="00F3069C" w:rsidRPr="00167A1B">
        <w:rPr>
          <w:noProof w:val="0"/>
        </w:rPr>
        <w:t>It was conducted via Ipsos’s online citizen panels in six EU Member states.</w:t>
      </w:r>
    </w:p>
    <w:p w14:paraId="0E5CF085" w14:textId="3382D5D0" w:rsidR="00D302F9" w:rsidRPr="00167A1B" w:rsidRDefault="00F3069C" w:rsidP="00D302F9">
      <w:pPr>
        <w:pStyle w:val="bullet1"/>
        <w:rPr>
          <w:noProof w:val="0"/>
        </w:rPr>
      </w:pPr>
      <w:r w:rsidRPr="00167A1B">
        <w:rPr>
          <w:b/>
          <w:bCs/>
          <w:noProof w:val="0"/>
        </w:rPr>
        <w:t>S</w:t>
      </w:r>
      <w:r w:rsidR="00D302F9" w:rsidRPr="00167A1B">
        <w:rPr>
          <w:b/>
          <w:bCs/>
          <w:noProof w:val="0"/>
        </w:rPr>
        <w:t>takeholder</w:t>
      </w:r>
      <w:r w:rsidRPr="00167A1B">
        <w:rPr>
          <w:b/>
          <w:bCs/>
          <w:noProof w:val="0"/>
        </w:rPr>
        <w:t xml:space="preserve"> </w:t>
      </w:r>
      <w:r w:rsidR="00D302F9" w:rsidRPr="00167A1B">
        <w:rPr>
          <w:b/>
          <w:bCs/>
          <w:noProof w:val="0"/>
        </w:rPr>
        <w:t>s</w:t>
      </w:r>
      <w:r w:rsidRPr="00167A1B">
        <w:rPr>
          <w:b/>
          <w:bCs/>
          <w:noProof w:val="0"/>
        </w:rPr>
        <w:t>urvey</w:t>
      </w:r>
      <w:r w:rsidR="00D302F9" w:rsidRPr="00167A1B">
        <w:rPr>
          <w:noProof w:val="0"/>
        </w:rPr>
        <w:t xml:space="preserve">: </w:t>
      </w:r>
      <w:r w:rsidRPr="00167A1B">
        <w:rPr>
          <w:noProof w:val="0"/>
        </w:rPr>
        <w:t>An</w:t>
      </w:r>
      <w:r w:rsidR="00D302F9" w:rsidRPr="00167A1B">
        <w:rPr>
          <w:noProof w:val="0"/>
        </w:rPr>
        <w:t xml:space="preserve"> online survey of stakeholders was </w:t>
      </w:r>
      <w:r w:rsidRPr="00167A1B">
        <w:rPr>
          <w:noProof w:val="0"/>
        </w:rPr>
        <w:t>conducted</w:t>
      </w:r>
      <w:r w:rsidR="00D302F9" w:rsidRPr="00167A1B">
        <w:rPr>
          <w:noProof w:val="0"/>
        </w:rPr>
        <w:t xml:space="preserve"> </w:t>
      </w:r>
      <w:r w:rsidRPr="00167A1B">
        <w:rPr>
          <w:noProof w:val="0"/>
        </w:rPr>
        <w:t>in</w:t>
      </w:r>
      <w:r w:rsidR="00D302F9" w:rsidRPr="00167A1B">
        <w:rPr>
          <w:noProof w:val="0"/>
        </w:rPr>
        <w:t xml:space="preserve"> December</w:t>
      </w:r>
      <w:r w:rsidRPr="00167A1B">
        <w:rPr>
          <w:noProof w:val="0"/>
        </w:rPr>
        <w:t xml:space="preserve"> 2020 / </w:t>
      </w:r>
      <w:proofErr w:type="gramStart"/>
      <w:r w:rsidRPr="00167A1B">
        <w:rPr>
          <w:noProof w:val="0"/>
        </w:rPr>
        <w:t>January 2021</w:t>
      </w:r>
      <w:r w:rsidR="00D302F9" w:rsidRPr="00167A1B">
        <w:rPr>
          <w:noProof w:val="0"/>
        </w:rPr>
        <w:t>, and</w:t>
      </w:r>
      <w:proofErr w:type="gramEnd"/>
      <w:r w:rsidR="00D302F9" w:rsidRPr="00167A1B">
        <w:rPr>
          <w:noProof w:val="0"/>
        </w:rPr>
        <w:t xml:space="preserve"> promoted among relevant stakeholders by the study team and the European Commission. 121 responses </w:t>
      </w:r>
      <w:r w:rsidRPr="00167A1B">
        <w:rPr>
          <w:noProof w:val="0"/>
        </w:rPr>
        <w:t>were</w:t>
      </w:r>
      <w:r w:rsidR="00D302F9" w:rsidRPr="00167A1B">
        <w:rPr>
          <w:noProof w:val="0"/>
        </w:rPr>
        <w:t xml:space="preserve"> received</w:t>
      </w:r>
      <w:r w:rsidRPr="00167A1B">
        <w:rPr>
          <w:noProof w:val="0"/>
        </w:rPr>
        <w:t xml:space="preserve"> from public authorities, private companies, civil society organisations, and private citizens.</w:t>
      </w:r>
    </w:p>
    <w:p w14:paraId="0B1AC500" w14:textId="77777777" w:rsidR="00507CA9" w:rsidRPr="00167A1B" w:rsidRDefault="00507CA9" w:rsidP="00507CA9">
      <w:pPr>
        <w:pStyle w:val="bullet1"/>
        <w:rPr>
          <w:noProof w:val="0"/>
        </w:rPr>
      </w:pPr>
      <w:r w:rsidRPr="00167A1B">
        <w:rPr>
          <w:b/>
          <w:bCs/>
          <w:noProof w:val="0"/>
        </w:rPr>
        <w:t>In-depth interviews</w:t>
      </w:r>
      <w:r w:rsidRPr="00167A1B">
        <w:rPr>
          <w:noProof w:val="0"/>
        </w:rPr>
        <w:t>: A total of 33 in-depth interviews were conducted with stakeholders representing a range of different interests and perspectives, including representatives of the most directly affected industry sectors, environmental and consumer organisations, and public authorities.</w:t>
      </w:r>
    </w:p>
    <w:p w14:paraId="051F0C79" w14:textId="0426E929" w:rsidR="00A66580" w:rsidRPr="00167A1B" w:rsidRDefault="00A66580" w:rsidP="00A66580">
      <w:pPr>
        <w:pStyle w:val="Subtitle10"/>
        <w:rPr>
          <w:noProof w:val="0"/>
        </w:rPr>
      </w:pPr>
      <w:r w:rsidRPr="00167A1B">
        <w:rPr>
          <w:noProof w:val="0"/>
        </w:rPr>
        <w:t>Analytical approach</w:t>
      </w:r>
    </w:p>
    <w:p w14:paraId="18F938E3" w14:textId="37E18B73" w:rsidR="00A66580" w:rsidRPr="00167A1B" w:rsidRDefault="00A66580" w:rsidP="00A66580">
      <w:pPr>
        <w:pStyle w:val="BodyText1"/>
        <w:rPr>
          <w:bCs/>
          <w:noProof w:val="0"/>
        </w:rPr>
      </w:pPr>
      <w:r w:rsidRPr="00167A1B">
        <w:rPr>
          <w:noProof w:val="0"/>
        </w:rPr>
        <w:t xml:space="preserve">The data and information </w:t>
      </w:r>
      <w:proofErr w:type="gramStart"/>
      <w:r w:rsidRPr="00167A1B">
        <w:rPr>
          <w:noProof w:val="0"/>
        </w:rPr>
        <w:t>was</w:t>
      </w:r>
      <w:proofErr w:type="gramEnd"/>
      <w:r w:rsidRPr="00167A1B">
        <w:rPr>
          <w:noProof w:val="0"/>
        </w:rPr>
        <w:t xml:space="preserve"> analysed with a range of relevant quantitative and qualitative techniques. </w:t>
      </w:r>
      <w:proofErr w:type="gramStart"/>
      <w:r w:rsidRPr="00167A1B">
        <w:rPr>
          <w:noProof w:val="0"/>
        </w:rPr>
        <w:t>In particular, it</w:t>
      </w:r>
      <w:proofErr w:type="gramEnd"/>
      <w:r w:rsidRPr="00167A1B">
        <w:rPr>
          <w:noProof w:val="0"/>
        </w:rPr>
        <w:t xml:space="preserve"> is worth emphasising </w:t>
      </w:r>
      <w:r w:rsidRPr="00167A1B">
        <w:rPr>
          <w:bCs/>
          <w:noProof w:val="0"/>
        </w:rPr>
        <w:t>the stock model of chargers, which was developed as part of the first IA study, and updated and expanded as part of this study. This model compiles sales data on mobile phones, other devices, and stand-alone chargers, and matched this with data and assumptions on charger disposals to simulate changes in the stock of chargers in use in the EU-27. The model enabled calculation of quantitative estimates of the main environmental and certain economic impacts. For further details on the approach to analysing the different types of impacts, please refer to section 4 of this report.</w:t>
      </w:r>
    </w:p>
    <w:p w14:paraId="31FD57F4" w14:textId="77777777" w:rsidR="00A66580" w:rsidRPr="00167A1B" w:rsidRDefault="00A66580" w:rsidP="00A66580">
      <w:pPr>
        <w:pStyle w:val="Subtitle10"/>
        <w:rPr>
          <w:noProof w:val="0"/>
        </w:rPr>
      </w:pPr>
      <w:bookmarkStart w:id="9" w:name="_Toc20477576"/>
      <w:r w:rsidRPr="00167A1B">
        <w:rPr>
          <w:noProof w:val="0"/>
        </w:rPr>
        <w:lastRenderedPageBreak/>
        <w:t>Main limitations and caveats</w:t>
      </w:r>
      <w:bookmarkEnd w:id="9"/>
      <w:r w:rsidRPr="00167A1B">
        <w:rPr>
          <w:noProof w:val="0"/>
        </w:rPr>
        <w:t xml:space="preserve"> </w:t>
      </w:r>
    </w:p>
    <w:p w14:paraId="2DB46D5B" w14:textId="20E4E191" w:rsidR="00223F54" w:rsidRPr="00167A1B" w:rsidRDefault="00223F54" w:rsidP="00223F54">
      <w:pPr>
        <w:pStyle w:val="BodyText1"/>
        <w:rPr>
          <w:noProof w:val="0"/>
        </w:rPr>
      </w:pPr>
      <w:r w:rsidRPr="00167A1B">
        <w:rPr>
          <w:noProof w:val="0"/>
        </w:rPr>
        <w:t>Limitations to our approach stem from the assumptions made in the stock model, e.g. on production costs, charger weight and composition and future development of the mobile phone market. Whilst we have used the best available evidence, part of the assumptions underlying the stock model and our options assessment relied on inputs from a small number of key stakeholders, or a small number of secondary sources. We are confident that the stakeholders consulted represent a significant proportion of relevant markets (</w:t>
      </w:r>
      <w:proofErr w:type="gramStart"/>
      <w:r w:rsidRPr="00167A1B">
        <w:rPr>
          <w:noProof w:val="0"/>
        </w:rPr>
        <w:t>in particular the</w:t>
      </w:r>
      <w:proofErr w:type="gramEnd"/>
      <w:r w:rsidRPr="00167A1B">
        <w:rPr>
          <w:noProof w:val="0"/>
        </w:rPr>
        <w:t xml:space="preserve"> mobile phone market). All analytical outputs were cross-checked and subjected to internal reviews by senior members of the study team, as well as, where relevant, validated with key stakeholders. However, in the absence of authoritative sources of verifiable data on certain elements, and in view of the impossibility of accurately predicting future technological developments, a certain level of uncertainty remains around the assumptions made in our stock model. For certain key variables (in particular the proportion of consumers that choose to purchase a charger along with an ‘unbundled’ new mobile phone), sensitivity analysis was carried out to clarify how variations would affect the impacts of the different policy options (for details on the stock model and assumptions made, see Annex G).</w:t>
      </w:r>
    </w:p>
    <w:p w14:paraId="0385D646" w14:textId="2AB56E86" w:rsidR="00A66580" w:rsidRPr="00167A1B" w:rsidRDefault="00A66580" w:rsidP="00A66580">
      <w:pPr>
        <w:pStyle w:val="BodyText1"/>
        <w:rPr>
          <w:noProof w:val="0"/>
        </w:rPr>
      </w:pPr>
      <w:r w:rsidRPr="00167A1B">
        <w:rPr>
          <w:noProof w:val="0"/>
        </w:rPr>
        <w:t xml:space="preserve">Furthermore, whilst the study was able to gain access to comprehensive market data available on mobile phone sales and shipments, we found a lack of comprehensive market statistics on standalone chargers and the illicit market. Therefore, data on standalone chargers and illicit markets are mainly drawn from the consumer panel survey and stakeholder consultations, leaving some residual uncertainty. </w:t>
      </w:r>
      <w:r w:rsidR="0066096F" w:rsidRPr="00167A1B">
        <w:rPr>
          <w:noProof w:val="0"/>
        </w:rPr>
        <w:t xml:space="preserve">As regards other portable electronic devices, it was not feasible to purchase commercial data for all potentially relevant categories of devices, so the study had to prioritise, meaning the level of detailed data the study had access to varied across device categories. </w:t>
      </w:r>
    </w:p>
    <w:p w14:paraId="31CEBFD8" w14:textId="2DBF80A1" w:rsidR="00A66580" w:rsidRPr="00167A1B" w:rsidRDefault="00A66580" w:rsidP="00A66580">
      <w:pPr>
        <w:pStyle w:val="BodyText1"/>
        <w:rPr>
          <w:bCs/>
          <w:noProof w:val="0"/>
        </w:rPr>
      </w:pPr>
    </w:p>
    <w:p w14:paraId="47C0289E" w14:textId="1D8BD64E" w:rsidR="008F65B2" w:rsidRPr="00167A1B" w:rsidRDefault="008F65B2" w:rsidP="00A66580">
      <w:pPr>
        <w:pStyle w:val="BodyText1"/>
        <w:rPr>
          <w:noProof w:val="0"/>
        </w:rPr>
      </w:pPr>
      <w:r w:rsidRPr="00167A1B">
        <w:rPr>
          <w:noProof w:val="0"/>
        </w:rPr>
        <w:br w:type="page"/>
      </w:r>
    </w:p>
    <w:p w14:paraId="27A4447F" w14:textId="63B51233" w:rsidR="00284A2D" w:rsidRPr="00167A1B" w:rsidRDefault="005C7F46" w:rsidP="00630BCE">
      <w:pPr>
        <w:pStyle w:val="Title1"/>
        <w:outlineLvl w:val="0"/>
      </w:pPr>
      <w:bookmarkStart w:id="10" w:name="_Toc74319741"/>
      <w:r w:rsidRPr="00167A1B">
        <w:lastRenderedPageBreak/>
        <w:t xml:space="preserve">Problem </w:t>
      </w:r>
      <w:r w:rsidR="00F45B42" w:rsidRPr="00167A1B">
        <w:t>d</w:t>
      </w:r>
      <w:r w:rsidRPr="00167A1B">
        <w:t>efinition</w:t>
      </w:r>
      <w:bookmarkEnd w:id="10"/>
      <w:r w:rsidRPr="00167A1B">
        <w:t xml:space="preserve"> </w:t>
      </w:r>
    </w:p>
    <w:p w14:paraId="44BC1D54" w14:textId="77777777" w:rsidR="00F15E82" w:rsidRPr="00167A1B" w:rsidRDefault="00F15E82" w:rsidP="00F15E82">
      <w:pPr>
        <w:pStyle w:val="BodyText1"/>
        <w:rPr>
          <w:noProof w:val="0"/>
        </w:rPr>
      </w:pPr>
      <w:r w:rsidRPr="00167A1B">
        <w:rPr>
          <w:noProof w:val="0"/>
        </w:rPr>
        <w:t xml:space="preserve">The initial step in defining the objectives of the new, or updated, policy is to consider the problem that is leading to the need to </w:t>
      </w:r>
      <w:proofErr w:type="gramStart"/>
      <w:r w:rsidRPr="00167A1B">
        <w:rPr>
          <w:noProof w:val="0"/>
        </w:rPr>
        <w:t>take action</w:t>
      </w:r>
      <w:proofErr w:type="gramEnd"/>
      <w:r w:rsidRPr="00167A1B">
        <w:rPr>
          <w:noProof w:val="0"/>
        </w:rPr>
        <w:t xml:space="preserve">. </w:t>
      </w:r>
    </w:p>
    <w:p w14:paraId="7FBDEAD1" w14:textId="77777777" w:rsidR="00F15E82" w:rsidRPr="00167A1B" w:rsidRDefault="00F15E82" w:rsidP="00F15E82">
      <w:pPr>
        <w:pStyle w:val="BodyText1"/>
        <w:rPr>
          <w:noProof w:val="0"/>
        </w:rPr>
      </w:pPr>
      <w:r w:rsidRPr="00167A1B">
        <w:rPr>
          <w:noProof w:val="0"/>
        </w:rPr>
        <w:t>The approach to this task follows the Better Regulation Guidelines (Tool #14) and answers the following questions:</w:t>
      </w:r>
    </w:p>
    <w:p w14:paraId="33E642D2" w14:textId="77777777" w:rsidR="00F15E82" w:rsidRPr="00167A1B" w:rsidRDefault="00F15E82" w:rsidP="00F15E82">
      <w:pPr>
        <w:pStyle w:val="bullet1"/>
        <w:rPr>
          <w:noProof w:val="0"/>
        </w:rPr>
      </w:pPr>
      <w:r w:rsidRPr="00167A1B">
        <w:rPr>
          <w:noProof w:val="0"/>
        </w:rPr>
        <w:t>What is the nature of the problem(s)?</w:t>
      </w:r>
    </w:p>
    <w:p w14:paraId="239E4589" w14:textId="77777777" w:rsidR="00F15E82" w:rsidRPr="00167A1B" w:rsidRDefault="00F15E82" w:rsidP="00F15E82">
      <w:pPr>
        <w:pStyle w:val="bullet1"/>
        <w:rPr>
          <w:noProof w:val="0"/>
        </w:rPr>
      </w:pPr>
      <w:r w:rsidRPr="00167A1B">
        <w:rPr>
          <w:noProof w:val="0"/>
        </w:rPr>
        <w:t>What is the scale of the problem(s)?</w:t>
      </w:r>
    </w:p>
    <w:p w14:paraId="09DE6B0B" w14:textId="77777777" w:rsidR="00F15E82" w:rsidRPr="00167A1B" w:rsidRDefault="00F15E82" w:rsidP="00F15E82">
      <w:pPr>
        <w:pStyle w:val="bullet1"/>
        <w:rPr>
          <w:noProof w:val="0"/>
        </w:rPr>
      </w:pPr>
      <w:r w:rsidRPr="00167A1B">
        <w:rPr>
          <w:noProof w:val="0"/>
        </w:rPr>
        <w:t>Who is affected by the problem(s)?</w:t>
      </w:r>
    </w:p>
    <w:p w14:paraId="34BD4968" w14:textId="77777777" w:rsidR="00F15E82" w:rsidRPr="00167A1B" w:rsidRDefault="00F15E82" w:rsidP="00F15E82">
      <w:pPr>
        <w:pStyle w:val="bullet1"/>
        <w:rPr>
          <w:noProof w:val="0"/>
        </w:rPr>
      </w:pPr>
      <w:r w:rsidRPr="00167A1B">
        <w:rPr>
          <w:noProof w:val="0"/>
        </w:rPr>
        <w:t>What are the drivers and root causes of the problem(s)?</w:t>
      </w:r>
    </w:p>
    <w:p w14:paraId="5CB5EE66" w14:textId="77777777" w:rsidR="00F15E82" w:rsidRPr="00167A1B" w:rsidRDefault="00F15E82" w:rsidP="00F15E82">
      <w:pPr>
        <w:pStyle w:val="bullet1"/>
        <w:rPr>
          <w:noProof w:val="0"/>
        </w:rPr>
      </w:pPr>
      <w:r w:rsidRPr="00167A1B">
        <w:rPr>
          <w:noProof w:val="0"/>
        </w:rPr>
        <w:t>How has the problem developed over time and how is it likely to develop without action?</w:t>
      </w:r>
    </w:p>
    <w:p w14:paraId="4A87B42B" w14:textId="77777777" w:rsidR="00F15E82" w:rsidRPr="00167A1B" w:rsidRDefault="00F15E82" w:rsidP="00F15E82">
      <w:pPr>
        <w:pStyle w:val="bullet1"/>
        <w:rPr>
          <w:noProof w:val="0"/>
        </w:rPr>
      </w:pPr>
      <w:r w:rsidRPr="00167A1B">
        <w:rPr>
          <w:noProof w:val="0"/>
        </w:rPr>
        <w:t>Why does the problem need action at EU level?</w:t>
      </w:r>
    </w:p>
    <w:p w14:paraId="5317ABCA" w14:textId="77777777" w:rsidR="00F15E82" w:rsidRPr="00167A1B" w:rsidRDefault="00F15E82" w:rsidP="00F15E82">
      <w:pPr>
        <w:pStyle w:val="BodyText1"/>
        <w:rPr>
          <w:noProof w:val="0"/>
        </w:rPr>
      </w:pPr>
      <w:r w:rsidRPr="00167A1B">
        <w:rPr>
          <w:noProof w:val="0"/>
        </w:rPr>
        <w:t>The problem identified is two-fold:</w:t>
      </w:r>
    </w:p>
    <w:p w14:paraId="4E2639E0" w14:textId="42D3A525" w:rsidR="00F15E82" w:rsidRPr="00167A1B" w:rsidRDefault="00F15E82" w:rsidP="00F15E82">
      <w:pPr>
        <w:pStyle w:val="BodyText1"/>
        <w:rPr>
          <w:b/>
          <w:bCs/>
          <w:noProof w:val="0"/>
        </w:rPr>
      </w:pPr>
      <w:r w:rsidRPr="00167A1B">
        <w:rPr>
          <w:b/>
          <w:bCs/>
          <w:noProof w:val="0"/>
        </w:rPr>
        <w:t xml:space="preserve">The volume of chargers produced, shipped and sold in the EU is larger than in a perfect market where consumers can decide whether they want to buy a charger with their new phone. Some of the chargers sold use proprietary connectors and/or battery charging protocols that are not always interoperable with other devices, or that cannot charge other devices at the same speed. </w:t>
      </w:r>
    </w:p>
    <w:p w14:paraId="2B8729E2" w14:textId="408CDF08" w:rsidR="00F15E82" w:rsidRPr="00167A1B" w:rsidRDefault="00F15E82" w:rsidP="00F15E82">
      <w:pPr>
        <w:pStyle w:val="BodyText1"/>
        <w:rPr>
          <w:noProof w:val="0"/>
          <w:szCs w:val="22"/>
        </w:rPr>
      </w:pPr>
      <w:r w:rsidRPr="00167A1B">
        <w:rPr>
          <w:noProof w:val="0"/>
          <w:szCs w:val="22"/>
        </w:rPr>
        <w:t xml:space="preserve">Currently, there is some fragmentation in the market in terms of </w:t>
      </w:r>
      <w:r w:rsidR="00167A1B" w:rsidRPr="00167A1B">
        <w:rPr>
          <w:noProof w:val="0"/>
          <w:szCs w:val="22"/>
        </w:rPr>
        <w:t>connectors</w:t>
      </w:r>
      <w:r w:rsidRPr="00167A1B">
        <w:rPr>
          <w:noProof w:val="0"/>
          <w:szCs w:val="22"/>
        </w:rPr>
        <w:t xml:space="preserve"> used, with some phones and other devices using USB Type-C, USB micro-B and Lightning receptacles.</w:t>
      </w:r>
      <w:r w:rsidR="00857D07" w:rsidRPr="00167A1B">
        <w:rPr>
          <w:rStyle w:val="FootnoteReference"/>
          <w:noProof w:val="0"/>
          <w:sz w:val="22"/>
          <w:szCs w:val="22"/>
        </w:rPr>
        <w:footnoteReference w:id="14"/>
      </w:r>
      <w:r w:rsidRPr="00167A1B">
        <w:rPr>
          <w:noProof w:val="0"/>
          <w:szCs w:val="22"/>
        </w:rPr>
        <w:t xml:space="preserve"> There is also fragmentation of fast charging solutions. These solutions are all interoperable, however </w:t>
      </w:r>
      <w:r w:rsidR="00857D07" w:rsidRPr="00167A1B">
        <w:rPr>
          <w:noProof w:val="0"/>
          <w:szCs w:val="22"/>
        </w:rPr>
        <w:t>External Power Supplies (</w:t>
      </w:r>
      <w:r w:rsidRPr="00167A1B">
        <w:rPr>
          <w:noProof w:val="0"/>
          <w:szCs w:val="22"/>
        </w:rPr>
        <w:t>EPS</w:t>
      </w:r>
      <w:r w:rsidR="00857D07" w:rsidRPr="00167A1B">
        <w:rPr>
          <w:noProof w:val="0"/>
          <w:szCs w:val="22"/>
        </w:rPr>
        <w:t>)</w:t>
      </w:r>
      <w:r w:rsidRPr="00167A1B">
        <w:rPr>
          <w:noProof w:val="0"/>
          <w:szCs w:val="22"/>
        </w:rPr>
        <w:t xml:space="preserve"> using proprietary solutions do not always charge other brands’ phones and devices at the same speed.</w:t>
      </w:r>
      <w:r w:rsidR="00857D07" w:rsidRPr="00167A1B">
        <w:rPr>
          <w:rStyle w:val="FootnoteReference"/>
          <w:noProof w:val="0"/>
          <w:sz w:val="22"/>
          <w:szCs w:val="22"/>
        </w:rPr>
        <w:footnoteReference w:id="15"/>
      </w:r>
      <w:r w:rsidRPr="00167A1B">
        <w:rPr>
          <w:noProof w:val="0"/>
          <w:szCs w:val="22"/>
        </w:rPr>
        <w:t xml:space="preserve"> The ensuing section explains why proprietary solutions exist alongside standard solutions, and why manufacturers continue using them.</w:t>
      </w:r>
    </w:p>
    <w:p w14:paraId="7B5E7EF7" w14:textId="395FA9C1" w:rsidR="00F15E82" w:rsidRPr="00167A1B" w:rsidRDefault="00F15E82" w:rsidP="00F15E82">
      <w:pPr>
        <w:pStyle w:val="BodyText1"/>
        <w:rPr>
          <w:noProof w:val="0"/>
          <w:szCs w:val="22"/>
        </w:rPr>
      </w:pPr>
      <w:r w:rsidRPr="00167A1B">
        <w:rPr>
          <w:noProof w:val="0"/>
          <w:szCs w:val="22"/>
        </w:rPr>
        <w:t>The second part of the problem is that there are more chargers in the market than what consumers realistically need or want. Most consumers already have one or more (compatible) chargers, so do not always need a new one with each phone.</w:t>
      </w:r>
      <w:r w:rsidR="00857D07" w:rsidRPr="00167A1B">
        <w:rPr>
          <w:rStyle w:val="FootnoteReference"/>
          <w:noProof w:val="0"/>
          <w:sz w:val="22"/>
          <w:szCs w:val="22"/>
        </w:rPr>
        <w:footnoteReference w:id="16"/>
      </w:r>
      <w:r w:rsidRPr="00167A1B">
        <w:rPr>
          <w:noProof w:val="0"/>
          <w:szCs w:val="22"/>
        </w:rPr>
        <w:t xml:space="preserve"> However, with some notable recent exceptions (Apple, Samsung, and HMD), manufacturers continue selling chargers along with phones by default. This generates unnecessary use of raw materials, GHG emissions and e-waste. The ensuing section also explains why unbundling is not more widespread.</w:t>
      </w:r>
    </w:p>
    <w:p w14:paraId="7339CEF3" w14:textId="71C636A9" w:rsidR="00F15E82" w:rsidRPr="00167A1B" w:rsidRDefault="00F15E82" w:rsidP="00F15E82">
      <w:pPr>
        <w:pStyle w:val="BodyText1"/>
        <w:rPr>
          <w:noProof w:val="0"/>
        </w:rPr>
      </w:pPr>
      <w:r w:rsidRPr="00167A1B">
        <w:rPr>
          <w:noProof w:val="0"/>
        </w:rPr>
        <w:t>A problem tree that visualises the main relationships between drivers, problems and consequences is shown in Figure 1.</w:t>
      </w:r>
    </w:p>
    <w:p w14:paraId="0BC53EFC" w14:textId="5D9F7A56" w:rsidR="00F15E82" w:rsidRPr="00167A1B" w:rsidRDefault="00F15E82" w:rsidP="00F15E82">
      <w:pPr>
        <w:pStyle w:val="Caption"/>
      </w:pPr>
      <w:r w:rsidRPr="00167A1B">
        <w:lastRenderedPageBreak/>
        <w:t xml:space="preserve">Figure </w:t>
      </w:r>
      <w:r w:rsidRPr="00167A1B">
        <w:fldChar w:fldCharType="begin"/>
      </w:r>
      <w:r w:rsidRPr="00167A1B">
        <w:instrText xml:space="preserve"> SEQ Figure \* ARABIC </w:instrText>
      </w:r>
      <w:r w:rsidRPr="00167A1B">
        <w:fldChar w:fldCharType="separate"/>
      </w:r>
      <w:r w:rsidR="00221C9D" w:rsidRPr="00167A1B">
        <w:t>1</w:t>
      </w:r>
      <w:r w:rsidRPr="00167A1B">
        <w:fldChar w:fldCharType="end"/>
      </w:r>
      <w:r w:rsidRPr="00167A1B">
        <w:t>. Problem tree</w:t>
      </w:r>
    </w:p>
    <w:p w14:paraId="19969682" w14:textId="7FF3BF60" w:rsidR="00F15E82" w:rsidRPr="00167A1B" w:rsidRDefault="00857D07" w:rsidP="00F15E82">
      <w:pPr>
        <w:tabs>
          <w:tab w:val="left" w:pos="5529"/>
        </w:tabs>
      </w:pPr>
      <w:r w:rsidRPr="00167A1B">
        <w:rPr>
          <w:noProof/>
          <w:lang w:eastAsia="en-GB"/>
        </w:rPr>
        <w:drawing>
          <wp:inline distT="0" distB="0" distL="0" distR="0" wp14:anchorId="31F1F236" wp14:editId="08437842">
            <wp:extent cx="6038508" cy="650557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42418" cy="6509788"/>
                    </a:xfrm>
                    <a:prstGeom prst="rect">
                      <a:avLst/>
                    </a:prstGeom>
                    <a:noFill/>
                  </pic:spPr>
                </pic:pic>
              </a:graphicData>
            </a:graphic>
          </wp:inline>
        </w:drawing>
      </w:r>
    </w:p>
    <w:p w14:paraId="4118BBD7" w14:textId="77777777" w:rsidR="00F15E82" w:rsidRPr="00167A1B" w:rsidRDefault="00F15E82" w:rsidP="008C0CAD">
      <w:pPr>
        <w:pStyle w:val="04ABodyText"/>
        <w:spacing w:before="0" w:after="0"/>
        <w:rPr>
          <w:sz w:val="16"/>
          <w:szCs w:val="14"/>
        </w:rPr>
      </w:pPr>
    </w:p>
    <w:p w14:paraId="6CEAECF0" w14:textId="77777777" w:rsidR="00F15E82" w:rsidRPr="00167A1B" w:rsidRDefault="00F15E82" w:rsidP="00F15E82">
      <w:pPr>
        <w:pStyle w:val="04ABodyText"/>
      </w:pPr>
      <w:r w:rsidRPr="00167A1B">
        <w:rPr>
          <w:noProof/>
        </w:rPr>
        <w:drawing>
          <wp:inline distT="0" distB="0" distL="0" distR="0" wp14:anchorId="73E7818B" wp14:editId="1D5233FA">
            <wp:extent cx="2698750" cy="2096921"/>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15260" cy="2109749"/>
                    </a:xfrm>
                    <a:prstGeom prst="rect">
                      <a:avLst/>
                    </a:prstGeom>
                    <a:noFill/>
                  </pic:spPr>
                </pic:pic>
              </a:graphicData>
            </a:graphic>
          </wp:inline>
        </w:drawing>
      </w:r>
    </w:p>
    <w:p w14:paraId="0B90981F" w14:textId="77777777" w:rsidR="00F15E82" w:rsidRPr="00167A1B" w:rsidRDefault="00F15E82" w:rsidP="00F15E82">
      <w:pPr>
        <w:pStyle w:val="Title2"/>
        <w:ind w:left="850"/>
        <w:outlineLvl w:val="1"/>
      </w:pPr>
      <w:bookmarkStart w:id="11" w:name="_Toc69284646"/>
      <w:bookmarkStart w:id="12" w:name="_Toc74319742"/>
      <w:r w:rsidRPr="00167A1B">
        <w:lastRenderedPageBreak/>
        <w:t>Drivers of the problem</w:t>
      </w:r>
      <w:bookmarkEnd w:id="11"/>
      <w:bookmarkEnd w:id="12"/>
    </w:p>
    <w:p w14:paraId="45288426" w14:textId="77777777" w:rsidR="00F15E82" w:rsidRPr="00167A1B" w:rsidRDefault="00F15E82" w:rsidP="00F15E82">
      <w:pPr>
        <w:pStyle w:val="Subtitle10"/>
        <w:rPr>
          <w:noProof w:val="0"/>
        </w:rPr>
      </w:pPr>
      <w:r w:rsidRPr="00167A1B">
        <w:rPr>
          <w:noProof w:val="0"/>
        </w:rPr>
        <w:t>The MoU expired and the new MoU did not align with the Commission’s harmonisation and environmental objectives</w:t>
      </w:r>
    </w:p>
    <w:p w14:paraId="3E628A0F" w14:textId="77777777" w:rsidR="00F15E82" w:rsidRPr="00167A1B" w:rsidRDefault="00F15E82" w:rsidP="00F15E82">
      <w:pPr>
        <w:pStyle w:val="BodyText1"/>
        <w:rPr>
          <w:noProof w:val="0"/>
        </w:rPr>
      </w:pPr>
      <w:r w:rsidRPr="00167A1B">
        <w:rPr>
          <w:noProof w:val="0"/>
        </w:rPr>
        <w:t>The 2009 Memorandum of Understanding (MoU) among industry stakeholders, facilitated by the European Commission, resulted in convergence towards a common external power supply (EPS) and USB micro-B connectors at the device end. The most notable exception was Apple, which continued to use proprietary connectors (from 2012, the Lightning connector) but made an adaptor available for purchase.</w:t>
      </w:r>
    </w:p>
    <w:p w14:paraId="65573CA3" w14:textId="77777777" w:rsidR="00F15E82" w:rsidRPr="00167A1B" w:rsidRDefault="00F15E82" w:rsidP="00F15E82">
      <w:pPr>
        <w:pStyle w:val="BodyText1"/>
        <w:rPr>
          <w:noProof w:val="0"/>
          <w:szCs w:val="22"/>
        </w:rPr>
      </w:pPr>
      <w:r w:rsidRPr="00167A1B">
        <w:rPr>
          <w:noProof w:val="0"/>
        </w:rPr>
        <w:t xml:space="preserve">Since the expiry of the MoU in 2014, </w:t>
      </w:r>
      <w:r w:rsidRPr="00167A1B">
        <w:rPr>
          <w:noProof w:val="0"/>
          <w:szCs w:val="22"/>
        </w:rPr>
        <w:t>several technological innovations in relation to charging technologies, EPS, and connectors have occurred</w:t>
      </w:r>
      <w:r w:rsidRPr="00167A1B">
        <w:rPr>
          <w:rStyle w:val="FootnoteReference"/>
          <w:noProof w:val="0"/>
          <w:sz w:val="22"/>
          <w:szCs w:val="22"/>
        </w:rPr>
        <w:footnoteReference w:id="17"/>
      </w:r>
      <w:r w:rsidRPr="00167A1B">
        <w:rPr>
          <w:noProof w:val="0"/>
          <w:szCs w:val="22"/>
        </w:rPr>
        <w:t>. Also, the Radio Equipment Directive</w:t>
      </w:r>
      <w:r w:rsidRPr="00167A1B">
        <w:rPr>
          <w:rStyle w:val="FootnoteReference"/>
          <w:noProof w:val="0"/>
          <w:sz w:val="22"/>
          <w:szCs w:val="22"/>
        </w:rPr>
        <w:footnoteReference w:id="18"/>
      </w:r>
      <w:r w:rsidRPr="00167A1B">
        <w:rPr>
          <w:noProof w:val="0"/>
          <w:szCs w:val="22"/>
        </w:rPr>
        <w:t xml:space="preserve"> adopted in 2014, under Article 3(3)(a) established that all radio equipment placed on the market should be interoperable “with accessories, in particular with common chargers”, whilst stressing, under Recital 12, that “mobile phones that are made available on the market should be compatible with a common charger”.</w:t>
      </w:r>
    </w:p>
    <w:p w14:paraId="5EBE153A" w14:textId="77777777" w:rsidR="00F15E82" w:rsidRPr="00167A1B" w:rsidRDefault="00F15E82" w:rsidP="00F15E82">
      <w:pPr>
        <w:pStyle w:val="BodyText1"/>
        <w:rPr>
          <w:noProof w:val="0"/>
          <w:szCs w:val="22"/>
        </w:rPr>
      </w:pPr>
      <w:r w:rsidRPr="00167A1B">
        <w:rPr>
          <w:noProof w:val="0"/>
          <w:szCs w:val="22"/>
        </w:rPr>
        <w:t>The new MoU on wired chargers for smartphones proposed by the industry in March 2018 was found by the European Commission not to align fully with the EU’s harmonisation objectives</w:t>
      </w:r>
      <w:r w:rsidRPr="00167A1B">
        <w:rPr>
          <w:rStyle w:val="FootnoteReference"/>
          <w:noProof w:val="0"/>
          <w:sz w:val="22"/>
          <w:szCs w:val="22"/>
        </w:rPr>
        <w:footnoteReference w:id="19"/>
      </w:r>
      <w:r w:rsidRPr="00167A1B">
        <w:rPr>
          <w:noProof w:val="0"/>
          <w:szCs w:val="22"/>
        </w:rPr>
        <w:t>. As a result, there are currently no industry-wide voluntary agreements or regulatory measures in place as regards the harmonisation or unbundling of chargers of mobile phones or other portable devices in the European Union.</w:t>
      </w:r>
    </w:p>
    <w:p w14:paraId="3D412E02" w14:textId="42BAF399" w:rsidR="00F15E82" w:rsidRPr="00167A1B" w:rsidRDefault="00F15E82" w:rsidP="00F15E82">
      <w:pPr>
        <w:pStyle w:val="Subtitle10"/>
        <w:rPr>
          <w:noProof w:val="0"/>
        </w:rPr>
      </w:pPr>
      <w:r w:rsidRPr="00167A1B">
        <w:rPr>
          <w:noProof w:val="0"/>
        </w:rPr>
        <w:t>Proprietary charging solutions</w:t>
      </w:r>
      <w:r w:rsidR="004D5502" w:rsidRPr="00167A1B">
        <w:rPr>
          <w:noProof w:val="0"/>
        </w:rPr>
        <w:t xml:space="preserve"> (connectors)</w:t>
      </w:r>
      <w:r w:rsidRPr="00167A1B">
        <w:rPr>
          <w:noProof w:val="0"/>
        </w:rPr>
        <w:t xml:space="preserve"> exist as manufacturers seek competitive advantage and commercial benefits </w:t>
      </w:r>
    </w:p>
    <w:p w14:paraId="088ED7B3" w14:textId="13360BE8" w:rsidR="00F15E82" w:rsidRPr="00167A1B" w:rsidRDefault="00F15E82" w:rsidP="00F15E82">
      <w:pPr>
        <w:pStyle w:val="BodyText1"/>
        <w:rPr>
          <w:noProof w:val="0"/>
          <w:szCs w:val="22"/>
        </w:rPr>
      </w:pPr>
      <w:r w:rsidRPr="00167A1B">
        <w:rPr>
          <w:noProof w:val="0"/>
        </w:rPr>
        <w:t xml:space="preserve">Following the 2009 MoU, most of the mobile phone market moved from proprietary connectors towards USB micro-B at the device end, the sole exception being Apple, which introduced the Lightning connector in 2012 and continues to use it in all its phones. Compliance with the MoU </w:t>
      </w:r>
      <w:r w:rsidRPr="00167A1B">
        <w:rPr>
          <w:noProof w:val="0"/>
          <w:szCs w:val="22"/>
        </w:rPr>
        <w:t>was ensured by making adapters available for purchase.</w:t>
      </w:r>
      <w:r w:rsidRPr="00167A1B">
        <w:rPr>
          <w:rStyle w:val="FootnoteReference"/>
          <w:noProof w:val="0"/>
          <w:sz w:val="22"/>
          <w:szCs w:val="22"/>
        </w:rPr>
        <w:footnoteReference w:id="20"/>
      </w:r>
      <w:r w:rsidRPr="00167A1B">
        <w:rPr>
          <w:noProof w:val="0"/>
          <w:szCs w:val="22"/>
        </w:rPr>
        <w:t xml:space="preserve"> Other Apple devices, such as iPads and MacBooks, incorporate USB Type-C receptacles.</w:t>
      </w:r>
    </w:p>
    <w:p w14:paraId="6AF5A0C0" w14:textId="7B92ABFC" w:rsidR="00F15E82" w:rsidRPr="00167A1B" w:rsidRDefault="00F15E82" w:rsidP="00F15E82">
      <w:pPr>
        <w:pStyle w:val="BodyText1"/>
        <w:rPr>
          <w:noProof w:val="0"/>
          <w:szCs w:val="22"/>
        </w:rPr>
      </w:pPr>
      <w:r w:rsidRPr="00167A1B">
        <w:rPr>
          <w:noProof w:val="0"/>
          <w:szCs w:val="22"/>
        </w:rPr>
        <w:t xml:space="preserve">Since the introduction of USB Type-C in 2014, there has been a trend towards replacing USB micro-B with Type-C, first in higher-end phones and other portable devices requiring higher levels of power, but now increasingly also in mid-tier ones and smaller portable devices. USB micro-B continues to be used in some lower-end phones and other lower-end, low-power portable devices, but the expectation is that, as the price of USB Type-C drops further, micro-B will disappear entirely from smartphones in the next few years (though it is possible it will continue to be used in very low cost feature phones for longer). </w:t>
      </w:r>
    </w:p>
    <w:p w14:paraId="6C24E4D3" w14:textId="44DCE3A6" w:rsidR="00F15E82" w:rsidRPr="00167A1B" w:rsidRDefault="00F15E82" w:rsidP="00F15E82">
      <w:pPr>
        <w:pStyle w:val="BodyText1"/>
        <w:rPr>
          <w:noProof w:val="0"/>
          <w:szCs w:val="22"/>
        </w:rPr>
      </w:pPr>
      <w:r w:rsidRPr="00167A1B">
        <w:rPr>
          <w:noProof w:val="0"/>
          <w:szCs w:val="22"/>
        </w:rPr>
        <w:t xml:space="preserve">USB Type-C offers many advantages over USB micro-B: it is reversible, easier to use, and more robust; and most importantly, it supports up to 100W (up to 20V @ 5A). Apple has not published the Lightning specifications; however, it should be able to carry, at least, up to 20W, which is the power accepted by the iPhone 12. </w:t>
      </w:r>
    </w:p>
    <w:p w14:paraId="5E6B7540" w14:textId="1DF7D919" w:rsidR="00F15E82" w:rsidRPr="00167A1B" w:rsidRDefault="00F15E82" w:rsidP="00F15E82">
      <w:pPr>
        <w:pStyle w:val="Caption"/>
      </w:pPr>
      <w:r w:rsidRPr="00167A1B">
        <w:lastRenderedPageBreak/>
        <w:t xml:space="preserve">Table </w:t>
      </w:r>
      <w:r w:rsidRPr="00167A1B">
        <w:fldChar w:fldCharType="begin"/>
      </w:r>
      <w:r w:rsidRPr="00167A1B">
        <w:instrText>SEQ Table \* ARABIC</w:instrText>
      </w:r>
      <w:r w:rsidRPr="00167A1B">
        <w:fldChar w:fldCharType="separate"/>
      </w:r>
      <w:r w:rsidR="00953106" w:rsidRPr="00167A1B">
        <w:t>3</w:t>
      </w:r>
      <w:r w:rsidRPr="00167A1B">
        <w:fldChar w:fldCharType="end"/>
      </w:r>
      <w:r w:rsidRPr="00167A1B">
        <w:t>. Maximum power and speed for data transfer supported by USB connectors</w:t>
      </w:r>
    </w:p>
    <w:tbl>
      <w:tblPr>
        <w:tblStyle w:val="TableGrid"/>
        <w:tblW w:w="9067" w:type="dxa"/>
        <w:tblLook w:val="04A0" w:firstRow="1" w:lastRow="0" w:firstColumn="1" w:lastColumn="0" w:noHBand="0" w:noVBand="1"/>
      </w:tblPr>
      <w:tblGrid>
        <w:gridCol w:w="1511"/>
        <w:gridCol w:w="1511"/>
        <w:gridCol w:w="1511"/>
        <w:gridCol w:w="1511"/>
        <w:gridCol w:w="1511"/>
        <w:gridCol w:w="1512"/>
      </w:tblGrid>
      <w:tr w:rsidR="00F15E82" w:rsidRPr="00167A1B" w14:paraId="1EBC8C37" w14:textId="77777777" w:rsidTr="008C0CAD">
        <w:trPr>
          <w:cnfStyle w:val="100000000000" w:firstRow="1" w:lastRow="0" w:firstColumn="0" w:lastColumn="0" w:oddVBand="0" w:evenVBand="0" w:oddHBand="0" w:evenHBand="0" w:firstRowFirstColumn="0" w:firstRowLastColumn="0" w:lastRowFirstColumn="0" w:lastRowLastColumn="0"/>
          <w:cantSplit/>
          <w:tblHeader/>
        </w:trPr>
        <w:tc>
          <w:tcPr>
            <w:tcW w:w="1511" w:type="dxa"/>
          </w:tcPr>
          <w:p w14:paraId="5B7E092A" w14:textId="77777777" w:rsidR="00F15E82" w:rsidRPr="00167A1B" w:rsidRDefault="00F15E82" w:rsidP="006B7F15">
            <w:pPr>
              <w:pStyle w:val="Body"/>
              <w:numPr>
                <w:ilvl w:val="0"/>
                <w:numId w:val="28"/>
              </w:numPr>
              <w:jc w:val="left"/>
              <w:rPr>
                <w:rFonts w:ascii="Arial" w:hAnsi="Arial" w:cs="Arial"/>
                <w:b/>
                <w:bCs/>
                <w:lang w:val="en-GB"/>
              </w:rPr>
            </w:pPr>
            <w:r w:rsidRPr="00167A1B">
              <w:rPr>
                <w:rFonts w:ascii="Arial" w:hAnsi="Arial" w:cs="Arial"/>
                <w:b/>
                <w:bCs/>
                <w:lang w:val="en-GB"/>
              </w:rPr>
              <w:t>Type of connector</w:t>
            </w:r>
          </w:p>
        </w:tc>
        <w:tc>
          <w:tcPr>
            <w:tcW w:w="1511" w:type="dxa"/>
          </w:tcPr>
          <w:p w14:paraId="0D328633" w14:textId="77777777" w:rsidR="00F15E82" w:rsidRPr="00167A1B" w:rsidRDefault="00F15E82" w:rsidP="006B7F15">
            <w:pPr>
              <w:pStyle w:val="Body"/>
              <w:numPr>
                <w:ilvl w:val="0"/>
                <w:numId w:val="28"/>
              </w:numPr>
              <w:jc w:val="left"/>
              <w:rPr>
                <w:rFonts w:ascii="Arial" w:hAnsi="Arial" w:cs="Arial"/>
                <w:b/>
                <w:bCs/>
                <w:lang w:val="en-GB"/>
              </w:rPr>
            </w:pPr>
            <w:r w:rsidRPr="00167A1B">
              <w:rPr>
                <w:rFonts w:ascii="Arial" w:hAnsi="Arial" w:cs="Arial"/>
                <w:b/>
                <w:bCs/>
                <w:lang w:val="en-GB"/>
              </w:rPr>
              <w:t>Latest specification connector</w:t>
            </w:r>
          </w:p>
        </w:tc>
        <w:tc>
          <w:tcPr>
            <w:tcW w:w="1511" w:type="dxa"/>
          </w:tcPr>
          <w:p w14:paraId="66530241" w14:textId="77777777" w:rsidR="00F15E82" w:rsidRPr="00167A1B" w:rsidRDefault="00F15E82" w:rsidP="006B7F15">
            <w:pPr>
              <w:pStyle w:val="Body"/>
              <w:numPr>
                <w:ilvl w:val="0"/>
                <w:numId w:val="28"/>
              </w:numPr>
              <w:jc w:val="left"/>
              <w:rPr>
                <w:rFonts w:ascii="Arial" w:hAnsi="Arial" w:cs="Arial"/>
                <w:b/>
                <w:bCs/>
                <w:lang w:val="en-GB"/>
              </w:rPr>
            </w:pPr>
            <w:r w:rsidRPr="00167A1B">
              <w:rPr>
                <w:rFonts w:ascii="Arial" w:hAnsi="Arial" w:cs="Arial"/>
                <w:b/>
                <w:bCs/>
                <w:lang w:val="en-GB"/>
              </w:rPr>
              <w:t>Latest specification it supports (power)</w:t>
            </w:r>
          </w:p>
        </w:tc>
        <w:tc>
          <w:tcPr>
            <w:tcW w:w="1511" w:type="dxa"/>
          </w:tcPr>
          <w:p w14:paraId="198A6C81" w14:textId="77777777" w:rsidR="00F15E82" w:rsidRPr="00167A1B" w:rsidRDefault="00F15E82" w:rsidP="006B7F15">
            <w:pPr>
              <w:pStyle w:val="Body"/>
              <w:numPr>
                <w:ilvl w:val="0"/>
                <w:numId w:val="28"/>
              </w:numPr>
              <w:jc w:val="left"/>
              <w:rPr>
                <w:rFonts w:ascii="Arial" w:hAnsi="Arial" w:cs="Arial"/>
                <w:b/>
                <w:bCs/>
                <w:lang w:val="en-GB"/>
              </w:rPr>
            </w:pPr>
            <w:r w:rsidRPr="00167A1B">
              <w:rPr>
                <w:rFonts w:ascii="Arial" w:hAnsi="Arial" w:cs="Arial"/>
                <w:b/>
                <w:bCs/>
                <w:lang w:val="en-GB"/>
              </w:rPr>
              <w:t>Latest specification it supports (data transfer)</w:t>
            </w:r>
          </w:p>
        </w:tc>
        <w:tc>
          <w:tcPr>
            <w:tcW w:w="1511" w:type="dxa"/>
          </w:tcPr>
          <w:p w14:paraId="6E715220" w14:textId="77777777" w:rsidR="00F15E82" w:rsidRPr="00167A1B" w:rsidRDefault="00F15E82" w:rsidP="006B7F15">
            <w:pPr>
              <w:pStyle w:val="Body"/>
              <w:numPr>
                <w:ilvl w:val="0"/>
                <w:numId w:val="28"/>
              </w:numPr>
              <w:jc w:val="left"/>
              <w:rPr>
                <w:rFonts w:ascii="Arial" w:hAnsi="Arial" w:cs="Arial"/>
                <w:b/>
                <w:bCs/>
                <w:lang w:val="en-GB"/>
              </w:rPr>
            </w:pPr>
            <w:r w:rsidRPr="00167A1B">
              <w:rPr>
                <w:rFonts w:ascii="Arial" w:hAnsi="Arial" w:cs="Arial"/>
                <w:b/>
                <w:bCs/>
                <w:lang w:val="en-GB"/>
              </w:rPr>
              <w:t>Max Power</w:t>
            </w:r>
          </w:p>
        </w:tc>
        <w:tc>
          <w:tcPr>
            <w:tcW w:w="1512" w:type="dxa"/>
          </w:tcPr>
          <w:p w14:paraId="0C68777C" w14:textId="77777777" w:rsidR="00F15E82" w:rsidRPr="00167A1B" w:rsidRDefault="00F15E82" w:rsidP="006B7F15">
            <w:pPr>
              <w:pStyle w:val="Body"/>
              <w:numPr>
                <w:ilvl w:val="0"/>
                <w:numId w:val="28"/>
              </w:numPr>
              <w:jc w:val="left"/>
              <w:rPr>
                <w:rFonts w:ascii="Arial" w:hAnsi="Arial" w:cs="Arial"/>
                <w:b/>
                <w:bCs/>
                <w:lang w:val="en-GB"/>
              </w:rPr>
            </w:pPr>
            <w:r w:rsidRPr="00167A1B">
              <w:rPr>
                <w:rFonts w:ascii="Arial" w:hAnsi="Arial" w:cs="Arial"/>
                <w:b/>
                <w:bCs/>
                <w:lang w:val="en-GB"/>
              </w:rPr>
              <w:t>Max data transfer</w:t>
            </w:r>
          </w:p>
        </w:tc>
      </w:tr>
      <w:tr w:rsidR="00F15E82" w:rsidRPr="00167A1B" w14:paraId="4817AC8E" w14:textId="77777777" w:rsidTr="007B22CF">
        <w:tc>
          <w:tcPr>
            <w:tcW w:w="1511" w:type="dxa"/>
          </w:tcPr>
          <w:p w14:paraId="425BEE5A" w14:textId="77777777" w:rsidR="00F15E82" w:rsidRPr="00167A1B" w:rsidRDefault="00F15E82" w:rsidP="006B7F15">
            <w:pPr>
              <w:pStyle w:val="Body"/>
              <w:numPr>
                <w:ilvl w:val="0"/>
                <w:numId w:val="28"/>
              </w:numPr>
              <w:jc w:val="left"/>
              <w:rPr>
                <w:rFonts w:ascii="Arial" w:hAnsi="Arial" w:cs="Arial"/>
                <w:b/>
                <w:bCs/>
                <w:lang w:val="en-GB"/>
              </w:rPr>
            </w:pPr>
            <w:r w:rsidRPr="00167A1B">
              <w:rPr>
                <w:rFonts w:ascii="Arial" w:hAnsi="Arial" w:cs="Arial"/>
                <w:b/>
                <w:bCs/>
                <w:lang w:val="en-GB"/>
              </w:rPr>
              <w:t>USB micro-B</w:t>
            </w:r>
          </w:p>
        </w:tc>
        <w:tc>
          <w:tcPr>
            <w:tcW w:w="1511" w:type="dxa"/>
          </w:tcPr>
          <w:p w14:paraId="5BD3BA66" w14:textId="77777777" w:rsidR="00F15E82" w:rsidRPr="00167A1B" w:rsidRDefault="00F15E82" w:rsidP="006B7F15">
            <w:pPr>
              <w:pStyle w:val="Body"/>
              <w:numPr>
                <w:ilvl w:val="0"/>
                <w:numId w:val="28"/>
              </w:numPr>
              <w:jc w:val="left"/>
              <w:rPr>
                <w:rFonts w:ascii="Arial" w:hAnsi="Arial" w:cs="Arial"/>
                <w:lang w:val="en-GB"/>
              </w:rPr>
            </w:pPr>
            <w:r w:rsidRPr="00167A1B">
              <w:rPr>
                <w:rFonts w:ascii="Arial" w:hAnsi="Arial" w:cs="Arial"/>
                <w:lang w:val="en-GB"/>
              </w:rPr>
              <w:t>USB 3.1 Micro-B</w:t>
            </w:r>
          </w:p>
        </w:tc>
        <w:tc>
          <w:tcPr>
            <w:tcW w:w="1511" w:type="dxa"/>
          </w:tcPr>
          <w:p w14:paraId="64A2D4BC" w14:textId="77777777" w:rsidR="00F15E82" w:rsidRPr="00167A1B" w:rsidRDefault="00F15E82" w:rsidP="006B7F15">
            <w:pPr>
              <w:pStyle w:val="Body"/>
              <w:numPr>
                <w:ilvl w:val="0"/>
                <w:numId w:val="28"/>
              </w:numPr>
              <w:jc w:val="left"/>
              <w:rPr>
                <w:rFonts w:ascii="Arial" w:hAnsi="Arial" w:cs="Arial"/>
                <w:lang w:val="en-GB"/>
              </w:rPr>
            </w:pPr>
            <w:r w:rsidRPr="00167A1B">
              <w:rPr>
                <w:rFonts w:ascii="Arial" w:hAnsi="Arial" w:cs="Arial"/>
                <w:lang w:val="en-GB"/>
              </w:rPr>
              <w:t>IEC 62684</w:t>
            </w:r>
          </w:p>
        </w:tc>
        <w:tc>
          <w:tcPr>
            <w:tcW w:w="1511" w:type="dxa"/>
          </w:tcPr>
          <w:p w14:paraId="55C82FE6" w14:textId="77777777" w:rsidR="00F15E82" w:rsidRPr="00167A1B" w:rsidRDefault="00F15E82" w:rsidP="006B7F15">
            <w:pPr>
              <w:pStyle w:val="Body"/>
              <w:numPr>
                <w:ilvl w:val="0"/>
                <w:numId w:val="28"/>
              </w:numPr>
              <w:jc w:val="left"/>
              <w:rPr>
                <w:rFonts w:ascii="Arial" w:hAnsi="Arial" w:cs="Arial"/>
                <w:lang w:val="en-GB"/>
              </w:rPr>
            </w:pPr>
            <w:r w:rsidRPr="00167A1B">
              <w:rPr>
                <w:rFonts w:ascii="Arial" w:hAnsi="Arial" w:cs="Arial"/>
                <w:lang w:val="en-GB"/>
              </w:rPr>
              <w:t>USB 2.0</w:t>
            </w:r>
          </w:p>
        </w:tc>
        <w:tc>
          <w:tcPr>
            <w:tcW w:w="1511" w:type="dxa"/>
          </w:tcPr>
          <w:p w14:paraId="7BE27134" w14:textId="77777777" w:rsidR="00F15E82" w:rsidRPr="00167A1B" w:rsidRDefault="00F15E82" w:rsidP="006B7F15">
            <w:pPr>
              <w:pStyle w:val="Body"/>
              <w:numPr>
                <w:ilvl w:val="0"/>
                <w:numId w:val="28"/>
              </w:numPr>
              <w:jc w:val="left"/>
              <w:rPr>
                <w:rFonts w:ascii="Arial" w:hAnsi="Arial" w:cs="Arial"/>
                <w:lang w:val="en-GB"/>
              </w:rPr>
            </w:pPr>
            <w:r w:rsidRPr="00167A1B">
              <w:rPr>
                <w:rFonts w:ascii="Arial" w:hAnsi="Arial" w:cs="Arial"/>
                <w:lang w:val="en-GB"/>
              </w:rPr>
              <w:t>7.5 W</w:t>
            </w:r>
          </w:p>
        </w:tc>
        <w:tc>
          <w:tcPr>
            <w:tcW w:w="1512" w:type="dxa"/>
          </w:tcPr>
          <w:p w14:paraId="391DD240" w14:textId="77777777" w:rsidR="00F15E82" w:rsidRPr="00167A1B" w:rsidRDefault="00F15E82" w:rsidP="006B7F15">
            <w:pPr>
              <w:pStyle w:val="Body"/>
              <w:numPr>
                <w:ilvl w:val="0"/>
                <w:numId w:val="28"/>
              </w:numPr>
              <w:jc w:val="left"/>
              <w:rPr>
                <w:rFonts w:ascii="Arial" w:hAnsi="Arial" w:cs="Arial"/>
                <w:lang w:val="en-GB"/>
              </w:rPr>
            </w:pPr>
            <w:r w:rsidRPr="00167A1B">
              <w:rPr>
                <w:rFonts w:ascii="Arial" w:hAnsi="Arial" w:cs="Arial"/>
                <w:lang w:val="en-GB"/>
              </w:rPr>
              <w:t>480 Mbps</w:t>
            </w:r>
          </w:p>
        </w:tc>
      </w:tr>
      <w:tr w:rsidR="00F15E82" w:rsidRPr="00167A1B" w14:paraId="75D6349D" w14:textId="77777777" w:rsidTr="007B22CF">
        <w:tc>
          <w:tcPr>
            <w:tcW w:w="1511" w:type="dxa"/>
          </w:tcPr>
          <w:p w14:paraId="4F438C1E" w14:textId="77777777" w:rsidR="00F15E82" w:rsidRPr="00167A1B" w:rsidRDefault="00F15E82" w:rsidP="006B7F15">
            <w:pPr>
              <w:pStyle w:val="Body"/>
              <w:numPr>
                <w:ilvl w:val="0"/>
                <w:numId w:val="28"/>
              </w:numPr>
              <w:jc w:val="left"/>
              <w:rPr>
                <w:rFonts w:ascii="Arial" w:hAnsi="Arial" w:cs="Arial"/>
                <w:b/>
                <w:bCs/>
                <w:lang w:val="en-GB"/>
              </w:rPr>
            </w:pPr>
            <w:r w:rsidRPr="00167A1B">
              <w:rPr>
                <w:rFonts w:ascii="Arial" w:hAnsi="Arial" w:cs="Arial"/>
                <w:b/>
                <w:bCs/>
                <w:lang w:val="en-GB"/>
              </w:rPr>
              <w:t>USC Type-C</w:t>
            </w:r>
          </w:p>
        </w:tc>
        <w:tc>
          <w:tcPr>
            <w:tcW w:w="1511" w:type="dxa"/>
          </w:tcPr>
          <w:p w14:paraId="6D632E24" w14:textId="77777777" w:rsidR="00F15E82" w:rsidRPr="00167A1B" w:rsidRDefault="00F15E82" w:rsidP="006B7F15">
            <w:pPr>
              <w:pStyle w:val="Body"/>
              <w:numPr>
                <w:ilvl w:val="0"/>
                <w:numId w:val="28"/>
              </w:numPr>
              <w:jc w:val="left"/>
              <w:rPr>
                <w:rFonts w:ascii="Arial" w:hAnsi="Arial" w:cs="Arial"/>
                <w:lang w:val="en-GB"/>
              </w:rPr>
            </w:pPr>
            <w:r w:rsidRPr="00167A1B">
              <w:rPr>
                <w:rFonts w:ascii="Arial" w:hAnsi="Arial" w:cs="Arial"/>
                <w:lang w:val="en-GB"/>
              </w:rPr>
              <w:t>IEC 62680-1-3</w:t>
            </w:r>
          </w:p>
        </w:tc>
        <w:tc>
          <w:tcPr>
            <w:tcW w:w="1511" w:type="dxa"/>
          </w:tcPr>
          <w:p w14:paraId="10EE13B7" w14:textId="77777777" w:rsidR="00F15E82" w:rsidRPr="00167A1B" w:rsidRDefault="00F15E82" w:rsidP="006B7F15">
            <w:pPr>
              <w:pStyle w:val="Body"/>
              <w:numPr>
                <w:ilvl w:val="0"/>
                <w:numId w:val="28"/>
              </w:numPr>
              <w:jc w:val="left"/>
              <w:rPr>
                <w:rFonts w:ascii="Arial" w:hAnsi="Arial" w:cs="Arial"/>
                <w:lang w:val="en-GB"/>
              </w:rPr>
            </w:pPr>
            <w:r w:rsidRPr="00167A1B">
              <w:rPr>
                <w:rFonts w:ascii="Arial" w:hAnsi="Arial" w:cs="Arial"/>
                <w:lang w:val="en-GB"/>
              </w:rPr>
              <w:t>USB PD (IEC 62680-1-2)</w:t>
            </w:r>
          </w:p>
        </w:tc>
        <w:tc>
          <w:tcPr>
            <w:tcW w:w="1511" w:type="dxa"/>
          </w:tcPr>
          <w:p w14:paraId="1877180B" w14:textId="77777777" w:rsidR="00F15E82" w:rsidRPr="00167A1B" w:rsidRDefault="00F15E82" w:rsidP="006B7F15">
            <w:pPr>
              <w:pStyle w:val="Body"/>
              <w:numPr>
                <w:ilvl w:val="0"/>
                <w:numId w:val="28"/>
              </w:numPr>
              <w:jc w:val="left"/>
              <w:rPr>
                <w:rFonts w:ascii="Arial" w:hAnsi="Arial" w:cs="Arial"/>
                <w:lang w:val="en-GB"/>
              </w:rPr>
            </w:pPr>
            <w:r w:rsidRPr="00167A1B">
              <w:rPr>
                <w:rFonts w:ascii="Arial" w:hAnsi="Arial" w:cs="Arial"/>
                <w:lang w:val="en-GB"/>
              </w:rPr>
              <w:t>USB 4</w:t>
            </w:r>
          </w:p>
        </w:tc>
        <w:tc>
          <w:tcPr>
            <w:tcW w:w="1511" w:type="dxa"/>
          </w:tcPr>
          <w:p w14:paraId="2BE21931" w14:textId="77777777" w:rsidR="00F15E82" w:rsidRPr="00167A1B" w:rsidRDefault="00F15E82" w:rsidP="006B7F15">
            <w:pPr>
              <w:pStyle w:val="Body"/>
              <w:numPr>
                <w:ilvl w:val="0"/>
                <w:numId w:val="28"/>
              </w:numPr>
              <w:jc w:val="left"/>
              <w:rPr>
                <w:rFonts w:ascii="Arial" w:hAnsi="Arial" w:cs="Arial"/>
                <w:lang w:val="en-GB"/>
              </w:rPr>
            </w:pPr>
            <w:r w:rsidRPr="00167A1B">
              <w:rPr>
                <w:rFonts w:ascii="Arial" w:hAnsi="Arial" w:cs="Arial"/>
                <w:lang w:val="en-GB"/>
              </w:rPr>
              <w:t>100W</w:t>
            </w:r>
          </w:p>
        </w:tc>
        <w:tc>
          <w:tcPr>
            <w:tcW w:w="1512" w:type="dxa"/>
          </w:tcPr>
          <w:p w14:paraId="1BED3350" w14:textId="77777777" w:rsidR="00F15E82" w:rsidRPr="00167A1B" w:rsidRDefault="00F15E82" w:rsidP="006B7F15">
            <w:pPr>
              <w:pStyle w:val="Body"/>
              <w:numPr>
                <w:ilvl w:val="0"/>
                <w:numId w:val="28"/>
              </w:numPr>
              <w:jc w:val="left"/>
              <w:rPr>
                <w:rFonts w:ascii="Arial" w:hAnsi="Arial" w:cs="Arial"/>
                <w:lang w:val="en-GB"/>
              </w:rPr>
            </w:pPr>
            <w:r w:rsidRPr="00167A1B">
              <w:rPr>
                <w:rFonts w:ascii="Arial" w:hAnsi="Arial" w:cs="Arial"/>
                <w:lang w:val="en-GB"/>
              </w:rPr>
              <w:t>40 Gbps</w:t>
            </w:r>
          </w:p>
        </w:tc>
      </w:tr>
    </w:tbl>
    <w:p w14:paraId="35AD5FD9" w14:textId="77777777" w:rsidR="00F15E82" w:rsidRPr="00167A1B" w:rsidRDefault="00F15E82" w:rsidP="00F15E82">
      <w:pPr>
        <w:pStyle w:val="04ABodyText"/>
        <w:numPr>
          <w:ilvl w:val="0"/>
          <w:numId w:val="0"/>
        </w:numPr>
      </w:pPr>
    </w:p>
    <w:p w14:paraId="5742E890" w14:textId="597DBFE6" w:rsidR="00F15E82" w:rsidRPr="00167A1B" w:rsidRDefault="00F15E82" w:rsidP="00F15E82">
      <w:pPr>
        <w:pStyle w:val="BodyText1"/>
        <w:rPr>
          <w:rFonts w:cs="Arial"/>
          <w:noProof w:val="0"/>
          <w:szCs w:val="22"/>
        </w:rPr>
      </w:pPr>
      <w:r w:rsidRPr="00167A1B">
        <w:rPr>
          <w:rFonts w:cs="Arial"/>
          <w:noProof w:val="0"/>
          <w:szCs w:val="22"/>
        </w:rPr>
        <w:t>Apple claims it continues to use Lightning for two main reasons: it provides backwards compatibility with their own devices; it is smaller than USB Type-C, which allows iPhones to be thinner than if they had to incorporate USB Type C. In addition, it seems clear that the sale of accessories that are compatible with Lightning generates profits.</w:t>
      </w:r>
      <w:r w:rsidRPr="00167A1B">
        <w:rPr>
          <w:rStyle w:val="FootnoteReference"/>
          <w:rFonts w:ascii="Arial" w:hAnsi="Arial" w:cs="Arial"/>
          <w:noProof w:val="0"/>
          <w:sz w:val="22"/>
          <w:szCs w:val="22"/>
        </w:rPr>
        <w:footnoteReference w:id="21"/>
      </w:r>
    </w:p>
    <w:p w14:paraId="188AAF40" w14:textId="74AAD551" w:rsidR="004D5502" w:rsidRPr="00167A1B" w:rsidRDefault="004D5502" w:rsidP="004D5502">
      <w:pPr>
        <w:pStyle w:val="Subtitle10"/>
        <w:rPr>
          <w:noProof w:val="0"/>
        </w:rPr>
      </w:pPr>
      <w:r w:rsidRPr="00167A1B">
        <w:rPr>
          <w:noProof w:val="0"/>
        </w:rPr>
        <w:t xml:space="preserve">Proprietary charging solutions (battery charging protocols) exist as manufacturers seek competitive advantage and commercial benefits </w:t>
      </w:r>
    </w:p>
    <w:p w14:paraId="3CE0C942" w14:textId="77777777" w:rsidR="00F15E82" w:rsidRPr="00167A1B" w:rsidRDefault="00F15E82" w:rsidP="00F15E82">
      <w:pPr>
        <w:pStyle w:val="BodyText1"/>
        <w:rPr>
          <w:rFonts w:cs="Arial"/>
          <w:noProof w:val="0"/>
          <w:szCs w:val="22"/>
        </w:rPr>
      </w:pPr>
      <w:r w:rsidRPr="00167A1B">
        <w:rPr>
          <w:rFonts w:cs="Arial"/>
          <w:noProof w:val="0"/>
          <w:szCs w:val="22"/>
        </w:rPr>
        <w:t>Proprietary charging solutions also exist in the battery charging protocol, i.e. the communication between the source (the EPS) and the sink (the device being charged). Until relatively recently, EPS mainly adhered to the standard IEC 62684, which was originally published in 2011 (pursuant to the 2009 MoU) and was last updated in 2018. The IEC 62684 standard defines the interoperability of the ‘common’ EPS for use with data-enabled smartphones and allows a maximum power of 7.5W, based on a 5V voltage and a 1.5A current. The other standard followed by manufacturers was the USB Battery Charging (BC) specification (IEC 62680-1-1), released in 2007 and revised in 2015 (Revision 1.2).</w:t>
      </w:r>
    </w:p>
    <w:p w14:paraId="1695C6DD" w14:textId="498587EE" w:rsidR="00F15E82" w:rsidRPr="00167A1B" w:rsidRDefault="00F15E82" w:rsidP="00F15E82">
      <w:pPr>
        <w:pStyle w:val="BodyText1"/>
        <w:rPr>
          <w:rFonts w:cs="Arial"/>
          <w:noProof w:val="0"/>
          <w:szCs w:val="22"/>
        </w:rPr>
      </w:pPr>
      <w:r w:rsidRPr="00167A1B">
        <w:rPr>
          <w:rFonts w:cs="Arial"/>
          <w:noProof w:val="0"/>
          <w:szCs w:val="22"/>
        </w:rPr>
        <w:t xml:space="preserve">As technology evolved and smartphones required higher power than 7.5W (the maximum power allowed by the IEC 62684), new technologies emerged to cover this need. For example, in 2013 Qualcomm released Quick Charge 2.0, which provided a maximum power of 18W by increasing the current and the voltage of the charger. Since then, Qualcomm has released Quick Charge 3, 4, 4+ and 5. </w:t>
      </w:r>
    </w:p>
    <w:p w14:paraId="0AFAD69E" w14:textId="09E557BA" w:rsidR="00F15E82" w:rsidRPr="00167A1B" w:rsidRDefault="00F15E82" w:rsidP="00F15E82">
      <w:pPr>
        <w:pStyle w:val="BodyText1"/>
        <w:rPr>
          <w:rFonts w:cs="Arial"/>
          <w:noProof w:val="0"/>
          <w:szCs w:val="22"/>
        </w:rPr>
      </w:pPr>
      <w:r w:rsidRPr="00167A1B">
        <w:rPr>
          <w:rFonts w:cs="Arial"/>
          <w:noProof w:val="0"/>
          <w:szCs w:val="22"/>
        </w:rPr>
        <w:t>In parallel, the USB Promoter Group, formed by members of UBS-IF</w:t>
      </w:r>
      <w:r w:rsidRPr="00167A1B">
        <w:rPr>
          <w:rStyle w:val="FootnoteReference"/>
          <w:rFonts w:ascii="Arial" w:hAnsi="Arial" w:cs="Arial"/>
          <w:noProof w:val="0"/>
          <w:sz w:val="22"/>
          <w:szCs w:val="22"/>
        </w:rPr>
        <w:footnoteReference w:id="22"/>
      </w:r>
      <w:r w:rsidRPr="00167A1B">
        <w:rPr>
          <w:rFonts w:cs="Arial"/>
          <w:noProof w:val="0"/>
          <w:szCs w:val="22"/>
        </w:rPr>
        <w:t>, was working to develop new battery charging specifications. In 2013 it set a cooperation agreement with IEC to support global recognition and adoption of USB technologies in international and regional standards and regulatory policies. As a result of the work carried out by the USB Promoter Group and USB-IF, IEC started publishing in 2015 the standard series IEC 62680.</w:t>
      </w:r>
      <w:r w:rsidRPr="00167A1B">
        <w:rPr>
          <w:rStyle w:val="FootnoteReference"/>
          <w:rFonts w:cs="Arial"/>
          <w:noProof w:val="0"/>
          <w:sz w:val="22"/>
          <w:szCs w:val="22"/>
        </w:rPr>
        <w:footnoteReference w:id="23"/>
      </w:r>
      <w:r w:rsidRPr="00167A1B">
        <w:rPr>
          <w:rFonts w:cs="Arial"/>
          <w:noProof w:val="0"/>
          <w:szCs w:val="22"/>
        </w:rPr>
        <w:t xml:space="preserve"> This standard series set the specifications for, </w:t>
      </w:r>
      <w:r w:rsidRPr="00167A1B">
        <w:rPr>
          <w:rFonts w:cs="Arial"/>
          <w:i/>
          <w:iCs/>
          <w:noProof w:val="0"/>
          <w:szCs w:val="22"/>
        </w:rPr>
        <w:t>inter alia</w:t>
      </w:r>
      <w:r w:rsidRPr="00167A1B">
        <w:rPr>
          <w:rFonts w:cs="Arial"/>
          <w:noProof w:val="0"/>
          <w:szCs w:val="22"/>
        </w:rPr>
        <w:t xml:space="preserve">, USB Power Delivery (IEC 62680-1-2) and USB Type C (IEC 62680-1-3). </w:t>
      </w:r>
    </w:p>
    <w:p w14:paraId="54082611" w14:textId="2AFEBEAA" w:rsidR="00F15E82" w:rsidRPr="00167A1B" w:rsidRDefault="00F15E82" w:rsidP="00F15E82">
      <w:pPr>
        <w:pStyle w:val="BodyText1"/>
        <w:rPr>
          <w:rFonts w:cs="Arial"/>
          <w:noProof w:val="0"/>
          <w:szCs w:val="22"/>
        </w:rPr>
      </w:pPr>
      <w:r w:rsidRPr="00167A1B">
        <w:rPr>
          <w:rFonts w:cs="Arial"/>
          <w:noProof w:val="0"/>
          <w:szCs w:val="22"/>
        </w:rPr>
        <w:t xml:space="preserve">The USB Power Delivery (PD) specification describes the architecture and protocols to connect the battery charger and the device to be charged (e.g. a smartphone). During this communication, the optimum charging voltage and current are determined to deliver power up to 100W. Some mobile phone manufacturers are already incorporating USB PD in their devices, such as Apple, Google, and Samsung. For more information on the technical specifications of USB PD, see Annex </w:t>
      </w:r>
      <w:r w:rsidR="005C02B0" w:rsidRPr="00167A1B">
        <w:rPr>
          <w:rFonts w:cs="Arial"/>
          <w:noProof w:val="0"/>
          <w:szCs w:val="22"/>
        </w:rPr>
        <w:t>B</w:t>
      </w:r>
      <w:r w:rsidR="004D5502" w:rsidRPr="00167A1B">
        <w:rPr>
          <w:rFonts w:cs="Arial"/>
          <w:noProof w:val="0"/>
          <w:szCs w:val="22"/>
        </w:rPr>
        <w:t xml:space="preserve"> </w:t>
      </w:r>
      <w:r w:rsidR="008C0CAD" w:rsidRPr="00167A1B">
        <w:rPr>
          <w:rFonts w:cs="Arial"/>
          <w:noProof w:val="0"/>
          <w:szCs w:val="22"/>
        </w:rPr>
        <w:t>(</w:t>
      </w:r>
      <w:r w:rsidR="004D5502" w:rsidRPr="00167A1B">
        <w:rPr>
          <w:rFonts w:cs="Arial"/>
          <w:noProof w:val="0"/>
          <w:szCs w:val="22"/>
        </w:rPr>
        <w:t>pages 8-12</w:t>
      </w:r>
      <w:r w:rsidR="008C0CAD" w:rsidRPr="00167A1B">
        <w:rPr>
          <w:rFonts w:cs="Arial"/>
          <w:noProof w:val="0"/>
          <w:szCs w:val="22"/>
        </w:rPr>
        <w:t>)</w:t>
      </w:r>
      <w:r w:rsidRPr="00167A1B">
        <w:rPr>
          <w:rFonts w:cs="Arial"/>
          <w:noProof w:val="0"/>
          <w:szCs w:val="22"/>
        </w:rPr>
        <w:t>.</w:t>
      </w:r>
    </w:p>
    <w:p w14:paraId="57A93CA1" w14:textId="561BC465" w:rsidR="00F15E82" w:rsidRPr="00167A1B" w:rsidRDefault="00F15E82" w:rsidP="00F15E82">
      <w:pPr>
        <w:pStyle w:val="BodyText1"/>
        <w:rPr>
          <w:rFonts w:cs="Arial"/>
          <w:noProof w:val="0"/>
          <w:szCs w:val="22"/>
        </w:rPr>
      </w:pPr>
      <w:r w:rsidRPr="00167A1B">
        <w:rPr>
          <w:rFonts w:cs="Arial"/>
          <w:noProof w:val="0"/>
          <w:szCs w:val="22"/>
        </w:rPr>
        <w:t xml:space="preserve">The USB Type-C specification is intended as a supplement to the existing USB 2.0, USB 3.1 and USB PD specifications. It defines the USB Type-C receptacles, plugs and cable </w:t>
      </w:r>
      <w:r w:rsidRPr="00167A1B">
        <w:rPr>
          <w:rFonts w:cs="Arial"/>
          <w:noProof w:val="0"/>
          <w:szCs w:val="22"/>
        </w:rPr>
        <w:lastRenderedPageBreak/>
        <w:t>assemblies. This specification also sets charging requirements up to 15 W, and specifies the use of USB PD if the charge exceeds 15 W.</w:t>
      </w:r>
    </w:p>
    <w:p w14:paraId="1287E041" w14:textId="77777777" w:rsidR="00F15E82" w:rsidRPr="00167A1B" w:rsidRDefault="00F15E82" w:rsidP="00F15E82">
      <w:pPr>
        <w:pStyle w:val="BodyText1"/>
        <w:rPr>
          <w:rFonts w:cs="Arial"/>
          <w:noProof w:val="0"/>
          <w:szCs w:val="22"/>
        </w:rPr>
      </w:pPr>
      <w:r w:rsidRPr="00167A1B">
        <w:rPr>
          <w:rFonts w:cs="Arial"/>
          <w:noProof w:val="0"/>
          <w:szCs w:val="22"/>
        </w:rPr>
        <w:t xml:space="preserve">Interoperability of the “USB family” is defined by the standard IEC 63002, which was first released in 2016 and it is currently being updated (publication expected in May 2021). </w:t>
      </w:r>
    </w:p>
    <w:p w14:paraId="01B2E972" w14:textId="77777777" w:rsidR="00F15E82" w:rsidRPr="00167A1B" w:rsidRDefault="00F15E82" w:rsidP="00F15E82">
      <w:pPr>
        <w:pStyle w:val="BodyText1"/>
        <w:rPr>
          <w:rFonts w:cs="Arial"/>
          <w:noProof w:val="0"/>
          <w:szCs w:val="22"/>
        </w:rPr>
      </w:pPr>
      <w:r w:rsidRPr="00167A1B">
        <w:rPr>
          <w:rFonts w:cs="Arial"/>
          <w:noProof w:val="0"/>
          <w:szCs w:val="22"/>
        </w:rPr>
        <w:t xml:space="preserve">The latest versions of Quick Charge (4, 4+ and 5) include USB PD. Quick Charge is available in EPS and is an optional feature of the Snapdragon System on a Chip (SoC) for mobile phones and tablets. According to Qualcomm’s website, Quick Charge may charge a device from 0 to 50% in five minutes. There are </w:t>
      </w:r>
      <w:proofErr w:type="gramStart"/>
      <w:r w:rsidRPr="00167A1B">
        <w:rPr>
          <w:rFonts w:cs="Arial"/>
          <w:noProof w:val="0"/>
          <w:szCs w:val="22"/>
        </w:rPr>
        <w:t>a number of</w:t>
      </w:r>
      <w:proofErr w:type="gramEnd"/>
      <w:r w:rsidRPr="00167A1B">
        <w:rPr>
          <w:rFonts w:cs="Arial"/>
          <w:noProof w:val="0"/>
          <w:szCs w:val="22"/>
        </w:rPr>
        <w:t xml:space="preserve"> smartphones using QC from manufacturers such as BQ, HTC, Lenovo, LG, Nokia, Redmi, Xiaomi, and Sony. </w:t>
      </w:r>
    </w:p>
    <w:p w14:paraId="47B266FF" w14:textId="024A2C6A" w:rsidR="00F15E82" w:rsidRPr="00167A1B" w:rsidRDefault="00F15E82" w:rsidP="00F15E82">
      <w:pPr>
        <w:pStyle w:val="BodyText1"/>
        <w:rPr>
          <w:rFonts w:cs="Arial"/>
          <w:noProof w:val="0"/>
          <w:szCs w:val="22"/>
        </w:rPr>
      </w:pPr>
      <w:r w:rsidRPr="00167A1B">
        <w:rPr>
          <w:rFonts w:cs="Arial"/>
          <w:noProof w:val="0"/>
          <w:szCs w:val="22"/>
        </w:rPr>
        <w:t>Other proprietary charging protocols include Huawei’s SuperCharge and Oppo’s VOOC. These protocols provide fast charge by increasing the current (which with USB PD is limited to max. 5 A). However, it is important to note that Huawei and Oppo phones incorporate both charging protocols: USB PD and the proprietary charging protocol, meaning that their phones can be fast charged with any type EPS (either proprietary or standard USB PD). The Huawei and Oppo EPS, however, only include the proprietary technology, falling back to the more basic USB BC when connected to other devices (i.e. providing up to 7.5W of charge).</w:t>
      </w:r>
    </w:p>
    <w:p w14:paraId="22262167" w14:textId="40F23C1D" w:rsidR="00F15E82" w:rsidRPr="00167A1B" w:rsidRDefault="00F15E82" w:rsidP="00F15E82">
      <w:pPr>
        <w:pStyle w:val="BodyText1"/>
        <w:rPr>
          <w:rFonts w:cs="Arial"/>
          <w:noProof w:val="0"/>
          <w:szCs w:val="22"/>
        </w:rPr>
      </w:pPr>
      <w:r w:rsidRPr="00167A1B">
        <w:rPr>
          <w:rFonts w:cs="Arial"/>
          <w:noProof w:val="0"/>
          <w:szCs w:val="22"/>
        </w:rPr>
        <w:t>According to information provided by industry representatives interviewed, some proprietary solutions are more energy-efficient than USB PD.</w:t>
      </w:r>
      <w:r w:rsidRPr="00167A1B">
        <w:rPr>
          <w:rStyle w:val="FootnoteReference"/>
          <w:rFonts w:ascii="Arial" w:hAnsi="Arial" w:cs="Arial"/>
          <w:noProof w:val="0"/>
          <w:sz w:val="22"/>
          <w:szCs w:val="22"/>
        </w:rPr>
        <w:footnoteReference w:id="24"/>
      </w:r>
      <w:r w:rsidRPr="00167A1B">
        <w:rPr>
          <w:rFonts w:cs="Arial"/>
          <w:noProof w:val="0"/>
          <w:szCs w:val="22"/>
        </w:rPr>
        <w:t xml:space="preserve"> Interviewees also noted that proprietary solutions are safe (apply several levels of control to ensure the </w:t>
      </w:r>
      <w:r w:rsidR="00167A1B" w:rsidRPr="00167A1B">
        <w:rPr>
          <w:rFonts w:cs="Arial"/>
          <w:noProof w:val="0"/>
          <w:szCs w:val="22"/>
        </w:rPr>
        <w:t>temperature</w:t>
      </w:r>
      <w:r w:rsidRPr="00167A1B">
        <w:rPr>
          <w:rFonts w:cs="Arial"/>
          <w:noProof w:val="0"/>
          <w:szCs w:val="22"/>
        </w:rPr>
        <w:t xml:space="preserve"> stays low), charge phones quickly, and the production cost is lower than if they used USB PD. </w:t>
      </w:r>
    </w:p>
    <w:p w14:paraId="2BDC31F4" w14:textId="77777777" w:rsidR="00F15E82" w:rsidRPr="00167A1B" w:rsidRDefault="00F15E82" w:rsidP="00F15E82">
      <w:pPr>
        <w:pStyle w:val="BodyText1"/>
        <w:rPr>
          <w:rFonts w:cs="Arial"/>
          <w:noProof w:val="0"/>
          <w:szCs w:val="22"/>
        </w:rPr>
      </w:pPr>
      <w:r w:rsidRPr="00167A1B">
        <w:rPr>
          <w:rFonts w:cs="Arial"/>
          <w:noProof w:val="0"/>
          <w:szCs w:val="22"/>
        </w:rPr>
        <w:t>Proprietary fast charging solutions may also be a source of competitive advantage. These manufacturers generally include in the box EPS and cables that provide high wattage to allow the fast charge advertised. For instance, the Huawei Mate 40 Pro includes the Huawei Supercharge EPS (66W). With this charger, it can be fully charged in 49 minutes.</w:t>
      </w:r>
      <w:r w:rsidRPr="00167A1B">
        <w:rPr>
          <w:rStyle w:val="FootnoteReference"/>
          <w:rFonts w:cs="Arial"/>
          <w:noProof w:val="0"/>
          <w:sz w:val="22"/>
          <w:szCs w:val="22"/>
        </w:rPr>
        <w:footnoteReference w:id="25"/>
      </w:r>
      <w:r w:rsidRPr="00167A1B">
        <w:rPr>
          <w:rFonts w:cs="Arial"/>
          <w:noProof w:val="0"/>
          <w:szCs w:val="22"/>
        </w:rPr>
        <w:t xml:space="preserve"> For comparison, the EPS included in the box with some Samsung and Apple phones before they started selling phones without chargers was a standard EPS. To enjoy fast charging, consumers had to buy an additional charger. It takes over one hour and a half (100 min) to charge an iPhone SE or an iPhone12 Pro with Apple’s recommended charger,</w:t>
      </w:r>
      <w:r w:rsidRPr="00167A1B">
        <w:rPr>
          <w:rStyle w:val="FootnoteReference"/>
          <w:rFonts w:cs="Arial"/>
          <w:noProof w:val="0"/>
          <w:sz w:val="22"/>
          <w:szCs w:val="22"/>
        </w:rPr>
        <w:footnoteReference w:id="26"/>
      </w:r>
      <w:r w:rsidRPr="00167A1B">
        <w:rPr>
          <w:rFonts w:cs="Arial"/>
          <w:noProof w:val="0"/>
          <w:szCs w:val="22"/>
        </w:rPr>
        <w:t xml:space="preserve"> and just over one hour (65 min) to charge the new Samsung S21.</w:t>
      </w:r>
      <w:r w:rsidRPr="00167A1B">
        <w:rPr>
          <w:rStyle w:val="FootnoteReference"/>
          <w:rFonts w:cs="Arial"/>
          <w:noProof w:val="0"/>
          <w:sz w:val="22"/>
          <w:szCs w:val="22"/>
        </w:rPr>
        <w:footnoteReference w:id="27"/>
      </w:r>
      <w:r w:rsidRPr="00167A1B">
        <w:rPr>
          <w:rFonts w:cs="Arial"/>
          <w:noProof w:val="0"/>
          <w:szCs w:val="22"/>
          <w:vertAlign w:val="superscript"/>
        </w:rPr>
        <w:t>,</w:t>
      </w:r>
      <w:r w:rsidRPr="00167A1B">
        <w:rPr>
          <w:rStyle w:val="FootnoteReference"/>
          <w:rFonts w:cs="Arial"/>
          <w:noProof w:val="0"/>
          <w:sz w:val="22"/>
          <w:szCs w:val="22"/>
        </w:rPr>
        <w:footnoteReference w:id="28"/>
      </w:r>
    </w:p>
    <w:p w14:paraId="397526B2" w14:textId="77777777" w:rsidR="00F15E82" w:rsidRPr="00167A1B" w:rsidRDefault="00F15E82" w:rsidP="00F15E82">
      <w:pPr>
        <w:pStyle w:val="Subtitle10"/>
        <w:rPr>
          <w:noProof w:val="0"/>
        </w:rPr>
      </w:pPr>
      <w:r w:rsidRPr="00167A1B">
        <w:rPr>
          <w:noProof w:val="0"/>
        </w:rPr>
        <w:t>Some consumers do not know most chargers are interoperable</w:t>
      </w:r>
    </w:p>
    <w:p w14:paraId="5E5A5853" w14:textId="15F81BE3" w:rsidR="00F15E82" w:rsidRPr="00167A1B" w:rsidRDefault="00F15E82" w:rsidP="00F15E82">
      <w:pPr>
        <w:pStyle w:val="BodyText1"/>
        <w:rPr>
          <w:noProof w:val="0"/>
        </w:rPr>
      </w:pPr>
      <w:r w:rsidRPr="00167A1B">
        <w:rPr>
          <w:noProof w:val="0"/>
        </w:rPr>
        <w:t xml:space="preserve">In the consumer survey conducted in this study, less than half of respondents (45%) were fully aware that </w:t>
      </w:r>
      <w:proofErr w:type="gramStart"/>
      <w:r w:rsidRPr="00167A1B">
        <w:rPr>
          <w:noProof w:val="0"/>
        </w:rPr>
        <w:t>the vast majority of</w:t>
      </w:r>
      <w:proofErr w:type="gramEnd"/>
      <w:r w:rsidRPr="00167A1B">
        <w:rPr>
          <w:noProof w:val="0"/>
        </w:rPr>
        <w:t xml:space="preserve"> chargers from all major mobile phone manufacturers are interoperable, i.e. can be used to charge all modern phones irrespective of the brand. The rest of respondents were either partly aware (36%) or did not know it (19%).</w:t>
      </w:r>
    </w:p>
    <w:p w14:paraId="4AFB43F0" w14:textId="7CECC7C0" w:rsidR="00F15E82" w:rsidRPr="00167A1B" w:rsidRDefault="00F15E82" w:rsidP="00F15E82">
      <w:pPr>
        <w:pStyle w:val="BodyText1"/>
        <w:rPr>
          <w:noProof w:val="0"/>
        </w:rPr>
      </w:pPr>
      <w:r w:rsidRPr="00167A1B">
        <w:rPr>
          <w:noProof w:val="0"/>
        </w:rPr>
        <w:t xml:space="preserve">Similarly, in the consumer survey conducted for the first IA study, confusion over which charger to use for different mobile phones was a </w:t>
      </w:r>
      <w:proofErr w:type="gramStart"/>
      <w:r w:rsidRPr="00167A1B">
        <w:rPr>
          <w:noProof w:val="0"/>
        </w:rPr>
        <w:t>problem  that</w:t>
      </w:r>
      <w:proofErr w:type="gramEnd"/>
      <w:r w:rsidRPr="00167A1B">
        <w:rPr>
          <w:noProof w:val="0"/>
        </w:rPr>
        <w:t xml:space="preserve"> had been experienced by 30% of respondents. For 1% it happened almost every day, for 5% on numerous occasions, for 12% a few times, and for 13% once or twice. When needing to charge their phone, 19% of respondents reported having experienced problems once or twice because all other chargers were incompatible, 15% had this problem on a few occasions, 3% on numerous occasions and less than 1% almost daily. 63% did not face problems relative to interoperability of other chargers.</w:t>
      </w:r>
    </w:p>
    <w:p w14:paraId="246A3B96" w14:textId="77777777" w:rsidR="00F15E82" w:rsidRPr="00167A1B" w:rsidRDefault="00F15E82" w:rsidP="00F15E82">
      <w:pPr>
        <w:pStyle w:val="Subtitle10"/>
        <w:rPr>
          <w:noProof w:val="0"/>
        </w:rPr>
      </w:pPr>
      <w:r w:rsidRPr="00167A1B">
        <w:rPr>
          <w:noProof w:val="0"/>
        </w:rPr>
        <w:lastRenderedPageBreak/>
        <w:t>Some consumers find it convenient to get a charger with each phone</w:t>
      </w:r>
    </w:p>
    <w:p w14:paraId="1A7CA477" w14:textId="6CAB2B14" w:rsidR="00F15E82" w:rsidRPr="00167A1B" w:rsidRDefault="00F15E82" w:rsidP="00F15E82">
      <w:pPr>
        <w:pStyle w:val="BodyText1"/>
        <w:rPr>
          <w:noProof w:val="0"/>
        </w:rPr>
      </w:pPr>
      <w:r w:rsidRPr="00167A1B">
        <w:rPr>
          <w:noProof w:val="0"/>
        </w:rPr>
        <w:t xml:space="preserve">In the consumer survey conducted for this study, 82% of consumers indicated that they consider finding an EPS in the box with a new mobile phone </w:t>
      </w:r>
      <w:r w:rsidRPr="00167A1B">
        <w:rPr>
          <w:i/>
          <w:iCs/>
          <w:noProof w:val="0"/>
        </w:rPr>
        <w:t>very important</w:t>
      </w:r>
      <w:r w:rsidRPr="00167A1B">
        <w:rPr>
          <w:noProof w:val="0"/>
        </w:rPr>
        <w:t xml:space="preserve"> or </w:t>
      </w:r>
      <w:r w:rsidRPr="00167A1B">
        <w:rPr>
          <w:i/>
          <w:iCs/>
          <w:noProof w:val="0"/>
        </w:rPr>
        <w:t>important</w:t>
      </w:r>
      <w:r w:rsidRPr="00167A1B">
        <w:rPr>
          <w:noProof w:val="0"/>
        </w:rPr>
        <w:t xml:space="preserve">, whilst an even larger share of consumers, 89%, considered that it was </w:t>
      </w:r>
      <w:r w:rsidRPr="00167A1B">
        <w:rPr>
          <w:i/>
          <w:iCs/>
          <w:noProof w:val="0"/>
        </w:rPr>
        <w:t>very important</w:t>
      </w:r>
      <w:r w:rsidRPr="00167A1B">
        <w:rPr>
          <w:noProof w:val="0"/>
        </w:rPr>
        <w:t xml:space="preserve"> or </w:t>
      </w:r>
      <w:r w:rsidRPr="00167A1B">
        <w:rPr>
          <w:i/>
          <w:iCs/>
          <w:noProof w:val="0"/>
        </w:rPr>
        <w:t>important</w:t>
      </w:r>
      <w:r w:rsidRPr="00167A1B">
        <w:rPr>
          <w:noProof w:val="0"/>
        </w:rPr>
        <w:t xml:space="preserve"> that a cable was supplied along with a new phone. Although these proportions decreased by around 10</w:t>
      </w:r>
      <w:r w:rsidR="00D47780" w:rsidRPr="00167A1B">
        <w:rPr>
          <w:noProof w:val="0"/>
        </w:rPr>
        <w:t xml:space="preserve"> percentage points </w:t>
      </w:r>
      <w:r w:rsidRPr="00167A1B">
        <w:rPr>
          <w:noProof w:val="0"/>
        </w:rPr>
        <w:t>after information on environmental impacts</w:t>
      </w:r>
      <w:r w:rsidR="00D47780" w:rsidRPr="00167A1B">
        <w:rPr>
          <w:noProof w:val="0"/>
        </w:rPr>
        <w:t xml:space="preserve"> and/or</w:t>
      </w:r>
      <w:r w:rsidRPr="00167A1B">
        <w:rPr>
          <w:noProof w:val="0"/>
        </w:rPr>
        <w:t xml:space="preserve"> interoperability had been provided, around three quarters of respondents still maintained it was very important or important for them that EPS and cable are provided with the phone. Among the consumers who found it important to have either an EPS and/or cable in the box, almost half (46%) indicated that it is because of habit, i.e. they are used to finding a complete product in the box. Other relevant factors </w:t>
      </w:r>
      <w:proofErr w:type="gramStart"/>
      <w:r w:rsidRPr="00167A1B">
        <w:rPr>
          <w:noProof w:val="0"/>
        </w:rPr>
        <w:t>are:</w:t>
      </w:r>
      <w:proofErr w:type="gramEnd"/>
      <w:r w:rsidRPr="00167A1B">
        <w:rPr>
          <w:noProof w:val="0"/>
        </w:rPr>
        <w:t xml:space="preserve"> safety (50%), performance (48%), and convenience (38%).</w:t>
      </w:r>
    </w:p>
    <w:p w14:paraId="3ABE1AD5" w14:textId="0B55280B" w:rsidR="00F15E82" w:rsidRPr="00167A1B" w:rsidRDefault="00F15E82" w:rsidP="00F15E82">
      <w:pPr>
        <w:pStyle w:val="BodyText1"/>
        <w:rPr>
          <w:noProof w:val="0"/>
        </w:rPr>
      </w:pPr>
      <w:r w:rsidRPr="00167A1B">
        <w:rPr>
          <w:noProof w:val="0"/>
        </w:rPr>
        <w:t xml:space="preserve">However, the survey also shows that </w:t>
      </w:r>
      <w:proofErr w:type="gramStart"/>
      <w:r w:rsidRPr="00167A1B">
        <w:rPr>
          <w:noProof w:val="0"/>
        </w:rPr>
        <w:t>a majority of</w:t>
      </w:r>
      <w:proofErr w:type="gramEnd"/>
      <w:r w:rsidRPr="00167A1B">
        <w:rPr>
          <w:noProof w:val="0"/>
        </w:rPr>
        <w:t xml:space="preserve"> respondents (61%) were supportive of the idea that all mobile phone manufacturers / distributors should give customers the option of purchasing (or not) a new EPS and/or cable with new phones. </w:t>
      </w:r>
    </w:p>
    <w:p w14:paraId="2A1840A9" w14:textId="157BEFA0" w:rsidR="00F15E82" w:rsidRPr="00167A1B" w:rsidRDefault="00F15E82" w:rsidP="00F15E82">
      <w:pPr>
        <w:pStyle w:val="Subtitle10"/>
        <w:rPr>
          <w:noProof w:val="0"/>
        </w:rPr>
      </w:pPr>
      <w:r w:rsidRPr="00167A1B">
        <w:rPr>
          <w:noProof w:val="0"/>
        </w:rPr>
        <w:t xml:space="preserve">A few manufacturers and most consumers do not </w:t>
      </w:r>
      <w:proofErr w:type="gramStart"/>
      <w:r w:rsidRPr="00167A1B">
        <w:rPr>
          <w:noProof w:val="0"/>
        </w:rPr>
        <w:t>take into account</w:t>
      </w:r>
      <w:proofErr w:type="gramEnd"/>
      <w:r w:rsidRPr="00167A1B">
        <w:rPr>
          <w:noProof w:val="0"/>
        </w:rPr>
        <w:t xml:space="preserve"> the environmental cost generated in the production, shipment and disposal of the chargers they sell/buy</w:t>
      </w:r>
    </w:p>
    <w:p w14:paraId="7F7560B8" w14:textId="77777777" w:rsidR="00F15E82" w:rsidRPr="00167A1B" w:rsidRDefault="00F15E82" w:rsidP="00F15E82">
      <w:pPr>
        <w:pStyle w:val="BodyText1"/>
        <w:rPr>
          <w:noProof w:val="0"/>
          <w:szCs w:val="22"/>
        </w:rPr>
      </w:pPr>
      <w:r w:rsidRPr="00167A1B">
        <w:rPr>
          <w:noProof w:val="0"/>
          <w:szCs w:val="22"/>
        </w:rPr>
        <w:t>Until last year, nearly all mobile phones sold in the EU market were bundled with an EPS and cable.</w:t>
      </w:r>
      <w:r w:rsidRPr="00167A1B">
        <w:rPr>
          <w:rStyle w:val="FootnoteReference"/>
          <w:noProof w:val="0"/>
          <w:sz w:val="22"/>
          <w:szCs w:val="22"/>
        </w:rPr>
        <w:footnoteReference w:id="29"/>
      </w:r>
      <w:r w:rsidRPr="00167A1B">
        <w:rPr>
          <w:noProof w:val="0"/>
          <w:szCs w:val="22"/>
        </w:rPr>
        <w:t xml:space="preserve"> In October 2020, with the release of the iPhone 12, Apple announced that it was removing the EPS (and its EarPods) from iPhone packaging for all of its smartphone range, explaining that the move was due to environmental reasons, “further reducing carbon emissions and avoiding the mining and use of precious materials, which enables smaller and lighter packaging, and allows for 70 percent more boxes to be shipped on a pallet”</w:t>
      </w:r>
      <w:r w:rsidRPr="00167A1B">
        <w:rPr>
          <w:rStyle w:val="FootnoteReference"/>
          <w:noProof w:val="0"/>
          <w:sz w:val="22"/>
          <w:szCs w:val="22"/>
        </w:rPr>
        <w:footnoteReference w:id="30"/>
      </w:r>
      <w:r w:rsidRPr="00167A1B">
        <w:rPr>
          <w:noProof w:val="0"/>
          <w:szCs w:val="22"/>
        </w:rPr>
        <w:t>.</w:t>
      </w:r>
    </w:p>
    <w:p w14:paraId="550C5E11" w14:textId="77777777" w:rsidR="00F15E82" w:rsidRPr="00167A1B" w:rsidRDefault="00F15E82" w:rsidP="00F15E82">
      <w:pPr>
        <w:pStyle w:val="BodyText1"/>
        <w:rPr>
          <w:noProof w:val="0"/>
          <w:szCs w:val="22"/>
        </w:rPr>
      </w:pPr>
      <w:r w:rsidRPr="00167A1B">
        <w:rPr>
          <w:noProof w:val="0"/>
          <w:szCs w:val="22"/>
        </w:rPr>
        <w:t>Similarly, starting in January 2021 with its Galaxy S21, Samsung has begun to sell its smartphones without EPS and earpods in the package, citing its intention to “minimise the impact that [their] products have on the environment” in order to support Galaxy users in making “sustainable choices in their daily lives to promote better recycling habits”</w:t>
      </w:r>
      <w:r w:rsidRPr="00167A1B">
        <w:rPr>
          <w:rStyle w:val="FootnoteReference"/>
          <w:noProof w:val="0"/>
          <w:sz w:val="22"/>
          <w:szCs w:val="22"/>
        </w:rPr>
        <w:footnoteReference w:id="31"/>
      </w:r>
      <w:r w:rsidRPr="00167A1B">
        <w:rPr>
          <w:noProof w:val="0"/>
          <w:szCs w:val="22"/>
        </w:rPr>
        <w:t xml:space="preserve">. </w:t>
      </w:r>
    </w:p>
    <w:p w14:paraId="56818951" w14:textId="6D01B89C" w:rsidR="00F15E82" w:rsidRPr="00167A1B" w:rsidRDefault="00F15E82" w:rsidP="00F15E82">
      <w:pPr>
        <w:pStyle w:val="BodyText1"/>
        <w:rPr>
          <w:noProof w:val="0"/>
          <w:szCs w:val="22"/>
        </w:rPr>
      </w:pPr>
      <w:r w:rsidRPr="00167A1B">
        <w:rPr>
          <w:noProof w:val="0"/>
          <w:szCs w:val="22"/>
        </w:rPr>
        <w:t>Most recently, in April 2021 HMD has removed their EPS from the Nokia X20 and Nokia X10 smartphones, also citing environmental reasons: “We want to do our bit to reduce [e-waste], so we’ve removed the wall charger from the package contents of Nokia X20 and Nokia X10”.</w:t>
      </w:r>
      <w:r w:rsidRPr="00167A1B">
        <w:rPr>
          <w:rStyle w:val="FootnoteReference"/>
          <w:noProof w:val="0"/>
          <w:sz w:val="22"/>
          <w:szCs w:val="22"/>
        </w:rPr>
        <w:footnoteReference w:id="32"/>
      </w:r>
      <w:r w:rsidRPr="00167A1B">
        <w:rPr>
          <w:noProof w:val="0"/>
          <w:szCs w:val="22"/>
        </w:rPr>
        <w:t xml:space="preserve"> </w:t>
      </w:r>
      <w:r w:rsidR="00E37634" w:rsidRPr="00167A1B">
        <w:rPr>
          <w:noProof w:val="0"/>
          <w:szCs w:val="22"/>
        </w:rPr>
        <w:t>HMD / Nokia also announced it will donate the money it raises from selling EPS (approx. €10 per EPS) to an environmental charity.</w:t>
      </w:r>
      <w:r w:rsidR="00E37634" w:rsidRPr="00167A1B">
        <w:rPr>
          <w:rStyle w:val="FootnoteReference"/>
          <w:noProof w:val="0"/>
          <w:szCs w:val="22"/>
        </w:rPr>
        <w:footnoteReference w:id="33"/>
      </w:r>
    </w:p>
    <w:p w14:paraId="427DCBC8" w14:textId="330177F5" w:rsidR="00F15E82" w:rsidRPr="00167A1B" w:rsidRDefault="00F15E82" w:rsidP="00F15E82">
      <w:pPr>
        <w:pStyle w:val="BodyText1"/>
        <w:rPr>
          <w:noProof w:val="0"/>
          <w:szCs w:val="22"/>
        </w:rPr>
      </w:pPr>
      <w:r w:rsidRPr="00167A1B">
        <w:rPr>
          <w:noProof w:val="0"/>
          <w:szCs w:val="22"/>
        </w:rPr>
        <w:t xml:space="preserve">In interviews, other manufacturers informed that they are considering their options </w:t>
      </w:r>
      <w:proofErr w:type="gramStart"/>
      <w:r w:rsidRPr="00167A1B">
        <w:rPr>
          <w:noProof w:val="0"/>
          <w:szCs w:val="22"/>
        </w:rPr>
        <w:t>at the moment</w:t>
      </w:r>
      <w:proofErr w:type="gramEnd"/>
      <w:r w:rsidRPr="00167A1B">
        <w:rPr>
          <w:noProof w:val="0"/>
          <w:szCs w:val="22"/>
        </w:rPr>
        <w:t>, and it seems highly likely that at least some of them will also begin to offer unbundled solutions in the near future. However, as per the interviews conducted, those manufacturers that have invested heavily in proprietary charging technology appear less keen on the idea, since they consider the high charging performance that can be obtained from their “bundled” phones and EPS is an important part of their value proposition, as explained above.</w:t>
      </w:r>
    </w:p>
    <w:p w14:paraId="6EFF8BF3" w14:textId="7AD12378" w:rsidR="00F15E82" w:rsidRPr="00167A1B" w:rsidRDefault="00F15E82" w:rsidP="00F15E82">
      <w:pPr>
        <w:pStyle w:val="BodyText1"/>
        <w:rPr>
          <w:noProof w:val="0"/>
          <w:szCs w:val="22"/>
        </w:rPr>
      </w:pPr>
      <w:r w:rsidRPr="00167A1B">
        <w:rPr>
          <w:noProof w:val="0"/>
          <w:szCs w:val="22"/>
        </w:rPr>
        <w:lastRenderedPageBreak/>
        <w:t>In relation to other devices, the mapping exercise conducted showed that unbundling of the EPS from the device is already common in certain categories of products, such as hearables, e-readers, and portable speakers, whilst it is rare for portable videogame consoles and tablets. As regards the cable, this is almost always provided in the box with all types of devices.</w:t>
      </w:r>
      <w:r w:rsidR="00D47780" w:rsidRPr="00167A1B">
        <w:rPr>
          <w:rStyle w:val="FootnoteReference"/>
          <w:noProof w:val="0"/>
          <w:szCs w:val="22"/>
        </w:rPr>
        <w:footnoteReference w:id="34"/>
      </w:r>
      <w:r w:rsidRPr="00167A1B">
        <w:rPr>
          <w:noProof w:val="0"/>
          <w:szCs w:val="22"/>
        </w:rPr>
        <w:t xml:space="preserve"> </w:t>
      </w:r>
    </w:p>
    <w:p w14:paraId="5CA8D061" w14:textId="77777777" w:rsidR="00F15E82" w:rsidRPr="00167A1B" w:rsidRDefault="00F15E82" w:rsidP="00F15E82">
      <w:pPr>
        <w:pStyle w:val="BodyText1"/>
        <w:rPr>
          <w:noProof w:val="0"/>
          <w:szCs w:val="22"/>
        </w:rPr>
      </w:pPr>
      <w:r w:rsidRPr="00167A1B">
        <w:rPr>
          <w:noProof w:val="0"/>
          <w:szCs w:val="22"/>
        </w:rPr>
        <w:t>Consumers appear to be less aware of the environmental impacts of chargers. In the consumer survey conducted in this study, less than a third of respondents (29%) knew that chargers’ production requires raw materials and generates CO2 emissions, and when chargers are no longer used, they generate electronic waste. 38% of respondents partly knew this, and 33% did not know it. Knowing this information changed slightly the extent to which they think having a charger in the box is important. Those who thought it is important to have an EPS decreased from 82% to 71%, and those who thought it is important to have a cable decreased from 89% to 78% of respondents.</w:t>
      </w:r>
    </w:p>
    <w:p w14:paraId="534EF0AE" w14:textId="77777777" w:rsidR="00F15E82" w:rsidRPr="00167A1B" w:rsidRDefault="00F15E82" w:rsidP="00F15E82">
      <w:pPr>
        <w:pStyle w:val="BodyText1"/>
        <w:rPr>
          <w:noProof w:val="0"/>
          <w:szCs w:val="22"/>
        </w:rPr>
      </w:pPr>
      <w:r w:rsidRPr="00167A1B">
        <w:rPr>
          <w:noProof w:val="0"/>
          <w:szCs w:val="22"/>
        </w:rPr>
        <w:t xml:space="preserve">A minority of consumers (6%), however, indicated that it is not important for them to have an EPS in the box, and that this is because of sustainability reasons. </w:t>
      </w:r>
    </w:p>
    <w:p w14:paraId="16741C14" w14:textId="5A63C4F3" w:rsidR="00F15E82" w:rsidRPr="00167A1B" w:rsidRDefault="00F15E82" w:rsidP="00F15E82">
      <w:pPr>
        <w:pStyle w:val="Subtitle10"/>
        <w:rPr>
          <w:noProof w:val="0"/>
        </w:rPr>
      </w:pPr>
      <w:r w:rsidRPr="00167A1B">
        <w:rPr>
          <w:noProof w:val="0"/>
        </w:rPr>
        <w:t>Manufacturers worry about consumers’ reactions if they remove chargers from the box</w:t>
      </w:r>
    </w:p>
    <w:p w14:paraId="7F65EF12" w14:textId="77777777" w:rsidR="00F15E82" w:rsidRPr="00167A1B" w:rsidRDefault="00F15E82" w:rsidP="00F15E82">
      <w:pPr>
        <w:pStyle w:val="BodyText1"/>
        <w:rPr>
          <w:noProof w:val="0"/>
        </w:rPr>
      </w:pPr>
      <w:r w:rsidRPr="00167A1B">
        <w:rPr>
          <w:noProof w:val="0"/>
        </w:rPr>
        <w:t>In interviews, manufacturers’ have expressed their concern about consumers’ reactions if they stop selling chargers with their devices. This concern was motivated by two main drivers:</w:t>
      </w:r>
    </w:p>
    <w:p w14:paraId="04919482" w14:textId="28880387" w:rsidR="00F15E82" w:rsidRPr="00167A1B" w:rsidRDefault="00F15E82" w:rsidP="00F15E82">
      <w:pPr>
        <w:pStyle w:val="bullet1"/>
        <w:rPr>
          <w:noProof w:val="0"/>
        </w:rPr>
      </w:pPr>
      <w:r w:rsidRPr="00167A1B">
        <w:rPr>
          <w:noProof w:val="0"/>
        </w:rPr>
        <w:t xml:space="preserve">Results from previous unbundling pilots: Two manufacturers informed that they had previously tried unbundling schemes. One camera manufacturer noted that they started selling their cameras without the EPS and received very negative feedback from consumers. A phone manufacturer also noted that they piloted an unbundling scheme in Russia (in this case, the phones were sold without EPS or cable), but most consumers chose to buy the charger when acquiring a new phone. The lack of effectiveness in the scheme also meant that the environmental benefits they were expecting to achieve were not realised. </w:t>
      </w:r>
    </w:p>
    <w:p w14:paraId="5FFAE237" w14:textId="04FC242B" w:rsidR="00F15E82" w:rsidRPr="00167A1B" w:rsidRDefault="00F15E82" w:rsidP="00F15E82">
      <w:pPr>
        <w:pStyle w:val="bullet1"/>
        <w:rPr>
          <w:noProof w:val="0"/>
        </w:rPr>
      </w:pPr>
      <w:r w:rsidRPr="00167A1B">
        <w:rPr>
          <w:noProof w:val="0"/>
        </w:rPr>
        <w:t>Consumers’ reactions to Apple’s move to start unbundling their phones: Following the announcement by Apple in October 2020 that the company would be selling phones without EPS in the box, some consumers reacted negatively, arguing the firm follows commercial rather than environmental reasons. There was some mistrust that unbundling would generate the environmental benefits that Apple claimed. For instance, a consumer protection agency in Brazil fined the company 10.5 million Brazilian Reals (1.5 million EUR).</w:t>
      </w:r>
      <w:r w:rsidRPr="00167A1B">
        <w:rPr>
          <w:rStyle w:val="FootnoteReference"/>
          <w:noProof w:val="0"/>
        </w:rPr>
        <w:footnoteReference w:id="35"/>
      </w:r>
      <w:r w:rsidRPr="00167A1B">
        <w:rPr>
          <w:noProof w:val="0"/>
        </w:rPr>
        <w:t xml:space="preserve"> The fine covers several activities, one of the them being the sale of mobile phones without the charger and without a reduction in the retail price.</w:t>
      </w:r>
    </w:p>
    <w:p w14:paraId="36C55184" w14:textId="77777777" w:rsidR="00F15E82" w:rsidRPr="00167A1B" w:rsidRDefault="00F15E82" w:rsidP="00F15E82">
      <w:pPr>
        <w:pStyle w:val="Subtitle10"/>
        <w:rPr>
          <w:noProof w:val="0"/>
        </w:rPr>
      </w:pPr>
      <w:r w:rsidRPr="00167A1B">
        <w:rPr>
          <w:noProof w:val="0"/>
        </w:rPr>
        <w:t>Standalone counterfeit and substandard chargers are sold in the EU</w:t>
      </w:r>
    </w:p>
    <w:p w14:paraId="6B422CCD" w14:textId="77777777" w:rsidR="00507CA9" w:rsidRPr="00167A1B" w:rsidRDefault="00507CA9" w:rsidP="00507CA9">
      <w:pPr>
        <w:pStyle w:val="BodyText1"/>
        <w:rPr>
          <w:noProof w:val="0"/>
          <w:szCs w:val="22"/>
        </w:rPr>
      </w:pPr>
      <w:r w:rsidRPr="00167A1B">
        <w:rPr>
          <w:noProof w:val="0"/>
          <w:szCs w:val="22"/>
        </w:rPr>
        <w:t>Product safety is an important issue for chargers that are sold via channels that are difficult for legitimate manufacturers and distributors to control (especially online). Serious safety issues for chargers most often relate to electric shock, electrocution and fire risks from poorly designed and manufactured chargers. Other problems are of a chemical nature due to the materials used in the products. These problems primarily affect the EPS.</w:t>
      </w:r>
    </w:p>
    <w:p w14:paraId="64BD938E" w14:textId="7DA09C11" w:rsidR="00507CA9" w:rsidRPr="00167A1B" w:rsidRDefault="00507CA9" w:rsidP="00507CA9">
      <w:pPr>
        <w:pStyle w:val="BodyText1"/>
        <w:rPr>
          <w:noProof w:val="0"/>
          <w:szCs w:val="22"/>
        </w:rPr>
      </w:pPr>
      <w:r w:rsidRPr="00167A1B">
        <w:rPr>
          <w:noProof w:val="0"/>
          <w:szCs w:val="22"/>
        </w:rPr>
        <w:t xml:space="preserve">In the context of this study (and initiative), it is important to emphasise that product safety issues are only indirectly related to the fragmentation of charging solutions. They stem not from any risks inherent in particular charging technologies, or from an absence of relevant safety legislation, but from the existence of a market for substandard and/or counterfeit standalone chargers, and the difficulty for the competent authorities of controlling this market and enforcing the applicable safety as well as IPR rules. And although the possible initiative is not intended </w:t>
      </w:r>
      <w:r w:rsidRPr="00167A1B">
        <w:rPr>
          <w:noProof w:val="0"/>
          <w:szCs w:val="22"/>
        </w:rPr>
        <w:lastRenderedPageBreak/>
        <w:t xml:space="preserve">to directly address this problem, it is nonetheless relevant to acknowledge it, and to consider if and how a possible “common charger” initiative might affect its future evolution. </w:t>
      </w:r>
    </w:p>
    <w:p w14:paraId="6877AC81" w14:textId="58043C18" w:rsidR="00F15E82" w:rsidRPr="00167A1B" w:rsidRDefault="00F15E82" w:rsidP="00F15E82">
      <w:pPr>
        <w:pStyle w:val="BodyText1"/>
        <w:rPr>
          <w:noProof w:val="0"/>
          <w:szCs w:val="22"/>
        </w:rPr>
      </w:pPr>
      <w:r w:rsidRPr="00167A1B">
        <w:rPr>
          <w:noProof w:val="0"/>
          <w:szCs w:val="22"/>
        </w:rPr>
        <w:t>The 2014 RPA assessment</w:t>
      </w:r>
      <w:r w:rsidRPr="00167A1B">
        <w:rPr>
          <w:rStyle w:val="FootnoteReference"/>
          <w:noProof w:val="0"/>
          <w:sz w:val="22"/>
          <w:szCs w:val="22"/>
        </w:rPr>
        <w:footnoteReference w:id="36"/>
      </w:r>
      <w:r w:rsidRPr="00167A1B">
        <w:rPr>
          <w:noProof w:val="0"/>
          <w:szCs w:val="22"/>
        </w:rPr>
        <w:t xml:space="preserve"> flagged safety as a particular issue for standalone chargers, noting ‘that as much as 30-60% of the standalone charger market may not comply with applicable technical standards, some of which relate to safety’</w:t>
      </w:r>
      <w:r w:rsidRPr="00167A1B">
        <w:rPr>
          <w:rStyle w:val="FootnoteReference"/>
          <w:noProof w:val="0"/>
          <w:sz w:val="22"/>
          <w:szCs w:val="22"/>
        </w:rPr>
        <w:footnoteReference w:id="37"/>
      </w:r>
      <w:r w:rsidRPr="00167A1B">
        <w:rPr>
          <w:noProof w:val="0"/>
          <w:szCs w:val="22"/>
        </w:rPr>
        <w:t>. This is in large part attributable to chargers produced by non-OEM firms, which were often, but not always, counterfeits. A contributory factor may also be the growth in online purchases sent directly to consumers where counterfeit products are more common and expose consumers to the risk of buying dangerous goods</w:t>
      </w:r>
      <w:r w:rsidRPr="00167A1B">
        <w:rPr>
          <w:rStyle w:val="FootnoteReference"/>
          <w:noProof w:val="0"/>
          <w:sz w:val="22"/>
          <w:szCs w:val="22"/>
        </w:rPr>
        <w:footnoteReference w:id="38"/>
      </w:r>
      <w:r w:rsidRPr="00167A1B">
        <w:rPr>
          <w:noProof w:val="0"/>
          <w:szCs w:val="22"/>
        </w:rPr>
        <w:t>.</w:t>
      </w:r>
    </w:p>
    <w:p w14:paraId="5221CA79" w14:textId="77777777" w:rsidR="00F15E82" w:rsidRPr="00167A1B" w:rsidRDefault="00F15E82" w:rsidP="00F15E82">
      <w:pPr>
        <w:pStyle w:val="BodyText1"/>
        <w:rPr>
          <w:noProof w:val="0"/>
          <w:szCs w:val="22"/>
        </w:rPr>
      </w:pPr>
      <w:r w:rsidRPr="00167A1B">
        <w:rPr>
          <w:noProof w:val="0"/>
          <w:szCs w:val="22"/>
        </w:rPr>
        <w:t>The results of an analysis of the number of risk alerts for chargers of portable devices based on USB standards between 2014 and part of 2021 from the European Commission’s RAPEX</w:t>
      </w:r>
      <w:r w:rsidRPr="00167A1B">
        <w:rPr>
          <w:rStyle w:val="FootnoteReference"/>
          <w:noProof w:val="0"/>
          <w:sz w:val="22"/>
          <w:szCs w:val="22"/>
        </w:rPr>
        <w:footnoteReference w:id="39"/>
      </w:r>
      <w:r w:rsidRPr="00167A1B">
        <w:rPr>
          <w:noProof w:val="0"/>
          <w:szCs w:val="22"/>
        </w:rPr>
        <w:t xml:space="preserve"> show that the number of safety alerts issued peaked in 2019 with 50 alerts submitted (see </w:t>
      </w:r>
      <w:r w:rsidRPr="00167A1B">
        <w:rPr>
          <w:noProof w:val="0"/>
          <w:szCs w:val="22"/>
        </w:rPr>
        <w:fldChar w:fldCharType="begin"/>
      </w:r>
      <w:r w:rsidRPr="00167A1B">
        <w:rPr>
          <w:noProof w:val="0"/>
          <w:szCs w:val="22"/>
        </w:rPr>
        <w:instrText xml:space="preserve"> REF _Ref12622986 \h  \* MERGEFORMAT </w:instrText>
      </w:r>
      <w:r w:rsidRPr="00167A1B">
        <w:rPr>
          <w:noProof w:val="0"/>
          <w:szCs w:val="22"/>
        </w:rPr>
      </w:r>
      <w:r w:rsidRPr="00167A1B">
        <w:rPr>
          <w:noProof w:val="0"/>
          <w:szCs w:val="22"/>
        </w:rPr>
        <w:fldChar w:fldCharType="separate"/>
      </w:r>
      <w:r w:rsidRPr="00167A1B">
        <w:rPr>
          <w:noProof w:val="0"/>
          <w:szCs w:val="22"/>
        </w:rPr>
        <w:t>Figure 12</w:t>
      </w:r>
      <w:r w:rsidRPr="00167A1B">
        <w:rPr>
          <w:noProof w:val="0"/>
          <w:szCs w:val="22"/>
        </w:rPr>
        <w:fldChar w:fldCharType="end"/>
      </w:r>
      <w:r w:rsidRPr="00167A1B">
        <w:rPr>
          <w:noProof w:val="0"/>
          <w:szCs w:val="22"/>
        </w:rPr>
        <w:t xml:space="preserve"> below). Alerts for unsafe chargers in 2020 where less than half compared to the previous year, presumably due to the impact of the COVID-19 pandemic on international trade. It should be noted, however, that these alerts only refer to safety issues related to chargers that are detected by the national authorities and economic operators, and that 2021 figures only include alerts submitted until 31 March. </w:t>
      </w:r>
    </w:p>
    <w:p w14:paraId="7561563A" w14:textId="35824095" w:rsidR="00F15E82" w:rsidRPr="00167A1B" w:rsidRDefault="00F15E82" w:rsidP="00F15E82">
      <w:pPr>
        <w:pStyle w:val="BodyText1"/>
        <w:rPr>
          <w:noProof w:val="0"/>
          <w:szCs w:val="22"/>
        </w:rPr>
      </w:pPr>
      <w:r w:rsidRPr="00167A1B">
        <w:rPr>
          <w:noProof w:val="0"/>
          <w:szCs w:val="22"/>
        </w:rPr>
        <w:t xml:space="preserve">On average across the period 2014-2021, 20% of the products with risk alerts analysed were original brands, 75% did not have a brand, and 4% were counterfeit. A recent European Commission Staff Working Document highlighted how the sales of counterfeit goods, </w:t>
      </w:r>
      <w:proofErr w:type="gramStart"/>
      <w:r w:rsidRPr="00167A1B">
        <w:rPr>
          <w:noProof w:val="0"/>
          <w:szCs w:val="22"/>
        </w:rPr>
        <w:t>in particular through</w:t>
      </w:r>
      <w:proofErr w:type="gramEnd"/>
      <w:r w:rsidRPr="00167A1B">
        <w:rPr>
          <w:noProof w:val="0"/>
          <w:szCs w:val="22"/>
        </w:rPr>
        <w:t xml:space="preserve"> e-commerce, poses an increasingly greater risk because consumers may buy sub-standard products</w:t>
      </w:r>
      <w:r w:rsidRPr="00167A1B">
        <w:rPr>
          <w:rStyle w:val="FootnoteReference"/>
          <w:noProof w:val="0"/>
          <w:sz w:val="22"/>
          <w:szCs w:val="22"/>
        </w:rPr>
        <w:footnoteReference w:id="40"/>
      </w:r>
      <w:r w:rsidRPr="00167A1B">
        <w:rPr>
          <w:noProof w:val="0"/>
          <w:szCs w:val="22"/>
        </w:rPr>
        <w:t>. Similarly, the European Union Intellectual Property Office and Europol found that the number of counterfeit electronic products on the market is growing, and the problem of counterfeit affects especially chargers</w:t>
      </w:r>
      <w:r w:rsidRPr="00167A1B">
        <w:rPr>
          <w:rStyle w:val="FootnoteReference"/>
          <w:noProof w:val="0"/>
          <w:sz w:val="22"/>
          <w:szCs w:val="22"/>
        </w:rPr>
        <w:footnoteReference w:id="41"/>
      </w:r>
      <w:r w:rsidRPr="00167A1B">
        <w:rPr>
          <w:noProof w:val="0"/>
          <w:szCs w:val="22"/>
        </w:rPr>
        <w:t>. Other reports also highlight the safety risks of counterfeit products. For instance, a report by Electrical Safety First (funded by Apple) found that only 1 of 64 counterfeit Apple chargers from the UK and in the EU passed all technical and safety tests</w:t>
      </w:r>
      <w:r w:rsidRPr="00167A1B">
        <w:rPr>
          <w:rStyle w:val="FootnoteReference"/>
          <w:noProof w:val="0"/>
          <w:sz w:val="22"/>
          <w:szCs w:val="22"/>
        </w:rPr>
        <w:footnoteReference w:id="42"/>
      </w:r>
      <w:r w:rsidRPr="00167A1B">
        <w:rPr>
          <w:noProof w:val="0"/>
          <w:szCs w:val="22"/>
        </w:rPr>
        <w:t>.</w:t>
      </w:r>
    </w:p>
    <w:p w14:paraId="3235D9D8" w14:textId="2CF96064" w:rsidR="00F15E82" w:rsidRPr="00167A1B" w:rsidRDefault="00F15E82" w:rsidP="00F15E82">
      <w:pPr>
        <w:pStyle w:val="Caption"/>
      </w:pPr>
      <w:bookmarkStart w:id="13" w:name="_Ref12622986"/>
      <w:r w:rsidRPr="00167A1B">
        <w:lastRenderedPageBreak/>
        <w:t xml:space="preserve">Figure </w:t>
      </w:r>
      <w:r w:rsidRPr="00167A1B">
        <w:fldChar w:fldCharType="begin"/>
      </w:r>
      <w:r w:rsidRPr="00167A1B">
        <w:instrText xml:space="preserve"> SEQ Figure \* ARABIC </w:instrText>
      </w:r>
      <w:r w:rsidRPr="00167A1B">
        <w:fldChar w:fldCharType="separate"/>
      </w:r>
      <w:r w:rsidR="00221C9D" w:rsidRPr="00167A1B">
        <w:t>2</w:t>
      </w:r>
      <w:r w:rsidRPr="00167A1B">
        <w:fldChar w:fldCharType="end"/>
      </w:r>
      <w:bookmarkEnd w:id="13"/>
      <w:r w:rsidRPr="00167A1B">
        <w:t>: Number of risk alerts in the Single Market for chargers from 2014 to 2019 by brand</w:t>
      </w:r>
    </w:p>
    <w:p w14:paraId="56F3072A" w14:textId="77777777" w:rsidR="00F15E82" w:rsidRPr="00167A1B" w:rsidRDefault="00F15E82" w:rsidP="00F15E82">
      <w:pPr>
        <w:jc w:val="center"/>
      </w:pPr>
      <w:r w:rsidRPr="00167A1B">
        <w:rPr>
          <w:noProof/>
          <w:lang w:eastAsia="en-GB"/>
        </w:rPr>
        <w:drawing>
          <wp:inline distT="0" distB="0" distL="0" distR="0" wp14:anchorId="245883E2" wp14:editId="72C83098">
            <wp:extent cx="4572000" cy="2520000"/>
            <wp:effectExtent l="0" t="0" r="0" b="0"/>
            <wp:docPr id="18" name="Chart 18">
              <a:extLst xmlns:a="http://schemas.openxmlformats.org/drawingml/2006/main">
                <a:ext uri="{FF2B5EF4-FFF2-40B4-BE49-F238E27FC236}">
                  <a16:creationId xmlns:a16="http://schemas.microsoft.com/office/drawing/2014/main" id="{CCB14291-2761-49E3-B703-2BC721DB88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466ABFA" w14:textId="77777777" w:rsidR="00F15E82" w:rsidRPr="00167A1B" w:rsidRDefault="00F15E82" w:rsidP="00F15E82">
      <w:pPr>
        <w:pStyle w:val="04ABodyText"/>
        <w:spacing w:before="0" w:after="0"/>
        <w:jc w:val="center"/>
        <w:rPr>
          <w:i/>
          <w:sz w:val="18"/>
          <w:szCs w:val="16"/>
        </w:rPr>
      </w:pPr>
      <w:r w:rsidRPr="00167A1B">
        <w:rPr>
          <w:i/>
          <w:sz w:val="18"/>
          <w:szCs w:val="16"/>
        </w:rPr>
        <w:t>Source: Own elaboration based on the rapid alert system for dangerous non-food products (RAPEX).</w:t>
      </w:r>
    </w:p>
    <w:p w14:paraId="31E067DE" w14:textId="77777777" w:rsidR="00F15E82" w:rsidRPr="00167A1B" w:rsidRDefault="00F15E82" w:rsidP="00F15E82">
      <w:pPr>
        <w:pStyle w:val="04ABodyText"/>
        <w:spacing w:before="0"/>
        <w:jc w:val="center"/>
        <w:rPr>
          <w:i/>
          <w:sz w:val="18"/>
          <w:szCs w:val="16"/>
        </w:rPr>
      </w:pPr>
      <w:r w:rsidRPr="00167A1B">
        <w:rPr>
          <w:i/>
          <w:sz w:val="18"/>
          <w:szCs w:val="16"/>
        </w:rPr>
        <w:t>Note: Data until 31 December 2020 includes alerts issued by the United Kingdom. Data for 2021 is up to 31 March.</w:t>
      </w:r>
    </w:p>
    <w:p w14:paraId="08FD8585" w14:textId="77777777" w:rsidR="00F15E82" w:rsidRPr="00167A1B" w:rsidRDefault="00F15E82" w:rsidP="00F15E82">
      <w:pPr>
        <w:pStyle w:val="BodyText1"/>
        <w:rPr>
          <w:noProof w:val="0"/>
          <w:szCs w:val="22"/>
        </w:rPr>
      </w:pPr>
      <w:r w:rsidRPr="00167A1B">
        <w:rPr>
          <w:noProof w:val="0"/>
          <w:szCs w:val="22"/>
        </w:rPr>
        <w:t>From the RAPEX data analysis, almost all the technical defects that triggered the risk alerts failed to comply with safety requirements of the Low Voltage Directive</w:t>
      </w:r>
      <w:r w:rsidRPr="00167A1B">
        <w:rPr>
          <w:rStyle w:val="FootnoteReference"/>
          <w:noProof w:val="0"/>
          <w:sz w:val="22"/>
          <w:szCs w:val="22"/>
        </w:rPr>
        <w:footnoteReference w:id="43"/>
      </w:r>
      <w:r w:rsidRPr="00167A1B">
        <w:rPr>
          <w:noProof w:val="0"/>
          <w:szCs w:val="22"/>
        </w:rPr>
        <w:t>, due to one or more of the following technical defects:</w:t>
      </w:r>
    </w:p>
    <w:p w14:paraId="00F7F8F1" w14:textId="77777777" w:rsidR="00F15E82" w:rsidRPr="00167A1B" w:rsidRDefault="00F15E82" w:rsidP="00F15E82">
      <w:pPr>
        <w:pStyle w:val="bullet1"/>
        <w:rPr>
          <w:noProof w:val="0"/>
          <w:szCs w:val="22"/>
        </w:rPr>
      </w:pPr>
      <w:r w:rsidRPr="00167A1B">
        <w:rPr>
          <w:noProof w:val="0"/>
          <w:szCs w:val="22"/>
        </w:rPr>
        <w:t>Insufficient clearance or creepage distance between the primary and secondary parts of the transformer and the circuits, which could lead to the user receiving an electric shock;</w:t>
      </w:r>
    </w:p>
    <w:p w14:paraId="4415DCD0" w14:textId="77777777" w:rsidR="00F15E82" w:rsidRPr="00167A1B" w:rsidRDefault="00F15E82" w:rsidP="00F15E82">
      <w:pPr>
        <w:pStyle w:val="bullet1"/>
        <w:rPr>
          <w:noProof w:val="0"/>
          <w:szCs w:val="22"/>
        </w:rPr>
      </w:pPr>
      <w:r w:rsidRPr="00167A1B">
        <w:rPr>
          <w:noProof w:val="0"/>
          <w:szCs w:val="22"/>
        </w:rPr>
        <w:t>Lack of additional fixing of the soldered connections of the primary circuits. If a wire disconnects, the creepage distances and clearances of the reinforced insulation may be reduced;</w:t>
      </w:r>
    </w:p>
    <w:p w14:paraId="15C4F84D" w14:textId="77777777" w:rsidR="00F15E82" w:rsidRPr="00167A1B" w:rsidRDefault="00F15E82" w:rsidP="00F15E82">
      <w:pPr>
        <w:pStyle w:val="bullet1"/>
        <w:rPr>
          <w:noProof w:val="0"/>
          <w:szCs w:val="22"/>
        </w:rPr>
      </w:pPr>
      <w:r w:rsidRPr="00167A1B">
        <w:rPr>
          <w:noProof w:val="0"/>
          <w:szCs w:val="22"/>
        </w:rPr>
        <w:t>Inadequate electrical insulation and/or housing that is not sufficiently resistant to heat or breaking, as a result live parts could become accessible to the user and cause an electric shock, burns and a fire;</w:t>
      </w:r>
    </w:p>
    <w:p w14:paraId="40764DA8" w14:textId="77777777" w:rsidR="00F15E82" w:rsidRPr="00167A1B" w:rsidRDefault="00F15E82" w:rsidP="00F15E82">
      <w:pPr>
        <w:pStyle w:val="bullet1"/>
        <w:rPr>
          <w:noProof w:val="0"/>
          <w:szCs w:val="22"/>
        </w:rPr>
      </w:pPr>
      <w:r w:rsidRPr="00167A1B">
        <w:rPr>
          <w:noProof w:val="0"/>
          <w:szCs w:val="22"/>
        </w:rPr>
        <w:t>Poor product design, that does not withstand foreseeable electric current overloads, leading to the overheating of components with the risk fire.</w:t>
      </w:r>
    </w:p>
    <w:p w14:paraId="158DFBE7" w14:textId="77777777" w:rsidR="00F15E82" w:rsidRPr="00167A1B" w:rsidRDefault="00F15E82" w:rsidP="00F15E82">
      <w:pPr>
        <w:pStyle w:val="BodyText1"/>
        <w:rPr>
          <w:noProof w:val="0"/>
          <w:szCs w:val="22"/>
        </w:rPr>
      </w:pPr>
    </w:p>
    <w:p w14:paraId="0305868B" w14:textId="77777777" w:rsidR="00F15E82" w:rsidRPr="00167A1B" w:rsidRDefault="00F15E82" w:rsidP="00F15E82">
      <w:pPr>
        <w:pStyle w:val="BodyText1"/>
        <w:rPr>
          <w:noProof w:val="0"/>
          <w:szCs w:val="22"/>
        </w:rPr>
      </w:pPr>
    </w:p>
    <w:p w14:paraId="060729C3" w14:textId="77777777" w:rsidR="00F15E82" w:rsidRPr="00167A1B" w:rsidRDefault="00F15E82" w:rsidP="008C0CAD">
      <w:pPr>
        <w:pStyle w:val="Title2"/>
        <w:ind w:left="850"/>
        <w:outlineLvl w:val="1"/>
      </w:pPr>
      <w:bookmarkStart w:id="14" w:name="_Toc69284647"/>
      <w:bookmarkStart w:id="15" w:name="_Toc74319743"/>
      <w:r w:rsidRPr="00167A1B">
        <w:t>Scale and evolution of the problem</w:t>
      </w:r>
      <w:bookmarkEnd w:id="14"/>
      <w:bookmarkEnd w:id="15"/>
    </w:p>
    <w:p w14:paraId="5BD9D836" w14:textId="77777777" w:rsidR="00F15E82" w:rsidRPr="00167A1B" w:rsidRDefault="00F15E82" w:rsidP="00F15E82">
      <w:pPr>
        <w:pStyle w:val="BodyText1"/>
        <w:rPr>
          <w:noProof w:val="0"/>
        </w:rPr>
      </w:pPr>
      <w:r w:rsidRPr="00167A1B">
        <w:rPr>
          <w:noProof w:val="0"/>
        </w:rPr>
        <w:t xml:space="preserve">The table below summarises the current scale of the problem, and how we expect the drivers to evolve in the future under the baseline (no policy change) scenario: </w:t>
      </w:r>
    </w:p>
    <w:p w14:paraId="4F486D31" w14:textId="77777777" w:rsidR="00F15E82" w:rsidRPr="00167A1B" w:rsidRDefault="00F15E82" w:rsidP="00F15E82">
      <w:pPr>
        <w:pStyle w:val="04ABodyText"/>
        <w:rPr>
          <w:b/>
          <w:bCs/>
        </w:rPr>
        <w:sectPr w:rsidR="00F15E82" w:rsidRPr="00167A1B" w:rsidSect="00864B44">
          <w:headerReference w:type="even" r:id="rId29"/>
          <w:headerReference w:type="default" r:id="rId30"/>
          <w:footerReference w:type="default" r:id="rId31"/>
          <w:pgSz w:w="11907" w:h="16839" w:code="9"/>
          <w:pgMar w:top="1418" w:right="1418" w:bottom="851" w:left="1418" w:header="142" w:footer="352" w:gutter="0"/>
          <w:pgNumType w:start="1"/>
          <w:cols w:space="720"/>
          <w:titlePg/>
          <w:docGrid w:linePitch="326"/>
        </w:sectPr>
      </w:pPr>
    </w:p>
    <w:tbl>
      <w:tblPr>
        <w:tblStyle w:val="TableGrid"/>
        <w:tblW w:w="5340" w:type="pct"/>
        <w:tblLook w:val="0420" w:firstRow="1" w:lastRow="0" w:firstColumn="0" w:lastColumn="0" w:noHBand="0" w:noVBand="1"/>
      </w:tblPr>
      <w:tblGrid>
        <w:gridCol w:w="3175"/>
        <w:gridCol w:w="5611"/>
        <w:gridCol w:w="6130"/>
      </w:tblGrid>
      <w:tr w:rsidR="00F15E82" w:rsidRPr="00167A1B" w14:paraId="5759D1D2" w14:textId="77777777" w:rsidTr="006B7F15">
        <w:trPr>
          <w:cnfStyle w:val="100000000000" w:firstRow="1" w:lastRow="0" w:firstColumn="0" w:lastColumn="0" w:oddVBand="0" w:evenVBand="0" w:oddHBand="0" w:evenHBand="0" w:firstRowFirstColumn="0" w:firstRowLastColumn="0" w:lastRowFirstColumn="0" w:lastRowLastColumn="0"/>
          <w:trHeight w:val="489"/>
          <w:tblHeader/>
        </w:trPr>
        <w:tc>
          <w:tcPr>
            <w:tcW w:w="1064" w:type="pct"/>
          </w:tcPr>
          <w:p w14:paraId="2891DCB3" w14:textId="77777777" w:rsidR="00F15E82" w:rsidRPr="00167A1B" w:rsidRDefault="00F15E82" w:rsidP="007B22CF">
            <w:pPr>
              <w:pStyle w:val="BodyText1"/>
              <w:jc w:val="left"/>
              <w:rPr>
                <w:noProof w:val="0"/>
                <w:sz w:val="20"/>
              </w:rPr>
            </w:pPr>
            <w:bookmarkStart w:id="16" w:name="_Hlk69310128"/>
            <w:r w:rsidRPr="00167A1B">
              <w:rPr>
                <w:noProof w:val="0"/>
                <w:sz w:val="20"/>
              </w:rPr>
              <w:lastRenderedPageBreak/>
              <w:t>Driver</w:t>
            </w:r>
          </w:p>
        </w:tc>
        <w:tc>
          <w:tcPr>
            <w:tcW w:w="1881" w:type="pct"/>
          </w:tcPr>
          <w:p w14:paraId="7ECC8814" w14:textId="3F81A1DE" w:rsidR="00F15E82" w:rsidRPr="00167A1B" w:rsidRDefault="00F15E82" w:rsidP="007B22CF">
            <w:pPr>
              <w:pStyle w:val="BodyText1"/>
              <w:jc w:val="left"/>
              <w:rPr>
                <w:noProof w:val="0"/>
                <w:sz w:val="20"/>
              </w:rPr>
            </w:pPr>
            <w:r w:rsidRPr="00167A1B">
              <w:rPr>
                <w:noProof w:val="0"/>
                <w:sz w:val="20"/>
              </w:rPr>
              <w:t>Resulting problems and their scale</w:t>
            </w:r>
          </w:p>
        </w:tc>
        <w:tc>
          <w:tcPr>
            <w:tcW w:w="2055" w:type="pct"/>
          </w:tcPr>
          <w:p w14:paraId="078D6B4B" w14:textId="77777777" w:rsidR="00F15E82" w:rsidRPr="00167A1B" w:rsidRDefault="00F15E82" w:rsidP="007B22CF">
            <w:pPr>
              <w:pStyle w:val="BodyText1"/>
              <w:jc w:val="left"/>
              <w:rPr>
                <w:noProof w:val="0"/>
                <w:sz w:val="20"/>
              </w:rPr>
            </w:pPr>
            <w:r w:rsidRPr="00167A1B">
              <w:rPr>
                <w:noProof w:val="0"/>
                <w:sz w:val="20"/>
              </w:rPr>
              <w:t>Expected evolution under baseline / assumptions</w:t>
            </w:r>
          </w:p>
        </w:tc>
      </w:tr>
      <w:tr w:rsidR="00F15E82" w:rsidRPr="00167A1B" w14:paraId="43FA70BB" w14:textId="77777777" w:rsidTr="006B7F15">
        <w:trPr>
          <w:trHeight w:val="4309"/>
        </w:trPr>
        <w:tc>
          <w:tcPr>
            <w:tcW w:w="1064" w:type="pct"/>
          </w:tcPr>
          <w:p w14:paraId="2BD33A42" w14:textId="77777777" w:rsidR="00F15E82" w:rsidRPr="00167A1B" w:rsidRDefault="00F15E82" w:rsidP="007B22CF">
            <w:pPr>
              <w:pStyle w:val="BodyText1"/>
              <w:jc w:val="left"/>
              <w:rPr>
                <w:noProof w:val="0"/>
                <w:sz w:val="20"/>
              </w:rPr>
            </w:pPr>
            <w:r w:rsidRPr="00167A1B">
              <w:rPr>
                <w:noProof w:val="0"/>
                <w:sz w:val="20"/>
              </w:rPr>
              <w:t>The MoU expired and the new MoU proposed did not align with harmonisation and environmental objectives</w:t>
            </w:r>
          </w:p>
        </w:tc>
        <w:tc>
          <w:tcPr>
            <w:tcW w:w="1881" w:type="pct"/>
          </w:tcPr>
          <w:p w14:paraId="616ECF11" w14:textId="77777777" w:rsidR="00F15E82" w:rsidRPr="00167A1B" w:rsidRDefault="00F15E82" w:rsidP="007B22CF">
            <w:pPr>
              <w:pStyle w:val="BodyText1"/>
              <w:jc w:val="left"/>
              <w:rPr>
                <w:noProof w:val="0"/>
                <w:sz w:val="20"/>
              </w:rPr>
            </w:pPr>
            <w:r w:rsidRPr="00167A1B">
              <w:rPr>
                <w:noProof w:val="0"/>
                <w:sz w:val="20"/>
              </w:rPr>
              <w:t>The signatories of the 2018 MoU represented just over half of the EU market (54% in units of sales). The scope of the MoU was only smartphones, it did not cover battery charging protocols and it still allowed the use of proprietary connectors.</w:t>
            </w:r>
          </w:p>
        </w:tc>
        <w:tc>
          <w:tcPr>
            <w:tcW w:w="2055" w:type="pct"/>
          </w:tcPr>
          <w:p w14:paraId="730A97E3" w14:textId="77777777" w:rsidR="00F15E82" w:rsidRPr="00167A1B" w:rsidRDefault="00F15E82" w:rsidP="007B22CF">
            <w:pPr>
              <w:pStyle w:val="BodyText1"/>
              <w:jc w:val="left"/>
              <w:rPr>
                <w:noProof w:val="0"/>
                <w:sz w:val="20"/>
              </w:rPr>
            </w:pPr>
            <w:r w:rsidRPr="00167A1B">
              <w:rPr>
                <w:noProof w:val="0"/>
                <w:sz w:val="20"/>
              </w:rPr>
              <w:t>It seems unlikely that a voluntary agreement that satisfies both the Commission and the industry’s objectives in terms of harmonisation of connectors may be reached. A voluntary approach, however, is the option preferred by the industry. In the stakeholder survey, 64% of respondents from private companies agreed that the EU should work with the industry (mobile phone manufacturers and distributors) to explore how they could decouple voluntarily.</w:t>
            </w:r>
          </w:p>
          <w:p w14:paraId="7871E210" w14:textId="77777777" w:rsidR="00F15E82" w:rsidRPr="00167A1B" w:rsidRDefault="00F15E82" w:rsidP="007B22CF">
            <w:pPr>
              <w:pStyle w:val="BodyText1"/>
              <w:jc w:val="left"/>
              <w:rPr>
                <w:noProof w:val="0"/>
                <w:sz w:val="20"/>
              </w:rPr>
            </w:pPr>
            <w:r w:rsidRPr="00167A1B">
              <w:rPr>
                <w:noProof w:val="0"/>
                <w:sz w:val="20"/>
              </w:rPr>
              <w:t>IEC is about to publish a revision of their standard IEC 63002, which provides common charging interoperability guidelines for EPS used with computing and consumer electronic devices that implement IEC 62680-1-3 (USB Type-C®1 Cable and Connector Specification) and IEC 62680-1-2 (USB Power Delivery). The standard is “expected to make a significant contribution to the global goals of consumer convenience and re-usability of power supplies by expanding common charging interoperability across different product categories while preserving backwards compatibility with the installed base of billions of IEC 62680 compliant devices worldwide”.</w:t>
            </w:r>
            <w:r w:rsidRPr="00167A1B">
              <w:rPr>
                <w:rStyle w:val="FootnoteReference"/>
                <w:rFonts w:cstheme="majorHAnsi"/>
                <w:noProof w:val="0"/>
                <w:sz w:val="20"/>
              </w:rPr>
              <w:footnoteReference w:id="44"/>
            </w:r>
            <w:r w:rsidRPr="00167A1B">
              <w:rPr>
                <w:noProof w:val="0"/>
                <w:sz w:val="20"/>
              </w:rPr>
              <w:t xml:space="preserve"> If it achieves broad adoption by industry, it may provide the legal certainty the Commission is looking for in terms of harmonisation of battery charging protocols and (partly) connectors.</w:t>
            </w:r>
            <w:r w:rsidRPr="00167A1B">
              <w:rPr>
                <w:rStyle w:val="FootnoteReference"/>
                <w:rFonts w:cstheme="majorHAnsi"/>
                <w:noProof w:val="0"/>
                <w:sz w:val="20"/>
              </w:rPr>
              <w:footnoteReference w:id="45"/>
            </w:r>
          </w:p>
        </w:tc>
      </w:tr>
      <w:tr w:rsidR="00F15E82" w:rsidRPr="00167A1B" w14:paraId="7445A8E6" w14:textId="77777777" w:rsidTr="008C0CAD">
        <w:trPr>
          <w:trHeight w:val="204"/>
        </w:trPr>
        <w:tc>
          <w:tcPr>
            <w:tcW w:w="1064" w:type="pct"/>
          </w:tcPr>
          <w:p w14:paraId="79C38594" w14:textId="0A22A8EA" w:rsidR="00F15E82" w:rsidRPr="00167A1B" w:rsidRDefault="00F15E82" w:rsidP="007B22CF">
            <w:pPr>
              <w:pStyle w:val="BodyText1"/>
              <w:jc w:val="left"/>
              <w:rPr>
                <w:noProof w:val="0"/>
                <w:sz w:val="20"/>
              </w:rPr>
            </w:pPr>
            <w:r w:rsidRPr="00167A1B">
              <w:rPr>
                <w:noProof w:val="0"/>
                <w:sz w:val="20"/>
              </w:rPr>
              <w:t xml:space="preserve">Proprietary charging solutions </w:t>
            </w:r>
            <w:r w:rsidR="00D47780" w:rsidRPr="00167A1B">
              <w:rPr>
                <w:noProof w:val="0"/>
                <w:sz w:val="20"/>
              </w:rPr>
              <w:t xml:space="preserve">(connectors) </w:t>
            </w:r>
            <w:r w:rsidRPr="00167A1B">
              <w:rPr>
                <w:noProof w:val="0"/>
                <w:sz w:val="20"/>
              </w:rPr>
              <w:t>exist and manufacturers seek competitive advantage and commercial benefits</w:t>
            </w:r>
          </w:p>
        </w:tc>
        <w:tc>
          <w:tcPr>
            <w:tcW w:w="1881" w:type="pct"/>
          </w:tcPr>
          <w:p w14:paraId="5CE88230" w14:textId="77777777" w:rsidR="00F15E82" w:rsidRPr="00167A1B" w:rsidRDefault="00F15E82" w:rsidP="007B22CF">
            <w:pPr>
              <w:pStyle w:val="BodyText1"/>
              <w:jc w:val="left"/>
              <w:rPr>
                <w:noProof w:val="0"/>
                <w:sz w:val="20"/>
              </w:rPr>
            </w:pPr>
            <w:r w:rsidRPr="00167A1B">
              <w:rPr>
                <w:noProof w:val="0"/>
                <w:sz w:val="20"/>
              </w:rPr>
              <w:t>Currently, phones use three types of connectors: USB Type C, USB micro-B, and Lightning. In 2019, the share of mobile phones sold in the EU using each type of connector was:</w:t>
            </w:r>
            <w:r w:rsidRPr="00167A1B">
              <w:rPr>
                <w:rStyle w:val="FootnoteReference"/>
                <w:rFonts w:cstheme="majorHAnsi"/>
                <w:noProof w:val="0"/>
                <w:sz w:val="20"/>
              </w:rPr>
              <w:footnoteReference w:id="46"/>
            </w:r>
          </w:p>
          <w:p w14:paraId="5ED75C5A" w14:textId="77777777" w:rsidR="00F15E82" w:rsidRPr="00167A1B" w:rsidRDefault="00F15E82" w:rsidP="00827359">
            <w:pPr>
              <w:pStyle w:val="BodyText1"/>
              <w:numPr>
                <w:ilvl w:val="0"/>
                <w:numId w:val="32"/>
              </w:numPr>
              <w:contextualSpacing/>
              <w:jc w:val="left"/>
              <w:rPr>
                <w:noProof w:val="0"/>
                <w:sz w:val="20"/>
              </w:rPr>
            </w:pPr>
            <w:r w:rsidRPr="00167A1B">
              <w:rPr>
                <w:noProof w:val="0"/>
                <w:sz w:val="20"/>
              </w:rPr>
              <w:t>USB Type C: 44%</w:t>
            </w:r>
          </w:p>
          <w:p w14:paraId="06FEDEA3" w14:textId="77777777" w:rsidR="00F15E82" w:rsidRPr="00167A1B" w:rsidRDefault="00F15E82" w:rsidP="00827359">
            <w:pPr>
              <w:pStyle w:val="BodyText1"/>
              <w:numPr>
                <w:ilvl w:val="0"/>
                <w:numId w:val="32"/>
              </w:numPr>
              <w:contextualSpacing/>
              <w:jc w:val="left"/>
              <w:rPr>
                <w:noProof w:val="0"/>
                <w:sz w:val="20"/>
              </w:rPr>
            </w:pPr>
            <w:r w:rsidRPr="00167A1B">
              <w:rPr>
                <w:noProof w:val="0"/>
                <w:sz w:val="20"/>
              </w:rPr>
              <w:t xml:space="preserve">USB micro-B: 38% </w:t>
            </w:r>
          </w:p>
          <w:p w14:paraId="6155D19E" w14:textId="3CAB1C75" w:rsidR="00F15E82" w:rsidRPr="00167A1B" w:rsidRDefault="00F15E82" w:rsidP="008C0CAD">
            <w:pPr>
              <w:pStyle w:val="BodyText1"/>
              <w:numPr>
                <w:ilvl w:val="0"/>
                <w:numId w:val="32"/>
              </w:numPr>
              <w:contextualSpacing/>
              <w:jc w:val="left"/>
              <w:rPr>
                <w:noProof w:val="0"/>
                <w:sz w:val="20"/>
              </w:rPr>
            </w:pPr>
            <w:r w:rsidRPr="00167A1B">
              <w:rPr>
                <w:noProof w:val="0"/>
                <w:sz w:val="20"/>
              </w:rPr>
              <w:t xml:space="preserve">Lightning: 18% </w:t>
            </w:r>
          </w:p>
        </w:tc>
        <w:tc>
          <w:tcPr>
            <w:tcW w:w="2055" w:type="pct"/>
          </w:tcPr>
          <w:p w14:paraId="1832E9F2" w14:textId="08691BAF" w:rsidR="00F15E82" w:rsidRPr="00167A1B" w:rsidRDefault="00F15E82" w:rsidP="007B22CF">
            <w:pPr>
              <w:pStyle w:val="BodyText1"/>
              <w:jc w:val="left"/>
              <w:rPr>
                <w:noProof w:val="0"/>
                <w:sz w:val="20"/>
              </w:rPr>
            </w:pPr>
            <w:r w:rsidRPr="00167A1B">
              <w:rPr>
                <w:noProof w:val="0"/>
                <w:sz w:val="20"/>
              </w:rPr>
              <w:t>USB micro-B is expected to be completely superseded by USB Type C by 2026. The use of Lightning connectors will remain constant at 18%, as the driver for Apple to continue using Lightning won’t change.</w:t>
            </w:r>
          </w:p>
        </w:tc>
      </w:tr>
      <w:bookmarkEnd w:id="16"/>
      <w:tr w:rsidR="00D47780" w:rsidRPr="00167A1B" w14:paraId="6902DB38" w14:textId="77777777" w:rsidTr="006B7F15">
        <w:trPr>
          <w:trHeight w:val="144"/>
        </w:trPr>
        <w:tc>
          <w:tcPr>
            <w:tcW w:w="1064" w:type="pct"/>
          </w:tcPr>
          <w:p w14:paraId="75376314" w14:textId="610AE6F2" w:rsidR="00D47780" w:rsidRPr="00167A1B" w:rsidRDefault="00D47780" w:rsidP="00D47780">
            <w:pPr>
              <w:pStyle w:val="BodyText1"/>
              <w:jc w:val="left"/>
              <w:rPr>
                <w:noProof w:val="0"/>
                <w:sz w:val="20"/>
              </w:rPr>
            </w:pPr>
            <w:r w:rsidRPr="00167A1B">
              <w:rPr>
                <w:noProof w:val="0"/>
                <w:sz w:val="20"/>
              </w:rPr>
              <w:lastRenderedPageBreak/>
              <w:t>Proprietary charging solutions (battery charging protocols) exist and manufacturers seek competitive advantage and commercial benefits</w:t>
            </w:r>
          </w:p>
        </w:tc>
        <w:tc>
          <w:tcPr>
            <w:tcW w:w="1881" w:type="pct"/>
          </w:tcPr>
          <w:p w14:paraId="0AAFBB6A" w14:textId="274A9E8D" w:rsidR="00D47780" w:rsidRPr="00167A1B" w:rsidRDefault="00D47780" w:rsidP="00D47780">
            <w:pPr>
              <w:pStyle w:val="BodyText1"/>
              <w:jc w:val="left"/>
              <w:rPr>
                <w:noProof w:val="0"/>
                <w:sz w:val="20"/>
              </w:rPr>
            </w:pPr>
            <w:r w:rsidRPr="00167A1B">
              <w:rPr>
                <w:noProof w:val="0"/>
                <w:sz w:val="20"/>
              </w:rPr>
              <w:t>It is estimated that market shares of mobile phones and EPS sold along with phones in 2019 were as follows:</w:t>
            </w:r>
          </w:p>
          <w:p w14:paraId="12B581FD" w14:textId="77777777" w:rsidR="00D47780" w:rsidRPr="00167A1B" w:rsidRDefault="00D47780" w:rsidP="00D47780">
            <w:pPr>
              <w:pStyle w:val="BodyText1"/>
              <w:numPr>
                <w:ilvl w:val="0"/>
                <w:numId w:val="33"/>
              </w:numPr>
              <w:jc w:val="left"/>
              <w:rPr>
                <w:noProof w:val="0"/>
                <w:sz w:val="20"/>
              </w:rPr>
            </w:pPr>
            <w:r w:rsidRPr="00167A1B">
              <w:rPr>
                <w:noProof w:val="0"/>
                <w:sz w:val="20"/>
              </w:rPr>
              <w:t>USB Battery Charging (up to 7.5W) or QC 1/2/3: 45% of EPS and 38% of mobile phones</w:t>
            </w:r>
            <w:r w:rsidRPr="00167A1B">
              <w:rPr>
                <w:rStyle w:val="FootnoteReference"/>
                <w:noProof w:val="0"/>
                <w:sz w:val="20"/>
              </w:rPr>
              <w:footnoteReference w:id="47"/>
            </w:r>
          </w:p>
          <w:p w14:paraId="58488E64" w14:textId="77777777" w:rsidR="00D47780" w:rsidRPr="00167A1B" w:rsidRDefault="00D47780" w:rsidP="00D47780">
            <w:pPr>
              <w:pStyle w:val="BodyText1"/>
              <w:numPr>
                <w:ilvl w:val="0"/>
                <w:numId w:val="33"/>
              </w:numPr>
              <w:jc w:val="left"/>
              <w:rPr>
                <w:noProof w:val="0"/>
                <w:sz w:val="20"/>
              </w:rPr>
            </w:pPr>
            <w:r w:rsidRPr="00167A1B">
              <w:rPr>
                <w:noProof w:val="0"/>
                <w:sz w:val="20"/>
              </w:rPr>
              <w:t>USB Type C (up to 15W), USB PD (up to 100W) or QC 4/5: 22% of EPS and 39% of mobile phones</w:t>
            </w:r>
          </w:p>
          <w:p w14:paraId="728B771B" w14:textId="77777777" w:rsidR="00D47780" w:rsidRPr="00167A1B" w:rsidRDefault="00D47780" w:rsidP="00D47780">
            <w:pPr>
              <w:pStyle w:val="BodyText1"/>
              <w:numPr>
                <w:ilvl w:val="0"/>
                <w:numId w:val="33"/>
              </w:numPr>
              <w:jc w:val="left"/>
              <w:rPr>
                <w:noProof w:val="0"/>
                <w:sz w:val="20"/>
              </w:rPr>
            </w:pPr>
            <w:r w:rsidRPr="00167A1B">
              <w:rPr>
                <w:noProof w:val="0"/>
                <w:sz w:val="20"/>
              </w:rPr>
              <w:t>Huawei SuperCharge: 22% of phones and EPS</w:t>
            </w:r>
          </w:p>
          <w:p w14:paraId="68E0DAF8" w14:textId="6B652C69" w:rsidR="00D47780" w:rsidRPr="00167A1B" w:rsidRDefault="00D47780" w:rsidP="00D47780">
            <w:pPr>
              <w:pStyle w:val="BodyText1"/>
              <w:jc w:val="left"/>
              <w:rPr>
                <w:noProof w:val="0"/>
                <w:sz w:val="20"/>
              </w:rPr>
            </w:pPr>
            <w:r w:rsidRPr="00167A1B">
              <w:rPr>
                <w:noProof w:val="0"/>
                <w:sz w:val="20"/>
              </w:rPr>
              <w:t>Oppo VOOC: 1%</w:t>
            </w:r>
          </w:p>
        </w:tc>
        <w:tc>
          <w:tcPr>
            <w:tcW w:w="2055" w:type="pct"/>
          </w:tcPr>
          <w:p w14:paraId="1FC847A2" w14:textId="77777777" w:rsidR="00D47780" w:rsidRPr="00167A1B" w:rsidRDefault="00D47780" w:rsidP="00D47780">
            <w:pPr>
              <w:pStyle w:val="BodyText1"/>
              <w:jc w:val="left"/>
              <w:rPr>
                <w:noProof w:val="0"/>
                <w:sz w:val="20"/>
              </w:rPr>
            </w:pPr>
            <w:r w:rsidRPr="00167A1B">
              <w:rPr>
                <w:noProof w:val="0"/>
                <w:sz w:val="20"/>
              </w:rPr>
              <w:t xml:space="preserve">The share of the proprietary charging technologies Huawei SuperCharge and Oppo VOOC will also remain constant at 22% and 1%, respectively (this assumes manufacturers’ market shares remain constant), as the driver for these manufacturers to continue using proprietary fast charging solutions won’t change. </w:t>
            </w:r>
          </w:p>
          <w:p w14:paraId="153D3ABB" w14:textId="6170CC98" w:rsidR="00D47780" w:rsidRPr="00167A1B" w:rsidRDefault="00D47780" w:rsidP="00D47780">
            <w:pPr>
              <w:pStyle w:val="BodyText1"/>
              <w:jc w:val="left"/>
              <w:rPr>
                <w:noProof w:val="0"/>
                <w:sz w:val="20"/>
              </w:rPr>
            </w:pPr>
            <w:r w:rsidRPr="00167A1B">
              <w:rPr>
                <w:noProof w:val="0"/>
                <w:sz w:val="20"/>
              </w:rPr>
              <w:t>USB BC and old versions of QC will gradually be replaced by fast charging standards (USB Type C and USB PD) or QC 4/5, which are fully compliant with USB PD. It is expected that only 11% of the EPS placed in the EU market along with a mobile phone by 2030 will continue using USB BC or old versions of QC.</w:t>
            </w:r>
          </w:p>
        </w:tc>
      </w:tr>
      <w:tr w:rsidR="00D47780" w:rsidRPr="00167A1B" w14:paraId="56CEBF53" w14:textId="77777777" w:rsidTr="006B7F15">
        <w:trPr>
          <w:trHeight w:val="144"/>
        </w:trPr>
        <w:tc>
          <w:tcPr>
            <w:tcW w:w="1064" w:type="pct"/>
          </w:tcPr>
          <w:p w14:paraId="2F6D8467" w14:textId="77777777" w:rsidR="00D47780" w:rsidRPr="00167A1B" w:rsidRDefault="00D47780" w:rsidP="00D47780">
            <w:pPr>
              <w:pStyle w:val="BodyText1"/>
              <w:jc w:val="left"/>
              <w:rPr>
                <w:noProof w:val="0"/>
                <w:sz w:val="20"/>
              </w:rPr>
            </w:pPr>
            <w:r w:rsidRPr="00167A1B">
              <w:rPr>
                <w:noProof w:val="0"/>
                <w:sz w:val="20"/>
              </w:rPr>
              <w:t>Consumers do not know most chargers are interoperable</w:t>
            </w:r>
          </w:p>
        </w:tc>
        <w:tc>
          <w:tcPr>
            <w:tcW w:w="1881" w:type="pct"/>
          </w:tcPr>
          <w:p w14:paraId="177D3F35" w14:textId="77777777" w:rsidR="00D47780" w:rsidRPr="00167A1B" w:rsidRDefault="00D47780" w:rsidP="00D47780">
            <w:pPr>
              <w:pStyle w:val="BodyText1"/>
              <w:jc w:val="left"/>
              <w:rPr>
                <w:noProof w:val="0"/>
                <w:sz w:val="20"/>
              </w:rPr>
            </w:pPr>
            <w:r w:rsidRPr="00167A1B">
              <w:rPr>
                <w:noProof w:val="0"/>
                <w:sz w:val="20"/>
              </w:rPr>
              <w:t>Almost a fifth of consumers (19%) who participated in the survey did not know that most chargers are interoperable, and 36% partly knew it. The survey conducted in the first IA revealed that almost a third (30%) of consumers have been confused over which charger to use for different mobile phones. For 1% it happened almost every day, for 5% on numerous occasions, for 12% a few times, and for 13% once or twice. In addition, only 15% of respondents indicated that they used their mobile phone chargers to charge other mobile phones, and 14% used it to charge other devices. This indicates that consumers are not taking full advantage of the interoperability of their chargers.</w:t>
            </w:r>
          </w:p>
          <w:p w14:paraId="3AEE9B49" w14:textId="77777777" w:rsidR="00D47780" w:rsidRPr="00167A1B" w:rsidRDefault="00D47780" w:rsidP="00D47780">
            <w:pPr>
              <w:pStyle w:val="BodyText1"/>
              <w:jc w:val="left"/>
              <w:rPr>
                <w:noProof w:val="0"/>
                <w:sz w:val="20"/>
              </w:rPr>
            </w:pPr>
            <w:r w:rsidRPr="00167A1B">
              <w:rPr>
                <w:noProof w:val="0"/>
                <w:sz w:val="20"/>
              </w:rPr>
              <w:t>Currently, all the EPS sold with mobile phones can charge other devices.</w:t>
            </w:r>
            <w:r w:rsidRPr="00167A1B">
              <w:rPr>
                <w:rStyle w:val="FootnoteReference"/>
                <w:noProof w:val="0"/>
                <w:sz w:val="20"/>
              </w:rPr>
              <w:footnoteReference w:id="48"/>
            </w:r>
            <w:r w:rsidRPr="00167A1B">
              <w:rPr>
                <w:noProof w:val="0"/>
                <w:sz w:val="20"/>
              </w:rPr>
              <w:t xml:space="preserve"> If the EPS supports USB PD, then the fast charge is assured for all phones with fast charging capabilities (provided the right cable is used</w:t>
            </w:r>
            <w:r w:rsidRPr="00167A1B">
              <w:rPr>
                <w:rStyle w:val="FootnoteReference"/>
                <w:noProof w:val="0"/>
                <w:sz w:val="20"/>
              </w:rPr>
              <w:footnoteReference w:id="49"/>
            </w:r>
            <w:r w:rsidRPr="00167A1B">
              <w:rPr>
                <w:noProof w:val="0"/>
                <w:sz w:val="20"/>
              </w:rPr>
              <w:t xml:space="preserve">). If the EPS </w:t>
            </w:r>
            <w:r w:rsidRPr="00167A1B">
              <w:rPr>
                <w:noProof w:val="0"/>
                <w:sz w:val="20"/>
              </w:rPr>
              <w:lastRenderedPageBreak/>
              <w:t>uses only proprietary fast charging solutions, then it will charge other brands’ phones at maximum 7.5W.</w:t>
            </w:r>
          </w:p>
        </w:tc>
        <w:tc>
          <w:tcPr>
            <w:tcW w:w="2055" w:type="pct"/>
          </w:tcPr>
          <w:p w14:paraId="6EC820D9" w14:textId="77777777" w:rsidR="00D47780" w:rsidRPr="00167A1B" w:rsidRDefault="00D47780" w:rsidP="00D47780">
            <w:pPr>
              <w:pStyle w:val="BodyText1"/>
              <w:jc w:val="left"/>
              <w:rPr>
                <w:noProof w:val="0"/>
                <w:sz w:val="20"/>
              </w:rPr>
            </w:pPr>
            <w:r w:rsidRPr="00167A1B">
              <w:rPr>
                <w:noProof w:val="0"/>
                <w:sz w:val="20"/>
              </w:rPr>
              <w:lastRenderedPageBreak/>
              <w:t>The evolution of this problem will partly depend on the adoption of standard battery charging protocols by manufacturers, which would provide more reliability on interoperability. It is not expected that any of the main manufacturers will change their main battery charging protocols. Only small manufacturers who have not yet adopted fast charging solutions may start using them in the future, and these will likely be standard solutions.</w:t>
            </w:r>
          </w:p>
          <w:p w14:paraId="0EA1232A" w14:textId="77777777" w:rsidR="00D47780" w:rsidRPr="00167A1B" w:rsidRDefault="00D47780" w:rsidP="00D47780">
            <w:pPr>
              <w:pStyle w:val="BodyText1"/>
              <w:jc w:val="left"/>
              <w:rPr>
                <w:noProof w:val="0"/>
                <w:sz w:val="20"/>
              </w:rPr>
            </w:pPr>
            <w:r w:rsidRPr="00167A1B">
              <w:rPr>
                <w:noProof w:val="0"/>
                <w:sz w:val="20"/>
              </w:rPr>
              <w:t>Unbundling may also force consumers to educate themselves on which charger works with their phone.</w:t>
            </w:r>
          </w:p>
        </w:tc>
      </w:tr>
      <w:tr w:rsidR="00D47780" w:rsidRPr="00167A1B" w14:paraId="3021006B" w14:textId="77777777" w:rsidTr="006B7F15">
        <w:trPr>
          <w:trHeight w:val="144"/>
        </w:trPr>
        <w:tc>
          <w:tcPr>
            <w:tcW w:w="1064" w:type="pct"/>
          </w:tcPr>
          <w:p w14:paraId="548EAE6A" w14:textId="77777777" w:rsidR="00D47780" w:rsidRPr="00167A1B" w:rsidRDefault="00D47780" w:rsidP="00D47780">
            <w:pPr>
              <w:pStyle w:val="BodyText1"/>
              <w:jc w:val="left"/>
              <w:rPr>
                <w:noProof w:val="0"/>
                <w:sz w:val="20"/>
              </w:rPr>
            </w:pPr>
            <w:r w:rsidRPr="00167A1B">
              <w:rPr>
                <w:noProof w:val="0"/>
                <w:sz w:val="20"/>
              </w:rPr>
              <w:t>Some consumers find it convenient to get a charger with each phone</w:t>
            </w:r>
          </w:p>
        </w:tc>
        <w:tc>
          <w:tcPr>
            <w:tcW w:w="1881" w:type="pct"/>
          </w:tcPr>
          <w:p w14:paraId="00C5FB7E" w14:textId="77777777" w:rsidR="00D47780" w:rsidRPr="00167A1B" w:rsidRDefault="00D47780" w:rsidP="00D47780">
            <w:pPr>
              <w:pStyle w:val="BodyText1"/>
              <w:jc w:val="left"/>
              <w:rPr>
                <w:noProof w:val="0"/>
                <w:sz w:val="20"/>
              </w:rPr>
            </w:pPr>
            <w:r w:rsidRPr="00167A1B">
              <w:rPr>
                <w:noProof w:val="0"/>
                <w:sz w:val="20"/>
              </w:rPr>
              <w:t>8 in 10 consumers find it important to have an EPS in the box, and 9 in 10 find it important to find a cable in the box. These figures did not change significantly after consumers were provided with information on interoperability, environmental impacts, safety, and performance.</w:t>
            </w:r>
          </w:p>
        </w:tc>
        <w:tc>
          <w:tcPr>
            <w:tcW w:w="2055" w:type="pct"/>
          </w:tcPr>
          <w:p w14:paraId="464DC23A" w14:textId="170F915E" w:rsidR="00D47780" w:rsidRPr="00167A1B" w:rsidRDefault="00D47780" w:rsidP="00D47780">
            <w:pPr>
              <w:pStyle w:val="BodyText1"/>
              <w:jc w:val="left"/>
              <w:rPr>
                <w:noProof w:val="0"/>
                <w:sz w:val="20"/>
              </w:rPr>
            </w:pPr>
            <w:r w:rsidRPr="00167A1B">
              <w:rPr>
                <w:noProof w:val="0"/>
                <w:sz w:val="20"/>
              </w:rPr>
              <w:t xml:space="preserve">The evolution of this driver is uncertain. Around half of respondents (54%) indicated they thought it is important to get an EPS with a new phone because of habit (i.e. they are used to find it in the box). If manufacturers continue unbundling, consumers may become used not to get it with their phone and perceive lower inconvenience. However, other factors were almost as important for consumers: </w:t>
            </w:r>
            <w:r w:rsidR="00167A1B" w:rsidRPr="00167A1B">
              <w:rPr>
                <w:noProof w:val="0"/>
                <w:sz w:val="20"/>
              </w:rPr>
              <w:t>safety</w:t>
            </w:r>
            <w:r w:rsidRPr="00167A1B">
              <w:rPr>
                <w:noProof w:val="0"/>
                <w:sz w:val="20"/>
              </w:rPr>
              <w:t xml:space="preserve"> (45%) and performance (44%).</w:t>
            </w:r>
          </w:p>
        </w:tc>
      </w:tr>
      <w:tr w:rsidR="00D47780" w:rsidRPr="00167A1B" w14:paraId="47A57A81" w14:textId="77777777" w:rsidTr="006B7F15">
        <w:trPr>
          <w:trHeight w:val="1749"/>
        </w:trPr>
        <w:tc>
          <w:tcPr>
            <w:tcW w:w="1064" w:type="pct"/>
          </w:tcPr>
          <w:p w14:paraId="7D19C389" w14:textId="68A898F3" w:rsidR="00D47780" w:rsidRPr="00167A1B" w:rsidRDefault="00D47780" w:rsidP="00D47780">
            <w:pPr>
              <w:pStyle w:val="BodyText1"/>
              <w:jc w:val="left"/>
              <w:rPr>
                <w:noProof w:val="0"/>
                <w:sz w:val="20"/>
              </w:rPr>
            </w:pPr>
            <w:r w:rsidRPr="00167A1B">
              <w:rPr>
                <w:noProof w:val="0"/>
                <w:sz w:val="20"/>
              </w:rPr>
              <w:t xml:space="preserve">A few manufacturers and most consumers do not </w:t>
            </w:r>
            <w:proofErr w:type="gramStart"/>
            <w:r w:rsidRPr="00167A1B">
              <w:rPr>
                <w:noProof w:val="0"/>
                <w:sz w:val="20"/>
              </w:rPr>
              <w:t>take into account</w:t>
            </w:r>
            <w:proofErr w:type="gramEnd"/>
            <w:r w:rsidRPr="00167A1B">
              <w:rPr>
                <w:noProof w:val="0"/>
                <w:sz w:val="20"/>
              </w:rPr>
              <w:t xml:space="preserve"> the cost of pollution generated in the production, shipment and disposal of the chargers they sell/buy.</w:t>
            </w:r>
          </w:p>
        </w:tc>
        <w:tc>
          <w:tcPr>
            <w:tcW w:w="1881" w:type="pct"/>
          </w:tcPr>
          <w:p w14:paraId="606F6796" w14:textId="5BE23753" w:rsidR="00D47780" w:rsidRPr="00167A1B" w:rsidRDefault="00D47780" w:rsidP="00D47780">
            <w:pPr>
              <w:pStyle w:val="BodyText1"/>
              <w:jc w:val="left"/>
              <w:rPr>
                <w:noProof w:val="0"/>
                <w:sz w:val="20"/>
              </w:rPr>
            </w:pPr>
            <w:r w:rsidRPr="00167A1B">
              <w:rPr>
                <w:noProof w:val="0"/>
                <w:sz w:val="20"/>
              </w:rPr>
              <w:t>All manufacturers who have started unbundling have argued they do so for environmental reasons. These manufacturers represent 52% of the market in the EU27 (IDC data for 2018), although they do not yet unbundle all their mobile phones.</w:t>
            </w:r>
          </w:p>
          <w:p w14:paraId="2CE5D968" w14:textId="77777777" w:rsidR="00D47780" w:rsidRPr="00167A1B" w:rsidRDefault="00D47780" w:rsidP="00D47780">
            <w:pPr>
              <w:pStyle w:val="BodyText1"/>
              <w:jc w:val="left"/>
              <w:rPr>
                <w:noProof w:val="0"/>
                <w:sz w:val="20"/>
              </w:rPr>
            </w:pPr>
            <w:r w:rsidRPr="00167A1B">
              <w:rPr>
                <w:noProof w:val="0"/>
                <w:sz w:val="20"/>
              </w:rPr>
              <w:t xml:space="preserve">Other manufacturers argued that the shipment of EPS/cables out of the box might be detrimental for the environment if </w:t>
            </w:r>
            <w:proofErr w:type="gramStart"/>
            <w:r w:rsidRPr="00167A1B">
              <w:rPr>
                <w:noProof w:val="0"/>
                <w:sz w:val="20"/>
              </w:rPr>
              <w:t>a majority of</w:t>
            </w:r>
            <w:proofErr w:type="gramEnd"/>
            <w:r w:rsidRPr="00167A1B">
              <w:rPr>
                <w:noProof w:val="0"/>
                <w:sz w:val="20"/>
              </w:rPr>
              <w:t xml:space="preserve"> consumers continue buying a charger with their new phone, as it would add additional packaging and GHG emissions in transport.</w:t>
            </w:r>
          </w:p>
          <w:p w14:paraId="08D2448D" w14:textId="77777777" w:rsidR="00D47780" w:rsidRPr="00167A1B" w:rsidRDefault="00D47780" w:rsidP="00D47780">
            <w:pPr>
              <w:pStyle w:val="BodyText1"/>
              <w:jc w:val="left"/>
              <w:rPr>
                <w:noProof w:val="0"/>
                <w:sz w:val="20"/>
              </w:rPr>
            </w:pPr>
            <w:r w:rsidRPr="00167A1B">
              <w:rPr>
                <w:noProof w:val="0"/>
                <w:sz w:val="20"/>
              </w:rPr>
              <w:t xml:space="preserve">Only a minority of consumers (29%) know of the environmental impacts of chargers. The consumer survey suggested 57% of consumers would purchase an EPS when they buy an unbundled phone. </w:t>
            </w:r>
          </w:p>
        </w:tc>
        <w:tc>
          <w:tcPr>
            <w:tcW w:w="2055" w:type="pct"/>
          </w:tcPr>
          <w:p w14:paraId="059C7991" w14:textId="77777777" w:rsidR="00D47780" w:rsidRPr="00167A1B" w:rsidRDefault="00D47780" w:rsidP="00D47780">
            <w:pPr>
              <w:pStyle w:val="BodyText1"/>
              <w:jc w:val="left"/>
              <w:rPr>
                <w:noProof w:val="0"/>
                <w:sz w:val="20"/>
              </w:rPr>
            </w:pPr>
            <w:r w:rsidRPr="00167A1B">
              <w:rPr>
                <w:noProof w:val="0"/>
                <w:sz w:val="20"/>
              </w:rPr>
              <w:t>As more data becomes available on environmental impacts of unbundling (from manufacturers who are already piloting it), it is expected that environmental impacts will be taken more into account in the decision of unbundling or not. It is expected that in the baseline, unbundling of the EPS will reach 54% of the market by 2030.</w:t>
            </w:r>
            <w:r w:rsidRPr="00167A1B">
              <w:rPr>
                <w:rStyle w:val="FootnoteReference"/>
                <w:noProof w:val="0"/>
                <w:sz w:val="20"/>
              </w:rPr>
              <w:t xml:space="preserve"> </w:t>
            </w:r>
            <w:r w:rsidRPr="00167A1B">
              <w:rPr>
                <w:rStyle w:val="FootnoteReference"/>
                <w:noProof w:val="0"/>
                <w:sz w:val="20"/>
              </w:rPr>
              <w:footnoteReference w:id="50"/>
            </w:r>
            <w:r w:rsidRPr="00167A1B">
              <w:rPr>
                <w:noProof w:val="0"/>
                <w:sz w:val="20"/>
              </w:rPr>
              <w:t xml:space="preserve"> For the time being, all manufacturers continue shipping cables with their mobile phones, and the assumption is that they will continue to do so in the baseline scenario.</w:t>
            </w:r>
          </w:p>
          <w:p w14:paraId="5EF066D2" w14:textId="107146F1" w:rsidR="00D47780" w:rsidRPr="00167A1B" w:rsidRDefault="00D47780" w:rsidP="00D47780">
            <w:pPr>
              <w:pStyle w:val="BodyText1"/>
              <w:jc w:val="left"/>
              <w:rPr>
                <w:noProof w:val="0"/>
                <w:sz w:val="20"/>
              </w:rPr>
            </w:pPr>
            <w:r w:rsidRPr="00167A1B">
              <w:rPr>
                <w:noProof w:val="0"/>
                <w:sz w:val="20"/>
              </w:rPr>
              <w:t>It is not yet clear how consumers in the EU will react to unbundling (i.e. how many will continue buying a charger when they buy a new phone that is unbundled) and how their views/knowledge of environmental impacts will evolve. In the baseline scenario, the estimation that 57% of consumers would buy an EPS with unbundled phones remains constant over time.</w:t>
            </w:r>
            <w:r w:rsidRPr="00167A1B">
              <w:rPr>
                <w:rStyle w:val="FootnoteReference"/>
                <w:noProof w:val="0"/>
                <w:sz w:val="20"/>
              </w:rPr>
              <w:footnoteReference w:id="51"/>
            </w:r>
          </w:p>
        </w:tc>
      </w:tr>
      <w:tr w:rsidR="00D47780" w:rsidRPr="00167A1B" w14:paraId="68182E9F" w14:textId="77777777" w:rsidTr="006B7F15">
        <w:trPr>
          <w:trHeight w:val="144"/>
        </w:trPr>
        <w:tc>
          <w:tcPr>
            <w:tcW w:w="1064" w:type="pct"/>
          </w:tcPr>
          <w:p w14:paraId="32597623" w14:textId="64BB5295" w:rsidR="00D47780" w:rsidRPr="00167A1B" w:rsidRDefault="00D47780" w:rsidP="00D47780">
            <w:pPr>
              <w:pStyle w:val="BodyText1"/>
              <w:jc w:val="left"/>
              <w:rPr>
                <w:noProof w:val="0"/>
                <w:sz w:val="20"/>
              </w:rPr>
            </w:pPr>
            <w:r w:rsidRPr="00167A1B">
              <w:rPr>
                <w:noProof w:val="0"/>
                <w:sz w:val="20"/>
              </w:rPr>
              <w:t>Manufacturers worry about consumers’ reactions if they remove chargers</w:t>
            </w:r>
          </w:p>
        </w:tc>
        <w:tc>
          <w:tcPr>
            <w:tcW w:w="1881" w:type="pct"/>
          </w:tcPr>
          <w:p w14:paraId="2D15FD4D" w14:textId="77777777" w:rsidR="00D47780" w:rsidRPr="00167A1B" w:rsidRDefault="00D47780" w:rsidP="00D47780">
            <w:pPr>
              <w:pStyle w:val="BodyText1"/>
              <w:jc w:val="left"/>
              <w:rPr>
                <w:noProof w:val="0"/>
                <w:sz w:val="20"/>
              </w:rPr>
            </w:pPr>
            <w:r w:rsidRPr="00167A1B">
              <w:rPr>
                <w:noProof w:val="0"/>
                <w:sz w:val="20"/>
              </w:rPr>
              <w:t xml:space="preserve">All the manufacturers we have interviewed expressed some level of concern about consumers’ reactions to unbundling. Apple has been the first manufacturer unbundling their </w:t>
            </w:r>
            <w:proofErr w:type="gramStart"/>
            <w:r w:rsidRPr="00167A1B">
              <w:rPr>
                <w:noProof w:val="0"/>
                <w:sz w:val="20"/>
              </w:rPr>
              <w:t>phones, and</w:t>
            </w:r>
            <w:proofErr w:type="gramEnd"/>
            <w:r w:rsidRPr="00167A1B">
              <w:rPr>
                <w:noProof w:val="0"/>
                <w:sz w:val="20"/>
              </w:rPr>
              <w:t xml:space="preserve"> has done it in all their iPhones and all markets. </w:t>
            </w:r>
            <w:proofErr w:type="gramStart"/>
            <w:r w:rsidRPr="00167A1B">
              <w:rPr>
                <w:noProof w:val="0"/>
                <w:sz w:val="20"/>
              </w:rPr>
              <w:t>Samsung  has</w:t>
            </w:r>
            <w:proofErr w:type="gramEnd"/>
            <w:r w:rsidRPr="00167A1B">
              <w:rPr>
                <w:noProof w:val="0"/>
                <w:sz w:val="20"/>
              </w:rPr>
              <w:t xml:space="preserve"> started with just one model in all the world, </w:t>
            </w:r>
            <w:r w:rsidRPr="00167A1B">
              <w:rPr>
                <w:noProof w:val="0"/>
                <w:sz w:val="20"/>
              </w:rPr>
              <w:lastRenderedPageBreak/>
              <w:t>HMD with two models only in the EU, and Xiaomi only one model in China (but not the EU). Manufacturers who have started unbundling noted that the spread of unbundling to other products in their portfolio/markets will largely depend on consumers’ reactions.</w:t>
            </w:r>
          </w:p>
          <w:p w14:paraId="3FA32B9E" w14:textId="77777777" w:rsidR="00D47780" w:rsidRPr="00167A1B" w:rsidRDefault="00D47780" w:rsidP="00D47780">
            <w:pPr>
              <w:pStyle w:val="BodyText1"/>
              <w:jc w:val="left"/>
              <w:rPr>
                <w:noProof w:val="0"/>
                <w:sz w:val="20"/>
              </w:rPr>
            </w:pPr>
            <w:r w:rsidRPr="00167A1B">
              <w:rPr>
                <w:noProof w:val="0"/>
                <w:sz w:val="20"/>
              </w:rPr>
              <w:t>The volume of phones sold unbundled in 2020 in the EU was 11% of the market.</w:t>
            </w:r>
            <w:r w:rsidRPr="00167A1B">
              <w:rPr>
                <w:rStyle w:val="FootnoteReference"/>
                <w:noProof w:val="0"/>
                <w:sz w:val="20"/>
              </w:rPr>
              <w:footnoteReference w:id="52"/>
            </w:r>
            <w:r w:rsidRPr="00167A1B">
              <w:rPr>
                <w:noProof w:val="0"/>
                <w:sz w:val="20"/>
              </w:rPr>
              <w:t xml:space="preserve"> Before 2020, it was nearly 0% (only one small manufacturer, Fairphone, offered this option).</w:t>
            </w:r>
          </w:p>
        </w:tc>
        <w:tc>
          <w:tcPr>
            <w:tcW w:w="2055" w:type="pct"/>
          </w:tcPr>
          <w:p w14:paraId="71CD3286" w14:textId="77777777" w:rsidR="00D47780" w:rsidRPr="00167A1B" w:rsidRDefault="00D47780" w:rsidP="00D47780">
            <w:pPr>
              <w:pStyle w:val="BodyText1"/>
              <w:jc w:val="left"/>
              <w:rPr>
                <w:noProof w:val="0"/>
                <w:sz w:val="20"/>
              </w:rPr>
            </w:pPr>
            <w:r w:rsidRPr="00167A1B">
              <w:rPr>
                <w:noProof w:val="0"/>
                <w:sz w:val="20"/>
              </w:rPr>
              <w:lastRenderedPageBreak/>
              <w:t>The relevance of this driver is expected to decrease as more manufacturers pilot unbundling. In the baseline, unbundling is expected to increase gradually, reaching 54% of the market in 2030.</w:t>
            </w:r>
          </w:p>
        </w:tc>
      </w:tr>
      <w:tr w:rsidR="00D47780" w:rsidRPr="00167A1B" w14:paraId="5B9D9491" w14:textId="77777777" w:rsidTr="006B7F15">
        <w:trPr>
          <w:trHeight w:val="144"/>
        </w:trPr>
        <w:tc>
          <w:tcPr>
            <w:tcW w:w="1064" w:type="pct"/>
          </w:tcPr>
          <w:p w14:paraId="02C171FE" w14:textId="77777777" w:rsidR="00D47780" w:rsidRPr="00167A1B" w:rsidRDefault="00D47780" w:rsidP="00D47780">
            <w:pPr>
              <w:pStyle w:val="BodyText1"/>
              <w:jc w:val="left"/>
              <w:rPr>
                <w:noProof w:val="0"/>
                <w:sz w:val="20"/>
              </w:rPr>
            </w:pPr>
            <w:r w:rsidRPr="00167A1B">
              <w:rPr>
                <w:noProof w:val="0"/>
                <w:sz w:val="20"/>
              </w:rPr>
              <w:t>Standalone counterfeit and substandard chargers are sold in the EU</w:t>
            </w:r>
          </w:p>
        </w:tc>
        <w:tc>
          <w:tcPr>
            <w:tcW w:w="1881" w:type="pct"/>
          </w:tcPr>
          <w:p w14:paraId="523EC3C9" w14:textId="7F61F8C4" w:rsidR="00D47780" w:rsidRPr="00167A1B" w:rsidRDefault="00D47780" w:rsidP="00D47780">
            <w:pPr>
              <w:pStyle w:val="BodyText1"/>
              <w:jc w:val="left"/>
              <w:rPr>
                <w:noProof w:val="0"/>
                <w:sz w:val="20"/>
              </w:rPr>
            </w:pPr>
            <w:r w:rsidRPr="00167A1B">
              <w:rPr>
                <w:noProof w:val="0"/>
                <w:sz w:val="20"/>
              </w:rPr>
              <w:t>The size of the counterfeit and substandard market is unknown, but it could be as much as 30-60% of the standalone charger market.</w:t>
            </w:r>
          </w:p>
        </w:tc>
        <w:tc>
          <w:tcPr>
            <w:tcW w:w="2055" w:type="pct"/>
          </w:tcPr>
          <w:p w14:paraId="4CE9DDCC" w14:textId="77777777" w:rsidR="00D47780" w:rsidRPr="00167A1B" w:rsidRDefault="00D47780" w:rsidP="00D47780">
            <w:pPr>
              <w:pStyle w:val="BodyText1"/>
              <w:jc w:val="left"/>
              <w:rPr>
                <w:noProof w:val="0"/>
                <w:sz w:val="20"/>
              </w:rPr>
            </w:pPr>
            <w:r w:rsidRPr="00167A1B">
              <w:rPr>
                <w:noProof w:val="0"/>
                <w:sz w:val="20"/>
              </w:rPr>
              <w:t>The unbundling of devices may have a rebound effect on the sale of standalone chargers. Standalone chargers are more likely to be counterfeit and/or substandard, as they don’t pass through mobile manufacturers’ quality checks.</w:t>
            </w:r>
          </w:p>
          <w:p w14:paraId="42EEBB8B" w14:textId="77777777" w:rsidR="00D47780" w:rsidRPr="00167A1B" w:rsidRDefault="00D47780" w:rsidP="00D47780">
            <w:pPr>
              <w:pStyle w:val="BodyText1"/>
              <w:jc w:val="left"/>
              <w:rPr>
                <w:noProof w:val="0"/>
                <w:sz w:val="20"/>
              </w:rPr>
            </w:pPr>
            <w:r w:rsidRPr="00167A1B">
              <w:rPr>
                <w:noProof w:val="0"/>
                <w:sz w:val="20"/>
              </w:rPr>
              <w:t>In the stakeholder survey, 47% of respondents agreed that widespread unbundling is likely to produce an increase in product safety risks for mobile phones and/or chargers, 37% expected no change, and 9% thought it would lead to a decrease of product safety risks.</w:t>
            </w:r>
          </w:p>
        </w:tc>
      </w:tr>
    </w:tbl>
    <w:p w14:paraId="47596D0C" w14:textId="77777777" w:rsidR="00F15E82" w:rsidRPr="00167A1B" w:rsidRDefault="00F15E82" w:rsidP="00F15E82">
      <w:pPr>
        <w:pStyle w:val="04ABodyText"/>
        <w:sectPr w:rsidR="00F15E82" w:rsidRPr="00167A1B" w:rsidSect="006B7F15">
          <w:pgSz w:w="16839" w:h="11907" w:orient="landscape" w:code="9"/>
          <w:pgMar w:top="1418" w:right="2126" w:bottom="1418" w:left="737" w:header="142" w:footer="352" w:gutter="0"/>
          <w:cols w:space="720"/>
          <w:titlePg/>
          <w:docGrid w:linePitch="326"/>
        </w:sectPr>
      </w:pPr>
    </w:p>
    <w:p w14:paraId="4CB92E30" w14:textId="77777777" w:rsidR="00F15E82" w:rsidRPr="00167A1B" w:rsidRDefault="00F15E82" w:rsidP="008C0CAD">
      <w:pPr>
        <w:pStyle w:val="Title2"/>
        <w:ind w:left="850"/>
        <w:outlineLvl w:val="1"/>
      </w:pPr>
      <w:bookmarkStart w:id="17" w:name="_Toc69284648"/>
      <w:bookmarkStart w:id="18" w:name="_Toc74319744"/>
      <w:r w:rsidRPr="00167A1B">
        <w:lastRenderedPageBreak/>
        <w:t>Consequences of the problem</w:t>
      </w:r>
      <w:bookmarkEnd w:id="17"/>
      <w:bookmarkEnd w:id="18"/>
    </w:p>
    <w:p w14:paraId="772DD68E" w14:textId="77777777" w:rsidR="00F15E82" w:rsidRPr="00167A1B" w:rsidRDefault="00F15E82" w:rsidP="00F15E82">
      <w:pPr>
        <w:pStyle w:val="BodyText1"/>
        <w:rPr>
          <w:noProof w:val="0"/>
        </w:rPr>
      </w:pPr>
      <w:r w:rsidRPr="00167A1B">
        <w:rPr>
          <w:noProof w:val="0"/>
        </w:rPr>
        <w:t xml:space="preserve">The problem generates two main consequences: consumer inconvenience and environmental harm. </w:t>
      </w:r>
    </w:p>
    <w:p w14:paraId="348CEDBD" w14:textId="77777777" w:rsidR="00F15E82" w:rsidRPr="00167A1B" w:rsidRDefault="00F15E82" w:rsidP="00F15E82">
      <w:pPr>
        <w:pStyle w:val="BodyText1"/>
        <w:rPr>
          <w:noProof w:val="0"/>
          <w:szCs w:val="22"/>
        </w:rPr>
      </w:pPr>
      <w:r w:rsidRPr="00167A1B">
        <w:rPr>
          <w:b/>
          <w:bCs/>
          <w:noProof w:val="0"/>
        </w:rPr>
        <w:t>Consumer inconvenience</w:t>
      </w:r>
      <w:r w:rsidRPr="00167A1B">
        <w:rPr>
          <w:noProof w:val="0"/>
        </w:rPr>
        <w:t xml:space="preserve"> is caused by the remaining fragmentation of charging solutions available in the market, and by the lack of choice as to whether they want to buy a new charger with </w:t>
      </w:r>
      <w:r w:rsidRPr="00167A1B">
        <w:rPr>
          <w:noProof w:val="0"/>
          <w:szCs w:val="22"/>
        </w:rPr>
        <w:t xml:space="preserve">their mobile phone. </w:t>
      </w:r>
    </w:p>
    <w:p w14:paraId="1D8931B8" w14:textId="684894CD" w:rsidR="00F15E82" w:rsidRPr="00167A1B" w:rsidRDefault="00F15E82" w:rsidP="00F15E82">
      <w:pPr>
        <w:pStyle w:val="BodyText1"/>
        <w:rPr>
          <w:noProof w:val="0"/>
          <w:szCs w:val="22"/>
        </w:rPr>
      </w:pPr>
      <w:r w:rsidRPr="00167A1B">
        <w:rPr>
          <w:noProof w:val="0"/>
          <w:szCs w:val="22"/>
        </w:rPr>
        <w:t>There is still fragmentation in the market in terms of connectors used at the device end (Lightning is 18% of the market and USB micro-B is 38%), but there appears to be near universal interoperability among battery charging protocols. Based on the information at our disposal, all mobile phones sold nowadays can be charged safely with an USB PD EPS and/or a QC EPS. The speed of charge may not be as fast in all cases as if the original EPS was used, but – provided the phone includes some type of fast charging technology – it would nonetheless be charged at a relatively fast speed (10-15W</w:t>
      </w:r>
      <w:r w:rsidR="002370AE" w:rsidRPr="00167A1B">
        <w:rPr>
          <w:noProof w:val="0"/>
          <w:szCs w:val="22"/>
        </w:rPr>
        <w:t xml:space="preserve">, i.e. between </w:t>
      </w:r>
      <w:r w:rsidR="008C0CAD" w:rsidRPr="00167A1B">
        <w:rPr>
          <w:noProof w:val="0"/>
          <w:szCs w:val="22"/>
        </w:rPr>
        <w:t>two</w:t>
      </w:r>
      <w:r w:rsidR="002370AE" w:rsidRPr="00167A1B">
        <w:rPr>
          <w:noProof w:val="0"/>
          <w:szCs w:val="22"/>
        </w:rPr>
        <w:t xml:space="preserve"> and </w:t>
      </w:r>
      <w:r w:rsidR="008C0CAD" w:rsidRPr="00167A1B">
        <w:rPr>
          <w:noProof w:val="0"/>
          <w:szCs w:val="22"/>
        </w:rPr>
        <w:t>three</w:t>
      </w:r>
      <w:r w:rsidR="002370AE" w:rsidRPr="00167A1B">
        <w:rPr>
          <w:noProof w:val="0"/>
          <w:szCs w:val="22"/>
        </w:rPr>
        <w:t xml:space="preserve"> times more powerful than standard charge</w:t>
      </w:r>
      <w:r w:rsidRPr="00167A1B">
        <w:rPr>
          <w:noProof w:val="0"/>
          <w:szCs w:val="22"/>
        </w:rPr>
        <w:t xml:space="preserve">). </w:t>
      </w:r>
    </w:p>
    <w:p w14:paraId="33453351" w14:textId="43817256" w:rsidR="00F15E82" w:rsidRPr="00167A1B" w:rsidRDefault="00F15E82" w:rsidP="00F15E82">
      <w:pPr>
        <w:pStyle w:val="BodyText1"/>
        <w:rPr>
          <w:noProof w:val="0"/>
          <w:szCs w:val="22"/>
        </w:rPr>
      </w:pPr>
      <w:r w:rsidRPr="00167A1B">
        <w:rPr>
          <w:noProof w:val="0"/>
          <w:szCs w:val="22"/>
        </w:rPr>
        <w:t>The EPS included in the box with mobile phones, however, are not quite as versatile. In some cases, they only include the proprietary solution, meaning they can charge other devices, but not at fast speed (i.e. the maximum wattage they would provide is in the range of 5W-7.5W). Most cables are fully compatible with USB standards and can charge any phone provided they have the same connectors. However, there appear to be a few instances where USB Type-C cables are not recognised by other brands’ devices, preventing the charge.</w:t>
      </w:r>
      <w:r w:rsidR="002370AE" w:rsidRPr="00167A1B">
        <w:rPr>
          <w:noProof w:val="0"/>
          <w:szCs w:val="22"/>
        </w:rPr>
        <w:t xml:space="preserve"> The scale of the problem is small, as it seems to only affect Google Pixel phones when charged with Huawei cables.</w:t>
      </w:r>
      <w:r w:rsidR="002370AE" w:rsidRPr="00167A1B">
        <w:rPr>
          <w:rStyle w:val="FootnoteReference"/>
          <w:noProof w:val="0"/>
          <w:sz w:val="22"/>
          <w:szCs w:val="22"/>
        </w:rPr>
        <w:footnoteReference w:id="53"/>
      </w:r>
    </w:p>
    <w:p w14:paraId="00CE6B3E" w14:textId="43905646" w:rsidR="00F15E82" w:rsidRPr="00167A1B" w:rsidRDefault="00F15E82" w:rsidP="00F15E82">
      <w:pPr>
        <w:pStyle w:val="BodyText1"/>
        <w:rPr>
          <w:noProof w:val="0"/>
          <w:szCs w:val="22"/>
        </w:rPr>
      </w:pPr>
      <w:r w:rsidRPr="00167A1B">
        <w:rPr>
          <w:noProof w:val="0"/>
          <w:szCs w:val="22"/>
        </w:rPr>
        <w:t xml:space="preserve">In the consumer survey conducted in the first IA, consumer inconvenience due to lack of interoperability appears to be relatively </w:t>
      </w:r>
      <w:r w:rsidR="00167A1B" w:rsidRPr="00167A1B">
        <w:rPr>
          <w:noProof w:val="0"/>
          <w:szCs w:val="22"/>
        </w:rPr>
        <w:t>widespread</w:t>
      </w:r>
      <w:r w:rsidRPr="00167A1B">
        <w:rPr>
          <w:noProof w:val="0"/>
          <w:szCs w:val="22"/>
        </w:rPr>
        <w:t>, but not particularly severe:</w:t>
      </w:r>
    </w:p>
    <w:p w14:paraId="09F4E193" w14:textId="5A4BCBAF" w:rsidR="00F15E82" w:rsidRPr="00167A1B" w:rsidRDefault="00F15E82" w:rsidP="00F15E82">
      <w:pPr>
        <w:pStyle w:val="bullet1"/>
        <w:rPr>
          <w:noProof w:val="0"/>
          <w:szCs w:val="22"/>
        </w:rPr>
      </w:pPr>
      <w:r w:rsidRPr="00167A1B">
        <w:rPr>
          <w:noProof w:val="0"/>
          <w:szCs w:val="22"/>
        </w:rPr>
        <w:t>The inconvenience of not being able to use a previous charger to charge a new phone was experienced by 38% of respondents.</w:t>
      </w:r>
      <w:r w:rsidRPr="00167A1B">
        <w:rPr>
          <w:rStyle w:val="FootnoteReference"/>
          <w:noProof w:val="0"/>
          <w:sz w:val="22"/>
          <w:szCs w:val="22"/>
        </w:rPr>
        <w:footnoteReference w:id="54"/>
      </w:r>
      <w:r w:rsidRPr="00167A1B">
        <w:rPr>
          <w:noProof w:val="0"/>
          <w:szCs w:val="22"/>
        </w:rPr>
        <w:t xml:space="preserve"> However, the issue was significant only for 21% of respondents. </w:t>
      </w:r>
    </w:p>
    <w:p w14:paraId="127E72CA" w14:textId="61F2B583" w:rsidR="00F15E82" w:rsidRPr="00167A1B" w:rsidRDefault="00F15E82" w:rsidP="00F15E82">
      <w:pPr>
        <w:pStyle w:val="bullet1"/>
        <w:rPr>
          <w:noProof w:val="0"/>
          <w:szCs w:val="22"/>
        </w:rPr>
      </w:pPr>
      <w:r w:rsidRPr="00167A1B">
        <w:rPr>
          <w:noProof w:val="0"/>
          <w:szCs w:val="22"/>
        </w:rPr>
        <w:t>38% of respondents reported having experienced problems when needing to charge their phone because all other chargers were incompatible</w:t>
      </w:r>
      <w:r w:rsidRPr="00167A1B">
        <w:rPr>
          <w:rStyle w:val="FootnoteReference"/>
          <w:noProof w:val="0"/>
          <w:sz w:val="22"/>
          <w:szCs w:val="22"/>
        </w:rPr>
        <w:footnoteReference w:id="55"/>
      </w:r>
      <w:r w:rsidRPr="00167A1B">
        <w:rPr>
          <w:noProof w:val="0"/>
          <w:szCs w:val="22"/>
        </w:rPr>
        <w:t xml:space="preserve">, but the issue was significant only for 19% of respondents. </w:t>
      </w:r>
    </w:p>
    <w:p w14:paraId="4685E51E" w14:textId="0FC22BCD" w:rsidR="00F15E82" w:rsidRPr="00167A1B" w:rsidRDefault="00F15E82" w:rsidP="00F15E82">
      <w:pPr>
        <w:pStyle w:val="bullet1"/>
        <w:rPr>
          <w:noProof w:val="0"/>
          <w:szCs w:val="22"/>
        </w:rPr>
      </w:pPr>
      <w:r w:rsidRPr="00167A1B">
        <w:rPr>
          <w:noProof w:val="0"/>
          <w:szCs w:val="22"/>
        </w:rPr>
        <w:t>Difficulties in charging other devices with the primary phone charger occurred to 49% of respondents</w:t>
      </w:r>
      <w:r w:rsidRPr="00167A1B">
        <w:rPr>
          <w:rStyle w:val="FootnoteReference"/>
          <w:noProof w:val="0"/>
          <w:sz w:val="22"/>
          <w:szCs w:val="22"/>
        </w:rPr>
        <w:footnoteReference w:id="56"/>
      </w:r>
      <w:r w:rsidRPr="00167A1B">
        <w:rPr>
          <w:noProof w:val="0"/>
          <w:szCs w:val="22"/>
        </w:rPr>
        <w:t xml:space="preserve">, but only 21% thought this caused significant issues. </w:t>
      </w:r>
    </w:p>
    <w:p w14:paraId="19B38B6D" w14:textId="77777777" w:rsidR="00F15E82" w:rsidRPr="00167A1B" w:rsidRDefault="00F15E82" w:rsidP="00F15E82">
      <w:pPr>
        <w:pStyle w:val="BodyText1"/>
        <w:rPr>
          <w:noProof w:val="0"/>
        </w:rPr>
      </w:pPr>
      <w:r w:rsidRPr="00167A1B">
        <w:rPr>
          <w:noProof w:val="0"/>
        </w:rPr>
        <w:t>Another source of inconvenience is not having the choice of not acquiring a new charger when purchasing a phone. In the survey conducted in the first IA, preference for using an older charger despite being provided a new one with every new phone was indicated as a problem by 39% of respondents.</w:t>
      </w:r>
      <w:r w:rsidRPr="00167A1B">
        <w:rPr>
          <w:rStyle w:val="FootnoteReference"/>
          <w:noProof w:val="0"/>
        </w:rPr>
        <w:footnoteReference w:id="57"/>
      </w:r>
      <w:r w:rsidRPr="00167A1B">
        <w:rPr>
          <w:noProof w:val="0"/>
        </w:rPr>
        <w:t xml:space="preserve">  </w:t>
      </w:r>
    </w:p>
    <w:p w14:paraId="17F89663" w14:textId="77777777" w:rsidR="00F15E82" w:rsidRPr="00167A1B" w:rsidRDefault="00F15E82" w:rsidP="00F15E82">
      <w:pPr>
        <w:pStyle w:val="BodyText1"/>
        <w:rPr>
          <w:noProof w:val="0"/>
        </w:rPr>
      </w:pPr>
      <w:r w:rsidRPr="00167A1B">
        <w:rPr>
          <w:noProof w:val="0"/>
        </w:rPr>
        <w:t xml:space="preserve">Not having the choice not to buy the charger implies that consumers have more chargers than they need. In the consumer survey conducted for the first IA, chargers taking up space at home </w:t>
      </w:r>
      <w:r w:rsidRPr="00167A1B">
        <w:rPr>
          <w:noProof w:val="0"/>
        </w:rPr>
        <w:lastRenderedPageBreak/>
        <w:t>or at work was indicated as an issue by 44% of respondents.</w:t>
      </w:r>
      <w:r w:rsidRPr="00167A1B">
        <w:rPr>
          <w:rStyle w:val="FootnoteReference"/>
          <w:noProof w:val="0"/>
        </w:rPr>
        <w:footnoteReference w:id="58"/>
      </w:r>
      <w:r w:rsidRPr="00167A1B">
        <w:rPr>
          <w:noProof w:val="0"/>
        </w:rPr>
        <w:t xml:space="preserve"> Accumulating chargers at home was the single most common way of dealing with old chargers (49% of cases). </w:t>
      </w:r>
    </w:p>
    <w:p w14:paraId="36AE19E0" w14:textId="77777777" w:rsidR="00F15E82" w:rsidRPr="00167A1B" w:rsidRDefault="00F15E82" w:rsidP="00F15E82">
      <w:pPr>
        <w:pStyle w:val="BodyText1"/>
        <w:rPr>
          <w:noProof w:val="0"/>
        </w:rPr>
      </w:pPr>
      <w:r w:rsidRPr="00167A1B">
        <w:rPr>
          <w:noProof w:val="0"/>
        </w:rPr>
        <w:t xml:space="preserve">The additional stock of chargers available also generates unnecessary </w:t>
      </w:r>
      <w:r w:rsidRPr="00167A1B">
        <w:rPr>
          <w:b/>
          <w:bCs/>
          <w:noProof w:val="0"/>
        </w:rPr>
        <w:t>use of raw materials, GHG emissions and e-waste</w:t>
      </w:r>
      <w:r w:rsidRPr="00167A1B">
        <w:rPr>
          <w:noProof w:val="0"/>
        </w:rPr>
        <w:t xml:space="preserve"> when chargers are discarded. The previous Impact Assessment found that chargers (both cables and EPS) were responsible for an average e-waste generation of around 11,000 tonnes a year in the EU28,</w:t>
      </w:r>
      <w:r w:rsidRPr="00167A1B">
        <w:rPr>
          <w:rStyle w:val="FootnoteReference"/>
          <w:noProof w:val="0"/>
        </w:rPr>
        <w:t xml:space="preserve"> </w:t>
      </w:r>
      <w:r w:rsidRPr="00167A1B">
        <w:rPr>
          <w:rStyle w:val="FootnoteReference"/>
          <w:noProof w:val="0"/>
        </w:rPr>
        <w:footnoteReference w:id="59"/>
      </w:r>
      <w:r w:rsidRPr="00167A1B">
        <w:rPr>
          <w:noProof w:val="0"/>
        </w:rPr>
        <w:t xml:space="preserve"> and 600 kt CO</w:t>
      </w:r>
      <w:r w:rsidRPr="00167A1B">
        <w:rPr>
          <w:noProof w:val="0"/>
          <w:vertAlign w:val="subscript"/>
        </w:rPr>
        <w:t>2</w:t>
      </w:r>
      <w:r w:rsidRPr="00167A1B">
        <w:rPr>
          <w:noProof w:val="0"/>
        </w:rPr>
        <w:t>e in associated life-cycle emissions in 2018, which were expected to reach 900 kt CO</w:t>
      </w:r>
      <w:r w:rsidRPr="00167A1B">
        <w:rPr>
          <w:noProof w:val="0"/>
          <w:vertAlign w:val="subscript"/>
        </w:rPr>
        <w:t>2</w:t>
      </w:r>
      <w:r w:rsidRPr="00167A1B">
        <w:rPr>
          <w:noProof w:val="0"/>
        </w:rPr>
        <w:t>e by 2023 due to the growing market share of fast charging EPS, which are also heavier compared to non-fast charging EPS.</w:t>
      </w:r>
      <w:r w:rsidRPr="00167A1B">
        <w:rPr>
          <w:rStyle w:val="FootnoteReference"/>
          <w:noProof w:val="0"/>
        </w:rPr>
        <w:footnoteReference w:id="60"/>
      </w:r>
    </w:p>
    <w:p w14:paraId="50236BE8" w14:textId="77777777" w:rsidR="00F15E82" w:rsidRPr="00167A1B" w:rsidRDefault="00F15E82" w:rsidP="00F15E82">
      <w:pPr>
        <w:pStyle w:val="BodyText1"/>
        <w:rPr>
          <w:noProof w:val="0"/>
        </w:rPr>
      </w:pPr>
      <w:r w:rsidRPr="00167A1B">
        <w:rPr>
          <w:noProof w:val="0"/>
        </w:rPr>
        <w:t>Manufacturers have already started selling mobile phones unbundled from the EPS (although they continue to bundle the cable). As explained in the section above, 11% of mobile phones sold in the EU market in 2020 were unbundled, and this percentage is expected to increase to 54% by 2030 in the baseline. Therefore, the consequences of the problem are expected to decrease in the future, as the stock of chargers gradually reduces.</w:t>
      </w:r>
    </w:p>
    <w:p w14:paraId="79EF92B2" w14:textId="77777777" w:rsidR="00F15E82" w:rsidRPr="00167A1B" w:rsidRDefault="00F15E82" w:rsidP="00F15E82">
      <w:pPr>
        <w:pStyle w:val="BodyText1"/>
        <w:rPr>
          <w:noProof w:val="0"/>
        </w:rPr>
      </w:pPr>
    </w:p>
    <w:p w14:paraId="76DBBAAF" w14:textId="77777777" w:rsidR="00F15E82" w:rsidRPr="00167A1B" w:rsidRDefault="00F15E82" w:rsidP="008C1CDE">
      <w:pPr>
        <w:pStyle w:val="Title2"/>
        <w:ind w:left="850"/>
        <w:outlineLvl w:val="1"/>
      </w:pPr>
      <w:bookmarkStart w:id="19" w:name="_Toc69284649"/>
      <w:bookmarkStart w:id="20" w:name="_Toc74319745"/>
      <w:r w:rsidRPr="00167A1B">
        <w:t>Need for action at EU level</w:t>
      </w:r>
      <w:bookmarkEnd w:id="19"/>
      <w:bookmarkEnd w:id="20"/>
    </w:p>
    <w:p w14:paraId="6695CDDF" w14:textId="3AFA7337" w:rsidR="00F15E82" w:rsidRPr="00167A1B" w:rsidRDefault="00F15E82" w:rsidP="00F15E82">
      <w:pPr>
        <w:pStyle w:val="BodyText1"/>
        <w:rPr>
          <w:noProof w:val="0"/>
        </w:rPr>
      </w:pPr>
      <w:r w:rsidRPr="00167A1B">
        <w:rPr>
          <w:noProof w:val="0"/>
        </w:rPr>
        <w:t>In the EU, the regulatory framework for placing radio equipment on the market is established by the radio equipment directive 2014/53/EU (RED). One of the aspects it regulates is interoperability. In paragraph 12, the Directive establishes that “mobile phones that are made available on the market should be compatible with a common charger”.</w:t>
      </w:r>
    </w:p>
    <w:p w14:paraId="1C07DF6C" w14:textId="7727FF3B" w:rsidR="00F15E82" w:rsidRPr="00167A1B" w:rsidRDefault="00F15E82" w:rsidP="00F15E82">
      <w:pPr>
        <w:pStyle w:val="BodyText1"/>
        <w:rPr>
          <w:noProof w:val="0"/>
        </w:rPr>
      </w:pPr>
      <w:r w:rsidRPr="00167A1B">
        <w:rPr>
          <w:noProof w:val="0"/>
        </w:rPr>
        <w:t>Interoperability is generally based upon international standards. In Europe, standards are developed and agreed by the three officially recognized European Standardization Organizations: the European Committee for Standardization (CEN), the European Committee for Electrotechnical Standardization (CENELEC) and the European Telecommunications Standards Institute (ETSI). CEN and CENELEC have dedicated agreements with the International Organization for Standardization (ISO) and the International Electrotechnical Commission (IEC) for the development and adoption of standards.</w:t>
      </w:r>
    </w:p>
    <w:p w14:paraId="54777DEF" w14:textId="7FE840E9" w:rsidR="00403AA1" w:rsidRPr="00167A1B" w:rsidRDefault="00403AA1" w:rsidP="00F15E82">
      <w:pPr>
        <w:pStyle w:val="BodyText1"/>
        <w:rPr>
          <w:noProof w:val="0"/>
        </w:rPr>
      </w:pPr>
      <w:r w:rsidRPr="00167A1B">
        <w:rPr>
          <w:noProof w:val="0"/>
        </w:rPr>
        <w:t>Although the trend seems to be towards standardisation and use of standard solutions (e.g. Quick Charge, which started as a proprietary solution, now incorporates USB PD), it cannot be completely discarded that new proprietary connectors or charging protocols might appear in the future, hence increasing the fragmentation of charging solutions.</w:t>
      </w:r>
    </w:p>
    <w:p w14:paraId="7512EBED" w14:textId="639FE0B8" w:rsidR="00F15E82" w:rsidRPr="00167A1B" w:rsidRDefault="00F15E82" w:rsidP="00F15E82">
      <w:pPr>
        <w:pStyle w:val="BodyText1"/>
        <w:rPr>
          <w:noProof w:val="0"/>
        </w:rPr>
      </w:pPr>
      <w:r w:rsidRPr="00167A1B">
        <w:rPr>
          <w:noProof w:val="0"/>
        </w:rPr>
        <w:t>Individual actions by MS to harmonise the market of chargers of portable devices might be detrimental for harmonisation and environmental objectives, as different MS could apply different requirements. Uncoordinated action might also lead to trade barriers among MS and/or with third countries. The need for coordinated action justifies the relevance of action at the EU level.</w:t>
      </w:r>
    </w:p>
    <w:p w14:paraId="71F1DE0D" w14:textId="77777777" w:rsidR="00F15E82" w:rsidRPr="00167A1B" w:rsidRDefault="00F15E82" w:rsidP="00F15E82">
      <w:pPr>
        <w:pStyle w:val="BodyText1"/>
        <w:rPr>
          <w:noProof w:val="0"/>
        </w:rPr>
      </w:pPr>
      <w:r w:rsidRPr="00167A1B">
        <w:rPr>
          <w:noProof w:val="0"/>
        </w:rPr>
        <w:t>Currently, there are not unbundling measures in any MS.</w:t>
      </w:r>
      <w:r w:rsidRPr="00167A1B">
        <w:rPr>
          <w:rStyle w:val="FootnoteReference"/>
          <w:noProof w:val="0"/>
        </w:rPr>
        <w:footnoteReference w:id="61"/>
      </w:r>
      <w:r w:rsidRPr="00167A1B">
        <w:rPr>
          <w:noProof w:val="0"/>
        </w:rPr>
        <w:t xml:space="preserve"> In a consultation with members of the RED expert group, MS representatives were divided among those who thought the EU should act, and those who thought it should not. Those who thought unbundling of EPS should not be regulated argued it could have negative impacts on free trade principles and product safety.</w:t>
      </w:r>
    </w:p>
    <w:p w14:paraId="66E09BC5" w14:textId="77777777" w:rsidR="00F15E82" w:rsidRPr="00167A1B" w:rsidRDefault="00F15E82" w:rsidP="00F15E82">
      <w:pPr>
        <w:pStyle w:val="BodyText1"/>
        <w:rPr>
          <w:noProof w:val="0"/>
        </w:rPr>
      </w:pPr>
    </w:p>
    <w:p w14:paraId="51C4C8EE" w14:textId="77777777" w:rsidR="00F15E82" w:rsidRPr="00167A1B" w:rsidRDefault="00F15E82" w:rsidP="008C1CDE">
      <w:pPr>
        <w:pStyle w:val="Title2"/>
        <w:ind w:left="850"/>
        <w:outlineLvl w:val="1"/>
      </w:pPr>
      <w:bookmarkStart w:id="21" w:name="_Toc69284650"/>
      <w:bookmarkStart w:id="22" w:name="_Toc74319746"/>
      <w:r w:rsidRPr="00167A1B">
        <w:lastRenderedPageBreak/>
        <w:t>Policy objectives</w:t>
      </w:r>
      <w:bookmarkEnd w:id="21"/>
      <w:bookmarkEnd w:id="22"/>
    </w:p>
    <w:p w14:paraId="055D2FAD" w14:textId="77777777" w:rsidR="00F15E82" w:rsidRPr="00167A1B" w:rsidRDefault="00F15E82" w:rsidP="00F15E82">
      <w:pPr>
        <w:pStyle w:val="BodyText1"/>
        <w:rPr>
          <w:noProof w:val="0"/>
        </w:rPr>
      </w:pPr>
      <w:r w:rsidRPr="00167A1B">
        <w:rPr>
          <w:noProof w:val="0"/>
        </w:rPr>
        <w:t>This section summarises the general policy objectives as well as the specific objectives.</w:t>
      </w:r>
    </w:p>
    <w:p w14:paraId="62FAB1D3" w14:textId="77777777" w:rsidR="00F15E82" w:rsidRPr="00167A1B" w:rsidRDefault="00F15E82" w:rsidP="00F15E82">
      <w:pPr>
        <w:pStyle w:val="BodyText1"/>
        <w:rPr>
          <w:b/>
          <w:bCs/>
          <w:noProof w:val="0"/>
        </w:rPr>
      </w:pPr>
      <w:r w:rsidRPr="00167A1B">
        <w:rPr>
          <w:b/>
          <w:bCs/>
          <w:noProof w:val="0"/>
        </w:rPr>
        <w:t>General objective 1: Reduce consumer inconvenience produced by the fragmentation of charging solutions.</w:t>
      </w:r>
    </w:p>
    <w:p w14:paraId="4684CB69" w14:textId="08B826C3" w:rsidR="00F15E82" w:rsidRPr="00167A1B" w:rsidRDefault="00F15E82" w:rsidP="00F15E82">
      <w:pPr>
        <w:pStyle w:val="BodyText1"/>
        <w:rPr>
          <w:noProof w:val="0"/>
        </w:rPr>
      </w:pPr>
      <w:r w:rsidRPr="00167A1B">
        <w:rPr>
          <w:noProof w:val="0"/>
        </w:rPr>
        <w:t xml:space="preserve">Specific objective 1.1: Ensure the interoperability and performance of the chargers placed </w:t>
      </w:r>
      <w:r w:rsidR="00950DFC" w:rsidRPr="00167A1B">
        <w:rPr>
          <w:noProof w:val="0"/>
        </w:rPr>
        <w:t xml:space="preserve">on </w:t>
      </w:r>
      <w:r w:rsidRPr="00167A1B">
        <w:rPr>
          <w:noProof w:val="0"/>
        </w:rPr>
        <w:t>the EU market.</w:t>
      </w:r>
    </w:p>
    <w:p w14:paraId="6F7C5A3A" w14:textId="77777777" w:rsidR="00F15E82" w:rsidRPr="00167A1B" w:rsidRDefault="00F15E82" w:rsidP="00F15E82">
      <w:pPr>
        <w:pStyle w:val="BodyText1"/>
        <w:rPr>
          <w:noProof w:val="0"/>
        </w:rPr>
      </w:pPr>
      <w:r w:rsidRPr="00167A1B">
        <w:rPr>
          <w:noProof w:val="0"/>
        </w:rPr>
        <w:t>Specific objective 1.2: Ensure citizens have enough information as to make informed choices when they decide to buy a new charger. Consumers should be able to identify which chargers work with their devices.</w:t>
      </w:r>
    </w:p>
    <w:p w14:paraId="24764715" w14:textId="77777777" w:rsidR="00F15E82" w:rsidRPr="00167A1B" w:rsidRDefault="00F15E82" w:rsidP="00F15E82">
      <w:pPr>
        <w:pStyle w:val="BodyText1"/>
        <w:rPr>
          <w:b/>
          <w:bCs/>
          <w:noProof w:val="0"/>
        </w:rPr>
      </w:pPr>
      <w:r w:rsidRPr="00167A1B">
        <w:rPr>
          <w:b/>
          <w:bCs/>
          <w:noProof w:val="0"/>
        </w:rPr>
        <w:t>General objective 2: Reduce environmental damage produced by the excess of chargers that are produced, shipped and discarded in the EU</w:t>
      </w:r>
    </w:p>
    <w:p w14:paraId="6891B2B7" w14:textId="77777777" w:rsidR="00F15E82" w:rsidRPr="00167A1B" w:rsidRDefault="00F15E82" w:rsidP="00F15E82">
      <w:pPr>
        <w:pStyle w:val="BodyText1"/>
        <w:rPr>
          <w:noProof w:val="0"/>
        </w:rPr>
      </w:pPr>
      <w:r w:rsidRPr="00167A1B">
        <w:rPr>
          <w:noProof w:val="0"/>
        </w:rPr>
        <w:t>Specific objective 2.1: Provide consumers with a choice as to whether they want to acquire a new charger when they purchase electronic devices.</w:t>
      </w:r>
    </w:p>
    <w:p w14:paraId="3881F843" w14:textId="77777777" w:rsidR="00F15E82" w:rsidRPr="00167A1B" w:rsidRDefault="00F15E82" w:rsidP="00F15E82">
      <w:pPr>
        <w:pStyle w:val="BodyText1"/>
        <w:rPr>
          <w:noProof w:val="0"/>
        </w:rPr>
      </w:pPr>
      <w:r w:rsidRPr="00167A1B">
        <w:rPr>
          <w:noProof w:val="0"/>
        </w:rPr>
        <w:t>Specific objective 2.2: Raise awareness on the environmental impact of chargers.</w:t>
      </w:r>
    </w:p>
    <w:p w14:paraId="2BF68CA1" w14:textId="7C855365" w:rsidR="00F15E82" w:rsidRPr="00167A1B" w:rsidRDefault="00F15E82" w:rsidP="00F15E82">
      <w:pPr>
        <w:tabs>
          <w:tab w:val="left" w:pos="992"/>
        </w:tabs>
      </w:pPr>
    </w:p>
    <w:p w14:paraId="2C7DC6E5" w14:textId="77777777" w:rsidR="00F15E82" w:rsidRPr="00167A1B" w:rsidRDefault="00F15E82" w:rsidP="00F15E82">
      <w:pPr>
        <w:tabs>
          <w:tab w:val="left" w:pos="992"/>
        </w:tabs>
      </w:pPr>
    </w:p>
    <w:p w14:paraId="602322DA" w14:textId="77777777" w:rsidR="00944ABF" w:rsidRPr="00167A1B" w:rsidRDefault="00944ABF" w:rsidP="006E1277">
      <w:pPr>
        <w:pStyle w:val="04ABodyText"/>
        <w:rPr>
          <w:color w:val="325BAA"/>
          <w:sz w:val="36"/>
          <w:szCs w:val="36"/>
        </w:rPr>
      </w:pPr>
      <w:r w:rsidRPr="00167A1B">
        <w:br w:type="page"/>
      </w:r>
    </w:p>
    <w:p w14:paraId="2DFCD4CC" w14:textId="529CB045" w:rsidR="003038C0" w:rsidRPr="00167A1B" w:rsidRDefault="00F45B42" w:rsidP="00630BCE">
      <w:pPr>
        <w:pStyle w:val="Title1"/>
        <w:outlineLvl w:val="0"/>
      </w:pPr>
      <w:bookmarkStart w:id="23" w:name="_Toc74319747"/>
      <w:r w:rsidRPr="00167A1B">
        <w:lastRenderedPageBreak/>
        <w:t>Policy options</w:t>
      </w:r>
      <w:bookmarkEnd w:id="23"/>
      <w:r w:rsidRPr="00167A1B">
        <w:t xml:space="preserve"> </w:t>
      </w:r>
    </w:p>
    <w:p w14:paraId="1CDAA699" w14:textId="77777777" w:rsidR="006E1277" w:rsidRPr="00167A1B" w:rsidRDefault="006E1277" w:rsidP="006E1277">
      <w:pPr>
        <w:pStyle w:val="BodyText1"/>
        <w:rPr>
          <w:noProof w:val="0"/>
        </w:rPr>
      </w:pPr>
      <w:r w:rsidRPr="00167A1B">
        <w:rPr>
          <w:noProof w:val="0"/>
        </w:rPr>
        <w:t>This chapter presents the policy options for the potential new initiative on common chargers aimed at addressing the problems identified previously. It defines the baseline scenario, provides the short-list of policy options that are assessed in-depth in the ensuing chapters, and briefly outlines other options that were considered, but subsequently discarded for a variety of reasons. Both the retained and the discarded options build on and incorporate parts of the analysis carried out as part of the first IA study, while expanding on and updating certain key elements based on recent market and technological developments, and on the key issues this study was tasked with focusing on.</w:t>
      </w:r>
    </w:p>
    <w:p w14:paraId="2204EDCD" w14:textId="77777777" w:rsidR="006E1277" w:rsidRPr="00167A1B" w:rsidRDefault="006E1277" w:rsidP="006E1277">
      <w:pPr>
        <w:pStyle w:val="BodyText1"/>
        <w:rPr>
          <w:noProof w:val="0"/>
        </w:rPr>
      </w:pPr>
    </w:p>
    <w:p w14:paraId="0C924B11" w14:textId="3DDDB2C1" w:rsidR="00F45B42" w:rsidRPr="00167A1B" w:rsidRDefault="00F45B42" w:rsidP="009C1705">
      <w:pPr>
        <w:pStyle w:val="Title2"/>
        <w:outlineLvl w:val="1"/>
      </w:pPr>
      <w:bookmarkStart w:id="24" w:name="_Toc74319748"/>
      <w:r w:rsidRPr="00167A1B">
        <w:t>Baseline</w:t>
      </w:r>
      <w:bookmarkEnd w:id="24"/>
      <w:r w:rsidRPr="00167A1B">
        <w:t xml:space="preserve"> </w:t>
      </w:r>
    </w:p>
    <w:p w14:paraId="035C1BF7" w14:textId="77777777" w:rsidR="006E1277" w:rsidRPr="00167A1B" w:rsidRDefault="006E1277" w:rsidP="006E1277">
      <w:pPr>
        <w:pStyle w:val="BodyText1"/>
        <w:rPr>
          <w:noProof w:val="0"/>
        </w:rPr>
      </w:pPr>
      <w:r w:rsidRPr="00167A1B">
        <w:rPr>
          <w:noProof w:val="0"/>
        </w:rPr>
        <w:t xml:space="preserve">The “dynamic” baseline scenario for this IA study refers to how the situation is expected to evolve without EU intervention. As described in more detail in the previous section (problem definition), the current situation is characterised by the co-existence of standard (USB) and proprietary charging solutions, as regards both the connectors and the communication protocols. </w:t>
      </w:r>
      <w:proofErr w:type="gramStart"/>
      <w:r w:rsidRPr="00167A1B">
        <w:rPr>
          <w:noProof w:val="0"/>
        </w:rPr>
        <w:t>In spite of</w:t>
      </w:r>
      <w:proofErr w:type="gramEnd"/>
      <w:r w:rsidRPr="00167A1B">
        <w:rPr>
          <w:noProof w:val="0"/>
        </w:rPr>
        <w:t xml:space="preserve"> this, there is near universal interoperability of mobile phones and EPS. Different generations of USB specifications are backward and forward compatible; and even the proprietary charging solutions are designed to ensure they are compatible with USB devices and EPS, i.e. they guarantee devices are charged safely with at least a basic power output of around 7.5 W (provided a cable with the “right” connectors is used). Compatibility tests suggest there may be a few isolated exceptions to this, but </w:t>
      </w:r>
      <w:proofErr w:type="gramStart"/>
      <w:r w:rsidRPr="00167A1B">
        <w:rPr>
          <w:noProof w:val="0"/>
        </w:rPr>
        <w:t>the vast majority of</w:t>
      </w:r>
      <w:proofErr w:type="gramEnd"/>
      <w:r w:rsidRPr="00167A1B">
        <w:rPr>
          <w:noProof w:val="0"/>
        </w:rPr>
        <w:t xml:space="preserve"> mobile phones and EPS from major OEM manufacturers are in fact interoperable. However, the charging performance (i.e. speed) can vary significantly depending on different combinations of phones and EPS.</w:t>
      </w:r>
    </w:p>
    <w:p w14:paraId="512C379E" w14:textId="77777777" w:rsidR="00223F54" w:rsidRPr="00167A1B" w:rsidRDefault="00223F54" w:rsidP="00223F54">
      <w:pPr>
        <w:pStyle w:val="BodyText1"/>
        <w:rPr>
          <w:noProof w:val="0"/>
          <w:szCs w:val="22"/>
        </w:rPr>
      </w:pPr>
      <w:r w:rsidRPr="00167A1B">
        <w:rPr>
          <w:noProof w:val="0"/>
          <w:szCs w:val="22"/>
        </w:rPr>
        <w:t>By and large, in the absence of intervention by the EU (or other public authorities), we expect this situation to continue for the foreseeable future. While it is of course possible that future Apple iPhones abandon the Lightning connector in favour of USB Type-C (as has already been the case for iPads), that one or more manufacturers develop new proprietary connectors, or that some manufacturers switch from proprietary fast charging solutions to USB PD, or vice versa, there are currently no strong indications of this, meaning it appears appropriate to assume a continuation of the status quo as regards the prevalence of standard vs proprietary solutions. Similarly, while wireless (inductive) charging is clearly gaining ground, the consensus among stakeholders consulted for this study was that wired charging will continue to be important, and present in all mobile phones, for the foreseeable future.</w:t>
      </w:r>
    </w:p>
    <w:p w14:paraId="2768BB97" w14:textId="1D451CE0" w:rsidR="006E1277" w:rsidRPr="00167A1B" w:rsidRDefault="006E1277" w:rsidP="006E1277">
      <w:pPr>
        <w:pStyle w:val="BodyText1"/>
        <w:rPr>
          <w:noProof w:val="0"/>
        </w:rPr>
      </w:pPr>
      <w:r w:rsidRPr="00167A1B">
        <w:rPr>
          <w:noProof w:val="0"/>
        </w:rPr>
        <w:t xml:space="preserve">However, in </w:t>
      </w:r>
      <w:proofErr w:type="gramStart"/>
      <w:r w:rsidRPr="00167A1B">
        <w:rPr>
          <w:noProof w:val="0"/>
        </w:rPr>
        <w:t>a number of</w:t>
      </w:r>
      <w:proofErr w:type="gramEnd"/>
      <w:r w:rsidRPr="00167A1B">
        <w:rPr>
          <w:noProof w:val="0"/>
        </w:rPr>
        <w:t xml:space="preserve"> other respects, the existing market trends point to further changes over the course of the next decade or so. The main trends we assume to affect the baseline scenario can be summed up as follows (for further details see Annex </w:t>
      </w:r>
      <w:r w:rsidR="005C02B0" w:rsidRPr="00167A1B">
        <w:rPr>
          <w:noProof w:val="0"/>
        </w:rPr>
        <w:t>F</w:t>
      </w:r>
      <w:r w:rsidRPr="00167A1B">
        <w:rPr>
          <w:noProof w:val="0"/>
        </w:rPr>
        <w:t>):</w:t>
      </w:r>
    </w:p>
    <w:p w14:paraId="49BA8CF0" w14:textId="77777777" w:rsidR="000909A5" w:rsidRPr="00167A1B" w:rsidRDefault="000909A5" w:rsidP="000909A5">
      <w:pPr>
        <w:pStyle w:val="bullet1"/>
        <w:rPr>
          <w:noProof w:val="0"/>
        </w:rPr>
      </w:pPr>
      <w:r w:rsidRPr="00167A1B">
        <w:rPr>
          <w:noProof w:val="0"/>
        </w:rPr>
        <w:t>The number of mobile phones sold in the EU has been decreasing steadily in recent years (by 21% between 2013 and 2019). We assume this trend of decreasing sales to continue, albeit at a slower pace, until 2030 (which is the period we are modelling for this study).</w:t>
      </w:r>
    </w:p>
    <w:p w14:paraId="14BDB81E" w14:textId="77777777" w:rsidR="000909A5" w:rsidRPr="00167A1B" w:rsidRDefault="000909A5" w:rsidP="000909A5">
      <w:pPr>
        <w:pStyle w:val="bullet1"/>
        <w:rPr>
          <w:noProof w:val="0"/>
        </w:rPr>
      </w:pPr>
      <w:r w:rsidRPr="00167A1B">
        <w:rPr>
          <w:noProof w:val="0"/>
        </w:rPr>
        <w:t>In view of the recently launched voluntary unbundling initiatives, it would no longer be appropriate to assume each mobile phone sold equals one EPS added to the stock. In 2021, we estimate 25% of phones will be sold without an EPS in the box, and that this proportion will increase to 48% by 2023, and more slowly thereafter, to 54% by 2030.</w:t>
      </w:r>
    </w:p>
    <w:p w14:paraId="40770ED7" w14:textId="77777777" w:rsidR="00223F54" w:rsidRPr="00167A1B" w:rsidRDefault="00223F54" w:rsidP="00223F54">
      <w:pPr>
        <w:pStyle w:val="bullet1"/>
        <w:rPr>
          <w:noProof w:val="0"/>
          <w:szCs w:val="22"/>
        </w:rPr>
      </w:pPr>
      <w:r w:rsidRPr="00167A1B">
        <w:rPr>
          <w:noProof w:val="0"/>
          <w:szCs w:val="22"/>
        </w:rPr>
        <w:t xml:space="preserve">Based on the results of our consumer survey, we estimate that 57% of consumers who purchase an unbundled new phone (that does not include an EPS by default) will choose to purchase one along with the phone. However, we also expect that there will be a “rebound” effect: since these consumers will be able to choose which kind of EPS </w:t>
      </w:r>
      <w:r w:rsidRPr="00167A1B">
        <w:rPr>
          <w:noProof w:val="0"/>
          <w:szCs w:val="22"/>
        </w:rPr>
        <w:lastRenderedPageBreak/>
        <w:t>they acquire, demand for stand-alone EPS bought at other times (i.e. not along with a new phone) will decrease, by an estimated 31%.</w:t>
      </w:r>
      <w:r w:rsidRPr="00167A1B">
        <w:rPr>
          <w:rStyle w:val="FootnoteReference"/>
          <w:noProof w:val="0"/>
          <w:sz w:val="22"/>
          <w:szCs w:val="22"/>
        </w:rPr>
        <w:footnoteReference w:id="62"/>
      </w:r>
    </w:p>
    <w:p w14:paraId="236DCA31" w14:textId="3264561F" w:rsidR="000909A5" w:rsidRPr="00167A1B" w:rsidRDefault="000909A5" w:rsidP="000909A5">
      <w:pPr>
        <w:pStyle w:val="bullet1"/>
        <w:rPr>
          <w:noProof w:val="0"/>
        </w:rPr>
      </w:pPr>
      <w:r w:rsidRPr="00167A1B">
        <w:rPr>
          <w:noProof w:val="0"/>
        </w:rPr>
        <w:t>The net effect of these two trends is that, for every phone sold without an EPS, we assume an additional 0.39 stand-alone EPS will be bought. In other words, every phone sold without an EPS reduces the total number of EPS bought by 0.61.</w:t>
      </w:r>
    </w:p>
    <w:p w14:paraId="45F272BF" w14:textId="7D13C7D0" w:rsidR="000909A5" w:rsidRPr="00167A1B" w:rsidRDefault="000909A5" w:rsidP="000909A5">
      <w:pPr>
        <w:pStyle w:val="bullet1"/>
        <w:rPr>
          <w:noProof w:val="0"/>
        </w:rPr>
      </w:pPr>
      <w:r w:rsidRPr="00167A1B">
        <w:rPr>
          <w:noProof w:val="0"/>
        </w:rPr>
        <w:t xml:space="preserve">In 2021, for cable additions, on the EPS side, approximately 69% have a USB Type-A connector, and 31% USB Type-C connectors. This situation is expected to reverse by 2030, with far more </w:t>
      </w:r>
      <w:r w:rsidR="006B7F15" w:rsidRPr="00167A1B">
        <w:rPr>
          <w:noProof w:val="0"/>
        </w:rPr>
        <w:t xml:space="preserve">EPS </w:t>
      </w:r>
      <w:r w:rsidRPr="00167A1B">
        <w:rPr>
          <w:noProof w:val="0"/>
        </w:rPr>
        <w:t xml:space="preserve">having USB Type-C connectors. </w:t>
      </w:r>
    </w:p>
    <w:p w14:paraId="0128E507" w14:textId="2AF000E2" w:rsidR="000909A5" w:rsidRPr="00167A1B" w:rsidRDefault="000909A5" w:rsidP="000909A5">
      <w:pPr>
        <w:pStyle w:val="bullet1"/>
        <w:rPr>
          <w:noProof w:val="0"/>
        </w:rPr>
      </w:pPr>
      <w:r w:rsidRPr="00167A1B">
        <w:rPr>
          <w:noProof w:val="0"/>
        </w:rPr>
        <w:t xml:space="preserve">In 2021, around 25% of all cables </w:t>
      </w:r>
      <w:r w:rsidR="007B22CF" w:rsidRPr="00167A1B">
        <w:rPr>
          <w:noProof w:val="0"/>
        </w:rPr>
        <w:t xml:space="preserve">(including “in the box” as well as stand-alone sales) </w:t>
      </w:r>
      <w:r w:rsidRPr="00167A1B">
        <w:rPr>
          <w:noProof w:val="0"/>
        </w:rPr>
        <w:t xml:space="preserve">have a USB Micro-B connector on the device side, but these will decline rapidly, to 1% by 2028. Lightning connectors will remain 22% of the total over time. USB Type-C to USB Type-C cables constitute around 19% of cable additions in 2021 but this share will increase to 42% by 2030. </w:t>
      </w:r>
    </w:p>
    <w:p w14:paraId="18E6F6A4" w14:textId="77777777" w:rsidR="000909A5" w:rsidRPr="00167A1B" w:rsidRDefault="000909A5" w:rsidP="000909A5">
      <w:pPr>
        <w:pStyle w:val="bullet1"/>
        <w:rPr>
          <w:noProof w:val="0"/>
        </w:rPr>
      </w:pPr>
      <w:r w:rsidRPr="00167A1B">
        <w:rPr>
          <w:noProof w:val="0"/>
        </w:rPr>
        <w:t>EPS are becoming more powerful over time. In 2021 it is estimated that 23% of EPS provide less than 7.5W power, while 66% provide between 7.5W and 27W, and the remaining 12% more than 27W. The trend towards more powerful (and therefore faster) EPS is expected to increase in future, with EPS providing less than 7.5W reducing to 7% by 2030.</w:t>
      </w:r>
    </w:p>
    <w:p w14:paraId="6F90B4CA" w14:textId="0788D710" w:rsidR="000909A5" w:rsidRPr="00167A1B" w:rsidRDefault="000909A5" w:rsidP="000909A5">
      <w:pPr>
        <w:pStyle w:val="bullet1"/>
        <w:rPr>
          <w:noProof w:val="0"/>
        </w:rPr>
      </w:pPr>
      <w:r w:rsidRPr="00167A1B">
        <w:rPr>
          <w:noProof w:val="0"/>
        </w:rPr>
        <w:t>Of EPS added to the stock in 2021 (excluding unbundled), around 79% are estimated to have USB Type-A receptacles and 17% USB Type-C (the remainder are multi-port EPS). By 2030, the share of EPS with USB Type-C receptacles is modelled to increase to 61%.</w:t>
      </w:r>
    </w:p>
    <w:p w14:paraId="27AF35A4" w14:textId="633F42AF" w:rsidR="0071029C" w:rsidRPr="00167A1B" w:rsidRDefault="0071029C" w:rsidP="0071029C">
      <w:pPr>
        <w:pStyle w:val="BodyText1"/>
        <w:rPr>
          <w:noProof w:val="0"/>
        </w:rPr>
      </w:pPr>
      <w:r w:rsidRPr="00167A1B">
        <w:rPr>
          <w:noProof w:val="0"/>
        </w:rPr>
        <w:t xml:space="preserve">The </w:t>
      </w:r>
      <w:r w:rsidR="002C7D31" w:rsidRPr="00167A1B">
        <w:rPr>
          <w:noProof w:val="0"/>
        </w:rPr>
        <w:t xml:space="preserve">overall </w:t>
      </w:r>
      <w:r w:rsidRPr="00167A1B">
        <w:rPr>
          <w:noProof w:val="0"/>
        </w:rPr>
        <w:t xml:space="preserve">effects of these key trends on the sales and the resulting stock of mobile phone chargers </w:t>
      </w:r>
      <w:r w:rsidR="002C7D31" w:rsidRPr="00167A1B">
        <w:rPr>
          <w:noProof w:val="0"/>
        </w:rPr>
        <w:t>are shown</w:t>
      </w:r>
      <w:r w:rsidRPr="00167A1B">
        <w:rPr>
          <w:noProof w:val="0"/>
        </w:rPr>
        <w:t xml:space="preserve"> in the graphs overleaf</w:t>
      </w:r>
      <w:r w:rsidR="002C7D31" w:rsidRPr="00167A1B">
        <w:rPr>
          <w:noProof w:val="0"/>
        </w:rPr>
        <w:t>, which contain the estimates derived from the stock model</w:t>
      </w:r>
      <w:r w:rsidRPr="00167A1B">
        <w:rPr>
          <w:noProof w:val="0"/>
        </w:rPr>
        <w:t xml:space="preserve">. </w:t>
      </w:r>
      <w:r w:rsidR="002C7D31" w:rsidRPr="00167A1B">
        <w:rPr>
          <w:noProof w:val="0"/>
        </w:rPr>
        <w:t>The total annual sales of EPS are expected to decline by around 20% compared with 2017 levels, leading to a similar reduction in the stock, due to the voluntary unbundling described above. By contrast, both sales and the stock of cables are expected to decline only marginally, as no voluntary unbundling of cables is expected to occur in the baseline scenario.</w:t>
      </w:r>
    </w:p>
    <w:p w14:paraId="2362D3DD" w14:textId="77777777" w:rsidR="0071029C" w:rsidRPr="00167A1B" w:rsidRDefault="0071029C" w:rsidP="0071029C">
      <w:pPr>
        <w:pStyle w:val="BodyText1"/>
        <w:rPr>
          <w:noProof w:val="0"/>
        </w:rPr>
        <w:sectPr w:rsidR="0071029C" w:rsidRPr="00167A1B" w:rsidSect="00F30A41">
          <w:headerReference w:type="even" r:id="rId32"/>
          <w:headerReference w:type="default" r:id="rId33"/>
          <w:footerReference w:type="default" r:id="rId34"/>
          <w:headerReference w:type="first" r:id="rId35"/>
          <w:pgSz w:w="11907" w:h="16839" w:code="9"/>
          <w:pgMar w:top="1418" w:right="1418" w:bottom="851" w:left="1418" w:header="142" w:footer="352" w:gutter="0"/>
          <w:cols w:space="720"/>
          <w:titlePg/>
          <w:docGrid w:linePitch="326"/>
        </w:sectPr>
      </w:pPr>
    </w:p>
    <w:p w14:paraId="1F08B735" w14:textId="6F100616" w:rsidR="0071029C" w:rsidRPr="00167A1B" w:rsidRDefault="002C7D31" w:rsidP="002C7D31">
      <w:pPr>
        <w:pStyle w:val="Caption"/>
      </w:pPr>
      <w:r w:rsidRPr="00167A1B">
        <w:lastRenderedPageBreak/>
        <w:t xml:space="preserve">Figure </w:t>
      </w:r>
      <w:r w:rsidRPr="00167A1B">
        <w:fldChar w:fldCharType="begin"/>
      </w:r>
      <w:r w:rsidRPr="00167A1B">
        <w:instrText xml:space="preserve"> SEQ Figure \* ARABIC </w:instrText>
      </w:r>
      <w:r w:rsidRPr="00167A1B">
        <w:fldChar w:fldCharType="separate"/>
      </w:r>
      <w:r w:rsidR="00221C9D" w:rsidRPr="00167A1B">
        <w:t>3</w:t>
      </w:r>
      <w:r w:rsidRPr="00167A1B">
        <w:fldChar w:fldCharType="end"/>
      </w:r>
      <w:r w:rsidRPr="00167A1B">
        <w:t>: Baseline scenario evolution 2017-2030</w:t>
      </w:r>
    </w:p>
    <w:tbl>
      <w:tblPr>
        <w:tblStyle w:val="TableGrid1"/>
        <w:tblW w:w="14562" w:type="dxa"/>
        <w:tblLayout w:type="fixed"/>
        <w:tblLook w:val="04A0" w:firstRow="1" w:lastRow="0" w:firstColumn="1" w:lastColumn="0" w:noHBand="0" w:noVBand="1"/>
      </w:tblPr>
      <w:tblGrid>
        <w:gridCol w:w="988"/>
        <w:gridCol w:w="6787"/>
        <w:gridCol w:w="6787"/>
      </w:tblGrid>
      <w:tr w:rsidR="002C7D31" w:rsidRPr="00167A1B" w14:paraId="5B0DEE4E" w14:textId="77777777" w:rsidTr="002C7D31">
        <w:tc>
          <w:tcPr>
            <w:tcW w:w="988" w:type="dxa"/>
          </w:tcPr>
          <w:p w14:paraId="3D3CEAEF" w14:textId="77777777" w:rsidR="002C7D31" w:rsidRPr="00167A1B" w:rsidRDefault="002C7D31" w:rsidP="0009739E">
            <w:pPr>
              <w:pStyle w:val="04ABodyText"/>
              <w:numPr>
                <w:ilvl w:val="0"/>
                <w:numId w:val="0"/>
              </w:numPr>
              <w:spacing w:after="0"/>
              <w:rPr>
                <w:b/>
                <w:bCs/>
              </w:rPr>
            </w:pPr>
          </w:p>
        </w:tc>
        <w:tc>
          <w:tcPr>
            <w:tcW w:w="6787" w:type="dxa"/>
            <w:hideMark/>
          </w:tcPr>
          <w:p w14:paraId="650DAF6F" w14:textId="77777777" w:rsidR="002C7D31" w:rsidRPr="00167A1B" w:rsidRDefault="002C7D31" w:rsidP="0009739E">
            <w:pPr>
              <w:pStyle w:val="04ABodyText"/>
              <w:numPr>
                <w:ilvl w:val="0"/>
                <w:numId w:val="0"/>
              </w:numPr>
              <w:spacing w:after="0"/>
              <w:rPr>
                <w:b/>
                <w:bCs/>
              </w:rPr>
            </w:pPr>
            <w:r w:rsidRPr="00167A1B">
              <w:rPr>
                <w:b/>
                <w:bCs/>
              </w:rPr>
              <w:t>Annual sales (with Smartphones + standalone) [units]</w:t>
            </w:r>
          </w:p>
        </w:tc>
        <w:tc>
          <w:tcPr>
            <w:tcW w:w="6787" w:type="dxa"/>
            <w:hideMark/>
          </w:tcPr>
          <w:p w14:paraId="591022A5" w14:textId="77777777" w:rsidR="002C7D31" w:rsidRPr="00167A1B" w:rsidRDefault="002C7D31" w:rsidP="0009739E">
            <w:pPr>
              <w:pStyle w:val="04ABodyText"/>
              <w:numPr>
                <w:ilvl w:val="0"/>
                <w:numId w:val="0"/>
              </w:numPr>
              <w:spacing w:after="0"/>
              <w:rPr>
                <w:b/>
                <w:bCs/>
              </w:rPr>
            </w:pPr>
            <w:r w:rsidRPr="00167A1B">
              <w:rPr>
                <w:b/>
                <w:bCs/>
              </w:rPr>
              <w:t>Stock [units]</w:t>
            </w:r>
          </w:p>
        </w:tc>
      </w:tr>
      <w:tr w:rsidR="002C7D31" w:rsidRPr="00167A1B" w14:paraId="1CC4CAA4" w14:textId="77777777" w:rsidTr="002C7D31">
        <w:tc>
          <w:tcPr>
            <w:tcW w:w="988" w:type="dxa"/>
            <w:hideMark/>
          </w:tcPr>
          <w:p w14:paraId="407C026C" w14:textId="77777777" w:rsidR="002C7D31" w:rsidRPr="00167A1B" w:rsidRDefault="002C7D31" w:rsidP="0009739E">
            <w:pPr>
              <w:pStyle w:val="04ABodyText"/>
              <w:numPr>
                <w:ilvl w:val="0"/>
                <w:numId w:val="0"/>
              </w:numPr>
              <w:spacing w:after="0"/>
              <w:rPr>
                <w:b/>
                <w:bCs/>
              </w:rPr>
            </w:pPr>
            <w:r w:rsidRPr="00167A1B">
              <w:rPr>
                <w:b/>
                <w:bCs/>
              </w:rPr>
              <w:t>EPS</w:t>
            </w:r>
          </w:p>
        </w:tc>
        <w:tc>
          <w:tcPr>
            <w:tcW w:w="6787" w:type="dxa"/>
            <w:hideMark/>
          </w:tcPr>
          <w:p w14:paraId="7075CC23" w14:textId="77777777" w:rsidR="002C7D31" w:rsidRPr="00167A1B" w:rsidRDefault="002C7D31" w:rsidP="0009739E">
            <w:pPr>
              <w:pStyle w:val="04ABodyText"/>
              <w:numPr>
                <w:ilvl w:val="0"/>
                <w:numId w:val="0"/>
              </w:numPr>
              <w:spacing w:after="0"/>
              <w:rPr>
                <w:b/>
                <w:bCs/>
              </w:rPr>
            </w:pPr>
            <w:r w:rsidRPr="00167A1B">
              <w:rPr>
                <w:b/>
                <w:noProof/>
              </w:rPr>
              <w:drawing>
                <wp:inline distT="0" distB="0" distL="0" distR="0" wp14:anchorId="48BBE0EF" wp14:editId="6AB11BF8">
                  <wp:extent cx="4023360" cy="2399516"/>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47891" cy="2414146"/>
                          </a:xfrm>
                          <a:prstGeom prst="rect">
                            <a:avLst/>
                          </a:prstGeom>
                          <a:noFill/>
                          <a:ln>
                            <a:noFill/>
                          </a:ln>
                        </pic:spPr>
                      </pic:pic>
                    </a:graphicData>
                  </a:graphic>
                </wp:inline>
              </w:drawing>
            </w:r>
          </w:p>
        </w:tc>
        <w:tc>
          <w:tcPr>
            <w:tcW w:w="6787" w:type="dxa"/>
            <w:hideMark/>
          </w:tcPr>
          <w:p w14:paraId="722551EC" w14:textId="77777777" w:rsidR="002C7D31" w:rsidRPr="00167A1B" w:rsidRDefault="002C7D31" w:rsidP="0009739E">
            <w:pPr>
              <w:pStyle w:val="04ABodyText"/>
              <w:numPr>
                <w:ilvl w:val="0"/>
                <w:numId w:val="0"/>
              </w:numPr>
              <w:spacing w:after="0"/>
              <w:rPr>
                <w:b/>
                <w:bCs/>
              </w:rPr>
            </w:pPr>
            <w:r w:rsidRPr="00167A1B">
              <w:rPr>
                <w:b/>
                <w:noProof/>
              </w:rPr>
              <w:drawing>
                <wp:inline distT="0" distB="0" distL="0" distR="0" wp14:anchorId="278AEF8F" wp14:editId="1814FB19">
                  <wp:extent cx="4206240" cy="2320930"/>
                  <wp:effectExtent l="0" t="0" r="381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33925" cy="2336206"/>
                          </a:xfrm>
                          <a:prstGeom prst="rect">
                            <a:avLst/>
                          </a:prstGeom>
                          <a:noFill/>
                          <a:ln>
                            <a:noFill/>
                          </a:ln>
                        </pic:spPr>
                      </pic:pic>
                    </a:graphicData>
                  </a:graphic>
                </wp:inline>
              </w:drawing>
            </w:r>
          </w:p>
        </w:tc>
      </w:tr>
      <w:tr w:rsidR="002C7D31" w:rsidRPr="00167A1B" w14:paraId="096D7F5E" w14:textId="77777777" w:rsidTr="002C7D31">
        <w:trPr>
          <w:trHeight w:val="3621"/>
        </w:trPr>
        <w:tc>
          <w:tcPr>
            <w:tcW w:w="988" w:type="dxa"/>
            <w:hideMark/>
          </w:tcPr>
          <w:p w14:paraId="449EAB74" w14:textId="77777777" w:rsidR="002C7D31" w:rsidRPr="00167A1B" w:rsidRDefault="002C7D31" w:rsidP="0009739E">
            <w:pPr>
              <w:pStyle w:val="04ABodyText"/>
              <w:numPr>
                <w:ilvl w:val="0"/>
                <w:numId w:val="0"/>
              </w:numPr>
              <w:spacing w:after="0"/>
              <w:rPr>
                <w:b/>
                <w:bCs/>
              </w:rPr>
            </w:pPr>
            <w:r w:rsidRPr="00167A1B">
              <w:rPr>
                <w:b/>
                <w:bCs/>
              </w:rPr>
              <w:t>Cables</w:t>
            </w:r>
          </w:p>
        </w:tc>
        <w:tc>
          <w:tcPr>
            <w:tcW w:w="6787" w:type="dxa"/>
            <w:hideMark/>
          </w:tcPr>
          <w:p w14:paraId="16244B9F" w14:textId="77777777" w:rsidR="002C7D31" w:rsidRPr="00167A1B" w:rsidRDefault="002C7D31" w:rsidP="0009739E">
            <w:pPr>
              <w:pStyle w:val="04ABodyText"/>
              <w:numPr>
                <w:ilvl w:val="0"/>
                <w:numId w:val="0"/>
              </w:numPr>
              <w:spacing w:after="0"/>
              <w:rPr>
                <w:b/>
                <w:bCs/>
              </w:rPr>
            </w:pPr>
            <w:r w:rsidRPr="00167A1B">
              <w:rPr>
                <w:b/>
                <w:noProof/>
              </w:rPr>
              <w:drawing>
                <wp:inline distT="0" distB="0" distL="0" distR="0" wp14:anchorId="77F19FC2" wp14:editId="0B8ABFBA">
                  <wp:extent cx="4176979" cy="219722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81331" cy="2199515"/>
                          </a:xfrm>
                          <a:prstGeom prst="rect">
                            <a:avLst/>
                          </a:prstGeom>
                          <a:noFill/>
                          <a:ln>
                            <a:noFill/>
                          </a:ln>
                        </pic:spPr>
                      </pic:pic>
                    </a:graphicData>
                  </a:graphic>
                </wp:inline>
              </w:drawing>
            </w:r>
          </w:p>
        </w:tc>
        <w:tc>
          <w:tcPr>
            <w:tcW w:w="6787" w:type="dxa"/>
            <w:hideMark/>
          </w:tcPr>
          <w:p w14:paraId="0975DB5F" w14:textId="77777777" w:rsidR="002C7D31" w:rsidRPr="00167A1B" w:rsidRDefault="002C7D31" w:rsidP="0009739E">
            <w:pPr>
              <w:pStyle w:val="04ABodyText"/>
              <w:numPr>
                <w:ilvl w:val="0"/>
                <w:numId w:val="0"/>
              </w:numPr>
              <w:spacing w:after="0"/>
              <w:rPr>
                <w:b/>
                <w:bCs/>
              </w:rPr>
            </w:pPr>
            <w:r w:rsidRPr="00167A1B">
              <w:rPr>
                <w:b/>
                <w:noProof/>
              </w:rPr>
              <w:drawing>
                <wp:inline distT="0" distB="0" distL="0" distR="0" wp14:anchorId="64EA0BEC" wp14:editId="01D85646">
                  <wp:extent cx="4037990" cy="2202540"/>
                  <wp:effectExtent l="0" t="0" r="635"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70031" cy="2220017"/>
                          </a:xfrm>
                          <a:prstGeom prst="rect">
                            <a:avLst/>
                          </a:prstGeom>
                          <a:noFill/>
                          <a:ln>
                            <a:noFill/>
                          </a:ln>
                        </pic:spPr>
                      </pic:pic>
                    </a:graphicData>
                  </a:graphic>
                </wp:inline>
              </w:drawing>
            </w:r>
          </w:p>
        </w:tc>
      </w:tr>
    </w:tbl>
    <w:p w14:paraId="7D1F6802" w14:textId="400D77C8" w:rsidR="00260A49" w:rsidRPr="00167A1B" w:rsidRDefault="00624269" w:rsidP="002C7D31">
      <w:pPr>
        <w:pStyle w:val="04ABodyText"/>
        <w:numPr>
          <w:ilvl w:val="0"/>
          <w:numId w:val="0"/>
        </w:numPr>
        <w:spacing w:after="0" w:line="240" w:lineRule="auto"/>
        <w:rPr>
          <w:sz w:val="18"/>
          <w:szCs w:val="16"/>
        </w:rPr>
      </w:pPr>
      <w:r w:rsidRPr="00167A1B">
        <w:rPr>
          <w:b/>
          <w:sz w:val="18"/>
          <w:szCs w:val="18"/>
        </w:rPr>
        <w:t>Source:</w:t>
      </w:r>
      <w:r w:rsidRPr="00167A1B">
        <w:rPr>
          <w:sz w:val="18"/>
          <w:szCs w:val="18"/>
        </w:rPr>
        <w:t xml:space="preserve">  Own TRI-STOCK-CHARGER model calculations. </w:t>
      </w:r>
      <w:r w:rsidR="002C7D31" w:rsidRPr="00167A1B">
        <w:rPr>
          <w:b/>
          <w:sz w:val="18"/>
          <w:szCs w:val="16"/>
        </w:rPr>
        <w:t>Note:</w:t>
      </w:r>
      <w:r w:rsidR="002C7D31" w:rsidRPr="00167A1B">
        <w:rPr>
          <w:sz w:val="18"/>
          <w:szCs w:val="16"/>
        </w:rPr>
        <w:t xml:space="preserve"> The “No EPS” area in the stock graph does not decline as there are no disposals assumed (unlike other EPS); for this reason, the total accumulates.</w:t>
      </w:r>
    </w:p>
    <w:p w14:paraId="7E049915" w14:textId="77777777" w:rsidR="0071029C" w:rsidRPr="00167A1B" w:rsidRDefault="0071029C" w:rsidP="006E1277">
      <w:pPr>
        <w:pStyle w:val="BodyText1"/>
        <w:rPr>
          <w:noProof w:val="0"/>
        </w:rPr>
        <w:sectPr w:rsidR="0071029C" w:rsidRPr="00167A1B" w:rsidSect="0071029C">
          <w:pgSz w:w="16839" w:h="11907" w:orient="landscape" w:code="9"/>
          <w:pgMar w:top="1418" w:right="2127" w:bottom="1418" w:left="737" w:header="142" w:footer="352" w:gutter="0"/>
          <w:cols w:space="720"/>
          <w:titlePg/>
          <w:docGrid w:linePitch="326"/>
        </w:sectPr>
      </w:pPr>
    </w:p>
    <w:p w14:paraId="63568000" w14:textId="38E60306" w:rsidR="00F45B42" w:rsidRPr="00167A1B" w:rsidRDefault="00F45B42" w:rsidP="009C1705">
      <w:pPr>
        <w:pStyle w:val="Title2"/>
        <w:outlineLvl w:val="1"/>
      </w:pPr>
      <w:bookmarkStart w:id="25" w:name="_Toc74319749"/>
      <w:r w:rsidRPr="00167A1B">
        <w:lastRenderedPageBreak/>
        <w:t>Options to be retained for in-depth analysis</w:t>
      </w:r>
      <w:bookmarkEnd w:id="25"/>
      <w:r w:rsidRPr="00167A1B">
        <w:t xml:space="preserve"> </w:t>
      </w:r>
    </w:p>
    <w:p w14:paraId="6C0B457A" w14:textId="4F1E598E" w:rsidR="006E1277" w:rsidRPr="00167A1B" w:rsidRDefault="006E1277" w:rsidP="006E1277">
      <w:pPr>
        <w:pStyle w:val="BodyText1"/>
        <w:rPr>
          <w:noProof w:val="0"/>
        </w:rPr>
      </w:pPr>
      <w:r w:rsidRPr="00167A1B">
        <w:rPr>
          <w:noProof w:val="0"/>
        </w:rPr>
        <w:t xml:space="preserve">The policy options as defined for this study comprise individual “measures” that would harmonise or address certain technical aspects related to chargers, or the way in which they are marketed. These options are not necessarily mutually </w:t>
      </w:r>
      <w:proofErr w:type="gramStart"/>
      <w:r w:rsidRPr="00167A1B">
        <w:rPr>
          <w:noProof w:val="0"/>
        </w:rPr>
        <w:t>exclusive, but</w:t>
      </w:r>
      <w:proofErr w:type="gramEnd"/>
      <w:r w:rsidRPr="00167A1B">
        <w:rPr>
          <w:noProof w:val="0"/>
        </w:rPr>
        <w:t xml:space="preserve"> could potentially be combined into a “package” of measures (for more on this, see below). The elements that are addressed are the following:</w:t>
      </w:r>
    </w:p>
    <w:p w14:paraId="07753EDA" w14:textId="77777777" w:rsidR="006E1277" w:rsidRPr="00167A1B" w:rsidRDefault="006E1277" w:rsidP="006E1277">
      <w:pPr>
        <w:pStyle w:val="bullet1"/>
        <w:rPr>
          <w:noProof w:val="0"/>
        </w:rPr>
      </w:pPr>
      <w:r w:rsidRPr="00167A1B">
        <w:rPr>
          <w:b/>
          <w:bCs/>
          <w:noProof w:val="0"/>
        </w:rPr>
        <w:t xml:space="preserve">Connectors on the device (option 1): </w:t>
      </w:r>
      <w:r w:rsidRPr="00167A1B">
        <w:rPr>
          <w:noProof w:val="0"/>
        </w:rPr>
        <w:t xml:space="preserve">As noted previously, presently three types of receptacles are used in phones marketed in the EU (and corresponding connectors in charging cables): USB Type-C, USB micro-B, and Lightning. This option would make it mandatory for all phones to have the same receptacle (USB Type-C). </w:t>
      </w:r>
    </w:p>
    <w:p w14:paraId="37F8F71B" w14:textId="77777777" w:rsidR="006E1277" w:rsidRPr="00167A1B" w:rsidRDefault="006E1277" w:rsidP="006E1277">
      <w:pPr>
        <w:pStyle w:val="bullet1"/>
        <w:rPr>
          <w:noProof w:val="0"/>
        </w:rPr>
      </w:pPr>
      <w:r w:rsidRPr="00167A1B">
        <w:rPr>
          <w:b/>
          <w:bCs/>
          <w:noProof w:val="0"/>
        </w:rPr>
        <w:t xml:space="preserve">(Fast) charging technology (options 2 and 3): </w:t>
      </w:r>
      <w:r w:rsidRPr="00167A1B">
        <w:rPr>
          <w:noProof w:val="0"/>
        </w:rPr>
        <w:t>The interoperability of chargers and mobile phones, and their charging performance, depend not only on common connectors and receptacles, but also on the charging technology (and communication protocols) used by both the EPS and the device. Interoperability could be ensured by making it mandatory for phones (option 2) and/or EPS (option 3) to comply with certain USB specifications.</w:t>
      </w:r>
    </w:p>
    <w:p w14:paraId="652C8C57" w14:textId="77777777" w:rsidR="006E1277" w:rsidRPr="00167A1B" w:rsidRDefault="006E1277" w:rsidP="006E1277">
      <w:pPr>
        <w:pStyle w:val="bullet1"/>
        <w:rPr>
          <w:b/>
          <w:bCs/>
          <w:noProof w:val="0"/>
        </w:rPr>
      </w:pPr>
      <w:r w:rsidRPr="00167A1B">
        <w:rPr>
          <w:b/>
          <w:bCs/>
          <w:noProof w:val="0"/>
        </w:rPr>
        <w:t xml:space="preserve">Unbundling (options 4.a and 4.b): </w:t>
      </w:r>
      <w:r w:rsidRPr="00167A1B">
        <w:rPr>
          <w:noProof w:val="0"/>
        </w:rPr>
        <w:t>Since late 2020, certain manufacturers have begun to market unbundled solutions (i.e. mobile phones without EPS). This could be made mandatory, by obliging all manufacturers to offer unbundled solutions, i.e. to give all customers the option of purchasing a new phone without an EPS (option 4.a), or even without an EPS or cable (option 4.b).</w:t>
      </w:r>
    </w:p>
    <w:p w14:paraId="7910D505" w14:textId="77777777" w:rsidR="006E1277" w:rsidRPr="00167A1B" w:rsidRDefault="006E1277" w:rsidP="006E1277">
      <w:pPr>
        <w:pStyle w:val="bullet1"/>
        <w:rPr>
          <w:noProof w:val="0"/>
        </w:rPr>
      </w:pPr>
      <w:r w:rsidRPr="00167A1B">
        <w:rPr>
          <w:b/>
          <w:bCs/>
          <w:noProof w:val="0"/>
        </w:rPr>
        <w:t xml:space="preserve">Information on interoperability (option 5): </w:t>
      </w:r>
      <w:r w:rsidRPr="00167A1B">
        <w:rPr>
          <w:noProof w:val="0"/>
        </w:rPr>
        <w:t xml:space="preserve">The final option would seek to enhance transparency and consumer understanding of the interoperability of EPS and phones, and thereby to stimulate both demand for and supply of unbundled solutions, via a voluntary labelling scheme based on USB charging modes. </w:t>
      </w:r>
    </w:p>
    <w:p w14:paraId="15C924D8" w14:textId="77777777" w:rsidR="006E1277" w:rsidRPr="00167A1B" w:rsidRDefault="006E1277" w:rsidP="006E1277">
      <w:pPr>
        <w:pStyle w:val="BodyText1"/>
        <w:rPr>
          <w:noProof w:val="0"/>
        </w:rPr>
      </w:pPr>
      <w:r w:rsidRPr="00167A1B">
        <w:rPr>
          <w:noProof w:val="0"/>
        </w:rPr>
        <w:t xml:space="preserve">Other elements, including connectors on the EPS, wireless charging, and a “universal” EPS, were also considered, but not taken forward as part of the policy options assessed in depth at this stage (for the main reasons, see section 3.3 below). </w:t>
      </w:r>
    </w:p>
    <w:p w14:paraId="6097280A" w14:textId="77777777" w:rsidR="006E1277" w:rsidRPr="00167A1B" w:rsidRDefault="006E1277" w:rsidP="006E1277">
      <w:pPr>
        <w:pStyle w:val="BodyText1"/>
        <w:rPr>
          <w:noProof w:val="0"/>
        </w:rPr>
      </w:pPr>
      <w:r w:rsidRPr="00167A1B">
        <w:rPr>
          <w:noProof w:val="0"/>
        </w:rPr>
        <w:t>In the first instance, the shortlisted options, as listed above and described in more detail below, are assessed individually for mobile phones only (see chapter 5). In a second and third step, we also consider and analyse the following:</w:t>
      </w:r>
    </w:p>
    <w:p w14:paraId="21E802F8" w14:textId="77777777" w:rsidR="006E1277" w:rsidRPr="00167A1B" w:rsidRDefault="006E1277" w:rsidP="006E1277">
      <w:pPr>
        <w:pStyle w:val="bullet1"/>
        <w:rPr>
          <w:noProof w:val="0"/>
        </w:rPr>
      </w:pPr>
      <w:r w:rsidRPr="00167A1B">
        <w:rPr>
          <w:b/>
          <w:bCs/>
          <w:noProof w:val="0"/>
        </w:rPr>
        <w:t>Product scope</w:t>
      </w:r>
      <w:r w:rsidRPr="00167A1B">
        <w:rPr>
          <w:noProof w:val="0"/>
        </w:rPr>
        <w:t>: Could each of these options be applied to portable electronic devices other than mobile phones? If so, which devices, and what would be the main impacts, as well as implementation challenges / risks? (see chapter 6)</w:t>
      </w:r>
    </w:p>
    <w:p w14:paraId="5CC696D2" w14:textId="77777777" w:rsidR="006E1277" w:rsidRPr="00167A1B" w:rsidRDefault="006E1277" w:rsidP="006E1277">
      <w:pPr>
        <w:pStyle w:val="bullet1"/>
        <w:rPr>
          <w:noProof w:val="0"/>
        </w:rPr>
      </w:pPr>
      <w:r w:rsidRPr="00167A1B">
        <w:rPr>
          <w:b/>
          <w:bCs/>
          <w:noProof w:val="0"/>
        </w:rPr>
        <w:t>Combinations of options</w:t>
      </w:r>
      <w:r w:rsidRPr="00167A1B">
        <w:rPr>
          <w:noProof w:val="0"/>
        </w:rPr>
        <w:t>: The initiative that is likely to be most effective (i.e. maximises benefits while minimising costs) may well be a combination of these “measures”. Therefore, following the initial analysis of the individual options, we undertake a qualitative assessment of different combinations (or packages), followed by a quantitative estimate of the main impacts of those combinations that appear most promising (see chapter 7).</w:t>
      </w:r>
    </w:p>
    <w:p w14:paraId="4994CF01" w14:textId="77777777" w:rsidR="006E1277" w:rsidRPr="00167A1B" w:rsidRDefault="006E1277" w:rsidP="006E1277">
      <w:pPr>
        <w:pStyle w:val="BodyText1"/>
        <w:rPr>
          <w:noProof w:val="0"/>
        </w:rPr>
      </w:pPr>
      <w:r w:rsidRPr="00167A1B">
        <w:rPr>
          <w:noProof w:val="0"/>
        </w:rPr>
        <w:t>We assume that all options would apply to all new products (i.e. models) launched on the market after a given date, providing for an adequate transition period. For the sake of the analysis, we assume any new rules (whether legislative or voluntary) will apply from 1 January 2024.</w:t>
      </w:r>
    </w:p>
    <w:p w14:paraId="6CD63599" w14:textId="77777777" w:rsidR="006E1277" w:rsidRPr="00167A1B" w:rsidRDefault="006E1277" w:rsidP="006E1277">
      <w:pPr>
        <w:pStyle w:val="BodyText1"/>
        <w:rPr>
          <w:noProof w:val="0"/>
        </w:rPr>
      </w:pPr>
    </w:p>
    <w:p w14:paraId="01B3F40E" w14:textId="77777777" w:rsidR="006E1277" w:rsidRPr="00167A1B" w:rsidRDefault="006E1277" w:rsidP="006E1277">
      <w:pPr>
        <w:pStyle w:val="title3"/>
      </w:pPr>
      <w:r w:rsidRPr="00167A1B">
        <w:lastRenderedPageBreak/>
        <w:t>Option 1: Harmonise connectors on mobile phones</w:t>
      </w:r>
    </w:p>
    <w:p w14:paraId="6FA66159" w14:textId="77777777" w:rsidR="006E1277" w:rsidRPr="00167A1B" w:rsidRDefault="006E1277" w:rsidP="006E1277">
      <w:pPr>
        <w:pStyle w:val="BodyText1"/>
        <w:rPr>
          <w:noProof w:val="0"/>
        </w:rPr>
      </w:pPr>
      <w:r w:rsidRPr="00167A1B">
        <w:rPr>
          <w:noProof w:val="0"/>
        </w:rPr>
        <w:t>This option would entail regulation to ensure all mobile phones have a receptacle for a USB Type-C connector. Proprietary connectors, or solutions that require adapters, would not be allowed.</w:t>
      </w:r>
    </w:p>
    <w:p w14:paraId="5CF1903D" w14:textId="77777777" w:rsidR="006E1277" w:rsidRPr="00167A1B" w:rsidRDefault="006E1277" w:rsidP="006E1277">
      <w:pPr>
        <w:pStyle w:val="BodyText1"/>
        <w:rPr>
          <w:noProof w:val="0"/>
        </w:rPr>
      </w:pPr>
      <w:r w:rsidRPr="00167A1B">
        <w:rPr>
          <w:noProof w:val="0"/>
        </w:rPr>
        <w:t xml:space="preserve">This would be implemented via the amendment of certain provisions of the RED (2014/53/EU) for regulating the aspects of interoperability (via the co-decision procedure). Reference would have to be made to standard IEC 62680-1-3 to define the “common” connector. The Commission would be empowered to update the requirement, </w:t>
      </w:r>
      <w:proofErr w:type="gramStart"/>
      <w:r w:rsidRPr="00167A1B">
        <w:rPr>
          <w:noProof w:val="0"/>
        </w:rPr>
        <w:t>taking into account</w:t>
      </w:r>
      <w:proofErr w:type="gramEnd"/>
      <w:r w:rsidRPr="00167A1B">
        <w:rPr>
          <w:noProof w:val="0"/>
        </w:rPr>
        <w:t xml:space="preserve"> future technical innovation.</w:t>
      </w:r>
    </w:p>
    <w:p w14:paraId="561300BB" w14:textId="13EBAD6E" w:rsidR="00AD63BC" w:rsidRPr="00167A1B" w:rsidRDefault="006E1277" w:rsidP="00AD63BC">
      <w:pPr>
        <w:pStyle w:val="BodyText1"/>
        <w:rPr>
          <w:noProof w:val="0"/>
        </w:rPr>
      </w:pPr>
      <w:r w:rsidRPr="00167A1B">
        <w:rPr>
          <w:noProof w:val="0"/>
        </w:rPr>
        <w:t>The impacts of this option were already assessed as part of the first IA study (as option 1)</w:t>
      </w:r>
      <w:r w:rsidR="00AD63BC" w:rsidRPr="00167A1B">
        <w:rPr>
          <w:noProof w:val="0"/>
        </w:rPr>
        <w:t xml:space="preserve">. It found that this option would result in minor benefits for </w:t>
      </w:r>
      <w:proofErr w:type="gramStart"/>
      <w:r w:rsidR="00AD63BC" w:rsidRPr="00167A1B">
        <w:rPr>
          <w:noProof w:val="0"/>
        </w:rPr>
        <w:t>consumers, and</w:t>
      </w:r>
      <w:proofErr w:type="gramEnd"/>
      <w:r w:rsidR="00AD63BC" w:rsidRPr="00167A1B">
        <w:rPr>
          <w:noProof w:val="0"/>
        </w:rPr>
        <w:t xml:space="preserve"> be broadly neutral from an environmental perspective.</w:t>
      </w:r>
    </w:p>
    <w:p w14:paraId="3A375D23" w14:textId="7D8579EF" w:rsidR="006E1277" w:rsidRPr="00167A1B" w:rsidRDefault="006E1277" w:rsidP="006E1277">
      <w:pPr>
        <w:pStyle w:val="BodyText1"/>
        <w:rPr>
          <w:noProof w:val="0"/>
        </w:rPr>
      </w:pPr>
      <w:r w:rsidRPr="00167A1B">
        <w:rPr>
          <w:noProof w:val="0"/>
        </w:rPr>
        <w:t xml:space="preserve">The only (minor) difference with how this option is framed now is that legislative action is focused on the receptacle on the device, rather than the connector on the cable. Therefore, the present study revisits and, where appropriate, updates the results of the first IA study </w:t>
      </w:r>
      <w:proofErr w:type="gramStart"/>
      <w:r w:rsidRPr="00167A1B">
        <w:rPr>
          <w:noProof w:val="0"/>
        </w:rPr>
        <w:t>in light of</w:t>
      </w:r>
      <w:proofErr w:type="gramEnd"/>
      <w:r w:rsidRPr="00167A1B">
        <w:rPr>
          <w:noProof w:val="0"/>
        </w:rPr>
        <w:t xml:space="preserve"> recent developments.</w:t>
      </w:r>
    </w:p>
    <w:p w14:paraId="78FCCD8B" w14:textId="77777777" w:rsidR="006E1277" w:rsidRPr="00167A1B" w:rsidRDefault="006E1277" w:rsidP="006E1277">
      <w:pPr>
        <w:pStyle w:val="BodyText1"/>
        <w:rPr>
          <w:noProof w:val="0"/>
        </w:rPr>
      </w:pPr>
    </w:p>
    <w:p w14:paraId="156658CA" w14:textId="77777777" w:rsidR="006E1277" w:rsidRPr="00167A1B" w:rsidRDefault="006E1277" w:rsidP="006E1277">
      <w:pPr>
        <w:pStyle w:val="title3"/>
      </w:pPr>
      <w:r w:rsidRPr="00167A1B">
        <w:t>Option 2: Require mobile phones to be compatible with USB charging technology</w:t>
      </w:r>
    </w:p>
    <w:p w14:paraId="12690AA3" w14:textId="77777777" w:rsidR="006E1277" w:rsidRPr="00167A1B" w:rsidRDefault="006E1277" w:rsidP="006E1277">
      <w:pPr>
        <w:pStyle w:val="BodyText1"/>
        <w:rPr>
          <w:noProof w:val="0"/>
          <w:szCs w:val="22"/>
        </w:rPr>
      </w:pPr>
      <w:r w:rsidRPr="00167A1B">
        <w:rPr>
          <w:noProof w:val="0"/>
          <w:szCs w:val="22"/>
        </w:rPr>
        <w:t>This option would regulate to ensure all mobile phones incorporate communication protocols that are compatible with USB specifications, specifically:</w:t>
      </w:r>
    </w:p>
    <w:p w14:paraId="62C9CD1B" w14:textId="77777777" w:rsidR="006E1277" w:rsidRPr="00167A1B" w:rsidRDefault="006E1277" w:rsidP="006E1277">
      <w:pPr>
        <w:pStyle w:val="bullet1"/>
        <w:rPr>
          <w:noProof w:val="0"/>
          <w:szCs w:val="22"/>
        </w:rPr>
      </w:pPr>
      <w:r w:rsidRPr="00167A1B">
        <w:rPr>
          <w:noProof w:val="0"/>
          <w:szCs w:val="22"/>
        </w:rPr>
        <w:t>USB Type-C for all mobile phones; this will be used by default when receiving a charge of up to 15 W (5 V and either 1.5 A or 3 A); as well as</w:t>
      </w:r>
    </w:p>
    <w:p w14:paraId="72CE5FFE" w14:textId="7DEC24A9" w:rsidR="006E1277" w:rsidRPr="00167A1B" w:rsidRDefault="006E1277" w:rsidP="006E1277">
      <w:pPr>
        <w:pStyle w:val="bullet1"/>
        <w:rPr>
          <w:noProof w:val="0"/>
          <w:szCs w:val="22"/>
        </w:rPr>
      </w:pPr>
      <w:r w:rsidRPr="00167A1B">
        <w:rPr>
          <w:noProof w:val="0"/>
          <w:szCs w:val="22"/>
        </w:rPr>
        <w:t>USB Power Delivery (PD)</w:t>
      </w:r>
      <w:r w:rsidRPr="00167A1B">
        <w:rPr>
          <w:rStyle w:val="FootnoteReference"/>
          <w:noProof w:val="0"/>
          <w:sz w:val="22"/>
          <w:szCs w:val="22"/>
        </w:rPr>
        <w:footnoteReference w:id="63"/>
      </w:r>
      <w:r w:rsidRPr="00167A1B">
        <w:rPr>
          <w:noProof w:val="0"/>
          <w:szCs w:val="22"/>
        </w:rPr>
        <w:t xml:space="preserve"> for </w:t>
      </w:r>
      <w:r w:rsidR="00A53C86" w:rsidRPr="00167A1B">
        <w:rPr>
          <w:noProof w:val="0"/>
          <w:szCs w:val="22"/>
        </w:rPr>
        <w:t>p</w:t>
      </w:r>
      <w:r w:rsidRPr="00167A1B">
        <w:rPr>
          <w:noProof w:val="0"/>
          <w:szCs w:val="22"/>
        </w:rPr>
        <w:t xml:space="preserve">hones that can charge at over 15 W </w:t>
      </w:r>
    </w:p>
    <w:p w14:paraId="724595A5" w14:textId="77777777" w:rsidR="006E1277" w:rsidRPr="00167A1B" w:rsidRDefault="006E1277" w:rsidP="006E1277">
      <w:pPr>
        <w:pStyle w:val="BodyText1"/>
        <w:rPr>
          <w:noProof w:val="0"/>
          <w:szCs w:val="22"/>
        </w:rPr>
      </w:pPr>
      <w:r w:rsidRPr="00167A1B">
        <w:rPr>
          <w:noProof w:val="0"/>
          <w:szCs w:val="22"/>
        </w:rPr>
        <w:t>This option would ensure that all phones can be charged safely with at least 7.5 W with a USB Type-C EPS; and that phones with fast charging capabilities, when connected to a USB PD EPS, can take full advantage of the EPS’s power output and management features.</w:t>
      </w:r>
    </w:p>
    <w:p w14:paraId="785EED55" w14:textId="77777777" w:rsidR="00223F54" w:rsidRPr="00167A1B" w:rsidRDefault="00223F54" w:rsidP="00223F54">
      <w:pPr>
        <w:pStyle w:val="BodyText1"/>
        <w:rPr>
          <w:noProof w:val="0"/>
          <w:szCs w:val="22"/>
        </w:rPr>
      </w:pPr>
      <w:r w:rsidRPr="00167A1B">
        <w:rPr>
          <w:noProof w:val="0"/>
          <w:szCs w:val="22"/>
        </w:rPr>
        <w:t>It is worth reiterating that USB Type-C charging requires at least one USB Type-C receptacle (either on the EPS or on the device). This means that this option would oblige manufacturers to phase out USB micro-B connectors, but Lightning could continue to be used (</w:t>
      </w:r>
      <w:proofErr w:type="gramStart"/>
      <w:r w:rsidRPr="00167A1B">
        <w:rPr>
          <w:noProof w:val="0"/>
          <w:szCs w:val="22"/>
        </w:rPr>
        <w:t>as long as</w:t>
      </w:r>
      <w:proofErr w:type="gramEnd"/>
      <w:r w:rsidRPr="00167A1B">
        <w:rPr>
          <w:noProof w:val="0"/>
          <w:szCs w:val="22"/>
        </w:rPr>
        <w:t xml:space="preserve"> there is a USB Type-C connector at the other (EPS) end of the cable).</w:t>
      </w:r>
    </w:p>
    <w:p w14:paraId="54566891" w14:textId="77777777" w:rsidR="006E1277" w:rsidRPr="00167A1B" w:rsidRDefault="006E1277" w:rsidP="006E1277">
      <w:pPr>
        <w:pStyle w:val="BodyText1"/>
        <w:rPr>
          <w:noProof w:val="0"/>
          <w:szCs w:val="22"/>
        </w:rPr>
      </w:pPr>
      <w:r w:rsidRPr="00167A1B">
        <w:rPr>
          <w:noProof w:val="0"/>
          <w:szCs w:val="22"/>
        </w:rPr>
        <w:t>The inclusion of other (proprietary) charging technology in the phone would be permitted, provided USB PD is used when the phone is connected to a USB PD EPS. Thus, for example, Huawei could continue to incorporate its Super Charge technology in its phones (and use this when the phone is connected to a Super Charge EPS), as long as it continues to also incorporate USB PD communication protocols (which would be used when the phone is connected to a USB PD EPS).</w:t>
      </w:r>
    </w:p>
    <w:p w14:paraId="11F662D0" w14:textId="77777777" w:rsidR="006E1277" w:rsidRPr="00167A1B" w:rsidRDefault="006E1277" w:rsidP="006E1277">
      <w:pPr>
        <w:pStyle w:val="BodyText1"/>
        <w:rPr>
          <w:noProof w:val="0"/>
          <w:szCs w:val="22"/>
        </w:rPr>
      </w:pPr>
      <w:r w:rsidRPr="00167A1B">
        <w:rPr>
          <w:noProof w:val="0"/>
          <w:szCs w:val="22"/>
        </w:rPr>
        <w:t>Like option 1, this would be implemented via an amendment to the RED, making compatibility with USB PD an “essential requirement” for all mobile phones. Reference would have to be made to (key parts of</w:t>
      </w:r>
      <w:r w:rsidRPr="00167A1B">
        <w:rPr>
          <w:rStyle w:val="FootnoteReference"/>
          <w:noProof w:val="0"/>
          <w:sz w:val="22"/>
          <w:szCs w:val="22"/>
        </w:rPr>
        <w:footnoteReference w:id="64"/>
      </w:r>
      <w:r w:rsidRPr="00167A1B">
        <w:rPr>
          <w:noProof w:val="0"/>
          <w:szCs w:val="22"/>
        </w:rPr>
        <w:t xml:space="preserve">) standards IEC 62680-1-3 (for USB Type-C) and </w:t>
      </w:r>
      <w:r w:rsidRPr="00167A1B">
        <w:rPr>
          <w:noProof w:val="0"/>
          <w:szCs w:val="22"/>
        </w:rPr>
        <w:lastRenderedPageBreak/>
        <w:t xml:space="preserve">IEC 62680-1-2 (for USB PD) to define the required features. The Commission would be empowered to update the requirement, </w:t>
      </w:r>
      <w:proofErr w:type="gramStart"/>
      <w:r w:rsidRPr="00167A1B">
        <w:rPr>
          <w:noProof w:val="0"/>
          <w:szCs w:val="22"/>
        </w:rPr>
        <w:t>taking into account</w:t>
      </w:r>
      <w:proofErr w:type="gramEnd"/>
      <w:r w:rsidRPr="00167A1B">
        <w:rPr>
          <w:noProof w:val="0"/>
          <w:szCs w:val="22"/>
        </w:rPr>
        <w:t xml:space="preserve"> future technical innovation. Information requirements could be considered as a “flanking measure” (to highlight the USB Type-C / USB PD compatibility of both phones and EPS).</w:t>
      </w:r>
    </w:p>
    <w:p w14:paraId="34397AC3" w14:textId="77777777" w:rsidR="006E1277" w:rsidRPr="00167A1B" w:rsidRDefault="006E1277" w:rsidP="006E1277">
      <w:pPr>
        <w:pStyle w:val="BodyText1"/>
        <w:rPr>
          <w:noProof w:val="0"/>
          <w:szCs w:val="22"/>
        </w:rPr>
      </w:pPr>
      <w:r w:rsidRPr="00167A1B">
        <w:rPr>
          <w:noProof w:val="0"/>
          <w:szCs w:val="22"/>
        </w:rPr>
        <w:t>In terms of how this option would be operationalised, monitored and enforced, compliance with this new essential requirement would be communicated via the CE marking. In line with the principle of presumption of conformity, manufacturers could self-certify their products, with market surveillance authorities only expected to verify compliance in cases where specific doubts or concerns arise.</w:t>
      </w:r>
    </w:p>
    <w:p w14:paraId="1C122D79" w14:textId="23766FB9" w:rsidR="00223F54" w:rsidRPr="00167A1B" w:rsidRDefault="00223F54" w:rsidP="00223F54">
      <w:pPr>
        <w:pStyle w:val="BodyText1"/>
        <w:rPr>
          <w:noProof w:val="0"/>
          <w:szCs w:val="22"/>
        </w:rPr>
      </w:pPr>
      <w:r w:rsidRPr="00167A1B">
        <w:rPr>
          <w:noProof w:val="0"/>
          <w:szCs w:val="22"/>
        </w:rPr>
        <w:t xml:space="preserve">This option was not assessed as such in the first IA study (which only considered interoperability requirements for the EPS, not for the device receiving the charge). It has been added </w:t>
      </w:r>
      <w:proofErr w:type="gramStart"/>
      <w:r w:rsidRPr="00167A1B">
        <w:rPr>
          <w:noProof w:val="0"/>
          <w:szCs w:val="22"/>
        </w:rPr>
        <w:t>in light of</w:t>
      </w:r>
      <w:proofErr w:type="gramEnd"/>
      <w:r w:rsidRPr="00167A1B">
        <w:rPr>
          <w:noProof w:val="0"/>
          <w:szCs w:val="22"/>
        </w:rPr>
        <w:t xml:space="preserve"> recent developments and </w:t>
      </w:r>
      <w:r w:rsidR="00167A1B" w:rsidRPr="00167A1B">
        <w:rPr>
          <w:noProof w:val="0"/>
          <w:szCs w:val="22"/>
        </w:rPr>
        <w:t>considerations, including</w:t>
      </w:r>
      <w:r w:rsidRPr="00167A1B">
        <w:rPr>
          <w:noProof w:val="0"/>
          <w:szCs w:val="22"/>
        </w:rPr>
        <w:t xml:space="preserve"> the ongoing work on a “universal” EPS (see section 3.2.3 below).</w:t>
      </w:r>
    </w:p>
    <w:p w14:paraId="2E1A7B36" w14:textId="77777777" w:rsidR="006E1277" w:rsidRPr="00167A1B" w:rsidRDefault="006E1277" w:rsidP="006E1277">
      <w:pPr>
        <w:pStyle w:val="BodyText1"/>
        <w:rPr>
          <w:noProof w:val="0"/>
        </w:rPr>
      </w:pPr>
    </w:p>
    <w:p w14:paraId="48F59D75" w14:textId="77777777" w:rsidR="006E1277" w:rsidRPr="00167A1B" w:rsidRDefault="006E1277" w:rsidP="006E1277">
      <w:pPr>
        <w:pStyle w:val="title3"/>
      </w:pPr>
      <w:r w:rsidRPr="00167A1B">
        <w:t xml:space="preserve">Option 3: Require EPS for mobile phones to comply with USB interoperability guidelines </w:t>
      </w:r>
    </w:p>
    <w:p w14:paraId="11A67F5A" w14:textId="77777777" w:rsidR="006E1277" w:rsidRPr="00167A1B" w:rsidRDefault="006E1277" w:rsidP="006E1277">
      <w:pPr>
        <w:pStyle w:val="BodyText1"/>
        <w:rPr>
          <w:noProof w:val="0"/>
          <w:szCs w:val="22"/>
        </w:rPr>
      </w:pPr>
      <w:r w:rsidRPr="00167A1B">
        <w:rPr>
          <w:noProof w:val="0"/>
          <w:szCs w:val="22"/>
        </w:rPr>
        <w:t xml:space="preserve">Under this option, the EU would regulate to require all EPS for mobile phones to be compliant with USB interoperability specifications and communication methods. The legal basis for this option would need to be defined, as (based on the results of the first IA study) it seems unlikely EPS could be regulated under the RED. </w:t>
      </w:r>
    </w:p>
    <w:p w14:paraId="3B705E1C" w14:textId="77777777" w:rsidR="006E1277" w:rsidRPr="00167A1B" w:rsidRDefault="006E1277" w:rsidP="006E1277">
      <w:pPr>
        <w:pStyle w:val="BodyText1"/>
        <w:rPr>
          <w:noProof w:val="0"/>
          <w:szCs w:val="22"/>
        </w:rPr>
      </w:pPr>
      <w:r w:rsidRPr="00167A1B">
        <w:rPr>
          <w:noProof w:val="0"/>
          <w:szCs w:val="22"/>
        </w:rPr>
        <w:t xml:space="preserve">Specifically, interoperability of EPS could be ensured via a reference to the international standard IEC 63002:2021. As noted previously, this standard has been updated and strengthened recently by the USB-IF, in order to enable interoperability of EPS with devices that implement USB Type-C and USB PD, by specifying the minimum technical requirements for an EPS to ensure interoperability (in particular, the data communicated from a power source to a device, and certain safety elements of the EPS, cable, and device), and making recommendations for EPS functionality. </w:t>
      </w:r>
    </w:p>
    <w:p w14:paraId="60D73DC6" w14:textId="77777777" w:rsidR="006E1277" w:rsidRPr="00167A1B" w:rsidRDefault="006E1277" w:rsidP="006E1277">
      <w:pPr>
        <w:pStyle w:val="BodyText1"/>
        <w:rPr>
          <w:noProof w:val="0"/>
          <w:szCs w:val="22"/>
        </w:rPr>
      </w:pPr>
      <w:r w:rsidRPr="00167A1B">
        <w:rPr>
          <w:noProof w:val="0"/>
          <w:szCs w:val="22"/>
        </w:rPr>
        <w:t>The publication of IEC 63002:2021 was pending at the time of writing, but based on the preview version to which the study team has been provided with access, the requirements for EPS that are most relevant in the context of this initiative are:</w:t>
      </w:r>
    </w:p>
    <w:p w14:paraId="3C69BA75" w14:textId="77777777" w:rsidR="006E1277" w:rsidRPr="00167A1B" w:rsidRDefault="006E1277" w:rsidP="006E1277">
      <w:pPr>
        <w:pStyle w:val="bullet1"/>
        <w:rPr>
          <w:noProof w:val="0"/>
          <w:szCs w:val="22"/>
        </w:rPr>
      </w:pPr>
      <w:r w:rsidRPr="00167A1B">
        <w:rPr>
          <w:noProof w:val="0"/>
          <w:szCs w:val="22"/>
        </w:rPr>
        <w:t xml:space="preserve">The EPS </w:t>
      </w:r>
      <w:proofErr w:type="gramStart"/>
      <w:r w:rsidRPr="00167A1B">
        <w:rPr>
          <w:noProof w:val="0"/>
          <w:szCs w:val="22"/>
        </w:rPr>
        <w:t>has to</w:t>
      </w:r>
      <w:proofErr w:type="gramEnd"/>
      <w:r w:rsidRPr="00167A1B">
        <w:rPr>
          <w:noProof w:val="0"/>
          <w:szCs w:val="22"/>
        </w:rPr>
        <w:t xml:space="preserve"> provide power on at least one USB Type-C receptacle (either on the EPS or on the device).</w:t>
      </w:r>
    </w:p>
    <w:p w14:paraId="3F22F910" w14:textId="77777777" w:rsidR="006E1277" w:rsidRPr="00167A1B" w:rsidRDefault="006E1277" w:rsidP="006E1277">
      <w:pPr>
        <w:pStyle w:val="bullet1"/>
        <w:rPr>
          <w:noProof w:val="0"/>
          <w:szCs w:val="22"/>
        </w:rPr>
      </w:pPr>
      <w:r w:rsidRPr="00167A1B">
        <w:rPr>
          <w:noProof w:val="0"/>
          <w:szCs w:val="22"/>
        </w:rPr>
        <w:t xml:space="preserve">By default, the EPS </w:t>
      </w:r>
      <w:proofErr w:type="gramStart"/>
      <w:r w:rsidRPr="00167A1B">
        <w:rPr>
          <w:noProof w:val="0"/>
          <w:szCs w:val="22"/>
        </w:rPr>
        <w:t>has to</w:t>
      </w:r>
      <w:proofErr w:type="gramEnd"/>
      <w:r w:rsidRPr="00167A1B">
        <w:rPr>
          <w:noProof w:val="0"/>
          <w:szCs w:val="22"/>
        </w:rPr>
        <w:t xml:space="preserve"> supply 5 V with a minimum current capacity of 1.5 A.</w:t>
      </w:r>
    </w:p>
    <w:p w14:paraId="3BB9BD7E" w14:textId="77777777" w:rsidR="006E1277" w:rsidRPr="00167A1B" w:rsidRDefault="006E1277" w:rsidP="006E1277">
      <w:pPr>
        <w:pStyle w:val="bullet1"/>
        <w:rPr>
          <w:noProof w:val="0"/>
          <w:szCs w:val="22"/>
        </w:rPr>
      </w:pPr>
      <w:r w:rsidRPr="00167A1B">
        <w:rPr>
          <w:noProof w:val="0"/>
          <w:szCs w:val="22"/>
        </w:rPr>
        <w:t>The EPS may also provide a current of 3 A (using USB Type-C).</w:t>
      </w:r>
    </w:p>
    <w:p w14:paraId="5FA76D14" w14:textId="77777777" w:rsidR="006E1277" w:rsidRPr="00167A1B" w:rsidRDefault="006E1277" w:rsidP="006E1277">
      <w:pPr>
        <w:pStyle w:val="bullet1"/>
        <w:rPr>
          <w:noProof w:val="0"/>
          <w:szCs w:val="22"/>
        </w:rPr>
      </w:pPr>
      <w:r w:rsidRPr="00167A1B">
        <w:rPr>
          <w:noProof w:val="0"/>
          <w:szCs w:val="22"/>
        </w:rPr>
        <w:t xml:space="preserve">For power transfer at voltages other than 5 V, or over 3 A, USB Power Delivery </w:t>
      </w:r>
      <w:proofErr w:type="gramStart"/>
      <w:r w:rsidRPr="00167A1B">
        <w:rPr>
          <w:noProof w:val="0"/>
          <w:szCs w:val="22"/>
        </w:rPr>
        <w:t>has to</w:t>
      </w:r>
      <w:proofErr w:type="gramEnd"/>
      <w:r w:rsidRPr="00167A1B">
        <w:rPr>
          <w:noProof w:val="0"/>
          <w:szCs w:val="22"/>
        </w:rPr>
        <w:t xml:space="preserve"> be used.</w:t>
      </w:r>
      <w:r w:rsidRPr="00167A1B">
        <w:rPr>
          <w:rStyle w:val="FootnoteReference"/>
          <w:noProof w:val="0"/>
          <w:sz w:val="22"/>
          <w:szCs w:val="22"/>
        </w:rPr>
        <w:footnoteReference w:id="65"/>
      </w:r>
    </w:p>
    <w:p w14:paraId="35107E18" w14:textId="77777777" w:rsidR="006E1277" w:rsidRPr="00167A1B" w:rsidRDefault="006E1277" w:rsidP="006E1277">
      <w:pPr>
        <w:pStyle w:val="BodyText1"/>
        <w:rPr>
          <w:noProof w:val="0"/>
          <w:szCs w:val="22"/>
        </w:rPr>
      </w:pPr>
      <w:r w:rsidRPr="00167A1B">
        <w:rPr>
          <w:noProof w:val="0"/>
          <w:szCs w:val="22"/>
        </w:rPr>
        <w:t xml:space="preserve">Put simply, all EPS would have to be compliant with the USB Type-C specifications (IEC 62680-1-3) and provide either 7.5 W or 15 W. Any EPS providing a higher power output would also have to be compliant with USB PD (IEC 62680-1-2). “Legacy” EPS providing, for instance, 7.5 W using USB BC 1.2, via a USB Type-A to USB micro-B cable, would not be compliant (meaning that, just like options 1 and 2, this option would also effectively oblige manufacturers to stop using USB micro-B receptacles in their phones). This option would also ban EPS that use proprietary fast charging technology (such as Huawei’s Super </w:t>
      </w:r>
      <w:r w:rsidRPr="00167A1B">
        <w:rPr>
          <w:noProof w:val="0"/>
          <w:szCs w:val="22"/>
        </w:rPr>
        <w:lastRenderedPageBreak/>
        <w:t>Charge or OPPO’s VOOC), since compliance with the USB PD specifications rules out proprietary “add-ons”.</w:t>
      </w:r>
    </w:p>
    <w:p w14:paraId="54C232CA" w14:textId="77777777" w:rsidR="006E1277" w:rsidRPr="00167A1B" w:rsidRDefault="006E1277" w:rsidP="006E1277">
      <w:pPr>
        <w:pStyle w:val="BodyText1"/>
        <w:rPr>
          <w:noProof w:val="0"/>
          <w:szCs w:val="22"/>
        </w:rPr>
      </w:pPr>
      <w:r w:rsidRPr="00167A1B">
        <w:rPr>
          <w:noProof w:val="0"/>
          <w:szCs w:val="22"/>
        </w:rPr>
        <w:t>This requirement would apply to all EPS that are sold along with mobile phones, but not to EPS that are marketed separately. In theory, it could be envisaged that this option applies to all EPS, including those sold separately. However, this (requiring all or a specific subset of stand-alone EPS to comply with IEC 63002:2021) would have potentially very wide-ranging impacts, as it could affect chargers for a very wide range of devices (not just the “small portable electronic devices” that are within the scope of this study). Exploratory work on such a genuinely “universal” EPS is currently ongoing within the context of the Ecodesign and Energy Labelling Working Plan 2020-2024</w:t>
      </w:r>
      <w:r w:rsidRPr="00167A1B">
        <w:rPr>
          <w:noProof w:val="0"/>
          <w:szCs w:val="22"/>
          <w:vertAlign w:val="superscript"/>
        </w:rPr>
        <w:footnoteReference w:id="66"/>
      </w:r>
      <w:r w:rsidRPr="00167A1B">
        <w:rPr>
          <w:noProof w:val="0"/>
          <w:szCs w:val="22"/>
        </w:rPr>
        <w:t>; it would not be appropriate to duplicate or anticipate this here.</w:t>
      </w:r>
    </w:p>
    <w:p w14:paraId="39234194" w14:textId="77777777" w:rsidR="006E1277" w:rsidRPr="00167A1B" w:rsidRDefault="006E1277" w:rsidP="006E1277">
      <w:pPr>
        <w:pStyle w:val="BodyText1"/>
        <w:rPr>
          <w:noProof w:val="0"/>
          <w:szCs w:val="22"/>
        </w:rPr>
      </w:pPr>
      <w:r w:rsidRPr="00167A1B">
        <w:rPr>
          <w:noProof w:val="0"/>
          <w:szCs w:val="22"/>
        </w:rPr>
        <w:t>A version of this option was already assessed, as option 4, as part of the first IA study. It has now been refined and updated in view of recent development, in particular the greater clarity regarding the content of standard IEC 63002:2021.</w:t>
      </w:r>
    </w:p>
    <w:p w14:paraId="1897AE93" w14:textId="77777777" w:rsidR="006E1277" w:rsidRPr="00167A1B" w:rsidRDefault="006E1277" w:rsidP="006E1277">
      <w:pPr>
        <w:pStyle w:val="BodyText1"/>
        <w:rPr>
          <w:noProof w:val="0"/>
        </w:rPr>
      </w:pPr>
    </w:p>
    <w:p w14:paraId="0E10EEC9" w14:textId="77777777" w:rsidR="006E1277" w:rsidRPr="00167A1B" w:rsidRDefault="006E1277" w:rsidP="006E1277">
      <w:pPr>
        <w:pStyle w:val="title3"/>
      </w:pPr>
      <w:r w:rsidRPr="00167A1B">
        <w:t>Option 4.a: Mandatory unbundling of EPS from mobile phones</w:t>
      </w:r>
    </w:p>
    <w:p w14:paraId="3AA53D08" w14:textId="77777777" w:rsidR="006E1277" w:rsidRPr="00167A1B" w:rsidRDefault="006E1277" w:rsidP="006E1277">
      <w:pPr>
        <w:pStyle w:val="BodyText1"/>
        <w:rPr>
          <w:noProof w:val="0"/>
          <w:szCs w:val="22"/>
        </w:rPr>
      </w:pPr>
      <w:r w:rsidRPr="00167A1B">
        <w:rPr>
          <w:noProof w:val="0"/>
          <w:szCs w:val="22"/>
        </w:rPr>
        <w:t xml:space="preserve">This option would oblige all manufacturers to offer unbundled solutions, i.e. give all customers the option of purchasing a new mobile phone without an EPS. Ideally, the regulation should be drafted </w:t>
      </w:r>
      <w:proofErr w:type="gramStart"/>
      <w:r w:rsidRPr="00167A1B">
        <w:rPr>
          <w:noProof w:val="0"/>
          <w:szCs w:val="22"/>
        </w:rPr>
        <w:t>so as to</w:t>
      </w:r>
      <w:proofErr w:type="gramEnd"/>
      <w:r w:rsidRPr="00167A1B">
        <w:rPr>
          <w:noProof w:val="0"/>
          <w:szCs w:val="22"/>
        </w:rPr>
        <w:t xml:space="preserve"> make the phone </w:t>
      </w:r>
      <w:r w:rsidRPr="00167A1B">
        <w:rPr>
          <w:i/>
          <w:iCs/>
          <w:noProof w:val="0"/>
          <w:szCs w:val="22"/>
        </w:rPr>
        <w:t>without</w:t>
      </w:r>
      <w:r w:rsidRPr="00167A1B">
        <w:rPr>
          <w:noProof w:val="0"/>
          <w:szCs w:val="22"/>
        </w:rPr>
        <w:t xml:space="preserve"> the EPS the “default” option. In principle, vendors would be free to offer charging accessories as an optional item at the point of sale, and to price these as they see fit.</w:t>
      </w:r>
    </w:p>
    <w:p w14:paraId="70233598" w14:textId="77777777" w:rsidR="006E1277" w:rsidRPr="00167A1B" w:rsidRDefault="006E1277" w:rsidP="006E1277">
      <w:pPr>
        <w:pStyle w:val="BodyText1"/>
        <w:rPr>
          <w:noProof w:val="0"/>
          <w:szCs w:val="22"/>
        </w:rPr>
      </w:pPr>
      <w:r w:rsidRPr="00167A1B">
        <w:rPr>
          <w:noProof w:val="0"/>
          <w:szCs w:val="22"/>
        </w:rPr>
        <w:t>Like options 1 and 2, this would be implemented via an amendment to the RED, making the marketing of phones without EPS an “essential requirement” for all mobile phones. This obligation would have to apply to manufacturers themselves, as well as to distributors (incl. retailers and mobile network operators).</w:t>
      </w:r>
    </w:p>
    <w:p w14:paraId="11CBF252" w14:textId="77777777" w:rsidR="006E1277" w:rsidRPr="00167A1B" w:rsidRDefault="006E1277" w:rsidP="006E1277">
      <w:pPr>
        <w:pStyle w:val="BodyText1"/>
        <w:rPr>
          <w:noProof w:val="0"/>
          <w:szCs w:val="22"/>
        </w:rPr>
      </w:pPr>
      <w:r w:rsidRPr="00167A1B">
        <w:rPr>
          <w:noProof w:val="0"/>
          <w:szCs w:val="22"/>
        </w:rPr>
        <w:t>Based on the market trends that can be observed to date (at the time of writing, three major manufacturers – Apple, Samsung and Nokia – were marketing some or all of their phones without EPS in Europe), and on interviews with a range of industry stakeholders, we expect manufacturers would react to such an initiative as follows:</w:t>
      </w:r>
    </w:p>
    <w:p w14:paraId="581BEF0E" w14:textId="77777777" w:rsidR="006E1277" w:rsidRPr="00167A1B" w:rsidRDefault="006E1277" w:rsidP="006E1277">
      <w:pPr>
        <w:pStyle w:val="bullet1"/>
        <w:rPr>
          <w:noProof w:val="0"/>
          <w:szCs w:val="22"/>
        </w:rPr>
      </w:pPr>
      <w:r w:rsidRPr="00167A1B">
        <w:rPr>
          <w:noProof w:val="0"/>
          <w:szCs w:val="22"/>
        </w:rPr>
        <w:t>Produce and market a single version of their phones, without an EPS. In theory, vendors could produce two different versions of their phones (one with, one without an EPS ‘in the box’), and ship both in the EU – but in practice, market trends to date as well as stakeholder feedback suggest that, commercially, it makes far more sense (i.e. reduces design, production and shipping costs) to produce a single version without the EPS, and package the latter separately.</w:t>
      </w:r>
    </w:p>
    <w:p w14:paraId="42AEDFED" w14:textId="77777777" w:rsidR="006E1277" w:rsidRPr="00167A1B" w:rsidRDefault="006E1277" w:rsidP="006E1277">
      <w:pPr>
        <w:pStyle w:val="bullet1"/>
        <w:rPr>
          <w:noProof w:val="0"/>
          <w:szCs w:val="22"/>
        </w:rPr>
      </w:pPr>
      <w:r w:rsidRPr="00167A1B">
        <w:rPr>
          <w:noProof w:val="0"/>
          <w:szCs w:val="22"/>
        </w:rPr>
        <w:t>Offer EPS as an optional accessory at the point of sale. The price will obviously depend on the specific EPS, but is likely to be in the range of between €10 and €25 for all but the most high-power models.</w:t>
      </w:r>
      <w:r w:rsidRPr="00167A1B">
        <w:rPr>
          <w:rStyle w:val="FootnoteReference"/>
          <w:noProof w:val="0"/>
          <w:sz w:val="22"/>
          <w:szCs w:val="22"/>
        </w:rPr>
        <w:footnoteReference w:id="67"/>
      </w:r>
      <w:r w:rsidRPr="00167A1B">
        <w:rPr>
          <w:noProof w:val="0"/>
          <w:szCs w:val="22"/>
        </w:rPr>
        <w:t xml:space="preserve"> Some manufacturers have reduced the retail price of their EPS when they launched their unbundled phones, but to date, </w:t>
      </w:r>
      <w:r w:rsidRPr="00167A1B">
        <w:rPr>
          <w:noProof w:val="0"/>
          <w:szCs w:val="22"/>
        </w:rPr>
        <w:lastRenderedPageBreak/>
        <w:t>we are not aware of any instances where “bundles” of phones and chargers have been offered at a discounted price.</w:t>
      </w:r>
    </w:p>
    <w:p w14:paraId="49D159E5" w14:textId="77777777" w:rsidR="006E1277" w:rsidRPr="00167A1B" w:rsidRDefault="006E1277" w:rsidP="006E1277">
      <w:pPr>
        <w:pStyle w:val="BodyText1"/>
        <w:rPr>
          <w:noProof w:val="0"/>
          <w:szCs w:val="22"/>
        </w:rPr>
      </w:pPr>
      <w:r w:rsidRPr="00167A1B">
        <w:rPr>
          <w:noProof w:val="0"/>
          <w:szCs w:val="22"/>
        </w:rPr>
        <w:t xml:space="preserve">Obviously, the above are reasonable assumptions based on the information at our disposal, but we cannot completely rule out divergent behaviour by individual vendors. For example, it seems unlikely but not unthinkable that, at some point in time, a given manufacturer might try to obtain a competitive advantage by offering its customers EPS along with new phones at a heavily discounted price, or perhaps even for free. </w:t>
      </w:r>
    </w:p>
    <w:p w14:paraId="7F727503" w14:textId="77777777" w:rsidR="006E1277" w:rsidRPr="00167A1B" w:rsidRDefault="006E1277" w:rsidP="006E1277">
      <w:pPr>
        <w:pStyle w:val="BodyText1"/>
        <w:rPr>
          <w:noProof w:val="0"/>
          <w:szCs w:val="22"/>
        </w:rPr>
      </w:pPr>
      <w:r w:rsidRPr="00167A1B">
        <w:rPr>
          <w:noProof w:val="0"/>
          <w:szCs w:val="22"/>
        </w:rPr>
        <w:t xml:space="preserve">If the EU wishes to categorically rule out such behaviours, additional safeguards would have to be built into the text of the regulatory proposal. In principle, this could include a prohibition to offer EPS at a discount to buyers of new phones (or, put another way, an obligation to charge all customers the same for an EPS, </w:t>
      </w:r>
      <w:proofErr w:type="gramStart"/>
      <w:r w:rsidRPr="00167A1B">
        <w:rPr>
          <w:noProof w:val="0"/>
          <w:szCs w:val="22"/>
        </w:rPr>
        <w:t>whether or not</w:t>
      </w:r>
      <w:proofErr w:type="gramEnd"/>
      <w:r w:rsidRPr="00167A1B">
        <w:rPr>
          <w:noProof w:val="0"/>
          <w:szCs w:val="22"/>
        </w:rPr>
        <w:t xml:space="preserve"> they buy it along with a new phone or not). Whether such interference in the market is necessary and justified, and whether the benefits outweigh the risks (which would include negative public sentiment if the EU is seen to prevent consumers from acquiring cheaper EPS), could be open to debate. In any case, in view of the assumptions outlined above, </w:t>
      </w:r>
      <w:proofErr w:type="gramStart"/>
      <w:r w:rsidRPr="00167A1B">
        <w:rPr>
          <w:noProof w:val="0"/>
          <w:szCs w:val="22"/>
        </w:rPr>
        <w:t>whether or not</w:t>
      </w:r>
      <w:proofErr w:type="gramEnd"/>
      <w:r w:rsidRPr="00167A1B">
        <w:rPr>
          <w:noProof w:val="0"/>
          <w:szCs w:val="22"/>
        </w:rPr>
        <w:t xml:space="preserve"> such clauses are included makes no difference to the assessment of the main environmental, economic and social impacts of a mandatory unbundling measure. </w:t>
      </w:r>
    </w:p>
    <w:p w14:paraId="64FFF796" w14:textId="77777777" w:rsidR="006E1277" w:rsidRPr="00167A1B" w:rsidRDefault="006E1277" w:rsidP="006E1277">
      <w:pPr>
        <w:pStyle w:val="BodyText1"/>
        <w:rPr>
          <w:noProof w:val="0"/>
          <w:szCs w:val="22"/>
        </w:rPr>
      </w:pPr>
      <w:r w:rsidRPr="00167A1B">
        <w:rPr>
          <w:noProof w:val="0"/>
          <w:szCs w:val="22"/>
        </w:rPr>
        <w:t>To improve the effectiveness of this option, an obligation for manufacturers to provide information about the charging capacity / requirements of their phones (e.g. USB PD, up to 45W) could be added. A campaign to highlight the environmental benefits could also be considered.</w:t>
      </w:r>
    </w:p>
    <w:p w14:paraId="4ACA2D4D" w14:textId="77777777" w:rsidR="006E1277" w:rsidRPr="00167A1B" w:rsidRDefault="006E1277" w:rsidP="006E1277">
      <w:pPr>
        <w:pStyle w:val="BodyText1"/>
        <w:rPr>
          <w:noProof w:val="0"/>
        </w:rPr>
      </w:pPr>
    </w:p>
    <w:p w14:paraId="4938CDD2" w14:textId="77777777" w:rsidR="006E1277" w:rsidRPr="00167A1B" w:rsidRDefault="006E1277" w:rsidP="006E1277">
      <w:pPr>
        <w:pStyle w:val="title3"/>
      </w:pPr>
      <w:r w:rsidRPr="00167A1B">
        <w:t>Option 4.b: Mandatory unbundling of the entire charger (EPS and cables)</w:t>
      </w:r>
    </w:p>
    <w:p w14:paraId="233CCBE1" w14:textId="77777777" w:rsidR="006E1277" w:rsidRPr="00167A1B" w:rsidRDefault="006E1277" w:rsidP="006E1277">
      <w:pPr>
        <w:pStyle w:val="BodyText1"/>
        <w:rPr>
          <w:noProof w:val="0"/>
          <w:szCs w:val="22"/>
        </w:rPr>
      </w:pPr>
      <w:r w:rsidRPr="00167A1B">
        <w:rPr>
          <w:noProof w:val="0"/>
          <w:szCs w:val="22"/>
        </w:rPr>
        <w:t>This option is identical to option 4.a above, with the sole exception that the cable is also included. It would oblige all manufacturers to give customers the option of purchasing a new phone without an EPS or cable.</w:t>
      </w:r>
    </w:p>
    <w:p w14:paraId="6E66415D" w14:textId="53534140" w:rsidR="006E1277" w:rsidRPr="00167A1B" w:rsidRDefault="006E1277" w:rsidP="006E1277">
      <w:pPr>
        <w:pStyle w:val="BodyText1"/>
        <w:rPr>
          <w:noProof w:val="0"/>
          <w:szCs w:val="22"/>
        </w:rPr>
      </w:pPr>
      <w:r w:rsidRPr="00167A1B">
        <w:rPr>
          <w:noProof w:val="0"/>
          <w:szCs w:val="22"/>
        </w:rPr>
        <w:t>It should be noted that none of the voluntary unbundling initiatives launched by major manufacturers to date have included the cable. In other words, all Apple, Samsung and Nokia phones sold in the EU at the time of writing include a cable in the box, and during interviews, no manufacturers expressed any intention to change this, and to ship phones without cables, in the foreseeable future.</w:t>
      </w:r>
      <w:r w:rsidRPr="00167A1B">
        <w:rPr>
          <w:rStyle w:val="FootnoteReference"/>
          <w:noProof w:val="0"/>
          <w:sz w:val="22"/>
          <w:szCs w:val="22"/>
        </w:rPr>
        <w:footnoteReference w:id="68"/>
      </w:r>
      <w:r w:rsidRPr="00167A1B">
        <w:rPr>
          <w:noProof w:val="0"/>
          <w:szCs w:val="22"/>
        </w:rPr>
        <w:t xml:space="preserve"> The main reasons cited for this are (1) the fact that cables are used not only for charging, but also for data transfer; (2) the typically shorter lifespan / lower durability of cables compared with EPS; and (3) the much </w:t>
      </w:r>
      <w:r w:rsidR="00A6405C" w:rsidRPr="00167A1B">
        <w:rPr>
          <w:noProof w:val="0"/>
          <w:szCs w:val="22"/>
        </w:rPr>
        <w:t xml:space="preserve">smaller size, </w:t>
      </w:r>
      <w:r w:rsidRPr="00167A1B">
        <w:rPr>
          <w:noProof w:val="0"/>
          <w:szCs w:val="22"/>
        </w:rPr>
        <w:t>lower weight, and hence environmental impact, of cables.</w:t>
      </w:r>
    </w:p>
    <w:p w14:paraId="63E689B0" w14:textId="77777777" w:rsidR="006E1277" w:rsidRPr="00167A1B" w:rsidRDefault="006E1277" w:rsidP="006E1277">
      <w:pPr>
        <w:pStyle w:val="BodyText1"/>
        <w:rPr>
          <w:noProof w:val="0"/>
          <w:szCs w:val="22"/>
        </w:rPr>
      </w:pPr>
      <w:r w:rsidRPr="00167A1B">
        <w:rPr>
          <w:noProof w:val="0"/>
          <w:szCs w:val="22"/>
        </w:rPr>
        <w:t xml:space="preserve">Therefore, adopting this option would run counter to existing market trends. On the other hand, the fact that close to 50% of phones are expected to already be shipped without an EPS </w:t>
      </w:r>
      <w:proofErr w:type="gramStart"/>
      <w:r w:rsidRPr="00167A1B">
        <w:rPr>
          <w:noProof w:val="0"/>
          <w:szCs w:val="22"/>
        </w:rPr>
        <w:t>in the near future</w:t>
      </w:r>
      <w:proofErr w:type="gramEnd"/>
      <w:r w:rsidRPr="00167A1B">
        <w:rPr>
          <w:noProof w:val="0"/>
          <w:szCs w:val="22"/>
        </w:rPr>
        <w:t xml:space="preserve"> under the baseline scenario, whereas 100% still come with cables, means the marginal impact of mandatory unbundling of cables is worth investigating. Also, it is worth considering whether the unbundling of cables could potentially also make the unbundling of EPS more effective (e.g. by preventing cases where phones are shipped with a USB Type-C to Type-C cable, forcing consumers to buy a new EPS that fits with this).</w:t>
      </w:r>
    </w:p>
    <w:p w14:paraId="1E3D1D5A" w14:textId="77777777" w:rsidR="006E1277" w:rsidRPr="00167A1B" w:rsidRDefault="006E1277" w:rsidP="006E1277">
      <w:pPr>
        <w:pStyle w:val="BodyText1"/>
        <w:rPr>
          <w:noProof w:val="0"/>
        </w:rPr>
      </w:pPr>
    </w:p>
    <w:p w14:paraId="299BB534" w14:textId="77777777" w:rsidR="006E1277" w:rsidRPr="00167A1B" w:rsidRDefault="006E1277" w:rsidP="006E1277">
      <w:pPr>
        <w:pStyle w:val="title3"/>
      </w:pPr>
      <w:r w:rsidRPr="00167A1B">
        <w:lastRenderedPageBreak/>
        <w:t>Option 5: Voluntary interoperability labelling / information scheme</w:t>
      </w:r>
    </w:p>
    <w:p w14:paraId="55834582" w14:textId="77777777" w:rsidR="006E1277" w:rsidRPr="00167A1B" w:rsidRDefault="006E1277" w:rsidP="006E1277">
      <w:pPr>
        <w:pStyle w:val="BodyText1"/>
        <w:rPr>
          <w:noProof w:val="0"/>
          <w:szCs w:val="22"/>
        </w:rPr>
      </w:pPr>
      <w:r w:rsidRPr="00167A1B">
        <w:rPr>
          <w:noProof w:val="0"/>
          <w:szCs w:val="22"/>
        </w:rPr>
        <w:t>This option would entail the creation and promotion of a labelling scheme to signal interoperability of EPS and phones with relevant USB specifications, and thereby to stimulate demand for and supply of unbundled solutions. This is a “soft” (i.e. voluntary) option – compliant / compatible EPS and phones could carry the label, but manufacturers would still be free to use other (proprietary) technologies (and therefore not participate in the scheme). The premise of this option is that, if consumers had a better understanding and an easy way of identifying which chargers work with which devices, they would be more open to re-using existing compatible chargers, and make more informed purchasing decisions (i.e. only buy chargers they really need), thereby reducing the overall demand for chargers. Similarly, such a scheme could offer a certain guarantee that consumers will only use compatible chargers, thereby incentivising manufacturers to ensure the compatibility of their devices and EPS, and to voluntarily offer unbundled solutions where this is in line with their business objectives and strategies.</w:t>
      </w:r>
    </w:p>
    <w:p w14:paraId="280E8038" w14:textId="77777777" w:rsidR="006E1277" w:rsidRPr="00167A1B" w:rsidRDefault="006E1277" w:rsidP="006E1277">
      <w:pPr>
        <w:pStyle w:val="BodyText1"/>
        <w:rPr>
          <w:noProof w:val="0"/>
          <w:szCs w:val="22"/>
        </w:rPr>
      </w:pPr>
      <w:r w:rsidRPr="00167A1B">
        <w:rPr>
          <w:noProof w:val="0"/>
          <w:szCs w:val="22"/>
        </w:rPr>
        <w:t>When considering such a labelling scheme, it is important to consider that one would not have to (and should not) start from scratch. The current high degree of interoperability is due to the family of USB standards and specifications. The USB Implementers Forum</w:t>
      </w:r>
      <w:r w:rsidRPr="00167A1B">
        <w:rPr>
          <w:rStyle w:val="FootnoteReference"/>
          <w:noProof w:val="0"/>
          <w:sz w:val="22"/>
          <w:szCs w:val="22"/>
        </w:rPr>
        <w:footnoteReference w:id="69"/>
      </w:r>
      <w:r w:rsidRPr="00167A1B">
        <w:rPr>
          <w:noProof w:val="0"/>
          <w:szCs w:val="22"/>
        </w:rPr>
        <w:t xml:space="preserve"> (USB-IF) also offers a certification scheme, whereby compliant USB chargers (and since, 2018, USB fast chargers) are listed on the USB IF website and acquire the right to use the “Certified USB Charger” logo.</w:t>
      </w:r>
      <w:r w:rsidRPr="00167A1B">
        <w:rPr>
          <w:rStyle w:val="FootnoteReference"/>
          <w:noProof w:val="0"/>
          <w:sz w:val="22"/>
          <w:szCs w:val="22"/>
        </w:rPr>
        <w:footnoteReference w:id="70"/>
      </w:r>
      <w:r w:rsidRPr="00167A1B">
        <w:rPr>
          <w:noProof w:val="0"/>
          <w:szCs w:val="22"/>
        </w:rPr>
        <w:t xml:space="preserve"> Ideally, a new (EU) scheme would build on (rather than duplicate) this, and seek to increase its attractiveness to and buy-in from manufacturers, as well as awareness among consumers.</w:t>
      </w:r>
    </w:p>
    <w:p w14:paraId="4F599EB6" w14:textId="77777777" w:rsidR="006E1277" w:rsidRPr="00167A1B" w:rsidRDefault="006E1277" w:rsidP="006E1277">
      <w:pPr>
        <w:pStyle w:val="BodyText1"/>
        <w:rPr>
          <w:noProof w:val="0"/>
          <w:szCs w:val="22"/>
        </w:rPr>
      </w:pPr>
      <w:r w:rsidRPr="00167A1B">
        <w:rPr>
          <w:noProof w:val="0"/>
          <w:szCs w:val="22"/>
        </w:rPr>
        <w:t>A key issue that has limited the uptake of the USB-IF certification scheme is that it is based on full compliance (rather than compatibility</w:t>
      </w:r>
      <w:proofErr w:type="gramStart"/>
      <w:r w:rsidRPr="00167A1B">
        <w:rPr>
          <w:noProof w:val="0"/>
          <w:szCs w:val="22"/>
        </w:rPr>
        <w:t>), and</w:t>
      </w:r>
      <w:proofErr w:type="gramEnd"/>
      <w:r w:rsidRPr="00167A1B">
        <w:rPr>
          <w:noProof w:val="0"/>
          <w:szCs w:val="22"/>
        </w:rPr>
        <w:t xml:space="preserve"> requires strict adherence to the relevant USB specifications in their entirety. Deviations or “add-ons” are explicitly forbidden, </w:t>
      </w:r>
      <w:proofErr w:type="gramStart"/>
      <w:r w:rsidRPr="00167A1B">
        <w:rPr>
          <w:noProof w:val="0"/>
          <w:szCs w:val="22"/>
        </w:rPr>
        <w:t>so as to</w:t>
      </w:r>
      <w:proofErr w:type="gramEnd"/>
      <w:r w:rsidRPr="00167A1B">
        <w:rPr>
          <w:noProof w:val="0"/>
          <w:szCs w:val="22"/>
        </w:rPr>
        <w:t xml:space="preserve"> ensure the relevance and transparency of the certification, and the safety of the products (according to USB-IF members interviewed for this study). This means that any charger that incorporates a proprietary technology (such as Quick Charge or Super Charge) is not eligible for certification – even if it is compatible with USB PD, it is not considered compliant. Therefore, as things stand, many chargers (up to 30% of the 2019 market of ‘in the box’ mobile phone chargers</w:t>
      </w:r>
      <w:r w:rsidRPr="00167A1B">
        <w:rPr>
          <w:rStyle w:val="FootnoteReference"/>
          <w:noProof w:val="0"/>
          <w:sz w:val="22"/>
          <w:szCs w:val="22"/>
        </w:rPr>
        <w:footnoteReference w:id="71"/>
      </w:r>
      <w:r w:rsidRPr="00167A1B">
        <w:rPr>
          <w:noProof w:val="0"/>
          <w:szCs w:val="22"/>
        </w:rPr>
        <w:t>) that could be used to charge a phone that incorporates USB PD would not be allowed to carry the USB Certified (Fast) Charger label.</w:t>
      </w:r>
    </w:p>
    <w:p w14:paraId="3C2A9910" w14:textId="77777777" w:rsidR="006E1277" w:rsidRPr="00167A1B" w:rsidRDefault="006E1277" w:rsidP="006E1277">
      <w:pPr>
        <w:pStyle w:val="BodyText1"/>
        <w:rPr>
          <w:noProof w:val="0"/>
          <w:szCs w:val="22"/>
        </w:rPr>
      </w:pPr>
      <w:r w:rsidRPr="00167A1B">
        <w:rPr>
          <w:noProof w:val="0"/>
          <w:szCs w:val="22"/>
        </w:rPr>
        <w:t xml:space="preserve">The interoperability scheme envisaged here would have to be more </w:t>
      </w:r>
      <w:proofErr w:type="gramStart"/>
      <w:r w:rsidRPr="00167A1B">
        <w:rPr>
          <w:noProof w:val="0"/>
          <w:szCs w:val="22"/>
        </w:rPr>
        <w:t>flexible, and</w:t>
      </w:r>
      <w:proofErr w:type="gramEnd"/>
      <w:r w:rsidRPr="00167A1B">
        <w:rPr>
          <w:noProof w:val="0"/>
          <w:szCs w:val="22"/>
        </w:rPr>
        <w:t xml:space="preserve"> entail various categories to help consumers understand which products are </w:t>
      </w:r>
      <w:r w:rsidRPr="00167A1B">
        <w:rPr>
          <w:i/>
          <w:iCs/>
          <w:noProof w:val="0"/>
          <w:szCs w:val="22"/>
        </w:rPr>
        <w:t>compatible</w:t>
      </w:r>
      <w:r w:rsidRPr="00167A1B">
        <w:rPr>
          <w:noProof w:val="0"/>
          <w:szCs w:val="22"/>
        </w:rPr>
        <w:t xml:space="preserve"> (as opposed to fully compliant), as well as which provide optimum charging performance. Indicatively, this could entail different (variations of) labels for four categories: one “basic” USB Charging label that only signifies that it is safe to use this EPS with a device (or vice versa) that supports any USB standard power mode (all of which are backward and forward compatible), and that it delivers a certain minimum level of output (e.g. 7.5 W); and three different USB Fast Charging “ratings” (corresponding with USB PD and different output levels, e.g. up to 27 W, up to 45 W, and more than 45 W). The different ratings could be </w:t>
      </w:r>
      <w:r w:rsidRPr="00167A1B">
        <w:rPr>
          <w:noProof w:val="0"/>
          <w:szCs w:val="22"/>
        </w:rPr>
        <w:lastRenderedPageBreak/>
        <w:t>communicated by adding the wattage to the logo, or by creating categories (e.g. I, II, III…) or a colour scheme.</w:t>
      </w:r>
    </w:p>
    <w:p w14:paraId="493ED8B3" w14:textId="77777777" w:rsidR="006E1277" w:rsidRPr="00167A1B" w:rsidRDefault="006E1277" w:rsidP="006E1277">
      <w:pPr>
        <w:pStyle w:val="BodyText1"/>
        <w:rPr>
          <w:noProof w:val="0"/>
          <w:szCs w:val="22"/>
        </w:rPr>
      </w:pPr>
      <w:r w:rsidRPr="00167A1B">
        <w:rPr>
          <w:noProof w:val="0"/>
          <w:szCs w:val="22"/>
        </w:rPr>
        <w:t xml:space="preserve">The labels should ideally be on both EPS and on mobile phones (on the packaging as well as, if desired, on the product itself), </w:t>
      </w:r>
      <w:proofErr w:type="gramStart"/>
      <w:r w:rsidRPr="00167A1B">
        <w:rPr>
          <w:noProof w:val="0"/>
          <w:szCs w:val="22"/>
        </w:rPr>
        <w:t>so as to</w:t>
      </w:r>
      <w:proofErr w:type="gramEnd"/>
      <w:r w:rsidRPr="00167A1B">
        <w:rPr>
          <w:noProof w:val="0"/>
          <w:szCs w:val="22"/>
        </w:rPr>
        <w:t xml:space="preserve"> enable users to “match” the two. To provide a few examples of how this might work in practice:</w:t>
      </w:r>
    </w:p>
    <w:p w14:paraId="0B0C155C" w14:textId="77777777" w:rsidR="006E1277" w:rsidRPr="00167A1B" w:rsidRDefault="006E1277" w:rsidP="006E1277">
      <w:pPr>
        <w:pStyle w:val="bullet1"/>
        <w:rPr>
          <w:noProof w:val="0"/>
          <w:szCs w:val="22"/>
        </w:rPr>
      </w:pPr>
      <w:r w:rsidRPr="00167A1B">
        <w:rPr>
          <w:noProof w:val="0"/>
          <w:szCs w:val="22"/>
        </w:rPr>
        <w:t xml:space="preserve">A Samsung 45W USB PD EPS, and a Samsung mobile phone that incorporates USB PD and is built </w:t>
      </w:r>
      <w:proofErr w:type="gramStart"/>
      <w:r w:rsidRPr="00167A1B">
        <w:rPr>
          <w:noProof w:val="0"/>
          <w:szCs w:val="22"/>
        </w:rPr>
        <w:t>so as to</w:t>
      </w:r>
      <w:proofErr w:type="gramEnd"/>
      <w:r w:rsidRPr="00167A1B">
        <w:rPr>
          <w:noProof w:val="0"/>
          <w:szCs w:val="22"/>
        </w:rPr>
        <w:t xml:space="preserve"> take full advantage of this EPS, would both carry a “USB Fast Charging level 2” (or similar) label.</w:t>
      </w:r>
    </w:p>
    <w:p w14:paraId="699C2517" w14:textId="77777777" w:rsidR="006E1277" w:rsidRPr="00167A1B" w:rsidRDefault="006E1277" w:rsidP="006E1277">
      <w:pPr>
        <w:pStyle w:val="bullet1"/>
        <w:rPr>
          <w:noProof w:val="0"/>
          <w:szCs w:val="22"/>
        </w:rPr>
      </w:pPr>
      <w:r w:rsidRPr="00167A1B">
        <w:rPr>
          <w:noProof w:val="0"/>
          <w:szCs w:val="22"/>
        </w:rPr>
        <w:t xml:space="preserve">A Huawei 65W SuperCharge EPS that does not support </w:t>
      </w:r>
      <w:proofErr w:type="gramStart"/>
      <w:r w:rsidRPr="00167A1B">
        <w:rPr>
          <w:noProof w:val="0"/>
          <w:szCs w:val="22"/>
        </w:rPr>
        <w:t>USB PD, but</w:t>
      </w:r>
      <w:proofErr w:type="gramEnd"/>
      <w:r w:rsidRPr="00167A1B">
        <w:rPr>
          <w:noProof w:val="0"/>
          <w:szCs w:val="22"/>
        </w:rPr>
        <w:t xml:space="preserve"> reverts to USB Battery Charging at 10W when connected to a non-SuperCharge phone, could carry the basic “USB Charging” label. </w:t>
      </w:r>
    </w:p>
    <w:p w14:paraId="2647C5D0" w14:textId="77777777" w:rsidR="006E1277" w:rsidRPr="00167A1B" w:rsidRDefault="006E1277" w:rsidP="006E1277">
      <w:pPr>
        <w:pStyle w:val="bullet1"/>
        <w:rPr>
          <w:noProof w:val="0"/>
          <w:szCs w:val="22"/>
        </w:rPr>
      </w:pPr>
      <w:r w:rsidRPr="00167A1B">
        <w:rPr>
          <w:noProof w:val="0"/>
          <w:szCs w:val="22"/>
        </w:rPr>
        <w:t>A Huawei mobile phone that incorporates both SuperCharge and USB PD technology could presumably obtain the label for “USB Fast Charging” at the appropriate level.</w:t>
      </w:r>
    </w:p>
    <w:p w14:paraId="2A7C89F7" w14:textId="77777777" w:rsidR="006E1277" w:rsidRPr="00167A1B" w:rsidRDefault="006E1277" w:rsidP="006E1277">
      <w:pPr>
        <w:pStyle w:val="BodyText1"/>
        <w:rPr>
          <w:noProof w:val="0"/>
          <w:szCs w:val="22"/>
        </w:rPr>
      </w:pPr>
      <w:r w:rsidRPr="00167A1B">
        <w:rPr>
          <w:noProof w:val="0"/>
          <w:szCs w:val="22"/>
        </w:rPr>
        <w:t xml:space="preserve">It is important to note that the exact design features of such a scheme would need to be explored further, ideally in collaboration between the European Commission, the industry and other stakeholders. There are many technical, commercial and other considerations; defining these in detail would have exceeded the scope of the present study. It is worth highlighting that some interviewed stakeholders were sceptical of the effectiveness of such schemes, citing previous experiences and market research that suggests consumers tend to pay very little attention to logos. How such concerns could be mitigated is an important question in the design of the scheme. </w:t>
      </w:r>
    </w:p>
    <w:p w14:paraId="06C59490" w14:textId="77777777" w:rsidR="006E1277" w:rsidRPr="00167A1B" w:rsidRDefault="006E1277" w:rsidP="006E1277">
      <w:pPr>
        <w:pStyle w:val="BodyText1"/>
        <w:rPr>
          <w:noProof w:val="0"/>
          <w:szCs w:val="22"/>
        </w:rPr>
      </w:pPr>
      <w:r w:rsidRPr="00167A1B">
        <w:rPr>
          <w:noProof w:val="0"/>
          <w:szCs w:val="22"/>
        </w:rPr>
        <w:t>In any case, since the scheme would be voluntary, and its exact parameters and technical requirements are subject to further analysis and consultations with relevant stakeholders, its impacts would be subject to a very high degree of uncertainty. The level of industry participation and buy-in to the scheme is unknown at this stage, as are the unbundling rates that would follow, and the effect the scheme would have on consumer choices. Therefore, it is very difficult to provide any robust, quantitative estimates of its likely impacts.</w:t>
      </w:r>
    </w:p>
    <w:p w14:paraId="7C4D3A9E" w14:textId="77777777" w:rsidR="006E1277" w:rsidRPr="00167A1B" w:rsidRDefault="006E1277" w:rsidP="006E1277">
      <w:pPr>
        <w:pStyle w:val="BodyText1"/>
        <w:rPr>
          <w:noProof w:val="0"/>
        </w:rPr>
      </w:pPr>
    </w:p>
    <w:p w14:paraId="08795C04" w14:textId="01B7F6EA" w:rsidR="00F45B42" w:rsidRPr="00167A1B" w:rsidRDefault="00F45B42" w:rsidP="009C1705">
      <w:pPr>
        <w:pStyle w:val="Title2"/>
        <w:outlineLvl w:val="1"/>
      </w:pPr>
      <w:bookmarkStart w:id="26" w:name="_Toc74319750"/>
      <w:r w:rsidRPr="00167A1B">
        <w:t>Discarded options</w:t>
      </w:r>
      <w:bookmarkEnd w:id="26"/>
      <w:r w:rsidRPr="00167A1B">
        <w:t xml:space="preserve"> </w:t>
      </w:r>
    </w:p>
    <w:p w14:paraId="1311CDC8" w14:textId="77777777" w:rsidR="006E1277" w:rsidRPr="00167A1B" w:rsidRDefault="006E1277" w:rsidP="006E1277">
      <w:pPr>
        <w:pStyle w:val="BodyText1"/>
        <w:rPr>
          <w:noProof w:val="0"/>
          <w:szCs w:val="22"/>
        </w:rPr>
      </w:pPr>
      <w:proofErr w:type="gramStart"/>
      <w:r w:rsidRPr="00167A1B">
        <w:rPr>
          <w:noProof w:val="0"/>
          <w:szCs w:val="22"/>
        </w:rPr>
        <w:t>A number of</w:t>
      </w:r>
      <w:proofErr w:type="gramEnd"/>
      <w:r w:rsidRPr="00167A1B">
        <w:rPr>
          <w:noProof w:val="0"/>
          <w:szCs w:val="22"/>
        </w:rPr>
        <w:t xml:space="preserve"> other aspects and options were considered and screened as part of this study and/or other studies. These options have not been shortlisted for this </w:t>
      </w:r>
      <w:proofErr w:type="gramStart"/>
      <w:r w:rsidRPr="00167A1B">
        <w:rPr>
          <w:noProof w:val="0"/>
          <w:szCs w:val="22"/>
        </w:rPr>
        <w:t>study, but</w:t>
      </w:r>
      <w:proofErr w:type="gramEnd"/>
      <w:r w:rsidRPr="00167A1B">
        <w:rPr>
          <w:noProof w:val="0"/>
          <w:szCs w:val="22"/>
        </w:rPr>
        <w:t xml:space="preserve"> discarded from the in-depth analysis for a variety of reasons. These can be summarised as follows:</w:t>
      </w:r>
    </w:p>
    <w:p w14:paraId="2D103326" w14:textId="77777777" w:rsidR="006E1277" w:rsidRPr="00167A1B" w:rsidRDefault="006E1277" w:rsidP="006E1277">
      <w:pPr>
        <w:pStyle w:val="bullet1"/>
        <w:rPr>
          <w:noProof w:val="0"/>
          <w:szCs w:val="22"/>
        </w:rPr>
      </w:pPr>
      <w:r w:rsidRPr="00167A1B">
        <w:rPr>
          <w:b/>
          <w:bCs/>
          <w:noProof w:val="0"/>
          <w:szCs w:val="22"/>
        </w:rPr>
        <w:t>Harmonise connectors on the EPS end</w:t>
      </w:r>
      <w:r w:rsidRPr="00167A1B">
        <w:rPr>
          <w:noProof w:val="0"/>
          <w:szCs w:val="22"/>
        </w:rPr>
        <w:t>: This option was discussed and discarded in the first IA study because “in view of the available evidence, it appears far preferable to allow the transition from one common solution (USB Type-A) to the next common solution (USB Type-C) to proceed naturally, keeping pace with market developments and the evolution of consumer preferences.”</w:t>
      </w:r>
      <w:r w:rsidRPr="00167A1B">
        <w:rPr>
          <w:rStyle w:val="FootnoteReference"/>
          <w:noProof w:val="0"/>
          <w:sz w:val="22"/>
          <w:szCs w:val="22"/>
        </w:rPr>
        <w:footnoteReference w:id="72"/>
      </w:r>
    </w:p>
    <w:p w14:paraId="6186F9D7" w14:textId="77777777" w:rsidR="006E1277" w:rsidRPr="00167A1B" w:rsidRDefault="006E1277" w:rsidP="006E1277">
      <w:pPr>
        <w:pStyle w:val="bullet1"/>
        <w:rPr>
          <w:noProof w:val="0"/>
          <w:szCs w:val="22"/>
        </w:rPr>
      </w:pPr>
      <w:r w:rsidRPr="00167A1B">
        <w:rPr>
          <w:b/>
          <w:bCs/>
          <w:noProof w:val="0"/>
          <w:szCs w:val="22"/>
        </w:rPr>
        <w:t>Mandatory adaptors</w:t>
      </w:r>
      <w:r w:rsidRPr="00167A1B">
        <w:rPr>
          <w:noProof w:val="0"/>
          <w:szCs w:val="22"/>
        </w:rPr>
        <w:t>: The first IA study assessed options (options 2 and 3) that would harmonise the receptacles on the device or connectors on the device end, while allowing the continued use of proprietary connectors / receptacles, but obliging manufacturers to supply adaptors to USB Type-C in the box. The study concluded that these options, which were devised as possible compromise solutions, would not generate any significant net benefits, and are therefore not worth pursuing further.</w:t>
      </w:r>
    </w:p>
    <w:p w14:paraId="122BA06C" w14:textId="77777777" w:rsidR="006E1277" w:rsidRPr="00167A1B" w:rsidRDefault="006E1277" w:rsidP="006E1277">
      <w:pPr>
        <w:pStyle w:val="bullet1"/>
        <w:rPr>
          <w:noProof w:val="0"/>
          <w:szCs w:val="22"/>
        </w:rPr>
      </w:pPr>
      <w:r w:rsidRPr="00167A1B">
        <w:rPr>
          <w:b/>
          <w:bCs/>
          <w:noProof w:val="0"/>
          <w:szCs w:val="22"/>
        </w:rPr>
        <w:lastRenderedPageBreak/>
        <w:t xml:space="preserve">Interoperability plus minimum power requirements for EPS: </w:t>
      </w:r>
      <w:r w:rsidRPr="00167A1B">
        <w:rPr>
          <w:noProof w:val="0"/>
          <w:szCs w:val="22"/>
        </w:rPr>
        <w:t xml:space="preserve">Option 5 in the first IA study included a requirement for EPS to guarantee the provision of at least 15W of power. However, this requirement was found to not generate significant additional benefits, but risk making lower-end phones (many of which currently do not incorporate fast charging technology) more expensive. </w:t>
      </w:r>
    </w:p>
    <w:p w14:paraId="2EB6179E" w14:textId="77777777" w:rsidR="006E1277" w:rsidRPr="00167A1B" w:rsidRDefault="006E1277" w:rsidP="006E1277">
      <w:pPr>
        <w:pStyle w:val="bullet1"/>
        <w:rPr>
          <w:noProof w:val="0"/>
          <w:szCs w:val="22"/>
        </w:rPr>
      </w:pPr>
      <w:r w:rsidRPr="00167A1B">
        <w:rPr>
          <w:b/>
          <w:bCs/>
          <w:noProof w:val="0"/>
          <w:szCs w:val="22"/>
        </w:rPr>
        <w:t>Harmonise wireless charging technology</w:t>
      </w:r>
      <w:r w:rsidRPr="00167A1B">
        <w:rPr>
          <w:noProof w:val="0"/>
          <w:szCs w:val="22"/>
        </w:rPr>
        <w:t>: This has been assessed as part of a separate study</w:t>
      </w:r>
      <w:r w:rsidRPr="00167A1B">
        <w:rPr>
          <w:rStyle w:val="FootnoteReference"/>
          <w:noProof w:val="0"/>
          <w:sz w:val="22"/>
          <w:szCs w:val="22"/>
        </w:rPr>
        <w:footnoteReference w:id="73"/>
      </w:r>
      <w:r w:rsidRPr="00167A1B">
        <w:rPr>
          <w:noProof w:val="0"/>
          <w:szCs w:val="22"/>
        </w:rPr>
        <w:t xml:space="preserve">, the results of which do not support action at this point (but may justify an empowerment for the EU to act on wireless charging </w:t>
      </w:r>
      <w:proofErr w:type="gramStart"/>
      <w:r w:rsidRPr="00167A1B">
        <w:rPr>
          <w:noProof w:val="0"/>
          <w:szCs w:val="22"/>
        </w:rPr>
        <w:t>at a later date</w:t>
      </w:r>
      <w:proofErr w:type="gramEnd"/>
      <w:r w:rsidRPr="00167A1B">
        <w:rPr>
          <w:noProof w:val="0"/>
          <w:szCs w:val="22"/>
        </w:rPr>
        <w:t xml:space="preserve">). </w:t>
      </w:r>
    </w:p>
    <w:p w14:paraId="1AB4CDB6" w14:textId="77777777" w:rsidR="006E1277" w:rsidRPr="00167A1B" w:rsidRDefault="006E1277" w:rsidP="006E1277">
      <w:pPr>
        <w:pStyle w:val="bullet1"/>
        <w:rPr>
          <w:noProof w:val="0"/>
          <w:szCs w:val="22"/>
        </w:rPr>
      </w:pPr>
      <w:r w:rsidRPr="00167A1B">
        <w:rPr>
          <w:b/>
          <w:bCs/>
          <w:noProof w:val="0"/>
          <w:szCs w:val="22"/>
        </w:rPr>
        <w:t>“Universal” EPS (for all kinds of devices)</w:t>
      </w:r>
      <w:r w:rsidRPr="00167A1B">
        <w:rPr>
          <w:noProof w:val="0"/>
          <w:szCs w:val="22"/>
        </w:rPr>
        <w:t>: One could also envisage a genuinely “universal” EPS, for use with a wide range of devices. This would entail the definition of interoperability requirements that would apply to all EPS, independently of whether they are sold alongside certain devices, or on their own. As noted under option 3 above, the consequences of such an initiative would potentially be very far-ranging, exceeding the scope defined for this study (which is on mobile phones and other small portable electronic devices). Exploratory work on such a “universal” EPS is currently ongoing within the context of the Ecodesign and Energy Labelling Working Plan 2020-2024</w:t>
      </w:r>
      <w:r w:rsidRPr="00167A1B">
        <w:rPr>
          <w:noProof w:val="0"/>
          <w:szCs w:val="22"/>
          <w:vertAlign w:val="superscript"/>
        </w:rPr>
        <w:footnoteReference w:id="74"/>
      </w:r>
      <w:r w:rsidRPr="00167A1B">
        <w:rPr>
          <w:noProof w:val="0"/>
          <w:szCs w:val="22"/>
        </w:rPr>
        <w:t>; it would not be appropriate to duplicate or anticipate this here.</w:t>
      </w:r>
    </w:p>
    <w:p w14:paraId="25447345" w14:textId="2806C76B" w:rsidR="006E1277" w:rsidRPr="00167A1B" w:rsidRDefault="006E1277" w:rsidP="006E1277">
      <w:pPr>
        <w:pStyle w:val="bullet1"/>
        <w:rPr>
          <w:noProof w:val="0"/>
          <w:szCs w:val="22"/>
        </w:rPr>
      </w:pPr>
      <w:r w:rsidRPr="00167A1B">
        <w:rPr>
          <w:b/>
          <w:bCs/>
          <w:noProof w:val="0"/>
          <w:szCs w:val="22"/>
        </w:rPr>
        <w:t>Environmental information</w:t>
      </w:r>
      <w:r w:rsidRPr="00167A1B">
        <w:rPr>
          <w:noProof w:val="0"/>
          <w:szCs w:val="22"/>
        </w:rPr>
        <w:t xml:space="preserve">: Finally, during the early stages of this study, we considered a range of environmental schemes for electronic devices that aim to increase energy efficiency or reduce e-waste, and could potentially be used to facilitate the unbundling of chargers from mobile phones and other electronic devices (see Annex </w:t>
      </w:r>
      <w:r w:rsidR="005C02B0" w:rsidRPr="00167A1B">
        <w:rPr>
          <w:noProof w:val="0"/>
          <w:szCs w:val="22"/>
        </w:rPr>
        <w:t>E</w:t>
      </w:r>
      <w:r w:rsidRPr="00167A1B">
        <w:rPr>
          <w:noProof w:val="0"/>
          <w:szCs w:val="22"/>
        </w:rPr>
        <w:t xml:space="preserve">). In particular, we identified the EU Ecolabel and EU Energy labelling requirements as potentially </w:t>
      </w:r>
      <w:proofErr w:type="gramStart"/>
      <w:r w:rsidRPr="00167A1B">
        <w:rPr>
          <w:noProof w:val="0"/>
          <w:szCs w:val="22"/>
        </w:rPr>
        <w:t>relevant, and</w:t>
      </w:r>
      <w:proofErr w:type="gramEnd"/>
      <w:r w:rsidRPr="00167A1B">
        <w:rPr>
          <w:noProof w:val="0"/>
          <w:szCs w:val="22"/>
        </w:rPr>
        <w:t xml:space="preserve"> explored how these might be used to create an incentive for manufacturers to offer, and for consumers to demand, unbundled (and hence more environmentally friendly) devices. However, we concluded that neither was viable at this stage, because:</w:t>
      </w:r>
    </w:p>
    <w:p w14:paraId="4E06E1BA" w14:textId="77777777" w:rsidR="006E1277" w:rsidRPr="00167A1B" w:rsidRDefault="006E1277" w:rsidP="006E1277">
      <w:pPr>
        <w:pStyle w:val="Bullets2"/>
        <w:rPr>
          <w:rStyle w:val="fontstyle01"/>
          <w:rFonts w:ascii="Arial" w:hAnsi="Arial"/>
          <w:noProof w:val="0"/>
          <w:color w:val="auto"/>
          <w:sz w:val="22"/>
          <w:szCs w:val="22"/>
          <w:lang w:val="en-GB"/>
        </w:rPr>
      </w:pPr>
      <w:r w:rsidRPr="00167A1B">
        <w:rPr>
          <w:noProof w:val="0"/>
          <w:szCs w:val="22"/>
          <w:lang w:val="en-GB"/>
        </w:rPr>
        <w:t xml:space="preserve">Although the </w:t>
      </w:r>
      <w:r w:rsidRPr="00167A1B">
        <w:rPr>
          <w:b/>
          <w:bCs/>
          <w:noProof w:val="0"/>
          <w:szCs w:val="22"/>
          <w:lang w:val="en-GB"/>
        </w:rPr>
        <w:t>EU Ecolabel</w:t>
      </w:r>
      <w:r w:rsidRPr="00167A1B">
        <w:rPr>
          <w:noProof w:val="0"/>
          <w:szCs w:val="22"/>
          <w:lang w:val="en-GB"/>
        </w:rPr>
        <w:t xml:space="preserve"> covers </w:t>
      </w:r>
      <w:r w:rsidRPr="00167A1B">
        <w:rPr>
          <w:rStyle w:val="fontstyle01"/>
          <w:rFonts w:ascii="Arial" w:hAnsi="Arial"/>
          <w:noProof w:val="0"/>
          <w:color w:val="auto"/>
          <w:sz w:val="22"/>
          <w:szCs w:val="22"/>
          <w:lang w:val="en-GB"/>
        </w:rPr>
        <w:t xml:space="preserve">electronic equipment, the only product groups currently covered are televisions and electronic displays. As such, new criteria would have to be developed for mobile phones (and potentially other portable electronic devices). Furthermore, the EU Ecolabel is awarded based on a variety of criteria and considerations – and given the </w:t>
      </w:r>
      <w:bookmarkStart w:id="27" w:name="_Hlk62747910"/>
      <w:r w:rsidRPr="00167A1B">
        <w:rPr>
          <w:rStyle w:val="fontstyle01"/>
          <w:rFonts w:ascii="Arial" w:hAnsi="Arial"/>
          <w:noProof w:val="0"/>
          <w:color w:val="auto"/>
          <w:sz w:val="22"/>
          <w:szCs w:val="22"/>
          <w:lang w:val="en-GB"/>
        </w:rPr>
        <w:t>low proportion of the overall environmental footprint of mobile phones that corresponds with the charger</w:t>
      </w:r>
      <w:bookmarkEnd w:id="27"/>
      <w:r w:rsidRPr="00167A1B">
        <w:rPr>
          <w:rStyle w:val="FootnoteReference"/>
          <w:rFonts w:ascii="Arial" w:hAnsi="Arial"/>
          <w:noProof w:val="0"/>
          <w:sz w:val="22"/>
          <w:szCs w:val="22"/>
          <w:lang w:val="en-GB"/>
        </w:rPr>
        <w:footnoteReference w:id="75"/>
      </w:r>
      <w:r w:rsidRPr="00167A1B">
        <w:rPr>
          <w:rStyle w:val="fontstyle01"/>
          <w:rFonts w:ascii="Arial" w:hAnsi="Arial"/>
          <w:noProof w:val="0"/>
          <w:color w:val="auto"/>
          <w:sz w:val="22"/>
          <w:szCs w:val="22"/>
          <w:lang w:val="en-GB"/>
        </w:rPr>
        <w:t xml:space="preserve">, it seems unlikely that the question of whether or not a charger is included in the box would be a decisive factor in determining if a given phone is awarded the label. Even if it were decided that only chargerless phones would be eligible for the label, it would </w:t>
      </w:r>
      <w:proofErr w:type="gramStart"/>
      <w:r w:rsidRPr="00167A1B">
        <w:rPr>
          <w:rStyle w:val="fontstyle01"/>
          <w:rFonts w:ascii="Arial" w:hAnsi="Arial"/>
          <w:noProof w:val="0"/>
          <w:color w:val="auto"/>
          <w:sz w:val="22"/>
          <w:szCs w:val="22"/>
          <w:lang w:val="en-GB"/>
        </w:rPr>
        <w:t>still remain</w:t>
      </w:r>
      <w:proofErr w:type="gramEnd"/>
      <w:r w:rsidRPr="00167A1B">
        <w:rPr>
          <w:rStyle w:val="fontstyle01"/>
          <w:rFonts w:ascii="Arial" w:hAnsi="Arial"/>
          <w:noProof w:val="0"/>
          <w:color w:val="auto"/>
          <w:sz w:val="22"/>
          <w:szCs w:val="22"/>
          <w:lang w:val="en-GB"/>
        </w:rPr>
        <w:t xml:space="preserve"> to be seen how many (if any) of the most popular phones would be able to meet the other (inevitably stringent) criteria. It therefore seems that an Ecolabel for phones might be an idea worth pursuing with a view to improving the overall environmental performance of mobile phones – but it would be very unlikely to create significant incentives for unbundling (except as one element of a wider drive for more sustainable phones).</w:t>
      </w:r>
    </w:p>
    <w:p w14:paraId="790E773B" w14:textId="77777777" w:rsidR="006E1277" w:rsidRPr="00167A1B" w:rsidRDefault="006E1277" w:rsidP="006E1277">
      <w:pPr>
        <w:pStyle w:val="Bullets2"/>
        <w:rPr>
          <w:noProof w:val="0"/>
          <w:szCs w:val="22"/>
          <w:lang w:val="en-GB"/>
        </w:rPr>
      </w:pPr>
      <w:r w:rsidRPr="00167A1B">
        <w:rPr>
          <w:noProof w:val="0"/>
          <w:szCs w:val="22"/>
          <w:lang w:val="en-GB"/>
        </w:rPr>
        <w:t xml:space="preserve">Mobile phones are also not currently subject to </w:t>
      </w:r>
      <w:r w:rsidRPr="00167A1B">
        <w:rPr>
          <w:b/>
          <w:bCs/>
          <w:noProof w:val="0"/>
          <w:szCs w:val="22"/>
          <w:lang w:val="en-GB"/>
        </w:rPr>
        <w:t>EU energy efficiency ratings and labels</w:t>
      </w:r>
      <w:r w:rsidRPr="00167A1B">
        <w:rPr>
          <w:noProof w:val="0"/>
          <w:szCs w:val="22"/>
          <w:lang w:val="en-GB"/>
        </w:rPr>
        <w:t xml:space="preserve">. </w:t>
      </w:r>
      <w:r w:rsidRPr="00167A1B">
        <w:rPr>
          <w:rFonts w:eastAsia="CIDFont+F2"/>
          <w:noProof w:val="0"/>
          <w:szCs w:val="22"/>
          <w:lang w:val="en-GB"/>
        </w:rPr>
        <w:t>Their energy consumption is much lower than</w:t>
      </w:r>
      <w:r w:rsidRPr="00167A1B">
        <w:rPr>
          <w:noProof w:val="0"/>
          <w:szCs w:val="22"/>
          <w:lang w:val="en-GB"/>
        </w:rPr>
        <w:t xml:space="preserve"> </w:t>
      </w:r>
      <w:r w:rsidRPr="00167A1B">
        <w:rPr>
          <w:rFonts w:eastAsia="CIDFont+F2"/>
          <w:noProof w:val="0"/>
          <w:szCs w:val="22"/>
          <w:lang w:val="en-GB"/>
        </w:rPr>
        <w:t xml:space="preserve">any other product </w:t>
      </w:r>
      <w:r w:rsidRPr="00167A1B">
        <w:rPr>
          <w:rFonts w:eastAsia="CIDFont+F2"/>
          <w:noProof w:val="0"/>
          <w:szCs w:val="22"/>
          <w:lang w:val="en-GB"/>
        </w:rPr>
        <w:lastRenderedPageBreak/>
        <w:t>group currently regulated under the Energy Efficiency Labelling Regulation.</w:t>
      </w:r>
      <w:r w:rsidRPr="00167A1B">
        <w:rPr>
          <w:rStyle w:val="FootnoteReference"/>
          <w:rFonts w:ascii="Arial" w:eastAsia="CIDFont+F2" w:hAnsi="Arial"/>
          <w:noProof w:val="0"/>
          <w:sz w:val="22"/>
          <w:szCs w:val="22"/>
          <w:lang w:val="en-GB"/>
        </w:rPr>
        <w:footnoteReference w:id="76"/>
      </w:r>
      <w:r w:rsidRPr="00167A1B">
        <w:rPr>
          <w:noProof w:val="0"/>
          <w:szCs w:val="22"/>
          <w:lang w:val="en-GB"/>
        </w:rPr>
        <w:t xml:space="preserve"> Nonetheless, the subject of extending energy labelling requirements to mobile phones has been considered as part of the recent Ecodesign preparatory study, which proposes to base the ratings on battery endurance benchmarks (in hours per cycle) rather than energy usage per se.</w:t>
      </w:r>
      <w:r w:rsidRPr="00167A1B">
        <w:rPr>
          <w:rStyle w:val="FootnoteReference"/>
          <w:rFonts w:ascii="Arial" w:hAnsi="Arial"/>
          <w:noProof w:val="0"/>
          <w:sz w:val="22"/>
          <w:szCs w:val="22"/>
          <w:lang w:val="en-GB"/>
        </w:rPr>
        <w:footnoteReference w:id="77"/>
      </w:r>
      <w:r w:rsidRPr="00167A1B">
        <w:rPr>
          <w:noProof w:val="0"/>
          <w:szCs w:val="22"/>
          <w:lang w:val="en-GB"/>
        </w:rPr>
        <w:t xml:space="preserve"> The merits of this will be analysed further in the upcoming Commission impact assessment.</w:t>
      </w:r>
      <w:r w:rsidRPr="00167A1B">
        <w:rPr>
          <w:rStyle w:val="FootnoteReference"/>
          <w:rFonts w:ascii="Arial" w:hAnsi="Arial"/>
          <w:noProof w:val="0"/>
          <w:sz w:val="22"/>
          <w:szCs w:val="22"/>
          <w:lang w:val="en-GB"/>
        </w:rPr>
        <w:footnoteReference w:id="78"/>
      </w:r>
      <w:r w:rsidRPr="00167A1B">
        <w:rPr>
          <w:noProof w:val="0"/>
          <w:szCs w:val="22"/>
          <w:lang w:val="en-GB"/>
        </w:rPr>
        <w:t xml:space="preserve"> However, even if energy labelling for mobile phones were to go ahead, it is difficult to see how the absence of a charger in the box could have a positive effect on the energy efficiency rating, so as to create an incentive for unbundling.</w:t>
      </w:r>
      <w:r w:rsidRPr="00167A1B">
        <w:rPr>
          <w:rStyle w:val="FootnoteReference"/>
          <w:rFonts w:ascii="Arial" w:hAnsi="Arial"/>
          <w:noProof w:val="0"/>
          <w:sz w:val="22"/>
          <w:szCs w:val="22"/>
          <w:lang w:val="en-GB"/>
        </w:rPr>
        <w:footnoteReference w:id="79"/>
      </w:r>
      <w:r w:rsidRPr="00167A1B">
        <w:rPr>
          <w:noProof w:val="0"/>
          <w:szCs w:val="22"/>
          <w:lang w:val="en-GB"/>
        </w:rPr>
        <w:t xml:space="preserve"> In view of this, it would not be appropriate to analyse this option as part of this study – although it may be worth considering it again in the future, once it is clearer whether energy labelling requirements will be extended to mobile phones, and if so, in what form.</w:t>
      </w:r>
    </w:p>
    <w:p w14:paraId="77F434D5" w14:textId="03F43207" w:rsidR="006E1277" w:rsidRPr="00167A1B" w:rsidRDefault="006E1277" w:rsidP="006E1277">
      <w:pPr>
        <w:pStyle w:val="BodyText1"/>
        <w:rPr>
          <w:noProof w:val="0"/>
        </w:rPr>
      </w:pPr>
    </w:p>
    <w:p w14:paraId="0432ADAE" w14:textId="75505B7D" w:rsidR="006E1277" w:rsidRPr="00167A1B" w:rsidRDefault="006E1277">
      <w:pPr>
        <w:spacing w:after="0"/>
        <w:jc w:val="left"/>
        <w:rPr>
          <w:rFonts w:ascii="Arial" w:hAnsi="Arial"/>
          <w:sz w:val="22"/>
        </w:rPr>
      </w:pPr>
      <w:r w:rsidRPr="00167A1B">
        <w:br w:type="page"/>
      </w:r>
    </w:p>
    <w:p w14:paraId="51E9AC9D" w14:textId="3392E6A5" w:rsidR="00B9459C" w:rsidRPr="00167A1B" w:rsidRDefault="00D30D44" w:rsidP="00630BCE">
      <w:pPr>
        <w:pStyle w:val="Title1"/>
        <w:outlineLvl w:val="0"/>
      </w:pPr>
      <w:bookmarkStart w:id="28" w:name="_Toc74319751"/>
      <w:r w:rsidRPr="00167A1B">
        <w:lastRenderedPageBreak/>
        <w:t>Approach to assessing impacts</w:t>
      </w:r>
      <w:bookmarkEnd w:id="28"/>
      <w:r w:rsidRPr="00167A1B">
        <w:t xml:space="preserve"> </w:t>
      </w:r>
    </w:p>
    <w:p w14:paraId="5398A28F" w14:textId="4DA6FB59" w:rsidR="00B9459C" w:rsidRPr="00167A1B" w:rsidRDefault="00084C36" w:rsidP="008F65B2">
      <w:pPr>
        <w:pStyle w:val="BodyText1"/>
        <w:rPr>
          <w:noProof w:val="0"/>
        </w:rPr>
      </w:pPr>
      <w:r w:rsidRPr="00167A1B">
        <w:rPr>
          <w:noProof w:val="0"/>
        </w:rPr>
        <w:t>This section includes a description of the environmental, economic, and social impacts screened for assessment, and our assessment approach to qualify and/or quantify impacts for mobile phones.</w:t>
      </w:r>
    </w:p>
    <w:p w14:paraId="068AE718" w14:textId="77777777" w:rsidR="008F65B2" w:rsidRPr="00167A1B" w:rsidRDefault="008F65B2" w:rsidP="008F65B2">
      <w:pPr>
        <w:pStyle w:val="BodyText1"/>
        <w:rPr>
          <w:noProof w:val="0"/>
        </w:rPr>
      </w:pPr>
    </w:p>
    <w:p w14:paraId="4CD2D083" w14:textId="382D44B0" w:rsidR="00D30D44" w:rsidRPr="00167A1B" w:rsidRDefault="00D30D44" w:rsidP="009C1705">
      <w:pPr>
        <w:pStyle w:val="Title2"/>
        <w:outlineLvl w:val="1"/>
      </w:pPr>
      <w:bookmarkStart w:id="29" w:name="_Toc74319752"/>
      <w:r w:rsidRPr="00167A1B">
        <w:t>Environmental impacts</w:t>
      </w:r>
      <w:bookmarkEnd w:id="29"/>
      <w:r w:rsidRPr="00167A1B">
        <w:t xml:space="preserve"> </w:t>
      </w:r>
    </w:p>
    <w:p w14:paraId="74E5639A" w14:textId="77777777" w:rsidR="006B36E6" w:rsidRPr="00167A1B" w:rsidRDefault="006B36E6" w:rsidP="006B36E6">
      <w:pPr>
        <w:pStyle w:val="BodyText1"/>
        <w:rPr>
          <w:noProof w:val="0"/>
          <w:lang w:eastAsia="it-IT"/>
        </w:rPr>
      </w:pPr>
      <w:r w:rsidRPr="00167A1B">
        <w:rPr>
          <w:noProof w:val="0"/>
          <w:lang w:eastAsia="it-IT"/>
        </w:rPr>
        <w:t>Environmental impacts are assessed in Chapter 5 using a stock model developed for the purpose of this work. The model is described in detail in Annexes F and G, but the essential element is that charger (EPS and cable) additions and disposals are modelled each year, and that these flows, when combined with impact assumptions are used to calculate the impacts presented in Chapter 5. In this section we present the approach to assessing the environmental impacts, including elaborating the assumptions used in the stock model.</w:t>
      </w:r>
    </w:p>
    <w:p w14:paraId="1F2AF8B8" w14:textId="77777777" w:rsidR="006B36E6" w:rsidRPr="00167A1B" w:rsidRDefault="006B36E6" w:rsidP="006B36E6">
      <w:pPr>
        <w:pStyle w:val="BodyText1"/>
        <w:rPr>
          <w:noProof w:val="0"/>
        </w:rPr>
      </w:pPr>
      <w:r w:rsidRPr="00167A1B">
        <w:rPr>
          <w:noProof w:val="0"/>
          <w:lang w:eastAsia="it-IT"/>
        </w:rPr>
        <w:t>Following a screening of the main environmental impacts, the study focuses on the 3 key environmental impacts of EPS and cables, namely: (1) use of raw materials, as the production of chargers consumes metals, plastics, and other materials; (2) e-waste, generated as chargers are discarded; and (3) greenhouse gas (GHG) emissions over the life-cycle of the chargers (e.g. manufacturing, transport, and disposal and materials recovery).</w:t>
      </w:r>
      <w:r w:rsidRPr="00167A1B">
        <w:rPr>
          <w:noProof w:val="0"/>
        </w:rPr>
        <w:t xml:space="preserve"> The following indicators are assessed:</w:t>
      </w:r>
    </w:p>
    <w:p w14:paraId="4E94625D" w14:textId="77777777" w:rsidR="006B36E6" w:rsidRPr="00167A1B" w:rsidRDefault="006B36E6" w:rsidP="006B36E6">
      <w:pPr>
        <w:pStyle w:val="bullet1"/>
        <w:rPr>
          <w:noProof w:val="0"/>
        </w:rPr>
      </w:pPr>
      <w:r w:rsidRPr="00167A1B">
        <w:rPr>
          <w:noProof w:val="0"/>
        </w:rPr>
        <w:t>Material use [tonnes] – calculated in the stock model by multiplying additions to the charger stock by a profile of the materials used. The profiles vary per EPS and cable type (weight and material content), and over time (modelling the introduction of more efficient, lighter materials). Material use is split into the most relevant materials.</w:t>
      </w:r>
    </w:p>
    <w:p w14:paraId="2D8E7A7B" w14:textId="77777777" w:rsidR="006B36E6" w:rsidRPr="00167A1B" w:rsidRDefault="006B36E6" w:rsidP="006B36E6">
      <w:pPr>
        <w:pStyle w:val="bullet1"/>
        <w:rPr>
          <w:noProof w:val="0"/>
        </w:rPr>
      </w:pPr>
      <w:r w:rsidRPr="00167A1B">
        <w:rPr>
          <w:noProof w:val="0"/>
        </w:rPr>
        <w:t xml:space="preserve">E-waste [tonnes] – calculated in the stock model as the weight of chargers disposed of each year. This is calculated by multiplying the number of units disposed by the material and weight composition of the charger component type. Sub-indicators on volumes of e-waste </w:t>
      </w:r>
      <w:r w:rsidRPr="00167A1B">
        <w:rPr>
          <w:noProof w:val="0"/>
          <w:lang w:eastAsia="it-IT"/>
        </w:rPr>
        <w:t>left untreated or recycled are also calculated</w:t>
      </w:r>
      <w:r w:rsidRPr="00167A1B">
        <w:rPr>
          <w:noProof w:val="0"/>
        </w:rPr>
        <w:t>.</w:t>
      </w:r>
    </w:p>
    <w:p w14:paraId="4DFD7B5A" w14:textId="77777777" w:rsidR="006B36E6" w:rsidRPr="00167A1B" w:rsidRDefault="006B36E6" w:rsidP="006B36E6">
      <w:pPr>
        <w:pStyle w:val="bullet1"/>
        <w:rPr>
          <w:noProof w:val="0"/>
        </w:rPr>
      </w:pPr>
      <w:r w:rsidRPr="00167A1B">
        <w:rPr>
          <w:noProof w:val="0"/>
        </w:rPr>
        <w:t xml:space="preserve">GHG emissions [tonnes] – are calculated in the stock model as life-cycle emissions (cradle-to-grave) per charger component type, accounted in the year of sale. Emissions are calculated </w:t>
      </w:r>
      <w:proofErr w:type="gramStart"/>
      <w:r w:rsidRPr="00167A1B">
        <w:rPr>
          <w:noProof w:val="0"/>
        </w:rPr>
        <w:t>on the basis of</w:t>
      </w:r>
      <w:proofErr w:type="gramEnd"/>
      <w:r w:rsidRPr="00167A1B">
        <w:rPr>
          <w:noProof w:val="0"/>
        </w:rPr>
        <w:t xml:space="preserve"> component specific emission profiles multiplied by additions to the charger stock.</w:t>
      </w:r>
    </w:p>
    <w:p w14:paraId="10720E28" w14:textId="77777777" w:rsidR="006B36E6" w:rsidRPr="00167A1B" w:rsidRDefault="006B36E6" w:rsidP="006B36E6">
      <w:pPr>
        <w:pStyle w:val="BodyText1"/>
        <w:rPr>
          <w:noProof w:val="0"/>
        </w:rPr>
      </w:pPr>
      <w:r w:rsidRPr="00167A1B">
        <w:rPr>
          <w:noProof w:val="0"/>
        </w:rPr>
        <w:t xml:space="preserve">The key assumptions made in the 2019 IA study were reviewed and updated to </w:t>
      </w:r>
      <w:proofErr w:type="gramStart"/>
      <w:r w:rsidRPr="00167A1B">
        <w:rPr>
          <w:noProof w:val="0"/>
        </w:rPr>
        <w:t>take into account</w:t>
      </w:r>
      <w:proofErr w:type="gramEnd"/>
      <w:r w:rsidRPr="00167A1B">
        <w:rPr>
          <w:noProof w:val="0"/>
        </w:rPr>
        <w:t xml:space="preserve">, amongst other issues, the various technological developments that may have an impact on one or more of the environmental areas. </w:t>
      </w:r>
    </w:p>
    <w:p w14:paraId="0295BB93" w14:textId="77777777" w:rsidR="006B36E6" w:rsidRPr="00167A1B" w:rsidRDefault="006B36E6" w:rsidP="006B36E6">
      <w:pPr>
        <w:pStyle w:val="BodyText1"/>
        <w:rPr>
          <w:noProof w:val="0"/>
        </w:rPr>
      </w:pPr>
      <w:r w:rsidRPr="00167A1B">
        <w:rPr>
          <w:noProof w:val="0"/>
        </w:rPr>
        <w:t xml:space="preserve">The following sections give an overview of the approach and main assumptions, further detailed description of how these assumptions were derived is provided in Annex G. </w:t>
      </w:r>
    </w:p>
    <w:p w14:paraId="45499BDE" w14:textId="77777777" w:rsidR="006B36E6" w:rsidRPr="00167A1B" w:rsidRDefault="006B36E6" w:rsidP="006B36E6">
      <w:pPr>
        <w:pStyle w:val="title3"/>
      </w:pPr>
      <w:r w:rsidRPr="00167A1B">
        <w:t>Material use</w:t>
      </w:r>
    </w:p>
    <w:p w14:paraId="33ED6699" w14:textId="77777777" w:rsidR="006B36E6" w:rsidRPr="00167A1B" w:rsidRDefault="006B36E6" w:rsidP="006B36E6">
      <w:pPr>
        <w:pStyle w:val="BodyText1"/>
        <w:rPr>
          <w:noProof w:val="0"/>
        </w:rPr>
      </w:pPr>
      <w:r w:rsidRPr="00167A1B">
        <w:rPr>
          <w:noProof w:val="0"/>
        </w:rPr>
        <w:t>Understanding the material composition of both the EPS and cables is crucial to identifying the main environmental impacts associated with the use of raw materials. This includes not only which materials are used, but also in which proportions.</w:t>
      </w:r>
    </w:p>
    <w:p w14:paraId="3585C8FC" w14:textId="77777777" w:rsidR="006B36E6" w:rsidRPr="00167A1B" w:rsidRDefault="006B36E6" w:rsidP="006B36E6">
      <w:pPr>
        <w:pStyle w:val="BodyText1"/>
        <w:rPr>
          <w:noProof w:val="0"/>
        </w:rPr>
      </w:pPr>
      <w:r w:rsidRPr="00167A1B">
        <w:rPr>
          <w:noProof w:val="0"/>
        </w:rPr>
        <w:t xml:space="preserve">To measure material use a bill of materials (BoM) was developed in consultation with a technical expert and following a bottom-up approach, as there was little or no useful new data (compared to the 2019 study) in the available literature concerning the material contents of EPS or cables. The BoM (See Annex G for further detail) considers </w:t>
      </w:r>
      <w:proofErr w:type="gramStart"/>
      <w:r w:rsidRPr="00167A1B">
        <w:rPr>
          <w:noProof w:val="0"/>
        </w:rPr>
        <w:t>all of</w:t>
      </w:r>
      <w:proofErr w:type="gramEnd"/>
      <w:r w:rsidRPr="00167A1B">
        <w:rPr>
          <w:noProof w:val="0"/>
        </w:rPr>
        <w:t xml:space="preserve"> the </w:t>
      </w:r>
      <w:r w:rsidRPr="00167A1B">
        <w:rPr>
          <w:noProof w:val="0"/>
        </w:rPr>
        <w:lastRenderedPageBreak/>
        <w:t>components contained in a mobile phone charger</w:t>
      </w:r>
      <w:r w:rsidRPr="00167A1B">
        <w:rPr>
          <w:noProof w:val="0"/>
          <w:vertAlign w:val="superscript"/>
        </w:rPr>
        <w:footnoteReference w:id="80"/>
      </w:r>
      <w:r w:rsidRPr="00167A1B">
        <w:rPr>
          <w:noProof w:val="0"/>
        </w:rPr>
        <w:t xml:space="preserve"> which allowed us to identify the heaviest and largest components (e.g., transformer, electrolytic capacitors, and transistors), based on the datasheets published by the manufacturers. Once the key components of the EPS were identified, we conducted desk research to determine the materials used in each of the components. </w:t>
      </w:r>
      <w:r w:rsidRPr="00167A1B">
        <w:rPr>
          <w:noProof w:val="0"/>
          <w:highlight w:val="yellow"/>
        </w:rPr>
        <w:fldChar w:fldCharType="begin"/>
      </w:r>
      <w:r w:rsidRPr="00167A1B">
        <w:rPr>
          <w:noProof w:val="0"/>
        </w:rPr>
        <w:instrText xml:space="preserve"> REF _Ref70088117 \h </w:instrText>
      </w:r>
      <w:r w:rsidRPr="00167A1B">
        <w:rPr>
          <w:noProof w:val="0"/>
          <w:highlight w:val="yellow"/>
        </w:rPr>
      </w:r>
      <w:r w:rsidRPr="00167A1B">
        <w:rPr>
          <w:noProof w:val="0"/>
          <w:highlight w:val="yellow"/>
        </w:rPr>
        <w:fldChar w:fldCharType="separate"/>
      </w:r>
      <w:r w:rsidRPr="00167A1B">
        <w:rPr>
          <w:noProof w:val="0"/>
        </w:rPr>
        <w:t>Table 2</w:t>
      </w:r>
      <w:r w:rsidRPr="00167A1B">
        <w:rPr>
          <w:noProof w:val="0"/>
          <w:highlight w:val="yellow"/>
        </w:rPr>
        <w:fldChar w:fldCharType="end"/>
      </w:r>
      <w:r w:rsidRPr="00167A1B">
        <w:rPr>
          <w:noProof w:val="0"/>
        </w:rPr>
        <w:t xml:space="preserve"> presents the standard material composition of a mobile charger and cable obtained as a result of this analysis. We note that in preparing this composition the information about the materials used for most components is limited, as manufacturers generally do not include these details in the datasheets of the components. Therefore, the proportion of the materials as presented in </w:t>
      </w:r>
      <w:r w:rsidRPr="00167A1B">
        <w:rPr>
          <w:noProof w:val="0"/>
          <w:highlight w:val="yellow"/>
        </w:rPr>
        <w:fldChar w:fldCharType="begin"/>
      </w:r>
      <w:r w:rsidRPr="00167A1B">
        <w:rPr>
          <w:noProof w:val="0"/>
        </w:rPr>
        <w:instrText xml:space="preserve"> REF _Ref70088117 \h </w:instrText>
      </w:r>
      <w:r w:rsidRPr="00167A1B">
        <w:rPr>
          <w:noProof w:val="0"/>
          <w:highlight w:val="yellow"/>
        </w:rPr>
      </w:r>
      <w:r w:rsidRPr="00167A1B">
        <w:rPr>
          <w:noProof w:val="0"/>
          <w:highlight w:val="yellow"/>
        </w:rPr>
        <w:fldChar w:fldCharType="separate"/>
      </w:r>
      <w:r w:rsidRPr="00167A1B">
        <w:rPr>
          <w:noProof w:val="0"/>
        </w:rPr>
        <w:t>Table 2</w:t>
      </w:r>
      <w:r w:rsidRPr="00167A1B">
        <w:rPr>
          <w:noProof w:val="0"/>
          <w:highlight w:val="yellow"/>
        </w:rPr>
        <w:fldChar w:fldCharType="end"/>
      </w:r>
      <w:r w:rsidRPr="00167A1B">
        <w:rPr>
          <w:noProof w:val="0"/>
        </w:rPr>
        <w:t xml:space="preserve"> should be interpreted as indicative compositions of the components. Additional to the material categories ‘plastics’, ‘copper’ and ‘others’ included in the IA 2019 study, the refined stock model also includes for the EPS the categories ‘stainless steel’, ‘aluminium’ and ‘other (EPS)’, the latter of which includes all the materials contained in the smallest components (e.g., resistors, diodes) as well as the ferrite, silicon, solder, and other insulation materials contained in the EPS. Regarding the cables, the updated stock model also adds the subcategory ‘stainless steel’ (present in the USB connector), in addition to copper, plastics and ‘others’. </w:t>
      </w:r>
    </w:p>
    <w:p w14:paraId="687C375F" w14:textId="77777777" w:rsidR="006B36E6" w:rsidRPr="00167A1B" w:rsidRDefault="006B36E6" w:rsidP="006B36E6">
      <w:pPr>
        <w:pStyle w:val="Caption"/>
        <w:ind w:left="720"/>
        <w:rPr>
          <w:sz w:val="22"/>
          <w:szCs w:val="22"/>
        </w:rPr>
      </w:pPr>
      <w:bookmarkStart w:id="30" w:name="_Ref69832844"/>
    </w:p>
    <w:p w14:paraId="006530D3" w14:textId="292F71B1" w:rsidR="006B36E6" w:rsidRPr="00167A1B" w:rsidRDefault="006B36E6" w:rsidP="006B36E6">
      <w:pPr>
        <w:pStyle w:val="Caption"/>
      </w:pPr>
      <w:bookmarkStart w:id="31" w:name="_Ref70088117"/>
      <w:r w:rsidRPr="00167A1B">
        <w:t xml:space="preserve">Table </w:t>
      </w:r>
      <w:bookmarkEnd w:id="30"/>
      <w:r w:rsidRPr="00167A1B">
        <w:fldChar w:fldCharType="begin"/>
      </w:r>
      <w:r w:rsidRPr="00167A1B">
        <w:instrText xml:space="preserve"> SEQ Table \* ARABIC \s 1 </w:instrText>
      </w:r>
      <w:r w:rsidRPr="00167A1B">
        <w:fldChar w:fldCharType="separate"/>
      </w:r>
      <w:r w:rsidR="00953106" w:rsidRPr="00167A1B">
        <w:t>4</w:t>
      </w:r>
      <w:r w:rsidRPr="00167A1B">
        <w:fldChar w:fldCharType="end"/>
      </w:r>
      <w:bookmarkEnd w:id="31"/>
      <w:r w:rsidRPr="00167A1B">
        <w:t>. Standard material composition of a mobile charger and cable</w:t>
      </w:r>
      <w:r w:rsidRPr="00167A1B">
        <w:rPr>
          <w:rStyle w:val="FootnoteReference"/>
          <w:rFonts w:ascii="Arial" w:hAnsi="Arial"/>
          <w:sz w:val="18"/>
        </w:rPr>
        <w:footnoteReference w:id="81"/>
      </w:r>
    </w:p>
    <w:tbl>
      <w:tblPr>
        <w:tblW w:w="5177" w:type="dxa"/>
        <w:jc w:val="center"/>
        <w:tblBorders>
          <w:top w:val="single" w:sz="4" w:space="0" w:color="0C4DA2" w:themeColor="text2"/>
          <w:left w:val="single" w:sz="4" w:space="0" w:color="0C4DA2" w:themeColor="text2"/>
          <w:bottom w:val="single" w:sz="4" w:space="0" w:color="0C4DA2" w:themeColor="text2"/>
          <w:right w:val="single" w:sz="4" w:space="0" w:color="0C4DA2" w:themeColor="text2"/>
          <w:insideH w:val="single" w:sz="4" w:space="0" w:color="0C4DA2" w:themeColor="text2"/>
          <w:insideV w:val="single" w:sz="4" w:space="0" w:color="0C4DA2" w:themeColor="text2"/>
        </w:tblBorders>
        <w:tblLook w:val="04A0" w:firstRow="1" w:lastRow="0" w:firstColumn="1" w:lastColumn="0" w:noHBand="0" w:noVBand="1"/>
      </w:tblPr>
      <w:tblGrid>
        <w:gridCol w:w="2830"/>
        <w:gridCol w:w="2347"/>
      </w:tblGrid>
      <w:tr w:rsidR="006B36E6" w:rsidRPr="00167A1B" w14:paraId="3C1685E8" w14:textId="77777777" w:rsidTr="009D260B">
        <w:trPr>
          <w:trHeight w:val="260"/>
          <w:jc w:val="center"/>
        </w:trPr>
        <w:tc>
          <w:tcPr>
            <w:tcW w:w="2830" w:type="dxa"/>
            <w:shd w:val="clear" w:color="auto" w:fill="0C4DA2" w:themeFill="text2"/>
            <w:noWrap/>
            <w:vAlign w:val="center"/>
          </w:tcPr>
          <w:p w14:paraId="450EC50D" w14:textId="77777777" w:rsidR="006B36E6" w:rsidRPr="00167A1B" w:rsidRDefault="006B36E6" w:rsidP="009D260B">
            <w:pPr>
              <w:spacing w:after="0"/>
              <w:rPr>
                <w:rFonts w:asciiTheme="minorHAnsi" w:hAnsiTheme="minorHAnsi" w:cstheme="minorHAnsi"/>
                <w:b/>
                <w:bCs/>
                <w:color w:val="FFFFFF" w:themeColor="background1"/>
                <w:sz w:val="18"/>
                <w:szCs w:val="18"/>
              </w:rPr>
            </w:pPr>
            <w:r w:rsidRPr="00167A1B">
              <w:rPr>
                <w:rFonts w:asciiTheme="minorHAnsi" w:hAnsiTheme="minorHAnsi" w:cstheme="minorHAnsi"/>
                <w:b/>
                <w:bCs/>
                <w:color w:val="FFFFFF" w:themeColor="background1"/>
                <w:sz w:val="18"/>
                <w:szCs w:val="18"/>
              </w:rPr>
              <w:t xml:space="preserve">Component </w:t>
            </w:r>
          </w:p>
        </w:tc>
        <w:tc>
          <w:tcPr>
            <w:tcW w:w="2347" w:type="dxa"/>
            <w:shd w:val="clear" w:color="auto" w:fill="0C4DA2" w:themeFill="text2"/>
            <w:vAlign w:val="center"/>
          </w:tcPr>
          <w:p w14:paraId="62AA589E" w14:textId="77777777" w:rsidR="006B36E6" w:rsidRPr="00167A1B" w:rsidRDefault="006B36E6" w:rsidP="009D260B">
            <w:pPr>
              <w:spacing w:after="0"/>
              <w:rPr>
                <w:rFonts w:asciiTheme="minorHAnsi" w:hAnsiTheme="minorHAnsi" w:cstheme="minorHAnsi"/>
                <w:b/>
                <w:bCs/>
                <w:color w:val="FFFFFF" w:themeColor="background1"/>
                <w:sz w:val="18"/>
                <w:szCs w:val="18"/>
              </w:rPr>
            </w:pPr>
            <w:r w:rsidRPr="00167A1B">
              <w:rPr>
                <w:rFonts w:asciiTheme="minorHAnsi" w:hAnsiTheme="minorHAnsi" w:cstheme="minorHAnsi"/>
                <w:b/>
                <w:bCs/>
                <w:color w:val="FFFFFF" w:themeColor="background1"/>
                <w:sz w:val="18"/>
                <w:szCs w:val="18"/>
              </w:rPr>
              <w:t>% of total weight</w:t>
            </w:r>
          </w:p>
        </w:tc>
      </w:tr>
      <w:tr w:rsidR="006B36E6" w:rsidRPr="00167A1B" w14:paraId="156C4D0A" w14:textId="77777777" w:rsidTr="009D260B">
        <w:trPr>
          <w:trHeight w:val="260"/>
          <w:jc w:val="center"/>
        </w:trPr>
        <w:tc>
          <w:tcPr>
            <w:tcW w:w="5177" w:type="dxa"/>
            <w:gridSpan w:val="2"/>
            <w:shd w:val="clear" w:color="auto" w:fill="D9D9D9" w:themeFill="background1" w:themeFillShade="D9"/>
            <w:noWrap/>
            <w:vAlign w:val="center"/>
            <w:hideMark/>
          </w:tcPr>
          <w:p w14:paraId="471BED52" w14:textId="77777777" w:rsidR="006B36E6" w:rsidRPr="00167A1B" w:rsidRDefault="006B36E6" w:rsidP="009D260B">
            <w:pPr>
              <w:spacing w:after="0"/>
              <w:rPr>
                <w:rFonts w:asciiTheme="minorHAnsi" w:hAnsiTheme="minorHAnsi" w:cstheme="minorHAnsi"/>
                <w:color w:val="000000"/>
                <w:sz w:val="18"/>
                <w:szCs w:val="18"/>
              </w:rPr>
            </w:pPr>
            <w:r w:rsidRPr="00167A1B">
              <w:rPr>
                <w:rFonts w:asciiTheme="minorHAnsi" w:hAnsiTheme="minorHAnsi" w:cstheme="minorHAnsi"/>
                <w:b/>
                <w:bCs/>
                <w:color w:val="000000"/>
                <w:sz w:val="18"/>
                <w:szCs w:val="18"/>
              </w:rPr>
              <w:t>EPS</w:t>
            </w:r>
          </w:p>
        </w:tc>
      </w:tr>
      <w:tr w:rsidR="006B36E6" w:rsidRPr="00167A1B" w14:paraId="27A3CF27" w14:textId="77777777" w:rsidTr="009D260B">
        <w:trPr>
          <w:trHeight w:val="260"/>
          <w:jc w:val="center"/>
        </w:trPr>
        <w:tc>
          <w:tcPr>
            <w:tcW w:w="2830" w:type="dxa"/>
            <w:shd w:val="clear" w:color="auto" w:fill="auto"/>
            <w:noWrap/>
            <w:vAlign w:val="center"/>
            <w:hideMark/>
          </w:tcPr>
          <w:p w14:paraId="76D441D6" w14:textId="77777777" w:rsidR="006B36E6" w:rsidRPr="00167A1B" w:rsidRDefault="006B36E6" w:rsidP="009D260B">
            <w:pPr>
              <w:spacing w:after="0"/>
              <w:rPr>
                <w:rFonts w:asciiTheme="minorHAnsi" w:hAnsiTheme="minorHAnsi" w:cstheme="minorHAnsi"/>
                <w:color w:val="000000"/>
                <w:sz w:val="18"/>
                <w:szCs w:val="18"/>
              </w:rPr>
            </w:pPr>
            <w:r w:rsidRPr="00167A1B">
              <w:rPr>
                <w:rFonts w:asciiTheme="minorHAnsi" w:hAnsiTheme="minorHAnsi" w:cstheme="minorHAnsi"/>
                <w:color w:val="000000"/>
                <w:sz w:val="18"/>
                <w:szCs w:val="18"/>
              </w:rPr>
              <w:t>Plastic</w:t>
            </w:r>
          </w:p>
        </w:tc>
        <w:tc>
          <w:tcPr>
            <w:tcW w:w="2347" w:type="dxa"/>
            <w:shd w:val="clear" w:color="auto" w:fill="auto"/>
            <w:noWrap/>
            <w:vAlign w:val="center"/>
            <w:hideMark/>
          </w:tcPr>
          <w:p w14:paraId="47EE9A57" w14:textId="77777777" w:rsidR="006B36E6" w:rsidRPr="00167A1B" w:rsidRDefault="006B36E6" w:rsidP="009D260B">
            <w:pPr>
              <w:spacing w:after="0"/>
              <w:jc w:val="right"/>
              <w:rPr>
                <w:rFonts w:asciiTheme="minorHAnsi" w:hAnsiTheme="minorHAnsi" w:cstheme="minorHAnsi"/>
                <w:sz w:val="18"/>
                <w:szCs w:val="18"/>
              </w:rPr>
            </w:pPr>
            <w:r w:rsidRPr="00167A1B">
              <w:rPr>
                <w:rFonts w:asciiTheme="minorHAnsi" w:hAnsiTheme="minorHAnsi" w:cstheme="minorHAnsi"/>
                <w:sz w:val="18"/>
                <w:szCs w:val="18"/>
              </w:rPr>
              <w:t>36%</w:t>
            </w:r>
          </w:p>
        </w:tc>
      </w:tr>
      <w:tr w:rsidR="006B36E6" w:rsidRPr="00167A1B" w14:paraId="4B0D25CB" w14:textId="77777777" w:rsidTr="009D260B">
        <w:trPr>
          <w:trHeight w:val="260"/>
          <w:jc w:val="center"/>
        </w:trPr>
        <w:tc>
          <w:tcPr>
            <w:tcW w:w="2830" w:type="dxa"/>
            <w:shd w:val="clear" w:color="auto" w:fill="auto"/>
            <w:noWrap/>
            <w:vAlign w:val="center"/>
            <w:hideMark/>
          </w:tcPr>
          <w:p w14:paraId="524ED2F3" w14:textId="77777777" w:rsidR="006B36E6" w:rsidRPr="00167A1B" w:rsidRDefault="006B36E6" w:rsidP="009D260B">
            <w:pPr>
              <w:spacing w:after="0"/>
              <w:rPr>
                <w:rFonts w:asciiTheme="minorHAnsi" w:hAnsiTheme="minorHAnsi" w:cstheme="minorHAnsi"/>
                <w:color w:val="000000"/>
                <w:sz w:val="18"/>
                <w:szCs w:val="18"/>
              </w:rPr>
            </w:pPr>
            <w:r w:rsidRPr="00167A1B">
              <w:rPr>
                <w:rFonts w:asciiTheme="minorHAnsi" w:hAnsiTheme="minorHAnsi" w:cstheme="minorHAnsi"/>
                <w:color w:val="000000"/>
                <w:sz w:val="18"/>
                <w:szCs w:val="18"/>
              </w:rPr>
              <w:t xml:space="preserve">Copper and copper alloys </w:t>
            </w:r>
          </w:p>
        </w:tc>
        <w:tc>
          <w:tcPr>
            <w:tcW w:w="2347" w:type="dxa"/>
            <w:shd w:val="clear" w:color="auto" w:fill="auto"/>
            <w:noWrap/>
            <w:vAlign w:val="center"/>
            <w:hideMark/>
          </w:tcPr>
          <w:p w14:paraId="34FF8E91" w14:textId="77777777" w:rsidR="006B36E6" w:rsidRPr="00167A1B" w:rsidRDefault="006B36E6" w:rsidP="009D260B">
            <w:pPr>
              <w:spacing w:after="0"/>
              <w:jc w:val="right"/>
              <w:rPr>
                <w:rFonts w:asciiTheme="minorHAnsi" w:hAnsiTheme="minorHAnsi" w:cstheme="minorHAnsi"/>
                <w:sz w:val="18"/>
                <w:szCs w:val="18"/>
              </w:rPr>
            </w:pPr>
            <w:r w:rsidRPr="00167A1B">
              <w:rPr>
                <w:rFonts w:asciiTheme="minorHAnsi" w:hAnsiTheme="minorHAnsi" w:cstheme="minorHAnsi"/>
                <w:sz w:val="18"/>
                <w:szCs w:val="18"/>
              </w:rPr>
              <w:t>13%</w:t>
            </w:r>
          </w:p>
        </w:tc>
      </w:tr>
      <w:tr w:rsidR="006B36E6" w:rsidRPr="00167A1B" w14:paraId="01AA7368" w14:textId="77777777" w:rsidTr="009D260B">
        <w:trPr>
          <w:trHeight w:val="260"/>
          <w:jc w:val="center"/>
        </w:trPr>
        <w:tc>
          <w:tcPr>
            <w:tcW w:w="2830" w:type="dxa"/>
            <w:shd w:val="clear" w:color="auto" w:fill="auto"/>
            <w:noWrap/>
            <w:vAlign w:val="center"/>
          </w:tcPr>
          <w:p w14:paraId="526FC3C6" w14:textId="77777777" w:rsidR="006B36E6" w:rsidRPr="00167A1B" w:rsidRDefault="006B36E6" w:rsidP="009D260B">
            <w:pPr>
              <w:spacing w:after="0"/>
              <w:rPr>
                <w:rFonts w:asciiTheme="minorHAnsi" w:hAnsiTheme="minorHAnsi" w:cstheme="minorHAnsi"/>
                <w:color w:val="000000"/>
                <w:sz w:val="18"/>
                <w:szCs w:val="18"/>
              </w:rPr>
            </w:pPr>
            <w:r w:rsidRPr="00167A1B">
              <w:rPr>
                <w:rFonts w:asciiTheme="minorHAnsi" w:hAnsiTheme="minorHAnsi" w:cstheme="minorHAnsi"/>
                <w:color w:val="000000"/>
                <w:sz w:val="18"/>
                <w:szCs w:val="18"/>
              </w:rPr>
              <w:t>Stainless steel (USB connectors)</w:t>
            </w:r>
          </w:p>
        </w:tc>
        <w:tc>
          <w:tcPr>
            <w:tcW w:w="2347" w:type="dxa"/>
            <w:shd w:val="clear" w:color="auto" w:fill="auto"/>
            <w:noWrap/>
            <w:vAlign w:val="center"/>
          </w:tcPr>
          <w:p w14:paraId="24B65368" w14:textId="77777777" w:rsidR="006B36E6" w:rsidRPr="00167A1B" w:rsidRDefault="006B36E6" w:rsidP="009D260B">
            <w:pPr>
              <w:spacing w:after="0"/>
              <w:jc w:val="right"/>
              <w:rPr>
                <w:rFonts w:asciiTheme="minorHAnsi" w:hAnsiTheme="minorHAnsi" w:cstheme="minorHAnsi"/>
                <w:sz w:val="18"/>
                <w:szCs w:val="18"/>
              </w:rPr>
            </w:pPr>
            <w:r w:rsidRPr="00167A1B">
              <w:rPr>
                <w:rFonts w:asciiTheme="minorHAnsi" w:hAnsiTheme="minorHAnsi" w:cstheme="minorHAnsi"/>
                <w:sz w:val="18"/>
                <w:szCs w:val="18"/>
              </w:rPr>
              <w:t>6%</w:t>
            </w:r>
          </w:p>
        </w:tc>
      </w:tr>
      <w:tr w:rsidR="006B36E6" w:rsidRPr="00167A1B" w14:paraId="2F203C68" w14:textId="77777777" w:rsidTr="009D260B">
        <w:trPr>
          <w:trHeight w:val="260"/>
          <w:jc w:val="center"/>
        </w:trPr>
        <w:tc>
          <w:tcPr>
            <w:tcW w:w="2830" w:type="dxa"/>
            <w:shd w:val="clear" w:color="auto" w:fill="auto"/>
            <w:noWrap/>
            <w:vAlign w:val="center"/>
          </w:tcPr>
          <w:p w14:paraId="031A2039" w14:textId="77777777" w:rsidR="006B36E6" w:rsidRPr="00167A1B" w:rsidRDefault="006B36E6" w:rsidP="009D260B">
            <w:pPr>
              <w:spacing w:after="0"/>
              <w:rPr>
                <w:rFonts w:asciiTheme="minorHAnsi" w:hAnsiTheme="minorHAnsi" w:cstheme="minorHAnsi"/>
                <w:color w:val="000000"/>
                <w:sz w:val="18"/>
                <w:szCs w:val="18"/>
              </w:rPr>
            </w:pPr>
            <w:r w:rsidRPr="00167A1B">
              <w:rPr>
                <w:rFonts w:asciiTheme="minorHAnsi" w:hAnsiTheme="minorHAnsi" w:cstheme="minorHAnsi"/>
                <w:color w:val="000000"/>
                <w:sz w:val="18"/>
                <w:szCs w:val="18"/>
              </w:rPr>
              <w:t>Aluminium</w:t>
            </w:r>
          </w:p>
        </w:tc>
        <w:tc>
          <w:tcPr>
            <w:tcW w:w="2347" w:type="dxa"/>
            <w:shd w:val="clear" w:color="auto" w:fill="auto"/>
            <w:noWrap/>
            <w:vAlign w:val="center"/>
          </w:tcPr>
          <w:p w14:paraId="1C52CA1B" w14:textId="77777777" w:rsidR="006B36E6" w:rsidRPr="00167A1B" w:rsidRDefault="006B36E6" w:rsidP="009D260B">
            <w:pPr>
              <w:spacing w:after="0"/>
              <w:jc w:val="right"/>
              <w:rPr>
                <w:rFonts w:asciiTheme="minorHAnsi" w:hAnsiTheme="minorHAnsi" w:cstheme="minorHAnsi"/>
                <w:sz w:val="18"/>
                <w:szCs w:val="18"/>
              </w:rPr>
            </w:pPr>
            <w:r w:rsidRPr="00167A1B">
              <w:rPr>
                <w:rFonts w:asciiTheme="minorHAnsi" w:hAnsiTheme="minorHAnsi" w:cstheme="minorHAnsi"/>
                <w:sz w:val="18"/>
                <w:szCs w:val="18"/>
              </w:rPr>
              <w:t>7%</w:t>
            </w:r>
          </w:p>
        </w:tc>
      </w:tr>
      <w:tr w:rsidR="006B36E6" w:rsidRPr="00167A1B" w14:paraId="64015A90" w14:textId="77777777" w:rsidTr="009D260B">
        <w:trPr>
          <w:trHeight w:val="260"/>
          <w:jc w:val="center"/>
        </w:trPr>
        <w:tc>
          <w:tcPr>
            <w:tcW w:w="2830" w:type="dxa"/>
            <w:shd w:val="clear" w:color="auto" w:fill="auto"/>
            <w:noWrap/>
            <w:vAlign w:val="center"/>
            <w:hideMark/>
          </w:tcPr>
          <w:p w14:paraId="02BA2260" w14:textId="77777777" w:rsidR="006B36E6" w:rsidRPr="00167A1B" w:rsidRDefault="006B36E6" w:rsidP="009D260B">
            <w:pPr>
              <w:spacing w:after="0"/>
              <w:rPr>
                <w:rFonts w:asciiTheme="minorHAnsi" w:hAnsiTheme="minorHAnsi" w:cstheme="minorHAnsi"/>
                <w:color w:val="000000"/>
                <w:sz w:val="18"/>
                <w:szCs w:val="18"/>
              </w:rPr>
            </w:pPr>
            <w:r w:rsidRPr="00167A1B">
              <w:rPr>
                <w:rFonts w:asciiTheme="minorHAnsi" w:hAnsiTheme="minorHAnsi" w:cstheme="minorHAnsi"/>
                <w:color w:val="000000"/>
                <w:sz w:val="18"/>
                <w:szCs w:val="18"/>
              </w:rPr>
              <w:t>Others</w:t>
            </w:r>
          </w:p>
        </w:tc>
        <w:tc>
          <w:tcPr>
            <w:tcW w:w="2347" w:type="dxa"/>
            <w:shd w:val="clear" w:color="auto" w:fill="auto"/>
            <w:noWrap/>
            <w:vAlign w:val="center"/>
            <w:hideMark/>
          </w:tcPr>
          <w:p w14:paraId="39C56004" w14:textId="77777777" w:rsidR="006B36E6" w:rsidRPr="00167A1B" w:rsidRDefault="006B36E6" w:rsidP="009D260B">
            <w:pPr>
              <w:spacing w:after="0"/>
              <w:jc w:val="right"/>
              <w:rPr>
                <w:rFonts w:asciiTheme="minorHAnsi" w:hAnsiTheme="minorHAnsi" w:cstheme="minorHAnsi"/>
                <w:sz w:val="18"/>
                <w:szCs w:val="18"/>
              </w:rPr>
            </w:pPr>
            <w:r w:rsidRPr="00167A1B">
              <w:rPr>
                <w:rFonts w:asciiTheme="minorHAnsi" w:hAnsiTheme="minorHAnsi" w:cstheme="minorHAnsi"/>
                <w:sz w:val="18"/>
                <w:szCs w:val="18"/>
              </w:rPr>
              <w:t>37%</w:t>
            </w:r>
          </w:p>
        </w:tc>
      </w:tr>
      <w:tr w:rsidR="006B36E6" w:rsidRPr="00167A1B" w14:paraId="3D72E974" w14:textId="77777777" w:rsidTr="009D260B">
        <w:trPr>
          <w:trHeight w:val="260"/>
          <w:jc w:val="center"/>
        </w:trPr>
        <w:tc>
          <w:tcPr>
            <w:tcW w:w="5177" w:type="dxa"/>
            <w:gridSpan w:val="2"/>
            <w:shd w:val="clear" w:color="auto" w:fill="D9D9D9" w:themeFill="background1" w:themeFillShade="D9"/>
            <w:noWrap/>
            <w:vAlign w:val="center"/>
            <w:hideMark/>
          </w:tcPr>
          <w:p w14:paraId="22FC2061" w14:textId="77777777" w:rsidR="006B36E6" w:rsidRPr="00167A1B" w:rsidRDefault="006B36E6" w:rsidP="009D260B">
            <w:pPr>
              <w:spacing w:after="0"/>
              <w:rPr>
                <w:rFonts w:asciiTheme="minorHAnsi" w:hAnsiTheme="minorHAnsi" w:cstheme="minorHAnsi"/>
                <w:color w:val="000000"/>
                <w:sz w:val="18"/>
                <w:szCs w:val="18"/>
              </w:rPr>
            </w:pPr>
            <w:r w:rsidRPr="00167A1B">
              <w:rPr>
                <w:rFonts w:asciiTheme="minorHAnsi" w:hAnsiTheme="minorHAnsi" w:cstheme="minorHAnsi"/>
                <w:b/>
                <w:bCs/>
                <w:color w:val="000000"/>
                <w:sz w:val="18"/>
                <w:szCs w:val="18"/>
              </w:rPr>
              <w:t>Cable</w:t>
            </w:r>
          </w:p>
        </w:tc>
      </w:tr>
      <w:tr w:rsidR="006B36E6" w:rsidRPr="00167A1B" w14:paraId="755CC5B7" w14:textId="77777777" w:rsidTr="009D260B">
        <w:trPr>
          <w:trHeight w:val="260"/>
          <w:jc w:val="center"/>
        </w:trPr>
        <w:tc>
          <w:tcPr>
            <w:tcW w:w="2830" w:type="dxa"/>
            <w:shd w:val="clear" w:color="auto" w:fill="auto"/>
            <w:noWrap/>
            <w:vAlign w:val="center"/>
            <w:hideMark/>
          </w:tcPr>
          <w:p w14:paraId="7C72D42A" w14:textId="77777777" w:rsidR="006B36E6" w:rsidRPr="00167A1B" w:rsidRDefault="006B36E6" w:rsidP="009D260B">
            <w:pPr>
              <w:spacing w:after="0"/>
              <w:rPr>
                <w:rFonts w:asciiTheme="minorHAnsi" w:hAnsiTheme="minorHAnsi" w:cstheme="minorHAnsi"/>
                <w:color w:val="000000"/>
                <w:sz w:val="18"/>
                <w:szCs w:val="18"/>
              </w:rPr>
            </w:pPr>
            <w:r w:rsidRPr="00167A1B">
              <w:rPr>
                <w:rFonts w:asciiTheme="minorHAnsi" w:hAnsiTheme="minorHAnsi" w:cstheme="minorHAnsi"/>
                <w:color w:val="000000"/>
                <w:sz w:val="18"/>
                <w:szCs w:val="18"/>
              </w:rPr>
              <w:t>Copper</w:t>
            </w:r>
          </w:p>
        </w:tc>
        <w:tc>
          <w:tcPr>
            <w:tcW w:w="2347" w:type="dxa"/>
            <w:shd w:val="clear" w:color="auto" w:fill="auto"/>
            <w:noWrap/>
            <w:vAlign w:val="center"/>
            <w:hideMark/>
          </w:tcPr>
          <w:p w14:paraId="5C4244F8" w14:textId="77777777" w:rsidR="006B36E6" w:rsidRPr="00167A1B" w:rsidRDefault="006B36E6" w:rsidP="009D260B">
            <w:pPr>
              <w:spacing w:after="0"/>
              <w:jc w:val="right"/>
              <w:rPr>
                <w:rFonts w:asciiTheme="minorHAnsi" w:hAnsiTheme="minorHAnsi" w:cstheme="minorHAnsi"/>
                <w:sz w:val="18"/>
                <w:szCs w:val="18"/>
              </w:rPr>
            </w:pPr>
            <w:r w:rsidRPr="00167A1B">
              <w:rPr>
                <w:rFonts w:asciiTheme="minorHAnsi" w:hAnsiTheme="minorHAnsi" w:cstheme="minorHAnsi"/>
                <w:sz w:val="18"/>
                <w:szCs w:val="18"/>
              </w:rPr>
              <w:t>30%</w:t>
            </w:r>
          </w:p>
        </w:tc>
      </w:tr>
      <w:tr w:rsidR="006B36E6" w:rsidRPr="00167A1B" w14:paraId="3D8BF052" w14:textId="77777777" w:rsidTr="009D260B">
        <w:trPr>
          <w:trHeight w:val="260"/>
          <w:jc w:val="center"/>
        </w:trPr>
        <w:tc>
          <w:tcPr>
            <w:tcW w:w="2830" w:type="dxa"/>
            <w:shd w:val="clear" w:color="auto" w:fill="auto"/>
            <w:noWrap/>
            <w:vAlign w:val="center"/>
            <w:hideMark/>
          </w:tcPr>
          <w:p w14:paraId="031A05B4" w14:textId="77777777" w:rsidR="006B36E6" w:rsidRPr="00167A1B" w:rsidRDefault="006B36E6" w:rsidP="009D260B">
            <w:pPr>
              <w:spacing w:after="0"/>
              <w:rPr>
                <w:rFonts w:asciiTheme="minorHAnsi" w:hAnsiTheme="minorHAnsi" w:cstheme="minorHAnsi"/>
                <w:color w:val="000000"/>
                <w:sz w:val="18"/>
                <w:szCs w:val="18"/>
              </w:rPr>
            </w:pPr>
            <w:r w:rsidRPr="00167A1B">
              <w:rPr>
                <w:rFonts w:asciiTheme="minorHAnsi" w:hAnsiTheme="minorHAnsi" w:cstheme="minorHAnsi"/>
                <w:color w:val="000000"/>
                <w:sz w:val="18"/>
                <w:szCs w:val="18"/>
              </w:rPr>
              <w:t xml:space="preserve">Plastic </w:t>
            </w:r>
          </w:p>
        </w:tc>
        <w:tc>
          <w:tcPr>
            <w:tcW w:w="2347" w:type="dxa"/>
            <w:shd w:val="clear" w:color="auto" w:fill="auto"/>
            <w:noWrap/>
            <w:vAlign w:val="center"/>
            <w:hideMark/>
          </w:tcPr>
          <w:p w14:paraId="18598690" w14:textId="77777777" w:rsidR="006B36E6" w:rsidRPr="00167A1B" w:rsidRDefault="006B36E6" w:rsidP="009D260B">
            <w:pPr>
              <w:spacing w:after="0"/>
              <w:jc w:val="right"/>
              <w:rPr>
                <w:rFonts w:asciiTheme="minorHAnsi" w:hAnsiTheme="minorHAnsi" w:cstheme="minorHAnsi"/>
                <w:sz w:val="18"/>
                <w:szCs w:val="18"/>
              </w:rPr>
            </w:pPr>
            <w:r w:rsidRPr="00167A1B">
              <w:rPr>
                <w:rFonts w:asciiTheme="minorHAnsi" w:hAnsiTheme="minorHAnsi" w:cstheme="minorHAnsi"/>
                <w:sz w:val="18"/>
                <w:szCs w:val="18"/>
              </w:rPr>
              <w:t>30%</w:t>
            </w:r>
          </w:p>
        </w:tc>
      </w:tr>
      <w:tr w:rsidR="006B36E6" w:rsidRPr="00167A1B" w14:paraId="3D1AF62D" w14:textId="77777777" w:rsidTr="009D260B">
        <w:trPr>
          <w:trHeight w:val="260"/>
          <w:jc w:val="center"/>
        </w:trPr>
        <w:tc>
          <w:tcPr>
            <w:tcW w:w="2830" w:type="dxa"/>
            <w:shd w:val="clear" w:color="auto" w:fill="auto"/>
            <w:noWrap/>
            <w:vAlign w:val="center"/>
            <w:hideMark/>
          </w:tcPr>
          <w:p w14:paraId="3C8F5880" w14:textId="77777777" w:rsidR="006B36E6" w:rsidRPr="00167A1B" w:rsidRDefault="006B36E6" w:rsidP="009D260B">
            <w:pPr>
              <w:spacing w:after="0"/>
              <w:rPr>
                <w:rFonts w:asciiTheme="minorHAnsi" w:hAnsiTheme="minorHAnsi" w:cstheme="minorHAnsi"/>
                <w:color w:val="000000"/>
                <w:sz w:val="18"/>
                <w:szCs w:val="18"/>
              </w:rPr>
            </w:pPr>
            <w:r w:rsidRPr="00167A1B">
              <w:rPr>
                <w:rFonts w:asciiTheme="minorHAnsi" w:hAnsiTheme="minorHAnsi" w:cstheme="minorHAnsi"/>
                <w:color w:val="000000"/>
                <w:sz w:val="18"/>
                <w:szCs w:val="18"/>
              </w:rPr>
              <w:t>Stainless steel (USB connectors)</w:t>
            </w:r>
          </w:p>
        </w:tc>
        <w:tc>
          <w:tcPr>
            <w:tcW w:w="2347" w:type="dxa"/>
            <w:shd w:val="clear" w:color="auto" w:fill="auto"/>
            <w:noWrap/>
            <w:vAlign w:val="center"/>
            <w:hideMark/>
          </w:tcPr>
          <w:p w14:paraId="6242F0C1" w14:textId="77777777" w:rsidR="006B36E6" w:rsidRPr="00167A1B" w:rsidRDefault="006B36E6" w:rsidP="009D260B">
            <w:pPr>
              <w:spacing w:after="0"/>
              <w:jc w:val="right"/>
              <w:rPr>
                <w:rFonts w:asciiTheme="minorHAnsi" w:hAnsiTheme="minorHAnsi" w:cstheme="minorHAnsi"/>
                <w:sz w:val="18"/>
                <w:szCs w:val="18"/>
              </w:rPr>
            </w:pPr>
            <w:r w:rsidRPr="00167A1B">
              <w:rPr>
                <w:rFonts w:asciiTheme="minorHAnsi" w:hAnsiTheme="minorHAnsi" w:cstheme="minorHAnsi"/>
                <w:sz w:val="18"/>
                <w:szCs w:val="18"/>
              </w:rPr>
              <w:t>24%</w:t>
            </w:r>
          </w:p>
        </w:tc>
      </w:tr>
      <w:tr w:rsidR="006B36E6" w:rsidRPr="00167A1B" w14:paraId="49DB99F9" w14:textId="77777777" w:rsidTr="009D260B">
        <w:trPr>
          <w:trHeight w:val="260"/>
          <w:jc w:val="center"/>
        </w:trPr>
        <w:tc>
          <w:tcPr>
            <w:tcW w:w="2830" w:type="dxa"/>
            <w:shd w:val="clear" w:color="auto" w:fill="auto"/>
            <w:noWrap/>
            <w:vAlign w:val="center"/>
            <w:hideMark/>
          </w:tcPr>
          <w:p w14:paraId="4E6302ED" w14:textId="77777777" w:rsidR="006B36E6" w:rsidRPr="00167A1B" w:rsidRDefault="006B36E6" w:rsidP="009D260B">
            <w:pPr>
              <w:spacing w:after="0"/>
              <w:rPr>
                <w:rFonts w:asciiTheme="minorHAnsi" w:hAnsiTheme="minorHAnsi" w:cstheme="minorHAnsi"/>
                <w:color w:val="000000"/>
                <w:sz w:val="18"/>
                <w:szCs w:val="18"/>
              </w:rPr>
            </w:pPr>
            <w:r w:rsidRPr="00167A1B">
              <w:rPr>
                <w:rFonts w:asciiTheme="minorHAnsi" w:hAnsiTheme="minorHAnsi" w:cstheme="minorHAnsi"/>
                <w:color w:val="000000"/>
                <w:sz w:val="18"/>
                <w:szCs w:val="18"/>
              </w:rPr>
              <w:t>Others</w:t>
            </w:r>
          </w:p>
        </w:tc>
        <w:tc>
          <w:tcPr>
            <w:tcW w:w="2347" w:type="dxa"/>
            <w:shd w:val="clear" w:color="auto" w:fill="auto"/>
            <w:noWrap/>
            <w:vAlign w:val="center"/>
            <w:hideMark/>
          </w:tcPr>
          <w:p w14:paraId="47740B20" w14:textId="77777777" w:rsidR="006B36E6" w:rsidRPr="00167A1B" w:rsidRDefault="006B36E6" w:rsidP="009D260B">
            <w:pPr>
              <w:spacing w:after="0"/>
              <w:jc w:val="right"/>
              <w:rPr>
                <w:rFonts w:asciiTheme="minorHAnsi" w:hAnsiTheme="minorHAnsi" w:cstheme="minorHAnsi"/>
                <w:sz w:val="18"/>
                <w:szCs w:val="18"/>
              </w:rPr>
            </w:pPr>
            <w:r w:rsidRPr="00167A1B">
              <w:rPr>
                <w:rFonts w:asciiTheme="minorHAnsi" w:hAnsiTheme="minorHAnsi" w:cstheme="minorHAnsi"/>
                <w:sz w:val="18"/>
                <w:szCs w:val="18"/>
              </w:rPr>
              <w:t>16%</w:t>
            </w:r>
          </w:p>
        </w:tc>
      </w:tr>
    </w:tbl>
    <w:p w14:paraId="08AECD03" w14:textId="77777777" w:rsidR="006B36E6" w:rsidRPr="00167A1B" w:rsidRDefault="006B36E6" w:rsidP="006B36E6">
      <w:pPr>
        <w:pStyle w:val="BodyText1"/>
        <w:rPr>
          <w:noProof w:val="0"/>
        </w:rPr>
      </w:pPr>
    </w:p>
    <w:p w14:paraId="34FBA09E" w14:textId="77777777" w:rsidR="006B36E6" w:rsidRPr="00167A1B" w:rsidRDefault="006B36E6" w:rsidP="006B36E6">
      <w:pPr>
        <w:pStyle w:val="BodyText1"/>
        <w:rPr>
          <w:noProof w:val="0"/>
        </w:rPr>
      </w:pPr>
      <w:r w:rsidRPr="00167A1B">
        <w:rPr>
          <w:noProof w:val="0"/>
        </w:rPr>
        <w:t>Furthermore, In the previous 2019 IA study, we indicated that there is a trend towards heavier chargers as fast charging EPS technologies were assessed to have more complex and heavier components and would gradually become the new standard. However, our literature research and the interviews also highlighted that new technological developments may mitigate this trend. As indicated during an interview with a supplier of high-performance electronic components, it was</w:t>
      </w:r>
      <w:r w:rsidRPr="00167A1B">
        <w:rPr>
          <w:rFonts w:eastAsiaTheme="minorHAnsi"/>
          <w:noProof w:val="0"/>
        </w:rPr>
        <w:t xml:space="preserve"> estimated that the new technologies (e.g., Gallium Nitride [GaN] diodes, super-junction) would enable 40% less volume and 30% less weight for EPS, through providing improved energy efficiency and reduction in heat, and therefore a reduction in insulation and other materials. Therefore, the refined stock model assumes </w:t>
      </w:r>
      <w:r w:rsidRPr="00167A1B">
        <w:rPr>
          <w:noProof w:val="0"/>
        </w:rPr>
        <w:t xml:space="preserve">that the high-power and high-quality EPS will become lighter than current models (per wattage) in the future. </w:t>
      </w:r>
      <w:r w:rsidRPr="00167A1B">
        <w:rPr>
          <w:noProof w:val="0"/>
        </w:rPr>
        <w:fldChar w:fldCharType="begin"/>
      </w:r>
      <w:r w:rsidRPr="00167A1B">
        <w:rPr>
          <w:noProof w:val="0"/>
        </w:rPr>
        <w:instrText xml:space="preserve"> REF _Ref70066790 \h  \* MERGEFORMAT </w:instrText>
      </w:r>
      <w:r w:rsidRPr="00167A1B">
        <w:rPr>
          <w:noProof w:val="0"/>
        </w:rPr>
      </w:r>
      <w:r w:rsidRPr="00167A1B">
        <w:rPr>
          <w:noProof w:val="0"/>
        </w:rPr>
        <w:fldChar w:fldCharType="separate"/>
      </w:r>
      <w:r w:rsidRPr="00167A1B">
        <w:rPr>
          <w:noProof w:val="0"/>
          <w:szCs w:val="22"/>
        </w:rPr>
        <w:fldChar w:fldCharType="begin"/>
      </w:r>
      <w:r w:rsidRPr="00167A1B">
        <w:rPr>
          <w:noProof w:val="0"/>
        </w:rPr>
        <w:instrText xml:space="preserve"> REF _Ref70088147 \h </w:instrText>
      </w:r>
      <w:r w:rsidRPr="00167A1B">
        <w:rPr>
          <w:noProof w:val="0"/>
          <w:szCs w:val="22"/>
        </w:rPr>
        <w:instrText xml:space="preserve"> \* MERGEFORMAT </w:instrText>
      </w:r>
      <w:r w:rsidRPr="00167A1B">
        <w:rPr>
          <w:noProof w:val="0"/>
          <w:szCs w:val="22"/>
        </w:rPr>
      </w:r>
      <w:r w:rsidRPr="00167A1B">
        <w:rPr>
          <w:noProof w:val="0"/>
          <w:szCs w:val="22"/>
        </w:rPr>
        <w:fldChar w:fldCharType="separate"/>
      </w:r>
      <w:r w:rsidRPr="00167A1B">
        <w:rPr>
          <w:noProof w:val="0"/>
        </w:rPr>
        <w:t>Table 3</w:t>
      </w:r>
      <w:r w:rsidRPr="00167A1B">
        <w:rPr>
          <w:noProof w:val="0"/>
          <w:szCs w:val="22"/>
        </w:rPr>
        <w:fldChar w:fldCharType="end"/>
      </w:r>
      <w:r w:rsidRPr="00167A1B">
        <w:rPr>
          <w:noProof w:val="0"/>
          <w:szCs w:val="22"/>
        </w:rPr>
        <w:t xml:space="preserve"> below </w:t>
      </w:r>
      <w:r w:rsidRPr="00167A1B">
        <w:rPr>
          <w:noProof w:val="0"/>
        </w:rPr>
        <w:fldChar w:fldCharType="end"/>
      </w:r>
      <w:r w:rsidRPr="00167A1B">
        <w:rPr>
          <w:noProof w:val="0"/>
        </w:rPr>
        <w:t>presents the total weight per component type at 5 years intervals used in the analysis.</w:t>
      </w:r>
    </w:p>
    <w:p w14:paraId="344D8D8A" w14:textId="77777777" w:rsidR="006B36E6" w:rsidRPr="00167A1B" w:rsidRDefault="006B36E6" w:rsidP="006B36E6">
      <w:pPr>
        <w:pStyle w:val="BodyText1"/>
        <w:rPr>
          <w:noProof w:val="0"/>
        </w:rPr>
      </w:pPr>
    </w:p>
    <w:p w14:paraId="1E3BAD31" w14:textId="5886FB79" w:rsidR="006B36E6" w:rsidRPr="00167A1B" w:rsidRDefault="006B36E6" w:rsidP="006B36E6">
      <w:pPr>
        <w:pStyle w:val="Caption"/>
      </w:pPr>
      <w:bookmarkStart w:id="32" w:name="_Ref70066790"/>
      <w:bookmarkStart w:id="33" w:name="_Ref70088147"/>
      <w:r w:rsidRPr="00167A1B">
        <w:lastRenderedPageBreak/>
        <w:t xml:space="preserve">Table </w:t>
      </w:r>
      <w:bookmarkEnd w:id="32"/>
      <w:r w:rsidRPr="00167A1B">
        <w:fldChar w:fldCharType="begin"/>
      </w:r>
      <w:r w:rsidRPr="00167A1B">
        <w:instrText xml:space="preserve"> SEQ Table \* ARABIC \s 1 </w:instrText>
      </w:r>
      <w:r w:rsidRPr="00167A1B">
        <w:fldChar w:fldCharType="separate"/>
      </w:r>
      <w:r w:rsidR="00953106" w:rsidRPr="00167A1B">
        <w:t>5</w:t>
      </w:r>
      <w:r w:rsidRPr="00167A1B">
        <w:fldChar w:fldCharType="end"/>
      </w:r>
      <w:bookmarkEnd w:id="33"/>
      <w:r w:rsidRPr="00167A1B">
        <w:t xml:space="preserve">. Modelled total weight per component type (2015-2030) </w:t>
      </w:r>
    </w:p>
    <w:tbl>
      <w:tblPr>
        <w:tblStyle w:val="TableGrid"/>
        <w:tblW w:w="9061" w:type="dxa"/>
        <w:tblLayout w:type="fixed"/>
        <w:tblCellMar>
          <w:left w:w="28" w:type="dxa"/>
          <w:right w:w="0" w:type="dxa"/>
        </w:tblCellMar>
        <w:tblLook w:val="04A0" w:firstRow="1" w:lastRow="0" w:firstColumn="1" w:lastColumn="0" w:noHBand="0" w:noVBand="1"/>
      </w:tblPr>
      <w:tblGrid>
        <w:gridCol w:w="2080"/>
        <w:gridCol w:w="4011"/>
        <w:gridCol w:w="567"/>
        <w:gridCol w:w="708"/>
        <w:gridCol w:w="851"/>
        <w:gridCol w:w="844"/>
      </w:tblGrid>
      <w:tr w:rsidR="006B36E6" w:rsidRPr="00167A1B" w14:paraId="6FB6580F" w14:textId="77777777" w:rsidTr="009D260B">
        <w:trPr>
          <w:cnfStyle w:val="100000000000" w:firstRow="1" w:lastRow="0" w:firstColumn="0" w:lastColumn="0" w:oddVBand="0" w:evenVBand="0" w:oddHBand="0" w:evenHBand="0" w:firstRowFirstColumn="0" w:firstRowLastColumn="0" w:lastRowFirstColumn="0" w:lastRowLastColumn="0"/>
          <w:trHeight w:val="268"/>
          <w:tblHeader/>
        </w:trPr>
        <w:tc>
          <w:tcPr>
            <w:tcW w:w="6091" w:type="dxa"/>
            <w:gridSpan w:val="2"/>
            <w:vMerge w:val="restart"/>
            <w:shd w:val="clear" w:color="auto" w:fill="0C4DA2" w:themeFill="text2"/>
            <w:noWrap/>
          </w:tcPr>
          <w:p w14:paraId="72700445" w14:textId="77777777" w:rsidR="006B36E6" w:rsidRPr="00167A1B" w:rsidRDefault="006B36E6" w:rsidP="009D260B">
            <w:pPr>
              <w:spacing w:after="0"/>
              <w:jc w:val="left"/>
              <w:rPr>
                <w:rFonts w:ascii="Arial" w:hAnsi="Arial" w:cs="Arial"/>
                <w:sz w:val="18"/>
                <w:szCs w:val="18"/>
              </w:rPr>
            </w:pPr>
            <w:r w:rsidRPr="00167A1B">
              <w:rPr>
                <w:rFonts w:ascii="Arial" w:hAnsi="Arial" w:cs="Arial"/>
                <w:b/>
                <w:color w:val="FFFFFF" w:themeColor="background1"/>
                <w:sz w:val="18"/>
                <w:szCs w:val="18"/>
              </w:rPr>
              <w:t>Component type</w:t>
            </w:r>
          </w:p>
        </w:tc>
        <w:tc>
          <w:tcPr>
            <w:tcW w:w="567" w:type="dxa"/>
            <w:shd w:val="clear" w:color="auto" w:fill="0C4DA2" w:themeFill="text2"/>
          </w:tcPr>
          <w:p w14:paraId="4E60B23E" w14:textId="77777777" w:rsidR="006B36E6" w:rsidRPr="00167A1B" w:rsidRDefault="006B36E6" w:rsidP="009D260B">
            <w:pPr>
              <w:spacing w:after="0"/>
              <w:jc w:val="center"/>
              <w:rPr>
                <w:rFonts w:ascii="Arial" w:hAnsi="Arial" w:cs="Arial"/>
                <w:b/>
                <w:color w:val="FFFFFF" w:themeColor="background1"/>
                <w:sz w:val="18"/>
                <w:szCs w:val="18"/>
              </w:rPr>
            </w:pPr>
            <w:r w:rsidRPr="00167A1B">
              <w:rPr>
                <w:rFonts w:ascii="Arial" w:hAnsi="Arial" w:cs="Arial"/>
                <w:b/>
                <w:color w:val="FFFFFF" w:themeColor="background1"/>
                <w:sz w:val="18"/>
                <w:szCs w:val="18"/>
              </w:rPr>
              <w:t>2015</w:t>
            </w:r>
          </w:p>
        </w:tc>
        <w:tc>
          <w:tcPr>
            <w:tcW w:w="708" w:type="dxa"/>
            <w:shd w:val="clear" w:color="auto" w:fill="0C4DA2" w:themeFill="text2"/>
            <w:noWrap/>
          </w:tcPr>
          <w:p w14:paraId="6EA2D301" w14:textId="77777777" w:rsidR="006B36E6" w:rsidRPr="00167A1B" w:rsidRDefault="006B36E6" w:rsidP="009D260B">
            <w:pPr>
              <w:spacing w:after="0"/>
              <w:jc w:val="center"/>
              <w:rPr>
                <w:rFonts w:ascii="Arial" w:hAnsi="Arial" w:cs="Arial"/>
                <w:b/>
                <w:sz w:val="18"/>
                <w:szCs w:val="18"/>
              </w:rPr>
            </w:pPr>
            <w:r w:rsidRPr="00167A1B">
              <w:rPr>
                <w:rFonts w:ascii="Arial" w:hAnsi="Arial" w:cs="Arial"/>
                <w:b/>
                <w:color w:val="FFFFFF" w:themeColor="background1"/>
                <w:sz w:val="18"/>
                <w:szCs w:val="18"/>
              </w:rPr>
              <w:t>2020</w:t>
            </w:r>
          </w:p>
        </w:tc>
        <w:tc>
          <w:tcPr>
            <w:tcW w:w="851" w:type="dxa"/>
            <w:shd w:val="clear" w:color="auto" w:fill="0C4DA2" w:themeFill="text2"/>
            <w:noWrap/>
          </w:tcPr>
          <w:p w14:paraId="7785CF70" w14:textId="77777777" w:rsidR="006B36E6" w:rsidRPr="00167A1B" w:rsidRDefault="006B36E6" w:rsidP="009D260B">
            <w:pPr>
              <w:spacing w:after="0"/>
              <w:jc w:val="center"/>
              <w:rPr>
                <w:rFonts w:ascii="Arial" w:hAnsi="Arial" w:cs="Arial"/>
                <w:b/>
                <w:sz w:val="18"/>
                <w:szCs w:val="18"/>
              </w:rPr>
            </w:pPr>
            <w:r w:rsidRPr="00167A1B">
              <w:rPr>
                <w:rFonts w:ascii="Arial" w:hAnsi="Arial" w:cs="Arial"/>
                <w:b/>
                <w:color w:val="FFFFFF" w:themeColor="background1"/>
                <w:sz w:val="18"/>
                <w:szCs w:val="18"/>
              </w:rPr>
              <w:t>2025</w:t>
            </w:r>
          </w:p>
        </w:tc>
        <w:tc>
          <w:tcPr>
            <w:tcW w:w="844" w:type="dxa"/>
            <w:shd w:val="clear" w:color="auto" w:fill="0C4DA2" w:themeFill="text2"/>
            <w:noWrap/>
          </w:tcPr>
          <w:p w14:paraId="6373E21D" w14:textId="77777777" w:rsidR="006B36E6" w:rsidRPr="00167A1B" w:rsidRDefault="006B36E6" w:rsidP="009D260B">
            <w:pPr>
              <w:spacing w:after="0"/>
              <w:jc w:val="center"/>
              <w:rPr>
                <w:rFonts w:ascii="Arial" w:hAnsi="Arial" w:cs="Arial"/>
                <w:b/>
                <w:sz w:val="18"/>
                <w:szCs w:val="18"/>
              </w:rPr>
            </w:pPr>
            <w:r w:rsidRPr="00167A1B">
              <w:rPr>
                <w:rFonts w:ascii="Arial" w:hAnsi="Arial" w:cs="Arial"/>
                <w:b/>
                <w:color w:val="FFFFFF" w:themeColor="background1"/>
                <w:sz w:val="18"/>
                <w:szCs w:val="18"/>
              </w:rPr>
              <w:t>2030</w:t>
            </w:r>
          </w:p>
        </w:tc>
      </w:tr>
      <w:tr w:rsidR="006B36E6" w:rsidRPr="00167A1B" w14:paraId="660E58D9" w14:textId="77777777" w:rsidTr="009D260B">
        <w:trPr>
          <w:cnfStyle w:val="100000000000" w:firstRow="1" w:lastRow="0" w:firstColumn="0" w:lastColumn="0" w:oddVBand="0" w:evenVBand="0" w:oddHBand="0" w:evenHBand="0" w:firstRowFirstColumn="0" w:firstRowLastColumn="0" w:lastRowFirstColumn="0" w:lastRowLastColumn="0"/>
          <w:trHeight w:val="59"/>
          <w:tblHeader/>
        </w:trPr>
        <w:tc>
          <w:tcPr>
            <w:tcW w:w="6091" w:type="dxa"/>
            <w:gridSpan w:val="2"/>
            <w:vMerge/>
            <w:shd w:val="clear" w:color="auto" w:fill="0C4DA2" w:themeFill="text2"/>
            <w:noWrap/>
            <w:hideMark/>
          </w:tcPr>
          <w:p w14:paraId="415D3C5F" w14:textId="77777777" w:rsidR="006B36E6" w:rsidRPr="00167A1B" w:rsidRDefault="006B36E6" w:rsidP="009D260B">
            <w:pPr>
              <w:spacing w:after="0"/>
              <w:jc w:val="left"/>
              <w:rPr>
                <w:rFonts w:ascii="Arial" w:hAnsi="Arial" w:cs="Arial"/>
                <w:sz w:val="18"/>
                <w:szCs w:val="18"/>
              </w:rPr>
            </w:pPr>
          </w:p>
        </w:tc>
        <w:tc>
          <w:tcPr>
            <w:tcW w:w="2970" w:type="dxa"/>
            <w:gridSpan w:val="4"/>
            <w:shd w:val="clear" w:color="auto" w:fill="0C4DA2" w:themeFill="text2"/>
          </w:tcPr>
          <w:p w14:paraId="30E1EB58" w14:textId="77777777" w:rsidR="006B36E6" w:rsidRPr="00167A1B" w:rsidRDefault="006B36E6" w:rsidP="009D260B">
            <w:pPr>
              <w:spacing w:after="0"/>
              <w:jc w:val="center"/>
              <w:rPr>
                <w:rFonts w:ascii="Arial" w:hAnsi="Arial" w:cs="Arial"/>
                <w:b/>
                <w:color w:val="FFFFFF" w:themeColor="background1"/>
                <w:sz w:val="18"/>
                <w:szCs w:val="18"/>
              </w:rPr>
            </w:pPr>
            <w:r w:rsidRPr="00167A1B">
              <w:rPr>
                <w:rFonts w:ascii="Arial" w:hAnsi="Arial" w:cs="Arial"/>
                <w:b/>
                <w:color w:val="FFFFFF" w:themeColor="background1"/>
                <w:sz w:val="18"/>
                <w:szCs w:val="18"/>
              </w:rPr>
              <w:t>Weight (g)</w:t>
            </w:r>
          </w:p>
        </w:tc>
      </w:tr>
      <w:tr w:rsidR="006B36E6" w:rsidRPr="00167A1B" w14:paraId="22789AB3" w14:textId="77777777" w:rsidTr="009D260B">
        <w:trPr>
          <w:trHeight w:val="253"/>
        </w:trPr>
        <w:tc>
          <w:tcPr>
            <w:tcW w:w="2080" w:type="dxa"/>
            <w:noWrap/>
            <w:vAlign w:val="center"/>
            <w:hideMark/>
          </w:tcPr>
          <w:p w14:paraId="4F735A6B"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EPS &lt; 7.5 W</w:t>
            </w:r>
          </w:p>
        </w:tc>
        <w:tc>
          <w:tcPr>
            <w:tcW w:w="4011" w:type="dxa"/>
            <w:noWrap/>
            <w:vAlign w:val="center"/>
            <w:hideMark/>
          </w:tcPr>
          <w:p w14:paraId="17608FB1"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USB Type-A receptacle</w:t>
            </w:r>
          </w:p>
        </w:tc>
        <w:tc>
          <w:tcPr>
            <w:tcW w:w="567" w:type="dxa"/>
            <w:vAlign w:val="center"/>
          </w:tcPr>
          <w:p w14:paraId="6E754474"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28</w:t>
            </w:r>
          </w:p>
        </w:tc>
        <w:tc>
          <w:tcPr>
            <w:tcW w:w="708" w:type="dxa"/>
            <w:noWrap/>
            <w:vAlign w:val="center"/>
            <w:hideMark/>
          </w:tcPr>
          <w:p w14:paraId="23CFF71A"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28</w:t>
            </w:r>
          </w:p>
        </w:tc>
        <w:tc>
          <w:tcPr>
            <w:tcW w:w="851" w:type="dxa"/>
            <w:noWrap/>
            <w:vAlign w:val="center"/>
            <w:hideMark/>
          </w:tcPr>
          <w:p w14:paraId="7C4755B7"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28</w:t>
            </w:r>
          </w:p>
        </w:tc>
        <w:tc>
          <w:tcPr>
            <w:tcW w:w="844" w:type="dxa"/>
            <w:noWrap/>
            <w:vAlign w:val="center"/>
            <w:hideMark/>
          </w:tcPr>
          <w:p w14:paraId="57B0534D"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28</w:t>
            </w:r>
          </w:p>
        </w:tc>
      </w:tr>
      <w:tr w:rsidR="006B36E6" w:rsidRPr="00167A1B" w14:paraId="41A4F43E" w14:textId="77777777" w:rsidTr="009D260B">
        <w:trPr>
          <w:trHeight w:val="253"/>
        </w:trPr>
        <w:tc>
          <w:tcPr>
            <w:tcW w:w="2080" w:type="dxa"/>
            <w:noWrap/>
            <w:vAlign w:val="center"/>
            <w:hideMark/>
          </w:tcPr>
          <w:p w14:paraId="07D383D2"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EPS &lt; 7.5 W</w:t>
            </w:r>
          </w:p>
        </w:tc>
        <w:tc>
          <w:tcPr>
            <w:tcW w:w="4011" w:type="dxa"/>
            <w:noWrap/>
            <w:vAlign w:val="center"/>
            <w:hideMark/>
          </w:tcPr>
          <w:p w14:paraId="5874CB01"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USB Type-C receptacle</w:t>
            </w:r>
          </w:p>
        </w:tc>
        <w:tc>
          <w:tcPr>
            <w:tcW w:w="567" w:type="dxa"/>
            <w:vAlign w:val="center"/>
          </w:tcPr>
          <w:p w14:paraId="139CDCA7"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28</w:t>
            </w:r>
          </w:p>
        </w:tc>
        <w:tc>
          <w:tcPr>
            <w:tcW w:w="708" w:type="dxa"/>
            <w:noWrap/>
            <w:vAlign w:val="center"/>
            <w:hideMark/>
          </w:tcPr>
          <w:p w14:paraId="03C9ACBE"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28</w:t>
            </w:r>
          </w:p>
        </w:tc>
        <w:tc>
          <w:tcPr>
            <w:tcW w:w="851" w:type="dxa"/>
            <w:noWrap/>
            <w:vAlign w:val="center"/>
            <w:hideMark/>
          </w:tcPr>
          <w:p w14:paraId="6AF49FBB"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28</w:t>
            </w:r>
          </w:p>
        </w:tc>
        <w:tc>
          <w:tcPr>
            <w:tcW w:w="844" w:type="dxa"/>
            <w:noWrap/>
            <w:vAlign w:val="center"/>
            <w:hideMark/>
          </w:tcPr>
          <w:p w14:paraId="45A0B74E"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28</w:t>
            </w:r>
          </w:p>
        </w:tc>
      </w:tr>
      <w:tr w:rsidR="006B36E6" w:rsidRPr="00167A1B" w14:paraId="3914780F" w14:textId="77777777" w:rsidTr="009D260B">
        <w:trPr>
          <w:trHeight w:val="253"/>
        </w:trPr>
        <w:tc>
          <w:tcPr>
            <w:tcW w:w="2080" w:type="dxa"/>
            <w:noWrap/>
            <w:vAlign w:val="center"/>
            <w:hideMark/>
          </w:tcPr>
          <w:p w14:paraId="703ABE3F"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EPS &lt; 7.5 W</w:t>
            </w:r>
          </w:p>
        </w:tc>
        <w:tc>
          <w:tcPr>
            <w:tcW w:w="4011" w:type="dxa"/>
            <w:noWrap/>
            <w:vAlign w:val="center"/>
            <w:hideMark/>
          </w:tcPr>
          <w:p w14:paraId="18A15AEB"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USB Type-A and Type-C receptacles (multi-port)</w:t>
            </w:r>
          </w:p>
        </w:tc>
        <w:tc>
          <w:tcPr>
            <w:tcW w:w="567" w:type="dxa"/>
            <w:vAlign w:val="center"/>
          </w:tcPr>
          <w:p w14:paraId="0129AFBC"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28</w:t>
            </w:r>
          </w:p>
        </w:tc>
        <w:tc>
          <w:tcPr>
            <w:tcW w:w="708" w:type="dxa"/>
            <w:noWrap/>
            <w:vAlign w:val="center"/>
            <w:hideMark/>
          </w:tcPr>
          <w:p w14:paraId="374761EA"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28</w:t>
            </w:r>
          </w:p>
        </w:tc>
        <w:tc>
          <w:tcPr>
            <w:tcW w:w="851" w:type="dxa"/>
            <w:noWrap/>
            <w:vAlign w:val="center"/>
            <w:hideMark/>
          </w:tcPr>
          <w:p w14:paraId="488424B3"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28</w:t>
            </w:r>
          </w:p>
        </w:tc>
        <w:tc>
          <w:tcPr>
            <w:tcW w:w="844" w:type="dxa"/>
            <w:noWrap/>
            <w:vAlign w:val="center"/>
            <w:hideMark/>
          </w:tcPr>
          <w:p w14:paraId="1080D267"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28</w:t>
            </w:r>
          </w:p>
        </w:tc>
      </w:tr>
      <w:tr w:rsidR="006B36E6" w:rsidRPr="00167A1B" w14:paraId="25D76CBD" w14:textId="77777777" w:rsidTr="009D260B">
        <w:trPr>
          <w:trHeight w:val="253"/>
        </w:trPr>
        <w:tc>
          <w:tcPr>
            <w:tcW w:w="2080" w:type="dxa"/>
            <w:noWrap/>
            <w:vAlign w:val="center"/>
            <w:hideMark/>
          </w:tcPr>
          <w:p w14:paraId="614EAB98"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7.5W &lt;= EPS &lt;=27W</w:t>
            </w:r>
          </w:p>
        </w:tc>
        <w:tc>
          <w:tcPr>
            <w:tcW w:w="4011" w:type="dxa"/>
            <w:noWrap/>
            <w:vAlign w:val="center"/>
            <w:hideMark/>
          </w:tcPr>
          <w:p w14:paraId="2219BF63"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USB Type-A receptacle</w:t>
            </w:r>
          </w:p>
        </w:tc>
        <w:tc>
          <w:tcPr>
            <w:tcW w:w="567" w:type="dxa"/>
            <w:vAlign w:val="center"/>
          </w:tcPr>
          <w:p w14:paraId="50CFF249"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50</w:t>
            </w:r>
          </w:p>
        </w:tc>
        <w:tc>
          <w:tcPr>
            <w:tcW w:w="708" w:type="dxa"/>
            <w:noWrap/>
            <w:vAlign w:val="center"/>
            <w:hideMark/>
          </w:tcPr>
          <w:p w14:paraId="548EB2A2"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50</w:t>
            </w:r>
          </w:p>
        </w:tc>
        <w:tc>
          <w:tcPr>
            <w:tcW w:w="851" w:type="dxa"/>
            <w:noWrap/>
            <w:vAlign w:val="center"/>
            <w:hideMark/>
          </w:tcPr>
          <w:p w14:paraId="0167E213"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45</w:t>
            </w:r>
          </w:p>
        </w:tc>
        <w:tc>
          <w:tcPr>
            <w:tcW w:w="844" w:type="dxa"/>
            <w:noWrap/>
            <w:vAlign w:val="center"/>
            <w:hideMark/>
          </w:tcPr>
          <w:p w14:paraId="095891A0"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40</w:t>
            </w:r>
          </w:p>
        </w:tc>
      </w:tr>
      <w:tr w:rsidR="006B36E6" w:rsidRPr="00167A1B" w14:paraId="13E9A6B8" w14:textId="77777777" w:rsidTr="009D260B">
        <w:trPr>
          <w:trHeight w:val="253"/>
        </w:trPr>
        <w:tc>
          <w:tcPr>
            <w:tcW w:w="2080" w:type="dxa"/>
            <w:noWrap/>
            <w:vAlign w:val="center"/>
            <w:hideMark/>
          </w:tcPr>
          <w:p w14:paraId="547343D2"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7.5W &lt;= EPS &lt;=27W</w:t>
            </w:r>
          </w:p>
        </w:tc>
        <w:tc>
          <w:tcPr>
            <w:tcW w:w="4011" w:type="dxa"/>
            <w:noWrap/>
            <w:vAlign w:val="center"/>
            <w:hideMark/>
          </w:tcPr>
          <w:p w14:paraId="64FDB77A"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USB Type-C receptacle</w:t>
            </w:r>
          </w:p>
        </w:tc>
        <w:tc>
          <w:tcPr>
            <w:tcW w:w="567" w:type="dxa"/>
            <w:vAlign w:val="center"/>
          </w:tcPr>
          <w:p w14:paraId="74749FEE"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60</w:t>
            </w:r>
          </w:p>
        </w:tc>
        <w:tc>
          <w:tcPr>
            <w:tcW w:w="708" w:type="dxa"/>
            <w:noWrap/>
            <w:vAlign w:val="center"/>
            <w:hideMark/>
          </w:tcPr>
          <w:p w14:paraId="39285AC8"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60</w:t>
            </w:r>
          </w:p>
        </w:tc>
        <w:tc>
          <w:tcPr>
            <w:tcW w:w="851" w:type="dxa"/>
            <w:noWrap/>
            <w:vAlign w:val="center"/>
            <w:hideMark/>
          </w:tcPr>
          <w:p w14:paraId="5C2F8518"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54</w:t>
            </w:r>
          </w:p>
        </w:tc>
        <w:tc>
          <w:tcPr>
            <w:tcW w:w="844" w:type="dxa"/>
            <w:noWrap/>
            <w:vAlign w:val="center"/>
            <w:hideMark/>
          </w:tcPr>
          <w:p w14:paraId="2611CCC7"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48</w:t>
            </w:r>
          </w:p>
        </w:tc>
      </w:tr>
      <w:tr w:rsidR="006B36E6" w:rsidRPr="00167A1B" w14:paraId="652972E6" w14:textId="77777777" w:rsidTr="009D260B">
        <w:trPr>
          <w:trHeight w:val="253"/>
        </w:trPr>
        <w:tc>
          <w:tcPr>
            <w:tcW w:w="2080" w:type="dxa"/>
            <w:noWrap/>
            <w:vAlign w:val="center"/>
            <w:hideMark/>
          </w:tcPr>
          <w:p w14:paraId="05AD8BB5"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7.5W &lt;= EPS &lt;=27W</w:t>
            </w:r>
          </w:p>
        </w:tc>
        <w:tc>
          <w:tcPr>
            <w:tcW w:w="4011" w:type="dxa"/>
            <w:noWrap/>
            <w:vAlign w:val="center"/>
            <w:hideMark/>
          </w:tcPr>
          <w:p w14:paraId="6DD54E55"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USB Type-A and Type-C receptacles (multi-port)</w:t>
            </w:r>
          </w:p>
        </w:tc>
        <w:tc>
          <w:tcPr>
            <w:tcW w:w="567" w:type="dxa"/>
            <w:vAlign w:val="center"/>
          </w:tcPr>
          <w:p w14:paraId="2B2AF9D5"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102</w:t>
            </w:r>
          </w:p>
        </w:tc>
        <w:tc>
          <w:tcPr>
            <w:tcW w:w="708" w:type="dxa"/>
            <w:noWrap/>
            <w:vAlign w:val="center"/>
            <w:hideMark/>
          </w:tcPr>
          <w:p w14:paraId="2ABF2A09"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102</w:t>
            </w:r>
          </w:p>
        </w:tc>
        <w:tc>
          <w:tcPr>
            <w:tcW w:w="851" w:type="dxa"/>
            <w:noWrap/>
            <w:vAlign w:val="center"/>
            <w:hideMark/>
          </w:tcPr>
          <w:p w14:paraId="02BC63F4"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92</w:t>
            </w:r>
          </w:p>
        </w:tc>
        <w:tc>
          <w:tcPr>
            <w:tcW w:w="844" w:type="dxa"/>
            <w:noWrap/>
            <w:vAlign w:val="center"/>
            <w:hideMark/>
          </w:tcPr>
          <w:p w14:paraId="10534276"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82</w:t>
            </w:r>
          </w:p>
        </w:tc>
      </w:tr>
      <w:tr w:rsidR="006B36E6" w:rsidRPr="00167A1B" w14:paraId="5A35ABED" w14:textId="77777777" w:rsidTr="009D260B">
        <w:trPr>
          <w:trHeight w:val="253"/>
        </w:trPr>
        <w:tc>
          <w:tcPr>
            <w:tcW w:w="2080" w:type="dxa"/>
            <w:noWrap/>
            <w:vAlign w:val="center"/>
            <w:hideMark/>
          </w:tcPr>
          <w:p w14:paraId="0229BDB8"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EPS &gt; 27W</w:t>
            </w:r>
          </w:p>
        </w:tc>
        <w:tc>
          <w:tcPr>
            <w:tcW w:w="4011" w:type="dxa"/>
            <w:noWrap/>
            <w:vAlign w:val="center"/>
            <w:hideMark/>
          </w:tcPr>
          <w:p w14:paraId="165FFF5B"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USB Type-A receptacle</w:t>
            </w:r>
          </w:p>
        </w:tc>
        <w:tc>
          <w:tcPr>
            <w:tcW w:w="567" w:type="dxa"/>
            <w:vAlign w:val="center"/>
          </w:tcPr>
          <w:p w14:paraId="7BD412C9"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94</w:t>
            </w:r>
          </w:p>
        </w:tc>
        <w:tc>
          <w:tcPr>
            <w:tcW w:w="708" w:type="dxa"/>
            <w:noWrap/>
            <w:vAlign w:val="center"/>
            <w:hideMark/>
          </w:tcPr>
          <w:p w14:paraId="11E199DD"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94</w:t>
            </w:r>
          </w:p>
        </w:tc>
        <w:tc>
          <w:tcPr>
            <w:tcW w:w="851" w:type="dxa"/>
            <w:noWrap/>
            <w:vAlign w:val="center"/>
            <w:hideMark/>
          </w:tcPr>
          <w:p w14:paraId="16D87C0B"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80</w:t>
            </w:r>
          </w:p>
        </w:tc>
        <w:tc>
          <w:tcPr>
            <w:tcW w:w="844" w:type="dxa"/>
            <w:noWrap/>
            <w:vAlign w:val="center"/>
            <w:hideMark/>
          </w:tcPr>
          <w:p w14:paraId="0A1B73C9"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66</w:t>
            </w:r>
          </w:p>
        </w:tc>
      </w:tr>
      <w:tr w:rsidR="006B36E6" w:rsidRPr="00167A1B" w14:paraId="024420E9" w14:textId="77777777" w:rsidTr="009D260B">
        <w:trPr>
          <w:trHeight w:val="253"/>
        </w:trPr>
        <w:tc>
          <w:tcPr>
            <w:tcW w:w="2080" w:type="dxa"/>
            <w:noWrap/>
            <w:vAlign w:val="center"/>
            <w:hideMark/>
          </w:tcPr>
          <w:p w14:paraId="58118EFE"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EPS &gt; 27W</w:t>
            </w:r>
          </w:p>
        </w:tc>
        <w:tc>
          <w:tcPr>
            <w:tcW w:w="4011" w:type="dxa"/>
            <w:noWrap/>
            <w:vAlign w:val="center"/>
            <w:hideMark/>
          </w:tcPr>
          <w:p w14:paraId="34A795B1"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USB Type-C receptacle</w:t>
            </w:r>
          </w:p>
        </w:tc>
        <w:tc>
          <w:tcPr>
            <w:tcW w:w="567" w:type="dxa"/>
            <w:vAlign w:val="center"/>
          </w:tcPr>
          <w:p w14:paraId="1C2684F7"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117</w:t>
            </w:r>
          </w:p>
        </w:tc>
        <w:tc>
          <w:tcPr>
            <w:tcW w:w="708" w:type="dxa"/>
            <w:noWrap/>
            <w:vAlign w:val="center"/>
            <w:hideMark/>
          </w:tcPr>
          <w:p w14:paraId="0CC7AD28"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117</w:t>
            </w:r>
          </w:p>
        </w:tc>
        <w:tc>
          <w:tcPr>
            <w:tcW w:w="851" w:type="dxa"/>
            <w:noWrap/>
            <w:vAlign w:val="center"/>
            <w:hideMark/>
          </w:tcPr>
          <w:p w14:paraId="634A9E90"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99</w:t>
            </w:r>
          </w:p>
        </w:tc>
        <w:tc>
          <w:tcPr>
            <w:tcW w:w="844" w:type="dxa"/>
            <w:noWrap/>
            <w:vAlign w:val="center"/>
            <w:hideMark/>
          </w:tcPr>
          <w:p w14:paraId="40B1DBA5"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82</w:t>
            </w:r>
          </w:p>
        </w:tc>
      </w:tr>
      <w:tr w:rsidR="006B36E6" w:rsidRPr="00167A1B" w14:paraId="2FA71E9B" w14:textId="77777777" w:rsidTr="009D260B">
        <w:trPr>
          <w:trHeight w:val="253"/>
        </w:trPr>
        <w:tc>
          <w:tcPr>
            <w:tcW w:w="2080" w:type="dxa"/>
            <w:noWrap/>
            <w:vAlign w:val="center"/>
            <w:hideMark/>
          </w:tcPr>
          <w:p w14:paraId="0AAF4791"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EPS &gt; 27W</w:t>
            </w:r>
          </w:p>
        </w:tc>
        <w:tc>
          <w:tcPr>
            <w:tcW w:w="4011" w:type="dxa"/>
            <w:noWrap/>
            <w:vAlign w:val="center"/>
            <w:hideMark/>
          </w:tcPr>
          <w:p w14:paraId="01592CA5"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USB Type-A and Type-C receptacles (multi-port)</w:t>
            </w:r>
          </w:p>
        </w:tc>
        <w:tc>
          <w:tcPr>
            <w:tcW w:w="567" w:type="dxa"/>
            <w:vAlign w:val="center"/>
          </w:tcPr>
          <w:p w14:paraId="55126B6E"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131</w:t>
            </w:r>
          </w:p>
        </w:tc>
        <w:tc>
          <w:tcPr>
            <w:tcW w:w="708" w:type="dxa"/>
            <w:noWrap/>
            <w:vAlign w:val="center"/>
            <w:hideMark/>
          </w:tcPr>
          <w:p w14:paraId="3EB04012"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131</w:t>
            </w:r>
          </w:p>
        </w:tc>
        <w:tc>
          <w:tcPr>
            <w:tcW w:w="851" w:type="dxa"/>
            <w:noWrap/>
            <w:vAlign w:val="center"/>
            <w:hideMark/>
          </w:tcPr>
          <w:p w14:paraId="0A96BA2D"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111</w:t>
            </w:r>
          </w:p>
        </w:tc>
        <w:tc>
          <w:tcPr>
            <w:tcW w:w="844" w:type="dxa"/>
            <w:noWrap/>
            <w:vAlign w:val="center"/>
            <w:hideMark/>
          </w:tcPr>
          <w:p w14:paraId="5370F656"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92</w:t>
            </w:r>
          </w:p>
        </w:tc>
      </w:tr>
      <w:tr w:rsidR="006B36E6" w:rsidRPr="00167A1B" w14:paraId="06ADF0B9" w14:textId="77777777" w:rsidTr="009D260B">
        <w:trPr>
          <w:trHeight w:val="253"/>
        </w:trPr>
        <w:tc>
          <w:tcPr>
            <w:tcW w:w="2080" w:type="dxa"/>
            <w:noWrap/>
            <w:vAlign w:val="center"/>
            <w:hideMark/>
          </w:tcPr>
          <w:p w14:paraId="394DE039"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EPS &gt; 27W</w:t>
            </w:r>
          </w:p>
        </w:tc>
        <w:tc>
          <w:tcPr>
            <w:tcW w:w="4011" w:type="dxa"/>
            <w:noWrap/>
            <w:vAlign w:val="center"/>
            <w:hideMark/>
          </w:tcPr>
          <w:p w14:paraId="7B9FC238"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Captive cable</w:t>
            </w:r>
          </w:p>
        </w:tc>
        <w:tc>
          <w:tcPr>
            <w:tcW w:w="567" w:type="dxa"/>
            <w:vAlign w:val="center"/>
          </w:tcPr>
          <w:p w14:paraId="3AEAE48A"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113</w:t>
            </w:r>
          </w:p>
        </w:tc>
        <w:tc>
          <w:tcPr>
            <w:tcW w:w="708" w:type="dxa"/>
            <w:noWrap/>
            <w:vAlign w:val="center"/>
            <w:hideMark/>
          </w:tcPr>
          <w:p w14:paraId="604E6842"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113</w:t>
            </w:r>
          </w:p>
        </w:tc>
        <w:tc>
          <w:tcPr>
            <w:tcW w:w="851" w:type="dxa"/>
            <w:noWrap/>
            <w:vAlign w:val="center"/>
            <w:hideMark/>
          </w:tcPr>
          <w:p w14:paraId="3B029BEC"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96</w:t>
            </w:r>
          </w:p>
        </w:tc>
        <w:tc>
          <w:tcPr>
            <w:tcW w:w="844" w:type="dxa"/>
            <w:noWrap/>
            <w:vAlign w:val="center"/>
            <w:hideMark/>
          </w:tcPr>
          <w:p w14:paraId="6E246E72"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79</w:t>
            </w:r>
          </w:p>
        </w:tc>
      </w:tr>
      <w:tr w:rsidR="006B36E6" w:rsidRPr="00167A1B" w14:paraId="75D163F8" w14:textId="77777777" w:rsidTr="009D260B">
        <w:trPr>
          <w:trHeight w:val="253"/>
        </w:trPr>
        <w:tc>
          <w:tcPr>
            <w:tcW w:w="2080" w:type="dxa"/>
            <w:noWrap/>
            <w:vAlign w:val="center"/>
            <w:hideMark/>
          </w:tcPr>
          <w:p w14:paraId="59F88C7F"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Cable</w:t>
            </w:r>
          </w:p>
        </w:tc>
        <w:tc>
          <w:tcPr>
            <w:tcW w:w="4011" w:type="dxa"/>
            <w:noWrap/>
            <w:vAlign w:val="center"/>
            <w:hideMark/>
          </w:tcPr>
          <w:p w14:paraId="2F32D32F"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USB Type-A - USB Micro B plugs</w:t>
            </w:r>
          </w:p>
        </w:tc>
        <w:tc>
          <w:tcPr>
            <w:tcW w:w="567" w:type="dxa"/>
            <w:vAlign w:val="center"/>
          </w:tcPr>
          <w:p w14:paraId="4BDC6CE4"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19</w:t>
            </w:r>
          </w:p>
        </w:tc>
        <w:tc>
          <w:tcPr>
            <w:tcW w:w="708" w:type="dxa"/>
            <w:noWrap/>
            <w:vAlign w:val="center"/>
            <w:hideMark/>
          </w:tcPr>
          <w:p w14:paraId="624A5738"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19</w:t>
            </w:r>
          </w:p>
        </w:tc>
        <w:tc>
          <w:tcPr>
            <w:tcW w:w="851" w:type="dxa"/>
            <w:noWrap/>
            <w:vAlign w:val="center"/>
            <w:hideMark/>
          </w:tcPr>
          <w:p w14:paraId="5900EADD"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19</w:t>
            </w:r>
          </w:p>
        </w:tc>
        <w:tc>
          <w:tcPr>
            <w:tcW w:w="844" w:type="dxa"/>
            <w:noWrap/>
            <w:vAlign w:val="center"/>
            <w:hideMark/>
          </w:tcPr>
          <w:p w14:paraId="133F133A"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19</w:t>
            </w:r>
          </w:p>
        </w:tc>
      </w:tr>
      <w:tr w:rsidR="006B36E6" w:rsidRPr="00167A1B" w14:paraId="6902A030" w14:textId="77777777" w:rsidTr="009D260B">
        <w:trPr>
          <w:trHeight w:val="253"/>
        </w:trPr>
        <w:tc>
          <w:tcPr>
            <w:tcW w:w="2080" w:type="dxa"/>
            <w:noWrap/>
            <w:vAlign w:val="center"/>
            <w:hideMark/>
          </w:tcPr>
          <w:p w14:paraId="7CF5215E"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Cable</w:t>
            </w:r>
          </w:p>
        </w:tc>
        <w:tc>
          <w:tcPr>
            <w:tcW w:w="4011" w:type="dxa"/>
            <w:noWrap/>
            <w:vAlign w:val="center"/>
            <w:hideMark/>
          </w:tcPr>
          <w:p w14:paraId="630E1226"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USB Type-A – USB Type-C plugs</w:t>
            </w:r>
          </w:p>
        </w:tc>
        <w:tc>
          <w:tcPr>
            <w:tcW w:w="567" w:type="dxa"/>
            <w:vAlign w:val="center"/>
          </w:tcPr>
          <w:p w14:paraId="2DDB3783"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34</w:t>
            </w:r>
          </w:p>
        </w:tc>
        <w:tc>
          <w:tcPr>
            <w:tcW w:w="708" w:type="dxa"/>
            <w:noWrap/>
            <w:vAlign w:val="center"/>
            <w:hideMark/>
          </w:tcPr>
          <w:p w14:paraId="4DED7228"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34</w:t>
            </w:r>
          </w:p>
        </w:tc>
        <w:tc>
          <w:tcPr>
            <w:tcW w:w="851" w:type="dxa"/>
            <w:noWrap/>
            <w:vAlign w:val="center"/>
            <w:hideMark/>
          </w:tcPr>
          <w:p w14:paraId="29415302"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34</w:t>
            </w:r>
          </w:p>
        </w:tc>
        <w:tc>
          <w:tcPr>
            <w:tcW w:w="844" w:type="dxa"/>
            <w:noWrap/>
            <w:vAlign w:val="center"/>
            <w:hideMark/>
          </w:tcPr>
          <w:p w14:paraId="4A1A2B79"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34</w:t>
            </w:r>
          </w:p>
        </w:tc>
      </w:tr>
      <w:tr w:rsidR="006B36E6" w:rsidRPr="00167A1B" w14:paraId="619AE07E" w14:textId="77777777" w:rsidTr="009D260B">
        <w:trPr>
          <w:trHeight w:val="253"/>
        </w:trPr>
        <w:tc>
          <w:tcPr>
            <w:tcW w:w="2080" w:type="dxa"/>
            <w:noWrap/>
            <w:vAlign w:val="center"/>
            <w:hideMark/>
          </w:tcPr>
          <w:p w14:paraId="24C84C79"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Cable</w:t>
            </w:r>
          </w:p>
        </w:tc>
        <w:tc>
          <w:tcPr>
            <w:tcW w:w="4011" w:type="dxa"/>
            <w:noWrap/>
            <w:vAlign w:val="center"/>
            <w:hideMark/>
          </w:tcPr>
          <w:p w14:paraId="332A7B2D"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USB Type-A – proprietary (Lightning) plugs</w:t>
            </w:r>
          </w:p>
        </w:tc>
        <w:tc>
          <w:tcPr>
            <w:tcW w:w="567" w:type="dxa"/>
            <w:vAlign w:val="center"/>
          </w:tcPr>
          <w:p w14:paraId="7FC4302E"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23</w:t>
            </w:r>
          </w:p>
        </w:tc>
        <w:tc>
          <w:tcPr>
            <w:tcW w:w="708" w:type="dxa"/>
            <w:noWrap/>
            <w:vAlign w:val="center"/>
            <w:hideMark/>
          </w:tcPr>
          <w:p w14:paraId="247955D0"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23</w:t>
            </w:r>
          </w:p>
        </w:tc>
        <w:tc>
          <w:tcPr>
            <w:tcW w:w="851" w:type="dxa"/>
            <w:noWrap/>
            <w:vAlign w:val="center"/>
            <w:hideMark/>
          </w:tcPr>
          <w:p w14:paraId="5DDDE534"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23</w:t>
            </w:r>
          </w:p>
        </w:tc>
        <w:tc>
          <w:tcPr>
            <w:tcW w:w="844" w:type="dxa"/>
            <w:noWrap/>
            <w:vAlign w:val="center"/>
            <w:hideMark/>
          </w:tcPr>
          <w:p w14:paraId="24AED129"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23</w:t>
            </w:r>
          </w:p>
        </w:tc>
      </w:tr>
      <w:tr w:rsidR="006B36E6" w:rsidRPr="00167A1B" w14:paraId="177B9F41" w14:textId="77777777" w:rsidTr="009D260B">
        <w:trPr>
          <w:trHeight w:val="253"/>
        </w:trPr>
        <w:tc>
          <w:tcPr>
            <w:tcW w:w="2080" w:type="dxa"/>
            <w:noWrap/>
            <w:vAlign w:val="center"/>
            <w:hideMark/>
          </w:tcPr>
          <w:p w14:paraId="0DA3305F"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Cable</w:t>
            </w:r>
          </w:p>
        </w:tc>
        <w:tc>
          <w:tcPr>
            <w:tcW w:w="4011" w:type="dxa"/>
            <w:noWrap/>
            <w:vAlign w:val="center"/>
            <w:hideMark/>
          </w:tcPr>
          <w:p w14:paraId="488363E2"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USB Type -A – proprietary (Other device) plugs</w:t>
            </w:r>
          </w:p>
        </w:tc>
        <w:tc>
          <w:tcPr>
            <w:tcW w:w="567" w:type="dxa"/>
            <w:vAlign w:val="center"/>
          </w:tcPr>
          <w:p w14:paraId="739BB7DB"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23</w:t>
            </w:r>
          </w:p>
        </w:tc>
        <w:tc>
          <w:tcPr>
            <w:tcW w:w="708" w:type="dxa"/>
            <w:noWrap/>
            <w:vAlign w:val="center"/>
            <w:hideMark/>
          </w:tcPr>
          <w:p w14:paraId="37E935D5"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23</w:t>
            </w:r>
          </w:p>
        </w:tc>
        <w:tc>
          <w:tcPr>
            <w:tcW w:w="851" w:type="dxa"/>
            <w:noWrap/>
            <w:vAlign w:val="center"/>
            <w:hideMark/>
          </w:tcPr>
          <w:p w14:paraId="08C30E2A"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23</w:t>
            </w:r>
          </w:p>
        </w:tc>
        <w:tc>
          <w:tcPr>
            <w:tcW w:w="844" w:type="dxa"/>
            <w:noWrap/>
            <w:vAlign w:val="center"/>
            <w:hideMark/>
          </w:tcPr>
          <w:p w14:paraId="3E03164F"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23</w:t>
            </w:r>
          </w:p>
        </w:tc>
      </w:tr>
      <w:tr w:rsidR="006B36E6" w:rsidRPr="00167A1B" w14:paraId="07151FC9" w14:textId="77777777" w:rsidTr="009D260B">
        <w:trPr>
          <w:trHeight w:val="253"/>
        </w:trPr>
        <w:tc>
          <w:tcPr>
            <w:tcW w:w="2080" w:type="dxa"/>
            <w:noWrap/>
            <w:vAlign w:val="center"/>
            <w:hideMark/>
          </w:tcPr>
          <w:p w14:paraId="7C99502F"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Cable</w:t>
            </w:r>
          </w:p>
        </w:tc>
        <w:tc>
          <w:tcPr>
            <w:tcW w:w="4011" w:type="dxa"/>
            <w:noWrap/>
            <w:vAlign w:val="center"/>
            <w:hideMark/>
          </w:tcPr>
          <w:p w14:paraId="20A61788"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USB Type-C – USB Type-C plugs</w:t>
            </w:r>
          </w:p>
        </w:tc>
        <w:tc>
          <w:tcPr>
            <w:tcW w:w="567" w:type="dxa"/>
            <w:vAlign w:val="center"/>
          </w:tcPr>
          <w:p w14:paraId="1EE18B02"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45</w:t>
            </w:r>
          </w:p>
        </w:tc>
        <w:tc>
          <w:tcPr>
            <w:tcW w:w="708" w:type="dxa"/>
            <w:noWrap/>
            <w:vAlign w:val="center"/>
            <w:hideMark/>
          </w:tcPr>
          <w:p w14:paraId="4D9E93F5"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45</w:t>
            </w:r>
          </w:p>
        </w:tc>
        <w:tc>
          <w:tcPr>
            <w:tcW w:w="851" w:type="dxa"/>
            <w:noWrap/>
            <w:vAlign w:val="center"/>
            <w:hideMark/>
          </w:tcPr>
          <w:p w14:paraId="579EFBBD"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45</w:t>
            </w:r>
          </w:p>
        </w:tc>
        <w:tc>
          <w:tcPr>
            <w:tcW w:w="844" w:type="dxa"/>
            <w:noWrap/>
            <w:vAlign w:val="center"/>
            <w:hideMark/>
          </w:tcPr>
          <w:p w14:paraId="092C646B"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45</w:t>
            </w:r>
          </w:p>
        </w:tc>
      </w:tr>
      <w:tr w:rsidR="006B36E6" w:rsidRPr="00167A1B" w14:paraId="42D321DE" w14:textId="77777777" w:rsidTr="009D260B">
        <w:trPr>
          <w:trHeight w:val="253"/>
        </w:trPr>
        <w:tc>
          <w:tcPr>
            <w:tcW w:w="2080" w:type="dxa"/>
            <w:noWrap/>
            <w:vAlign w:val="center"/>
            <w:hideMark/>
          </w:tcPr>
          <w:p w14:paraId="50711D5D"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Cable</w:t>
            </w:r>
          </w:p>
        </w:tc>
        <w:tc>
          <w:tcPr>
            <w:tcW w:w="4011" w:type="dxa"/>
            <w:noWrap/>
            <w:vAlign w:val="center"/>
            <w:hideMark/>
          </w:tcPr>
          <w:p w14:paraId="1E804D3B"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USB Type-C – proprietary (Lightning) plugs</w:t>
            </w:r>
          </w:p>
        </w:tc>
        <w:tc>
          <w:tcPr>
            <w:tcW w:w="567" w:type="dxa"/>
            <w:vAlign w:val="center"/>
          </w:tcPr>
          <w:p w14:paraId="3B1F9F1C"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37</w:t>
            </w:r>
          </w:p>
        </w:tc>
        <w:tc>
          <w:tcPr>
            <w:tcW w:w="708" w:type="dxa"/>
            <w:noWrap/>
            <w:vAlign w:val="center"/>
            <w:hideMark/>
          </w:tcPr>
          <w:p w14:paraId="4727C45F"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37</w:t>
            </w:r>
          </w:p>
        </w:tc>
        <w:tc>
          <w:tcPr>
            <w:tcW w:w="851" w:type="dxa"/>
            <w:noWrap/>
            <w:vAlign w:val="center"/>
            <w:hideMark/>
          </w:tcPr>
          <w:p w14:paraId="5BA54A20"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37</w:t>
            </w:r>
          </w:p>
        </w:tc>
        <w:tc>
          <w:tcPr>
            <w:tcW w:w="844" w:type="dxa"/>
            <w:noWrap/>
            <w:vAlign w:val="center"/>
            <w:hideMark/>
          </w:tcPr>
          <w:p w14:paraId="6F1990C1"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37</w:t>
            </w:r>
          </w:p>
        </w:tc>
      </w:tr>
      <w:tr w:rsidR="006B36E6" w:rsidRPr="00167A1B" w14:paraId="1BED2D82" w14:textId="77777777" w:rsidTr="009D260B">
        <w:trPr>
          <w:trHeight w:val="253"/>
        </w:trPr>
        <w:tc>
          <w:tcPr>
            <w:tcW w:w="2080" w:type="dxa"/>
            <w:noWrap/>
            <w:vAlign w:val="center"/>
            <w:hideMark/>
          </w:tcPr>
          <w:p w14:paraId="38C70EE6"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Cable</w:t>
            </w:r>
          </w:p>
        </w:tc>
        <w:tc>
          <w:tcPr>
            <w:tcW w:w="4011" w:type="dxa"/>
            <w:noWrap/>
            <w:vAlign w:val="center"/>
            <w:hideMark/>
          </w:tcPr>
          <w:p w14:paraId="479371CF"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USB Type-C - proprietary (Other device) plugs</w:t>
            </w:r>
          </w:p>
        </w:tc>
        <w:tc>
          <w:tcPr>
            <w:tcW w:w="567" w:type="dxa"/>
            <w:vAlign w:val="center"/>
          </w:tcPr>
          <w:p w14:paraId="7E81ED62"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37</w:t>
            </w:r>
          </w:p>
        </w:tc>
        <w:tc>
          <w:tcPr>
            <w:tcW w:w="708" w:type="dxa"/>
            <w:noWrap/>
            <w:vAlign w:val="center"/>
            <w:hideMark/>
          </w:tcPr>
          <w:p w14:paraId="597CCAFA"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37</w:t>
            </w:r>
          </w:p>
        </w:tc>
        <w:tc>
          <w:tcPr>
            <w:tcW w:w="851" w:type="dxa"/>
            <w:noWrap/>
            <w:vAlign w:val="center"/>
            <w:hideMark/>
          </w:tcPr>
          <w:p w14:paraId="2383B4C2"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37</w:t>
            </w:r>
          </w:p>
        </w:tc>
        <w:tc>
          <w:tcPr>
            <w:tcW w:w="844" w:type="dxa"/>
            <w:noWrap/>
            <w:vAlign w:val="center"/>
            <w:hideMark/>
          </w:tcPr>
          <w:p w14:paraId="0EBA4B73"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37</w:t>
            </w:r>
          </w:p>
        </w:tc>
      </w:tr>
      <w:tr w:rsidR="006B36E6" w:rsidRPr="00167A1B" w14:paraId="772F1DDF" w14:textId="77777777" w:rsidTr="009D260B">
        <w:trPr>
          <w:trHeight w:val="253"/>
        </w:trPr>
        <w:tc>
          <w:tcPr>
            <w:tcW w:w="2080" w:type="dxa"/>
            <w:noWrap/>
            <w:vAlign w:val="center"/>
            <w:hideMark/>
          </w:tcPr>
          <w:p w14:paraId="74F78693"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Cable</w:t>
            </w:r>
          </w:p>
        </w:tc>
        <w:tc>
          <w:tcPr>
            <w:tcW w:w="4011" w:type="dxa"/>
            <w:noWrap/>
            <w:vAlign w:val="center"/>
            <w:hideMark/>
          </w:tcPr>
          <w:p w14:paraId="56F2B800" w14:textId="77777777" w:rsidR="006B36E6" w:rsidRPr="00167A1B" w:rsidRDefault="006B36E6" w:rsidP="009D260B">
            <w:pPr>
              <w:spacing w:after="0"/>
              <w:jc w:val="left"/>
              <w:rPr>
                <w:rFonts w:ascii="Arial" w:hAnsi="Arial" w:cs="Arial"/>
                <w:sz w:val="18"/>
                <w:szCs w:val="18"/>
              </w:rPr>
            </w:pPr>
            <w:r w:rsidRPr="00167A1B">
              <w:rPr>
                <w:rFonts w:ascii="Arial" w:hAnsi="Arial" w:cs="Arial"/>
                <w:sz w:val="18"/>
                <w:szCs w:val="18"/>
              </w:rPr>
              <w:t xml:space="preserve">USB Type-C plugs – wireless pad – Qi or other   </w:t>
            </w:r>
          </w:p>
        </w:tc>
        <w:tc>
          <w:tcPr>
            <w:tcW w:w="567" w:type="dxa"/>
            <w:vAlign w:val="center"/>
          </w:tcPr>
          <w:p w14:paraId="3889C8EB"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37</w:t>
            </w:r>
          </w:p>
        </w:tc>
        <w:tc>
          <w:tcPr>
            <w:tcW w:w="708" w:type="dxa"/>
            <w:noWrap/>
            <w:vAlign w:val="center"/>
            <w:hideMark/>
          </w:tcPr>
          <w:p w14:paraId="18EDAEF3"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37</w:t>
            </w:r>
          </w:p>
        </w:tc>
        <w:tc>
          <w:tcPr>
            <w:tcW w:w="851" w:type="dxa"/>
            <w:noWrap/>
            <w:vAlign w:val="center"/>
            <w:hideMark/>
          </w:tcPr>
          <w:p w14:paraId="715D5001"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37</w:t>
            </w:r>
          </w:p>
        </w:tc>
        <w:tc>
          <w:tcPr>
            <w:tcW w:w="844" w:type="dxa"/>
            <w:noWrap/>
            <w:vAlign w:val="center"/>
            <w:hideMark/>
          </w:tcPr>
          <w:p w14:paraId="23D32B41" w14:textId="77777777" w:rsidR="006B36E6" w:rsidRPr="00167A1B" w:rsidRDefault="006B36E6" w:rsidP="009D260B">
            <w:pPr>
              <w:spacing w:after="0"/>
              <w:jc w:val="center"/>
              <w:rPr>
                <w:rFonts w:ascii="Arial" w:hAnsi="Arial" w:cs="Arial"/>
                <w:sz w:val="18"/>
                <w:szCs w:val="18"/>
              </w:rPr>
            </w:pPr>
            <w:r w:rsidRPr="00167A1B">
              <w:rPr>
                <w:rFonts w:ascii="Arial" w:hAnsi="Arial" w:cs="Arial"/>
                <w:sz w:val="18"/>
                <w:szCs w:val="18"/>
              </w:rPr>
              <w:t>37</w:t>
            </w:r>
          </w:p>
        </w:tc>
      </w:tr>
    </w:tbl>
    <w:p w14:paraId="313EC413" w14:textId="024C4001" w:rsidR="00BA6E59" w:rsidRPr="00167A1B" w:rsidRDefault="00BA6E59" w:rsidP="00BA6E59">
      <w:pPr>
        <w:pStyle w:val="04ABodyText"/>
        <w:numPr>
          <w:ilvl w:val="0"/>
          <w:numId w:val="0"/>
        </w:numPr>
        <w:spacing w:after="0" w:line="240" w:lineRule="auto"/>
        <w:rPr>
          <w:sz w:val="18"/>
          <w:szCs w:val="16"/>
        </w:rPr>
      </w:pPr>
      <w:r w:rsidRPr="00167A1B">
        <w:rPr>
          <w:b/>
          <w:sz w:val="18"/>
          <w:szCs w:val="16"/>
        </w:rPr>
        <w:t>Source:</w:t>
      </w:r>
      <w:r w:rsidRPr="00167A1B">
        <w:rPr>
          <w:sz w:val="18"/>
          <w:szCs w:val="16"/>
        </w:rPr>
        <w:t xml:space="preserve">  Own </w:t>
      </w:r>
      <w:r w:rsidR="00E0513C" w:rsidRPr="00167A1B">
        <w:rPr>
          <w:sz w:val="18"/>
          <w:szCs w:val="16"/>
        </w:rPr>
        <w:t>TRI-STOCK-CHARGER</w:t>
      </w:r>
      <w:r w:rsidRPr="00167A1B">
        <w:rPr>
          <w:sz w:val="18"/>
          <w:szCs w:val="16"/>
        </w:rPr>
        <w:t xml:space="preserve"> model</w:t>
      </w:r>
      <w:r w:rsidR="00DC3438" w:rsidRPr="00167A1B">
        <w:rPr>
          <w:sz w:val="18"/>
          <w:szCs w:val="16"/>
        </w:rPr>
        <w:t xml:space="preserve">, </w:t>
      </w:r>
      <w:r w:rsidR="00E25C1B" w:rsidRPr="00167A1B">
        <w:rPr>
          <w:sz w:val="18"/>
          <w:szCs w:val="16"/>
        </w:rPr>
        <w:t xml:space="preserve">weight data from </w:t>
      </w:r>
      <w:r w:rsidR="00DC3438" w:rsidRPr="00167A1B">
        <w:rPr>
          <w:sz w:val="18"/>
          <w:szCs w:val="16"/>
        </w:rPr>
        <w:t>various manufacturer</w:t>
      </w:r>
      <w:r w:rsidR="00E25C1B" w:rsidRPr="00167A1B">
        <w:rPr>
          <w:sz w:val="18"/>
          <w:szCs w:val="16"/>
        </w:rPr>
        <w:t>s</w:t>
      </w:r>
      <w:r w:rsidR="00DC3438" w:rsidRPr="00167A1B">
        <w:rPr>
          <w:sz w:val="18"/>
          <w:szCs w:val="16"/>
        </w:rPr>
        <w:t xml:space="preserve"> and retail</w:t>
      </w:r>
      <w:r w:rsidR="00E25C1B" w:rsidRPr="00167A1B">
        <w:rPr>
          <w:sz w:val="18"/>
          <w:szCs w:val="16"/>
        </w:rPr>
        <w:t>ers</w:t>
      </w:r>
      <w:r w:rsidRPr="00167A1B">
        <w:rPr>
          <w:sz w:val="18"/>
          <w:szCs w:val="16"/>
        </w:rPr>
        <w:t>.</w:t>
      </w:r>
    </w:p>
    <w:p w14:paraId="5F6E45F6" w14:textId="77777777" w:rsidR="006B36E6" w:rsidRPr="00167A1B" w:rsidRDefault="006B36E6" w:rsidP="006B36E6">
      <w:pPr>
        <w:pStyle w:val="BodyText1"/>
        <w:rPr>
          <w:noProof w:val="0"/>
        </w:rPr>
      </w:pPr>
      <w:r w:rsidRPr="00167A1B">
        <w:rPr>
          <w:noProof w:val="0"/>
        </w:rPr>
        <w:t>Taking all the above into consideration, key assumptions related to the materials contained in the EPS and cables were made. In brief, the main stock model inputs related to material use include:</w:t>
      </w:r>
    </w:p>
    <w:p w14:paraId="247EE91A" w14:textId="77777777" w:rsidR="006B36E6" w:rsidRPr="00167A1B" w:rsidRDefault="006B36E6" w:rsidP="006B36E6">
      <w:pPr>
        <w:pStyle w:val="BodyText1"/>
        <w:numPr>
          <w:ilvl w:val="0"/>
          <w:numId w:val="60"/>
        </w:numPr>
        <w:rPr>
          <w:noProof w:val="0"/>
        </w:rPr>
      </w:pPr>
      <w:r w:rsidRPr="00167A1B">
        <w:rPr>
          <w:noProof w:val="0"/>
        </w:rPr>
        <w:t>A refined bill of materials that includes all the components contained in a standard EPS and cable.</w:t>
      </w:r>
    </w:p>
    <w:p w14:paraId="33C15227" w14:textId="77777777" w:rsidR="006B36E6" w:rsidRPr="00167A1B" w:rsidRDefault="006B36E6" w:rsidP="006B36E6">
      <w:pPr>
        <w:pStyle w:val="BodyText1"/>
        <w:numPr>
          <w:ilvl w:val="0"/>
          <w:numId w:val="60"/>
        </w:numPr>
        <w:rPr>
          <w:noProof w:val="0"/>
        </w:rPr>
      </w:pPr>
      <w:r w:rsidRPr="00167A1B">
        <w:rPr>
          <w:noProof w:val="0"/>
          <w:szCs w:val="22"/>
        </w:rPr>
        <w:t xml:space="preserve">Adjusted material content profiles for EPS of different nominal power. The stock model includes an adjustment of the standard composition of materials for EPS&gt;27W. </w:t>
      </w:r>
    </w:p>
    <w:p w14:paraId="1A79757E" w14:textId="77777777" w:rsidR="006B36E6" w:rsidRPr="00167A1B" w:rsidRDefault="006B36E6" w:rsidP="006B36E6">
      <w:pPr>
        <w:pStyle w:val="BodyText1"/>
        <w:numPr>
          <w:ilvl w:val="0"/>
          <w:numId w:val="60"/>
        </w:numPr>
        <w:rPr>
          <w:noProof w:val="0"/>
        </w:rPr>
      </w:pPr>
      <w:r w:rsidRPr="00167A1B">
        <w:rPr>
          <w:noProof w:val="0"/>
        </w:rPr>
        <w:t>Adjusted material content profiles for USB-C cables</w:t>
      </w:r>
      <w:r w:rsidRPr="00167A1B">
        <w:rPr>
          <w:noProof w:val="0"/>
          <w:szCs w:val="22"/>
        </w:rPr>
        <w:t xml:space="preserve"> (i.e. with at least one connector to be of type C). </w:t>
      </w:r>
      <w:r w:rsidRPr="00167A1B">
        <w:rPr>
          <w:noProof w:val="0"/>
        </w:rPr>
        <w:t xml:space="preserve"> Compared to the ‘standard composition’, </w:t>
      </w:r>
      <w:r w:rsidRPr="00167A1B">
        <w:rPr>
          <w:noProof w:val="0"/>
          <w:szCs w:val="22"/>
        </w:rPr>
        <w:t xml:space="preserve">the amount of copper </w:t>
      </w:r>
      <w:r w:rsidRPr="00167A1B">
        <w:rPr>
          <w:noProof w:val="0"/>
        </w:rPr>
        <w:t>contained in USB-C cables is assumed to be higher than for USB Type-A and/or Micro B cables.</w:t>
      </w:r>
      <w:r w:rsidRPr="00167A1B">
        <w:rPr>
          <w:rFonts w:eastAsiaTheme="minorHAnsi"/>
          <w:noProof w:val="0"/>
        </w:rPr>
        <w:t xml:space="preserve"> </w:t>
      </w:r>
    </w:p>
    <w:p w14:paraId="409D15A6" w14:textId="77777777" w:rsidR="006B36E6" w:rsidRPr="00167A1B" w:rsidRDefault="006B36E6" w:rsidP="006B36E6">
      <w:pPr>
        <w:pStyle w:val="BodyText1"/>
        <w:numPr>
          <w:ilvl w:val="0"/>
          <w:numId w:val="60"/>
        </w:numPr>
        <w:rPr>
          <w:rFonts w:eastAsiaTheme="minorHAnsi"/>
          <w:noProof w:val="0"/>
        </w:rPr>
      </w:pPr>
      <w:r w:rsidRPr="00167A1B">
        <w:rPr>
          <w:noProof w:val="0"/>
        </w:rPr>
        <w:t xml:space="preserve">Projected weight </w:t>
      </w:r>
      <w:proofErr w:type="gramStart"/>
      <w:r w:rsidRPr="00167A1B">
        <w:rPr>
          <w:noProof w:val="0"/>
        </w:rPr>
        <w:t>decrease</w:t>
      </w:r>
      <w:proofErr w:type="gramEnd"/>
      <w:r w:rsidRPr="00167A1B">
        <w:rPr>
          <w:noProof w:val="0"/>
        </w:rPr>
        <w:t xml:space="preserve"> of EPS </w:t>
      </w:r>
      <w:r w:rsidRPr="00167A1B">
        <w:rPr>
          <w:rFonts w:eastAsiaTheme="minorHAnsi"/>
          <w:noProof w:val="0"/>
        </w:rPr>
        <w:t xml:space="preserve">driven by </w:t>
      </w:r>
      <w:r w:rsidRPr="00167A1B">
        <w:rPr>
          <w:noProof w:val="0"/>
        </w:rPr>
        <w:t>technological developments in the next decade (</w:t>
      </w:r>
      <w:r w:rsidRPr="00167A1B">
        <w:rPr>
          <w:rFonts w:eastAsiaTheme="minorHAnsi"/>
          <w:noProof w:val="0"/>
        </w:rPr>
        <w:t xml:space="preserve">30% less weight of EPS&gt;27W, and 20% weight decrease of 7.5W&lt;=EPS&lt;=27W). </w:t>
      </w:r>
    </w:p>
    <w:p w14:paraId="655467F4" w14:textId="77777777" w:rsidR="006B36E6" w:rsidRPr="00167A1B" w:rsidRDefault="006B36E6" w:rsidP="006B36E6">
      <w:pPr>
        <w:pStyle w:val="BodyText1"/>
        <w:rPr>
          <w:rFonts w:eastAsiaTheme="minorHAnsi"/>
          <w:noProof w:val="0"/>
        </w:rPr>
      </w:pPr>
      <w:r w:rsidRPr="00167A1B">
        <w:rPr>
          <w:noProof w:val="0"/>
        </w:rPr>
        <w:t>Based on the above, the material used (tonnes) is calculated in the stock model by multiplying additions to the charger stock by the corresponding EPS and cables materials profiles. The profiles varying over time per EPS and cable type (weight and material content). An extended explanation of the modelling inputs input values used is provided in Annex G.</w:t>
      </w:r>
    </w:p>
    <w:p w14:paraId="7224F5FF" w14:textId="77777777" w:rsidR="006B36E6" w:rsidRPr="00167A1B" w:rsidRDefault="006B36E6" w:rsidP="006B36E6">
      <w:pPr>
        <w:pStyle w:val="title3"/>
      </w:pPr>
      <w:r w:rsidRPr="00167A1B">
        <w:t xml:space="preserve">E-waste, treatment and recycling </w:t>
      </w:r>
    </w:p>
    <w:p w14:paraId="0EFE293B" w14:textId="77777777" w:rsidR="006B36E6" w:rsidRPr="00167A1B" w:rsidRDefault="006B36E6" w:rsidP="006B36E6">
      <w:pPr>
        <w:pStyle w:val="BodyText1"/>
        <w:rPr>
          <w:noProof w:val="0"/>
        </w:rPr>
      </w:pPr>
      <w:r w:rsidRPr="00167A1B">
        <w:rPr>
          <w:noProof w:val="0"/>
        </w:rPr>
        <w:t xml:space="preserve">We estimate e-waste volumes and sub-indicators on waste treatment and recycling in the stock model based on the average material composition of the chargers, the recyclability of the materials, the volume of chargers disposed of, the method of disposal, and how disposed chargers are treated. </w:t>
      </w:r>
    </w:p>
    <w:p w14:paraId="47807DFF" w14:textId="77777777" w:rsidR="006B36E6" w:rsidRPr="00167A1B" w:rsidRDefault="006B36E6" w:rsidP="006B36E6">
      <w:pPr>
        <w:pStyle w:val="BodyText1"/>
        <w:rPr>
          <w:noProof w:val="0"/>
        </w:rPr>
      </w:pPr>
      <w:r w:rsidRPr="00167A1B">
        <w:rPr>
          <w:noProof w:val="0"/>
        </w:rPr>
        <w:t xml:space="preserve">To estimate the volume of EPS and cables disposed of every year, average values based on the responses to the consumer survey were considered. These suggested that </w:t>
      </w:r>
      <w:r w:rsidRPr="00167A1B">
        <w:rPr>
          <w:noProof w:val="0"/>
        </w:rPr>
        <w:lastRenderedPageBreak/>
        <w:t>approximately 10% of the EPS and cables in stock are being disposed of each year. This assumption was applied in the model such that after 10 years all chargers purchased 10 years previously would be removed from the stock. Although during these 10 years a share of the EPS and cables in the stock would effectively be ‘in reserve’, i.e. functional, but stored and not in use. The consumer survey found that on average 1.32 EPS and 1.75 cables are reported to be held ‘in reserve’, whilst 1.75 EPS and 2.05 cables are ‘in-use’.</w:t>
      </w:r>
    </w:p>
    <w:p w14:paraId="276E7701" w14:textId="77777777" w:rsidR="006B36E6" w:rsidRPr="00167A1B" w:rsidRDefault="006B36E6" w:rsidP="006B36E6">
      <w:pPr>
        <w:pStyle w:val="BodyText1"/>
        <w:rPr>
          <w:noProof w:val="0"/>
        </w:rPr>
      </w:pPr>
      <w:r w:rsidRPr="00167A1B">
        <w:rPr>
          <w:noProof w:val="0"/>
        </w:rPr>
        <w:t>The volume of untreated and recycled EPS and cables was estimated considering WEEE disposal and treatment</w:t>
      </w:r>
      <w:r w:rsidRPr="00167A1B">
        <w:rPr>
          <w:rStyle w:val="FootnoteReference"/>
          <w:noProof w:val="0"/>
        </w:rPr>
        <w:footnoteReference w:id="82"/>
      </w:r>
      <w:r w:rsidRPr="00167A1B">
        <w:rPr>
          <w:noProof w:val="0"/>
        </w:rPr>
        <w:t xml:space="preserve"> studies which, despite many data gaps, predict increasing recycling rates over time. Based on analysis of the data for WEEE of small equipment and treatment in 2010 and 2018, we derive an assumption for waste disposal and treatment. This estimates for 2010 a rate of 41% of e-waste being sent for treatment, increasing to 65% by 2018. An annual increment of a </w:t>
      </w:r>
      <w:proofErr w:type="gramStart"/>
      <w:r w:rsidRPr="00167A1B">
        <w:rPr>
          <w:noProof w:val="0"/>
        </w:rPr>
        <w:t>1.5% point</w:t>
      </w:r>
      <w:proofErr w:type="gramEnd"/>
      <w:r w:rsidRPr="00167A1B">
        <w:rPr>
          <w:noProof w:val="0"/>
        </w:rPr>
        <w:t xml:space="preserve"> improvement in the treatment rate is applied per year based on this historic trend and an assumption that improvements will tail off somewhat over time as the ‘low hanging fruit’ in increasing rates is used. By 2030, this increase increment sees 84% of charger disposals sent for treatment. As a result of these assumptions, the share of untreated waste decreases from 35% in 2018 to 16% in 2030. </w:t>
      </w:r>
      <w:r w:rsidRPr="00167A1B">
        <w:rPr>
          <w:noProof w:val="0"/>
          <w:highlight w:val="yellow"/>
        </w:rPr>
        <w:fldChar w:fldCharType="begin"/>
      </w:r>
      <w:r w:rsidRPr="00167A1B">
        <w:rPr>
          <w:noProof w:val="0"/>
        </w:rPr>
        <w:instrText xml:space="preserve"> REF _Ref70088181 \h </w:instrText>
      </w:r>
      <w:r w:rsidRPr="00167A1B">
        <w:rPr>
          <w:noProof w:val="0"/>
          <w:highlight w:val="yellow"/>
        </w:rPr>
      </w:r>
      <w:r w:rsidRPr="00167A1B">
        <w:rPr>
          <w:noProof w:val="0"/>
          <w:highlight w:val="yellow"/>
        </w:rPr>
        <w:fldChar w:fldCharType="separate"/>
      </w:r>
      <w:r w:rsidRPr="00167A1B">
        <w:rPr>
          <w:noProof w:val="0"/>
        </w:rPr>
        <w:t>Table 4</w:t>
      </w:r>
      <w:r w:rsidRPr="00167A1B">
        <w:rPr>
          <w:noProof w:val="0"/>
          <w:highlight w:val="yellow"/>
        </w:rPr>
        <w:fldChar w:fldCharType="end"/>
      </w:r>
      <w:r w:rsidRPr="00167A1B">
        <w:rPr>
          <w:noProof w:val="0"/>
        </w:rPr>
        <w:t xml:space="preserve"> below presents the modelled recycling rates at 5 years intervals used in the analysis (% recycled and % untreated waste). Additional key assumptions made related to the e-waste generated, treated and recycled are summarised in Annex G. </w:t>
      </w:r>
    </w:p>
    <w:p w14:paraId="53D83342" w14:textId="5D171D54" w:rsidR="006B36E6" w:rsidRPr="00167A1B" w:rsidRDefault="006B36E6" w:rsidP="006B36E6">
      <w:pPr>
        <w:pStyle w:val="Caption"/>
      </w:pPr>
      <w:bookmarkStart w:id="34" w:name="_Ref70088181"/>
      <w:r w:rsidRPr="00167A1B">
        <w:t xml:space="preserve">Table </w:t>
      </w:r>
      <w:r w:rsidRPr="00167A1B">
        <w:fldChar w:fldCharType="begin"/>
      </w:r>
      <w:r w:rsidRPr="00167A1B">
        <w:instrText xml:space="preserve"> SEQ Table \* ARABIC </w:instrText>
      </w:r>
      <w:r w:rsidRPr="00167A1B">
        <w:fldChar w:fldCharType="separate"/>
      </w:r>
      <w:r w:rsidR="00953106" w:rsidRPr="00167A1B">
        <w:t>6</w:t>
      </w:r>
      <w:r w:rsidRPr="00167A1B">
        <w:fldChar w:fldCharType="end"/>
      </w:r>
      <w:bookmarkEnd w:id="34"/>
      <w:r w:rsidRPr="00167A1B">
        <w:t xml:space="preserve"> Modelled recycling rates for EPS and cables (2015-2030) </w:t>
      </w:r>
    </w:p>
    <w:tbl>
      <w:tblPr>
        <w:tblStyle w:val="TableGrid"/>
        <w:tblW w:w="6408" w:type="dxa"/>
        <w:jc w:val="center"/>
        <w:tblLook w:val="04A0" w:firstRow="1" w:lastRow="0" w:firstColumn="1" w:lastColumn="0" w:noHBand="0" w:noVBand="1"/>
      </w:tblPr>
      <w:tblGrid>
        <w:gridCol w:w="3940"/>
        <w:gridCol w:w="617"/>
        <w:gridCol w:w="617"/>
        <w:gridCol w:w="617"/>
        <w:gridCol w:w="617"/>
      </w:tblGrid>
      <w:tr w:rsidR="006B36E6" w:rsidRPr="00167A1B" w14:paraId="47777FF3" w14:textId="77777777" w:rsidTr="009D260B">
        <w:trPr>
          <w:cnfStyle w:val="100000000000" w:firstRow="1" w:lastRow="0" w:firstColumn="0" w:lastColumn="0" w:oddVBand="0" w:evenVBand="0" w:oddHBand="0" w:evenHBand="0" w:firstRowFirstColumn="0" w:firstRowLastColumn="0" w:lastRowFirstColumn="0" w:lastRowLastColumn="0"/>
          <w:trHeight w:val="270"/>
          <w:jc w:val="center"/>
        </w:trPr>
        <w:tc>
          <w:tcPr>
            <w:tcW w:w="3940" w:type="dxa"/>
            <w:shd w:val="clear" w:color="auto" w:fill="0C4DA2" w:themeFill="text2"/>
            <w:noWrap/>
            <w:hideMark/>
          </w:tcPr>
          <w:p w14:paraId="28335946" w14:textId="77777777" w:rsidR="006B36E6" w:rsidRPr="00167A1B" w:rsidRDefault="006B36E6" w:rsidP="009D260B">
            <w:pPr>
              <w:spacing w:after="0"/>
              <w:jc w:val="left"/>
              <w:rPr>
                <w:rFonts w:asciiTheme="minorHAnsi" w:hAnsiTheme="minorHAnsi" w:cstheme="minorHAnsi"/>
                <w:b/>
                <w:sz w:val="18"/>
                <w:szCs w:val="18"/>
              </w:rPr>
            </w:pPr>
            <w:r w:rsidRPr="00167A1B">
              <w:rPr>
                <w:rFonts w:asciiTheme="minorHAnsi" w:hAnsiTheme="minorHAnsi" w:cstheme="minorHAnsi"/>
                <w:b/>
                <w:sz w:val="18"/>
                <w:szCs w:val="18"/>
              </w:rPr>
              <w:t>Disposal method</w:t>
            </w:r>
          </w:p>
        </w:tc>
        <w:tc>
          <w:tcPr>
            <w:tcW w:w="617" w:type="dxa"/>
            <w:shd w:val="clear" w:color="auto" w:fill="0C4DA2" w:themeFill="text2"/>
            <w:hideMark/>
          </w:tcPr>
          <w:p w14:paraId="54F4944A" w14:textId="77777777" w:rsidR="006B36E6" w:rsidRPr="00167A1B" w:rsidRDefault="006B36E6" w:rsidP="009D260B">
            <w:pPr>
              <w:spacing w:after="0"/>
              <w:jc w:val="right"/>
              <w:rPr>
                <w:rFonts w:asciiTheme="minorHAnsi" w:hAnsiTheme="minorHAnsi" w:cstheme="minorHAnsi"/>
                <w:b/>
                <w:sz w:val="18"/>
                <w:szCs w:val="18"/>
              </w:rPr>
            </w:pPr>
            <w:r w:rsidRPr="00167A1B">
              <w:rPr>
                <w:rFonts w:asciiTheme="minorHAnsi" w:hAnsiTheme="minorHAnsi" w:cstheme="minorHAnsi"/>
                <w:b/>
                <w:sz w:val="18"/>
                <w:szCs w:val="18"/>
              </w:rPr>
              <w:t>2015</w:t>
            </w:r>
          </w:p>
        </w:tc>
        <w:tc>
          <w:tcPr>
            <w:tcW w:w="617" w:type="dxa"/>
            <w:shd w:val="clear" w:color="auto" w:fill="0C4DA2" w:themeFill="text2"/>
            <w:hideMark/>
          </w:tcPr>
          <w:p w14:paraId="45E9CE1F" w14:textId="77777777" w:rsidR="006B36E6" w:rsidRPr="00167A1B" w:rsidRDefault="006B36E6" w:rsidP="009D260B">
            <w:pPr>
              <w:spacing w:after="0"/>
              <w:jc w:val="right"/>
              <w:rPr>
                <w:rFonts w:asciiTheme="minorHAnsi" w:hAnsiTheme="minorHAnsi" w:cstheme="minorHAnsi"/>
                <w:b/>
                <w:sz w:val="18"/>
                <w:szCs w:val="18"/>
              </w:rPr>
            </w:pPr>
            <w:r w:rsidRPr="00167A1B">
              <w:rPr>
                <w:rFonts w:asciiTheme="minorHAnsi" w:hAnsiTheme="minorHAnsi" w:cstheme="minorHAnsi"/>
                <w:b/>
                <w:sz w:val="18"/>
                <w:szCs w:val="18"/>
              </w:rPr>
              <w:t>2020</w:t>
            </w:r>
          </w:p>
        </w:tc>
        <w:tc>
          <w:tcPr>
            <w:tcW w:w="617" w:type="dxa"/>
            <w:shd w:val="clear" w:color="auto" w:fill="0C4DA2" w:themeFill="text2"/>
            <w:hideMark/>
          </w:tcPr>
          <w:p w14:paraId="3595630A" w14:textId="77777777" w:rsidR="006B36E6" w:rsidRPr="00167A1B" w:rsidRDefault="006B36E6" w:rsidP="009D260B">
            <w:pPr>
              <w:spacing w:after="0"/>
              <w:jc w:val="right"/>
              <w:rPr>
                <w:rFonts w:asciiTheme="minorHAnsi" w:hAnsiTheme="minorHAnsi" w:cstheme="minorHAnsi"/>
                <w:b/>
                <w:sz w:val="18"/>
                <w:szCs w:val="18"/>
              </w:rPr>
            </w:pPr>
            <w:r w:rsidRPr="00167A1B">
              <w:rPr>
                <w:rFonts w:asciiTheme="minorHAnsi" w:hAnsiTheme="minorHAnsi" w:cstheme="minorHAnsi"/>
                <w:b/>
                <w:sz w:val="18"/>
                <w:szCs w:val="18"/>
              </w:rPr>
              <w:t>2025</w:t>
            </w:r>
          </w:p>
        </w:tc>
        <w:tc>
          <w:tcPr>
            <w:tcW w:w="617" w:type="dxa"/>
            <w:shd w:val="clear" w:color="auto" w:fill="0C4DA2" w:themeFill="text2"/>
            <w:hideMark/>
          </w:tcPr>
          <w:p w14:paraId="3F054010" w14:textId="77777777" w:rsidR="006B36E6" w:rsidRPr="00167A1B" w:rsidRDefault="006B36E6" w:rsidP="009D260B">
            <w:pPr>
              <w:spacing w:after="0"/>
              <w:jc w:val="right"/>
              <w:rPr>
                <w:rFonts w:asciiTheme="minorHAnsi" w:hAnsiTheme="minorHAnsi" w:cstheme="minorHAnsi"/>
                <w:b/>
                <w:sz w:val="18"/>
                <w:szCs w:val="18"/>
              </w:rPr>
            </w:pPr>
            <w:r w:rsidRPr="00167A1B">
              <w:rPr>
                <w:rFonts w:asciiTheme="minorHAnsi" w:hAnsiTheme="minorHAnsi" w:cstheme="minorHAnsi"/>
                <w:b/>
                <w:sz w:val="18"/>
                <w:szCs w:val="18"/>
              </w:rPr>
              <w:t>2030</w:t>
            </w:r>
          </w:p>
        </w:tc>
      </w:tr>
      <w:tr w:rsidR="006B36E6" w:rsidRPr="00167A1B" w14:paraId="104C302D" w14:textId="77777777" w:rsidTr="009D260B">
        <w:trPr>
          <w:trHeight w:val="270"/>
          <w:jc w:val="center"/>
        </w:trPr>
        <w:tc>
          <w:tcPr>
            <w:tcW w:w="3940" w:type="dxa"/>
            <w:noWrap/>
            <w:hideMark/>
          </w:tcPr>
          <w:p w14:paraId="4E747AD2"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Disposed to recycling</w:t>
            </w:r>
          </w:p>
        </w:tc>
        <w:tc>
          <w:tcPr>
            <w:tcW w:w="617" w:type="dxa"/>
            <w:noWrap/>
            <w:hideMark/>
          </w:tcPr>
          <w:p w14:paraId="6598B98E"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56%</w:t>
            </w:r>
          </w:p>
        </w:tc>
        <w:tc>
          <w:tcPr>
            <w:tcW w:w="617" w:type="dxa"/>
            <w:noWrap/>
            <w:hideMark/>
          </w:tcPr>
          <w:p w14:paraId="2F1372AD"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69%</w:t>
            </w:r>
          </w:p>
        </w:tc>
        <w:tc>
          <w:tcPr>
            <w:tcW w:w="617" w:type="dxa"/>
            <w:noWrap/>
            <w:hideMark/>
          </w:tcPr>
          <w:p w14:paraId="18231484"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76%</w:t>
            </w:r>
          </w:p>
        </w:tc>
        <w:tc>
          <w:tcPr>
            <w:tcW w:w="617" w:type="dxa"/>
            <w:noWrap/>
            <w:hideMark/>
          </w:tcPr>
          <w:p w14:paraId="14D6D23D"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84%</w:t>
            </w:r>
          </w:p>
        </w:tc>
      </w:tr>
      <w:tr w:rsidR="006B36E6" w:rsidRPr="00167A1B" w14:paraId="42023F00" w14:textId="77777777" w:rsidTr="009D260B">
        <w:trPr>
          <w:trHeight w:val="270"/>
          <w:jc w:val="center"/>
        </w:trPr>
        <w:tc>
          <w:tcPr>
            <w:tcW w:w="3940" w:type="dxa"/>
            <w:noWrap/>
            <w:hideMark/>
          </w:tcPr>
          <w:p w14:paraId="55E0E2CC"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Incorrectly disposed (untreated waste)</w:t>
            </w:r>
          </w:p>
        </w:tc>
        <w:tc>
          <w:tcPr>
            <w:tcW w:w="617" w:type="dxa"/>
            <w:noWrap/>
            <w:hideMark/>
          </w:tcPr>
          <w:p w14:paraId="2F698BA5"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44%</w:t>
            </w:r>
          </w:p>
        </w:tc>
        <w:tc>
          <w:tcPr>
            <w:tcW w:w="617" w:type="dxa"/>
            <w:noWrap/>
            <w:hideMark/>
          </w:tcPr>
          <w:p w14:paraId="7F1F031E"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31%</w:t>
            </w:r>
          </w:p>
        </w:tc>
        <w:tc>
          <w:tcPr>
            <w:tcW w:w="617" w:type="dxa"/>
            <w:noWrap/>
            <w:hideMark/>
          </w:tcPr>
          <w:p w14:paraId="63C78F5B"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24%</w:t>
            </w:r>
          </w:p>
        </w:tc>
        <w:tc>
          <w:tcPr>
            <w:tcW w:w="617" w:type="dxa"/>
            <w:noWrap/>
            <w:hideMark/>
          </w:tcPr>
          <w:p w14:paraId="79D380D4"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16%</w:t>
            </w:r>
          </w:p>
        </w:tc>
      </w:tr>
    </w:tbl>
    <w:p w14:paraId="68F10238" w14:textId="2ED831CA" w:rsidR="00C91580" w:rsidRPr="00167A1B" w:rsidRDefault="00C91580" w:rsidP="008C1CDE">
      <w:pPr>
        <w:pStyle w:val="04ABodyText"/>
        <w:numPr>
          <w:ilvl w:val="0"/>
          <w:numId w:val="0"/>
        </w:numPr>
        <w:spacing w:after="0" w:line="240" w:lineRule="auto"/>
        <w:jc w:val="center"/>
        <w:rPr>
          <w:sz w:val="18"/>
          <w:szCs w:val="16"/>
        </w:rPr>
      </w:pPr>
      <w:r w:rsidRPr="00167A1B">
        <w:rPr>
          <w:b/>
          <w:sz w:val="18"/>
          <w:szCs w:val="16"/>
        </w:rPr>
        <w:t>Source:</w:t>
      </w:r>
      <w:r w:rsidRPr="00167A1B">
        <w:rPr>
          <w:sz w:val="18"/>
          <w:szCs w:val="16"/>
        </w:rPr>
        <w:t xml:space="preserve">  Own TRI-STOCK-CHARGER model.</w:t>
      </w:r>
    </w:p>
    <w:p w14:paraId="6B37B1BF" w14:textId="77777777" w:rsidR="006B36E6" w:rsidRPr="00167A1B" w:rsidRDefault="006B36E6" w:rsidP="006B36E6">
      <w:pPr>
        <w:spacing w:after="0"/>
        <w:rPr>
          <w:rFonts w:ascii="Arial" w:hAnsi="Arial"/>
          <w:sz w:val="22"/>
        </w:rPr>
      </w:pPr>
    </w:p>
    <w:p w14:paraId="52AAE8EB" w14:textId="77777777" w:rsidR="006B36E6" w:rsidRPr="00167A1B" w:rsidRDefault="006B36E6" w:rsidP="006B36E6">
      <w:pPr>
        <w:spacing w:after="0"/>
        <w:rPr>
          <w:rFonts w:ascii="Arial" w:hAnsi="Arial"/>
          <w:sz w:val="22"/>
        </w:rPr>
      </w:pPr>
      <w:r w:rsidRPr="00167A1B">
        <w:rPr>
          <w:rFonts w:ascii="Arial" w:hAnsi="Arial"/>
          <w:sz w:val="22"/>
        </w:rPr>
        <w:t xml:space="preserve">Concerning the treatment of different materials, the splits of materials </w:t>
      </w:r>
      <w:proofErr w:type="gramStart"/>
      <w:r w:rsidRPr="00167A1B">
        <w:rPr>
          <w:rFonts w:ascii="Arial" w:hAnsi="Arial"/>
          <w:sz w:val="22"/>
        </w:rPr>
        <w:t>used</w:t>
      </w:r>
      <w:proofErr w:type="gramEnd"/>
      <w:r w:rsidRPr="00167A1B">
        <w:rPr>
          <w:rFonts w:ascii="Arial" w:hAnsi="Arial"/>
          <w:sz w:val="22"/>
        </w:rPr>
        <w:t xml:space="preserve"> and specific recycling rates assumed in the stock model are mainly based on the input provided during the interviews with recycling experts. </w:t>
      </w:r>
    </w:p>
    <w:p w14:paraId="01B65505" w14:textId="77777777" w:rsidR="006B36E6" w:rsidRPr="00167A1B" w:rsidRDefault="006B36E6" w:rsidP="006B36E6">
      <w:pPr>
        <w:spacing w:after="0"/>
        <w:rPr>
          <w:rFonts w:ascii="Arial" w:hAnsi="Arial"/>
          <w:sz w:val="22"/>
        </w:rPr>
      </w:pPr>
    </w:p>
    <w:p w14:paraId="4AE84588" w14:textId="77777777" w:rsidR="006B36E6" w:rsidRPr="00167A1B" w:rsidRDefault="006B36E6" w:rsidP="006B36E6">
      <w:pPr>
        <w:spacing w:after="0"/>
        <w:rPr>
          <w:rFonts w:ascii="Arial" w:hAnsi="Arial"/>
          <w:sz w:val="22"/>
        </w:rPr>
      </w:pPr>
      <w:r w:rsidRPr="00167A1B">
        <w:rPr>
          <w:rFonts w:ascii="Arial" w:hAnsi="Arial"/>
          <w:sz w:val="22"/>
        </w:rPr>
        <w:t>In brief, the main stock model inputs related to e-waste include:</w:t>
      </w:r>
    </w:p>
    <w:p w14:paraId="4BC04C66" w14:textId="77777777" w:rsidR="006B36E6" w:rsidRPr="00167A1B" w:rsidRDefault="006B36E6" w:rsidP="006B36E6">
      <w:pPr>
        <w:pStyle w:val="BodyText1"/>
        <w:numPr>
          <w:ilvl w:val="0"/>
          <w:numId w:val="61"/>
        </w:numPr>
        <w:spacing w:after="0"/>
        <w:rPr>
          <w:noProof w:val="0"/>
        </w:rPr>
      </w:pPr>
      <w:r w:rsidRPr="00167A1B">
        <w:rPr>
          <w:noProof w:val="0"/>
        </w:rPr>
        <w:t>Number of EPS and cables disposed of every year, average values based on the responses to the consumer survey were considered.</w:t>
      </w:r>
    </w:p>
    <w:p w14:paraId="2B3FB54E" w14:textId="77777777" w:rsidR="006B36E6" w:rsidRPr="00167A1B" w:rsidRDefault="006B36E6" w:rsidP="006B36E6">
      <w:pPr>
        <w:pStyle w:val="BodyText1"/>
        <w:numPr>
          <w:ilvl w:val="0"/>
          <w:numId w:val="61"/>
        </w:numPr>
        <w:spacing w:after="0"/>
        <w:rPr>
          <w:noProof w:val="0"/>
        </w:rPr>
      </w:pPr>
      <w:r w:rsidRPr="00167A1B">
        <w:rPr>
          <w:noProof w:val="0"/>
        </w:rPr>
        <w:t xml:space="preserve">Material and weight composition of the EPS and cables disposed of every year, based on average material content profiles (as explained in 4.1.1) </w:t>
      </w:r>
    </w:p>
    <w:p w14:paraId="461B396B" w14:textId="77777777" w:rsidR="006B36E6" w:rsidRPr="00167A1B" w:rsidRDefault="006B36E6" w:rsidP="006B36E6">
      <w:pPr>
        <w:pStyle w:val="BodyText1"/>
        <w:numPr>
          <w:ilvl w:val="0"/>
          <w:numId w:val="61"/>
        </w:numPr>
        <w:spacing w:after="0"/>
        <w:rPr>
          <w:noProof w:val="0"/>
        </w:rPr>
      </w:pPr>
      <w:r w:rsidRPr="00167A1B">
        <w:rPr>
          <w:noProof w:val="0"/>
          <w:szCs w:val="22"/>
        </w:rPr>
        <w:t xml:space="preserve">Collection and treatment of EPS and cables and variation over time (as presented in </w:t>
      </w:r>
      <w:r w:rsidRPr="00167A1B">
        <w:rPr>
          <w:noProof w:val="0"/>
          <w:szCs w:val="22"/>
        </w:rPr>
        <w:fldChar w:fldCharType="begin"/>
      </w:r>
      <w:r w:rsidRPr="00167A1B">
        <w:rPr>
          <w:noProof w:val="0"/>
          <w:szCs w:val="22"/>
        </w:rPr>
        <w:instrText xml:space="preserve"> REF _Ref70088181 \h </w:instrText>
      </w:r>
      <w:r w:rsidRPr="00167A1B">
        <w:rPr>
          <w:noProof w:val="0"/>
          <w:szCs w:val="22"/>
        </w:rPr>
      </w:r>
      <w:r w:rsidRPr="00167A1B">
        <w:rPr>
          <w:noProof w:val="0"/>
          <w:szCs w:val="22"/>
        </w:rPr>
        <w:fldChar w:fldCharType="separate"/>
      </w:r>
      <w:r w:rsidRPr="00167A1B">
        <w:rPr>
          <w:noProof w:val="0"/>
        </w:rPr>
        <w:t>Table 4</w:t>
      </w:r>
      <w:r w:rsidRPr="00167A1B">
        <w:rPr>
          <w:noProof w:val="0"/>
          <w:szCs w:val="22"/>
        </w:rPr>
        <w:fldChar w:fldCharType="end"/>
      </w:r>
      <w:r w:rsidRPr="00167A1B">
        <w:rPr>
          <w:noProof w:val="0"/>
          <w:szCs w:val="22"/>
        </w:rPr>
        <w:t>)</w:t>
      </w:r>
    </w:p>
    <w:p w14:paraId="1D768DAC" w14:textId="77777777" w:rsidR="006B36E6" w:rsidRPr="00167A1B" w:rsidRDefault="006B36E6" w:rsidP="006B36E6">
      <w:pPr>
        <w:pStyle w:val="BodyText1"/>
        <w:numPr>
          <w:ilvl w:val="0"/>
          <w:numId w:val="61"/>
        </w:numPr>
        <w:spacing w:after="0"/>
        <w:rPr>
          <w:noProof w:val="0"/>
        </w:rPr>
      </w:pPr>
      <w:r w:rsidRPr="00167A1B">
        <w:rPr>
          <w:noProof w:val="0"/>
          <w:szCs w:val="22"/>
        </w:rPr>
        <w:t xml:space="preserve">Recycling rates (and variation over time) per material type: Based on stakeholder input, </w:t>
      </w:r>
      <w:r w:rsidRPr="00167A1B">
        <w:rPr>
          <w:noProof w:val="0"/>
        </w:rPr>
        <w:t xml:space="preserve">40% of plastics contained in the EPS and cable are assumed to recycled in 2020, a rate that increases 1 percentage point annually until 2030. In the case of metals, 90% are recycled in 2020, which increases 0.25 percentage points each year until 2030. </w:t>
      </w:r>
      <w:r w:rsidRPr="00167A1B">
        <w:rPr>
          <w:noProof w:val="0"/>
          <w:szCs w:val="22"/>
        </w:rPr>
        <w:t xml:space="preserve">For other materials, the stock model assumes that 40% are recycled, increasing 1 percentage point annually. </w:t>
      </w:r>
    </w:p>
    <w:p w14:paraId="6825C41E" w14:textId="77777777" w:rsidR="006B36E6" w:rsidRPr="00167A1B" w:rsidRDefault="006B36E6" w:rsidP="006B36E6">
      <w:pPr>
        <w:spacing w:after="0"/>
        <w:rPr>
          <w:rFonts w:ascii="Arial" w:hAnsi="Arial"/>
          <w:sz w:val="22"/>
        </w:rPr>
      </w:pPr>
    </w:p>
    <w:p w14:paraId="0BE19B6D" w14:textId="77777777" w:rsidR="006B36E6" w:rsidRPr="00167A1B" w:rsidRDefault="006B36E6" w:rsidP="006B36E6">
      <w:pPr>
        <w:pStyle w:val="BodyText1"/>
        <w:rPr>
          <w:noProof w:val="0"/>
        </w:rPr>
      </w:pPr>
      <w:r w:rsidRPr="00167A1B">
        <w:rPr>
          <w:noProof w:val="0"/>
          <w:szCs w:val="22"/>
        </w:rPr>
        <w:t>Based on these inputs,</w:t>
      </w:r>
      <w:r w:rsidRPr="00167A1B">
        <w:rPr>
          <w:noProof w:val="0"/>
        </w:rPr>
        <w:t xml:space="preserve"> the e-waste volume (tonnes) is calculated in the stock model as the weight of chargers disposed of each year. This is calculated by multiplying the number of units disposed of by the material and weight composition of the charger component type. </w:t>
      </w:r>
      <w:r w:rsidRPr="00167A1B">
        <w:rPr>
          <w:noProof w:val="0"/>
        </w:rPr>
        <w:lastRenderedPageBreak/>
        <w:t>The volumes of untreated waste and recycled waste are calculated in a similar fashion. An extended explanation of the modelling inputs input values used is provided in Annex G.</w:t>
      </w:r>
    </w:p>
    <w:p w14:paraId="691466FB" w14:textId="77777777" w:rsidR="006B36E6" w:rsidRPr="00167A1B" w:rsidRDefault="006B36E6" w:rsidP="006B36E6">
      <w:pPr>
        <w:pStyle w:val="BodyText1"/>
        <w:rPr>
          <w:noProof w:val="0"/>
        </w:rPr>
      </w:pPr>
    </w:p>
    <w:p w14:paraId="4EBFA8D6" w14:textId="77777777" w:rsidR="006B36E6" w:rsidRPr="00167A1B" w:rsidRDefault="006B36E6" w:rsidP="006B36E6">
      <w:pPr>
        <w:pStyle w:val="title3"/>
      </w:pPr>
      <w:r w:rsidRPr="00167A1B">
        <w:t xml:space="preserve">Greenhouse Gas Emissions (GHG) </w:t>
      </w:r>
    </w:p>
    <w:p w14:paraId="29BD0B09" w14:textId="77777777" w:rsidR="006B36E6" w:rsidRPr="00167A1B" w:rsidRDefault="006B36E6" w:rsidP="006B36E6">
      <w:pPr>
        <w:pStyle w:val="BodyText1"/>
        <w:rPr>
          <w:noProof w:val="0"/>
        </w:rPr>
      </w:pPr>
      <w:r w:rsidRPr="00167A1B">
        <w:rPr>
          <w:noProof w:val="0"/>
        </w:rPr>
        <w:t xml:space="preserve">GHG emissions are released over the full lifecycle of a charger, starting from material extraction, and through all the life-cycle steps of manufacturing, transport, use, and disposal. To consider the impact of these emissions, the first IA was mainly based on the results of the EU funded project </w:t>
      </w:r>
      <w:proofErr w:type="spellStart"/>
      <w:r w:rsidRPr="00167A1B">
        <w:rPr>
          <w:noProof w:val="0"/>
        </w:rPr>
        <w:t>SustainabilitySmart</w:t>
      </w:r>
      <w:proofErr w:type="spellEnd"/>
      <w:r w:rsidRPr="00167A1B">
        <w:rPr>
          <w:rStyle w:val="FootnoteReference"/>
          <w:noProof w:val="0"/>
        </w:rPr>
        <w:footnoteReference w:id="83"/>
      </w:r>
      <w:r w:rsidRPr="00167A1B">
        <w:rPr>
          <w:noProof w:val="0"/>
        </w:rPr>
        <w:t>, and other studies</w:t>
      </w:r>
      <w:r w:rsidRPr="00167A1B">
        <w:rPr>
          <w:rStyle w:val="FootnoteReference"/>
          <w:noProof w:val="0"/>
          <w:sz w:val="22"/>
          <w:szCs w:val="22"/>
        </w:rPr>
        <w:footnoteReference w:id="84"/>
      </w:r>
      <w:r w:rsidRPr="00167A1B">
        <w:rPr>
          <w:noProof w:val="0"/>
        </w:rPr>
        <w:t xml:space="preserve"> which focused on specific smartphone models and their accessories. The studies provided the Global Warming Potential (GWP) of each charger component (EPS and cable) and life-cycle phase (e.g. raw material acquisition, manufacturing, transport</w:t>
      </w:r>
      <w:proofErr w:type="gramStart"/>
      <w:r w:rsidRPr="00167A1B">
        <w:rPr>
          <w:noProof w:val="0"/>
        </w:rPr>
        <w:t>),  which</w:t>
      </w:r>
      <w:proofErr w:type="gramEnd"/>
      <w:r w:rsidRPr="00167A1B">
        <w:rPr>
          <w:noProof w:val="0"/>
        </w:rPr>
        <w:t xml:space="preserve"> were then used to calculate an average CO</w:t>
      </w:r>
      <w:r w:rsidRPr="00167A1B">
        <w:rPr>
          <w:noProof w:val="0"/>
          <w:vertAlign w:val="subscript"/>
        </w:rPr>
        <w:t>2</w:t>
      </w:r>
      <w:r w:rsidRPr="00167A1B">
        <w:rPr>
          <w:noProof w:val="0"/>
        </w:rPr>
        <w:t xml:space="preserve"> emissions impact per unit (g) of weight for the component types. </w:t>
      </w:r>
    </w:p>
    <w:p w14:paraId="545D2452" w14:textId="77777777" w:rsidR="006B36E6" w:rsidRPr="00167A1B" w:rsidRDefault="006B36E6" w:rsidP="006B36E6">
      <w:pPr>
        <w:pStyle w:val="BodyText1"/>
        <w:rPr>
          <w:noProof w:val="0"/>
        </w:rPr>
      </w:pPr>
      <w:r w:rsidRPr="00167A1B">
        <w:rPr>
          <w:noProof w:val="0"/>
        </w:rPr>
        <w:t xml:space="preserve">We note that further review of available information finds only very limited additional published information on the environmental impact of </w:t>
      </w:r>
      <w:proofErr w:type="spellStart"/>
      <w:proofErr w:type="gramStart"/>
      <w:r w:rsidRPr="00167A1B">
        <w:rPr>
          <w:noProof w:val="0"/>
        </w:rPr>
        <w:t>chargers.I</w:t>
      </w:r>
      <w:proofErr w:type="spellEnd"/>
      <w:proofErr w:type="gramEnd"/>
      <w:r w:rsidRPr="00167A1B">
        <w:rPr>
          <w:noProof w:val="0"/>
        </w:rPr>
        <w:t xml:space="preserve"> It remains an issue not widely addressed by LCA practitioners nor where companies publish their own results. Therefore, to refine the GWP values considered in the 2019 IA study, we considered the data</w:t>
      </w:r>
      <w:r w:rsidRPr="00167A1B" w:rsidDel="008B1518">
        <w:rPr>
          <w:noProof w:val="0"/>
        </w:rPr>
        <w:t xml:space="preserve"> </w:t>
      </w:r>
      <w:r w:rsidRPr="00167A1B">
        <w:rPr>
          <w:noProof w:val="0"/>
        </w:rPr>
        <w:t xml:space="preserve">presented in the framework of the </w:t>
      </w:r>
      <w:r w:rsidRPr="00167A1B">
        <w:rPr>
          <w:i/>
          <w:iCs/>
          <w:noProof w:val="0"/>
        </w:rPr>
        <w:t>Eco-design preparatory study on mobile phones, smartphones and tablets</w:t>
      </w:r>
      <w:r w:rsidRPr="00167A1B">
        <w:rPr>
          <w:rStyle w:val="FootnoteReference"/>
          <w:i/>
          <w:iCs/>
          <w:noProof w:val="0"/>
        </w:rPr>
        <w:footnoteReference w:id="85"/>
      </w:r>
      <w:r w:rsidRPr="00167A1B">
        <w:rPr>
          <w:noProof w:val="0"/>
        </w:rPr>
        <w:t xml:space="preserve">. </w:t>
      </w:r>
      <w:r w:rsidRPr="00167A1B">
        <w:rPr>
          <w:noProof w:val="0"/>
        </w:rPr>
        <w:fldChar w:fldCharType="begin"/>
      </w:r>
      <w:r w:rsidRPr="00167A1B">
        <w:rPr>
          <w:noProof w:val="0"/>
        </w:rPr>
        <w:instrText xml:space="preserve"> REF _Ref70088233 \h </w:instrText>
      </w:r>
      <w:r w:rsidRPr="00167A1B">
        <w:rPr>
          <w:noProof w:val="0"/>
        </w:rPr>
      </w:r>
      <w:r w:rsidRPr="00167A1B">
        <w:rPr>
          <w:noProof w:val="0"/>
        </w:rPr>
        <w:fldChar w:fldCharType="separate"/>
      </w:r>
      <w:r w:rsidRPr="00167A1B">
        <w:rPr>
          <w:noProof w:val="0"/>
        </w:rPr>
        <w:t>Table 5</w:t>
      </w:r>
      <w:r w:rsidRPr="00167A1B">
        <w:rPr>
          <w:noProof w:val="0"/>
        </w:rPr>
        <w:fldChar w:fldCharType="end"/>
      </w:r>
      <w:r w:rsidRPr="00167A1B">
        <w:rPr>
          <w:noProof w:val="0"/>
        </w:rPr>
        <w:t xml:space="preserve"> and </w:t>
      </w:r>
      <w:r w:rsidRPr="00167A1B">
        <w:rPr>
          <w:noProof w:val="0"/>
        </w:rPr>
        <w:fldChar w:fldCharType="begin"/>
      </w:r>
      <w:r w:rsidRPr="00167A1B">
        <w:rPr>
          <w:noProof w:val="0"/>
        </w:rPr>
        <w:instrText xml:space="preserve"> REF _Ref70088236 \h </w:instrText>
      </w:r>
      <w:r w:rsidRPr="00167A1B">
        <w:rPr>
          <w:noProof w:val="0"/>
        </w:rPr>
      </w:r>
      <w:r w:rsidRPr="00167A1B">
        <w:rPr>
          <w:noProof w:val="0"/>
        </w:rPr>
        <w:fldChar w:fldCharType="separate"/>
      </w:r>
      <w:r w:rsidRPr="00167A1B">
        <w:rPr>
          <w:noProof w:val="0"/>
        </w:rPr>
        <w:t>Table 6</w:t>
      </w:r>
      <w:r w:rsidRPr="00167A1B">
        <w:rPr>
          <w:noProof w:val="0"/>
        </w:rPr>
        <w:fldChar w:fldCharType="end"/>
      </w:r>
      <w:r w:rsidRPr="00167A1B">
        <w:rPr>
          <w:noProof w:val="0"/>
        </w:rPr>
        <w:t xml:space="preserve"> below present the input values used by the updated stock model. </w:t>
      </w:r>
    </w:p>
    <w:p w14:paraId="144745A5" w14:textId="77777777" w:rsidR="006B36E6" w:rsidRPr="00167A1B" w:rsidRDefault="006B36E6" w:rsidP="006B36E6">
      <w:pPr>
        <w:pStyle w:val="BodyText1"/>
        <w:rPr>
          <w:noProof w:val="0"/>
        </w:rPr>
      </w:pPr>
    </w:p>
    <w:p w14:paraId="0D4774FB" w14:textId="23AA7A95" w:rsidR="006B36E6" w:rsidRPr="00167A1B" w:rsidRDefault="006B36E6" w:rsidP="006B36E6">
      <w:pPr>
        <w:pStyle w:val="Caption"/>
      </w:pPr>
      <w:bookmarkStart w:id="35" w:name="_Ref70088233"/>
      <w:r w:rsidRPr="00167A1B">
        <w:t xml:space="preserve">Table </w:t>
      </w:r>
      <w:r w:rsidRPr="00167A1B">
        <w:fldChar w:fldCharType="begin"/>
      </w:r>
      <w:r w:rsidRPr="00167A1B">
        <w:instrText xml:space="preserve"> SEQ Table \* ARABIC \s 1 </w:instrText>
      </w:r>
      <w:r w:rsidRPr="00167A1B">
        <w:fldChar w:fldCharType="separate"/>
      </w:r>
      <w:r w:rsidR="00953106" w:rsidRPr="00167A1B">
        <w:t>7</w:t>
      </w:r>
      <w:r w:rsidRPr="00167A1B">
        <w:fldChar w:fldCharType="end"/>
      </w:r>
      <w:bookmarkEnd w:id="35"/>
      <w:r w:rsidRPr="00167A1B">
        <w:t>. Average GWP per g of the weight of component</w:t>
      </w:r>
      <w:r w:rsidRPr="00167A1B">
        <w:rPr>
          <w:rStyle w:val="FootnoteReference"/>
          <w:rFonts w:ascii="Arial" w:hAnsi="Arial"/>
        </w:rPr>
        <w:footnoteReference w:id="86"/>
      </w:r>
    </w:p>
    <w:tbl>
      <w:tblPr>
        <w:tblStyle w:val="TableGrid"/>
        <w:tblW w:w="8784" w:type="dxa"/>
        <w:tblLayout w:type="fixed"/>
        <w:tblLook w:val="04A0" w:firstRow="1" w:lastRow="0" w:firstColumn="1" w:lastColumn="0" w:noHBand="0" w:noVBand="1"/>
      </w:tblPr>
      <w:tblGrid>
        <w:gridCol w:w="4547"/>
        <w:gridCol w:w="1670"/>
        <w:gridCol w:w="2567"/>
      </w:tblGrid>
      <w:tr w:rsidR="006B36E6" w:rsidRPr="00167A1B" w14:paraId="09F7D225" w14:textId="77777777" w:rsidTr="005E0F2F">
        <w:trPr>
          <w:cnfStyle w:val="100000000000" w:firstRow="1" w:lastRow="0" w:firstColumn="0" w:lastColumn="0" w:oddVBand="0" w:evenVBand="0" w:oddHBand="0" w:evenHBand="0" w:firstRowFirstColumn="0" w:firstRowLastColumn="0" w:lastRowFirstColumn="0" w:lastRowLastColumn="0"/>
          <w:trHeight w:val="89"/>
        </w:trPr>
        <w:tc>
          <w:tcPr>
            <w:tcW w:w="4547" w:type="dxa"/>
            <w:vMerge w:val="restart"/>
            <w:shd w:val="clear" w:color="auto" w:fill="0C4DA2" w:themeFill="text2"/>
            <w:noWrap/>
            <w:vAlign w:val="center"/>
            <w:hideMark/>
          </w:tcPr>
          <w:p w14:paraId="095F70D7" w14:textId="77777777" w:rsidR="006B36E6" w:rsidRPr="00167A1B" w:rsidRDefault="006B36E6" w:rsidP="009D260B">
            <w:pPr>
              <w:spacing w:after="0"/>
              <w:jc w:val="center"/>
              <w:rPr>
                <w:rFonts w:asciiTheme="minorHAnsi" w:hAnsiTheme="minorHAnsi" w:cstheme="minorHAnsi"/>
                <w:b/>
                <w:bCs/>
                <w:color w:val="FFFFFF" w:themeColor="background1"/>
                <w:sz w:val="18"/>
                <w:szCs w:val="18"/>
              </w:rPr>
            </w:pPr>
            <w:r w:rsidRPr="00167A1B">
              <w:rPr>
                <w:rFonts w:asciiTheme="minorHAnsi" w:hAnsiTheme="minorHAnsi" w:cstheme="minorHAnsi"/>
                <w:b/>
                <w:bCs/>
                <w:color w:val="FFFFFF" w:themeColor="background1"/>
                <w:sz w:val="18"/>
                <w:szCs w:val="18"/>
              </w:rPr>
              <w:t>Life-Cycle Phase</w:t>
            </w:r>
          </w:p>
        </w:tc>
        <w:tc>
          <w:tcPr>
            <w:tcW w:w="4237" w:type="dxa"/>
            <w:gridSpan w:val="2"/>
            <w:shd w:val="clear" w:color="auto" w:fill="0C4DA2" w:themeFill="text2"/>
            <w:vAlign w:val="center"/>
          </w:tcPr>
          <w:p w14:paraId="2D78AFAA" w14:textId="77777777" w:rsidR="006B36E6" w:rsidRPr="00167A1B" w:rsidRDefault="006B36E6" w:rsidP="009D260B">
            <w:pPr>
              <w:pStyle w:val="Caption"/>
              <w:spacing w:after="0"/>
              <w:rPr>
                <w:rFonts w:asciiTheme="minorHAnsi" w:hAnsiTheme="minorHAnsi" w:cstheme="minorHAnsi"/>
                <w:b/>
                <w:color w:val="FFFFFF" w:themeColor="background1"/>
                <w:szCs w:val="18"/>
              </w:rPr>
            </w:pPr>
            <w:r w:rsidRPr="00167A1B">
              <w:rPr>
                <w:rFonts w:asciiTheme="minorHAnsi" w:hAnsiTheme="minorHAnsi" w:cstheme="minorHAnsi"/>
                <w:b/>
                <w:i w:val="0"/>
                <w:color w:val="FFFFFF" w:themeColor="background1"/>
                <w:szCs w:val="18"/>
              </w:rPr>
              <w:t xml:space="preserve">Average GWP </w:t>
            </w:r>
            <w:r w:rsidRPr="00167A1B">
              <w:rPr>
                <w:rFonts w:asciiTheme="minorHAnsi" w:hAnsiTheme="minorHAnsi" w:cstheme="minorHAnsi"/>
                <w:b/>
                <w:i w:val="0"/>
                <w:color w:val="FFFFFF" w:themeColor="background1"/>
                <w:szCs w:val="18"/>
              </w:rPr>
              <w:br/>
              <w:t>(kg CO</w:t>
            </w:r>
            <w:r w:rsidRPr="00167A1B">
              <w:rPr>
                <w:rFonts w:asciiTheme="minorHAnsi" w:hAnsiTheme="minorHAnsi" w:cstheme="minorHAnsi"/>
                <w:b/>
                <w:i w:val="0"/>
                <w:color w:val="FFFFFF" w:themeColor="background1"/>
                <w:szCs w:val="18"/>
                <w:vertAlign w:val="subscript"/>
              </w:rPr>
              <w:t>2e</w:t>
            </w:r>
            <w:r w:rsidRPr="00167A1B">
              <w:rPr>
                <w:rFonts w:asciiTheme="minorHAnsi" w:hAnsiTheme="minorHAnsi" w:cstheme="minorHAnsi"/>
                <w:b/>
                <w:i w:val="0"/>
                <w:color w:val="FFFFFF" w:themeColor="background1"/>
                <w:szCs w:val="18"/>
              </w:rPr>
              <w:t xml:space="preserve"> per g of weight of component)</w:t>
            </w:r>
          </w:p>
        </w:tc>
      </w:tr>
      <w:tr w:rsidR="006B36E6" w:rsidRPr="00167A1B" w14:paraId="67998BE0" w14:textId="77777777" w:rsidTr="005E0F2F">
        <w:trPr>
          <w:trHeight w:val="38"/>
        </w:trPr>
        <w:tc>
          <w:tcPr>
            <w:tcW w:w="4547" w:type="dxa"/>
            <w:vMerge/>
            <w:shd w:val="clear" w:color="auto" w:fill="0C4DA2" w:themeFill="text2"/>
            <w:noWrap/>
            <w:vAlign w:val="center"/>
            <w:hideMark/>
          </w:tcPr>
          <w:p w14:paraId="03459090" w14:textId="77777777" w:rsidR="006B36E6" w:rsidRPr="00167A1B" w:rsidRDefault="006B36E6" w:rsidP="009D260B">
            <w:pPr>
              <w:spacing w:after="0" w:line="276" w:lineRule="auto"/>
              <w:jc w:val="center"/>
              <w:rPr>
                <w:rFonts w:asciiTheme="minorHAnsi" w:hAnsiTheme="minorHAnsi" w:cstheme="minorHAnsi"/>
                <w:b/>
                <w:bCs/>
                <w:color w:val="FFFFFF" w:themeColor="background1"/>
                <w:sz w:val="18"/>
                <w:szCs w:val="18"/>
              </w:rPr>
            </w:pPr>
          </w:p>
        </w:tc>
        <w:tc>
          <w:tcPr>
            <w:tcW w:w="1670" w:type="dxa"/>
            <w:shd w:val="clear" w:color="auto" w:fill="0C4DA2" w:themeFill="text2"/>
            <w:vAlign w:val="center"/>
          </w:tcPr>
          <w:p w14:paraId="1EC7A3DB" w14:textId="77777777" w:rsidR="006B36E6" w:rsidRPr="00167A1B" w:rsidRDefault="006B36E6" w:rsidP="009D260B">
            <w:pPr>
              <w:spacing w:after="0" w:line="276" w:lineRule="auto"/>
              <w:jc w:val="center"/>
              <w:rPr>
                <w:rFonts w:asciiTheme="minorHAnsi" w:hAnsiTheme="minorHAnsi" w:cstheme="minorHAnsi"/>
                <w:b/>
                <w:bCs/>
                <w:color w:val="FFFFFF" w:themeColor="background1"/>
                <w:sz w:val="18"/>
                <w:szCs w:val="18"/>
              </w:rPr>
            </w:pPr>
            <w:r w:rsidRPr="00167A1B">
              <w:rPr>
                <w:rFonts w:asciiTheme="minorHAnsi" w:hAnsiTheme="minorHAnsi" w:cstheme="minorHAnsi"/>
                <w:b/>
                <w:bCs/>
                <w:color w:val="FFFFFF" w:themeColor="background1"/>
                <w:sz w:val="18"/>
                <w:szCs w:val="18"/>
              </w:rPr>
              <w:t>EPS</w:t>
            </w:r>
          </w:p>
        </w:tc>
        <w:tc>
          <w:tcPr>
            <w:tcW w:w="2567" w:type="dxa"/>
            <w:shd w:val="clear" w:color="auto" w:fill="0C4DA2" w:themeFill="text2"/>
            <w:vAlign w:val="center"/>
          </w:tcPr>
          <w:p w14:paraId="6BE5BD3C" w14:textId="77777777" w:rsidR="006B36E6" w:rsidRPr="00167A1B" w:rsidRDefault="006B36E6" w:rsidP="009D260B">
            <w:pPr>
              <w:spacing w:after="0" w:line="276" w:lineRule="auto"/>
              <w:jc w:val="center"/>
              <w:rPr>
                <w:rFonts w:asciiTheme="minorHAnsi" w:hAnsiTheme="minorHAnsi" w:cstheme="minorHAnsi"/>
                <w:b/>
                <w:bCs/>
                <w:color w:val="FFFFFF" w:themeColor="background1"/>
                <w:sz w:val="18"/>
                <w:szCs w:val="18"/>
              </w:rPr>
            </w:pPr>
            <w:r w:rsidRPr="00167A1B">
              <w:rPr>
                <w:rFonts w:asciiTheme="minorHAnsi" w:hAnsiTheme="minorHAnsi" w:cstheme="minorHAnsi"/>
                <w:b/>
                <w:bCs/>
                <w:color w:val="FFFFFF" w:themeColor="background1"/>
                <w:sz w:val="18"/>
                <w:szCs w:val="18"/>
              </w:rPr>
              <w:t>Cable</w:t>
            </w:r>
          </w:p>
        </w:tc>
      </w:tr>
      <w:tr w:rsidR="006B36E6" w:rsidRPr="00167A1B" w14:paraId="0AD26A54" w14:textId="77777777" w:rsidTr="005E0F2F">
        <w:trPr>
          <w:trHeight w:val="244"/>
        </w:trPr>
        <w:tc>
          <w:tcPr>
            <w:tcW w:w="4547" w:type="dxa"/>
            <w:noWrap/>
            <w:vAlign w:val="center"/>
            <w:hideMark/>
          </w:tcPr>
          <w:p w14:paraId="0897EB91" w14:textId="77777777" w:rsidR="006B36E6" w:rsidRPr="00167A1B" w:rsidRDefault="006B36E6" w:rsidP="009D260B">
            <w:pPr>
              <w:spacing w:after="0" w:line="276" w:lineRule="auto"/>
              <w:jc w:val="center"/>
              <w:rPr>
                <w:rFonts w:asciiTheme="minorHAnsi" w:hAnsiTheme="minorHAnsi" w:cstheme="minorHAnsi"/>
                <w:b/>
                <w:color w:val="000000"/>
                <w:sz w:val="18"/>
                <w:szCs w:val="18"/>
              </w:rPr>
            </w:pPr>
            <w:r w:rsidRPr="00167A1B">
              <w:rPr>
                <w:rFonts w:asciiTheme="minorHAnsi" w:hAnsiTheme="minorHAnsi" w:cstheme="minorHAnsi"/>
                <w:sz w:val="18"/>
                <w:szCs w:val="18"/>
              </w:rPr>
              <w:t>Raw material and</w:t>
            </w:r>
            <w:r w:rsidRPr="00167A1B">
              <w:rPr>
                <w:rFonts w:asciiTheme="minorHAnsi" w:hAnsiTheme="minorHAnsi" w:cstheme="minorHAnsi"/>
                <w:bCs/>
                <w:color w:val="000000"/>
                <w:sz w:val="18"/>
                <w:szCs w:val="18"/>
              </w:rPr>
              <w:t xml:space="preserve"> manufacturing</w:t>
            </w:r>
          </w:p>
        </w:tc>
        <w:tc>
          <w:tcPr>
            <w:tcW w:w="1670" w:type="dxa"/>
            <w:vAlign w:val="center"/>
          </w:tcPr>
          <w:p w14:paraId="4734CF53" w14:textId="77777777" w:rsidR="006B36E6" w:rsidRPr="00167A1B" w:rsidRDefault="006B36E6" w:rsidP="009D260B">
            <w:pPr>
              <w:spacing w:after="0" w:line="276" w:lineRule="auto"/>
              <w:jc w:val="center"/>
              <w:rPr>
                <w:rFonts w:asciiTheme="minorHAnsi" w:hAnsiTheme="minorHAnsi" w:cstheme="minorHAnsi"/>
                <w:bCs/>
                <w:color w:val="000000"/>
                <w:sz w:val="18"/>
                <w:szCs w:val="18"/>
              </w:rPr>
            </w:pPr>
            <w:r w:rsidRPr="00167A1B">
              <w:rPr>
                <w:rFonts w:asciiTheme="minorHAnsi" w:hAnsiTheme="minorHAnsi" w:cstheme="minorHAnsi"/>
                <w:bCs/>
                <w:color w:val="000000"/>
                <w:sz w:val="18"/>
                <w:szCs w:val="18"/>
              </w:rPr>
              <w:t>0.035</w:t>
            </w:r>
          </w:p>
        </w:tc>
        <w:tc>
          <w:tcPr>
            <w:tcW w:w="2567" w:type="dxa"/>
            <w:vAlign w:val="center"/>
          </w:tcPr>
          <w:p w14:paraId="50027F17" w14:textId="77777777" w:rsidR="006B36E6" w:rsidRPr="00167A1B" w:rsidRDefault="006B36E6" w:rsidP="009D260B">
            <w:pPr>
              <w:spacing w:after="0" w:line="276" w:lineRule="auto"/>
              <w:jc w:val="center"/>
              <w:rPr>
                <w:rFonts w:asciiTheme="minorHAnsi" w:hAnsiTheme="minorHAnsi" w:cstheme="minorHAnsi"/>
                <w:bCs/>
                <w:color w:val="000000"/>
                <w:sz w:val="18"/>
                <w:szCs w:val="18"/>
              </w:rPr>
            </w:pPr>
            <w:r w:rsidRPr="00167A1B">
              <w:rPr>
                <w:rFonts w:asciiTheme="minorHAnsi" w:hAnsiTheme="minorHAnsi" w:cstheme="minorHAnsi"/>
                <w:bCs/>
                <w:color w:val="000000"/>
                <w:sz w:val="18"/>
                <w:szCs w:val="18"/>
              </w:rPr>
              <w:t>0.012</w:t>
            </w:r>
          </w:p>
        </w:tc>
      </w:tr>
      <w:tr w:rsidR="006B36E6" w:rsidRPr="00167A1B" w14:paraId="21478589" w14:textId="77777777" w:rsidTr="005E0F2F">
        <w:trPr>
          <w:trHeight w:val="8"/>
        </w:trPr>
        <w:tc>
          <w:tcPr>
            <w:tcW w:w="4547" w:type="dxa"/>
            <w:noWrap/>
            <w:vAlign w:val="center"/>
          </w:tcPr>
          <w:p w14:paraId="4545CB3E" w14:textId="77777777" w:rsidR="006B36E6" w:rsidRPr="00167A1B" w:rsidRDefault="006B36E6" w:rsidP="009D260B">
            <w:pPr>
              <w:spacing w:after="0" w:line="276" w:lineRule="auto"/>
              <w:jc w:val="center"/>
              <w:rPr>
                <w:rFonts w:asciiTheme="minorHAnsi" w:hAnsiTheme="minorHAnsi" w:cstheme="minorHAnsi"/>
                <w:bCs/>
                <w:color w:val="000000"/>
                <w:sz w:val="18"/>
                <w:szCs w:val="18"/>
              </w:rPr>
            </w:pPr>
            <w:r w:rsidRPr="00167A1B">
              <w:rPr>
                <w:rFonts w:asciiTheme="minorHAnsi" w:hAnsiTheme="minorHAnsi" w:cstheme="minorHAnsi"/>
                <w:bCs/>
                <w:color w:val="000000"/>
                <w:sz w:val="18"/>
                <w:szCs w:val="18"/>
              </w:rPr>
              <w:t>Transport</w:t>
            </w:r>
          </w:p>
        </w:tc>
        <w:tc>
          <w:tcPr>
            <w:tcW w:w="1670" w:type="dxa"/>
            <w:vAlign w:val="center"/>
          </w:tcPr>
          <w:p w14:paraId="2192E23E" w14:textId="77777777" w:rsidR="006B36E6" w:rsidRPr="00167A1B" w:rsidRDefault="006B36E6" w:rsidP="009D260B">
            <w:pPr>
              <w:spacing w:after="0" w:line="276" w:lineRule="auto"/>
              <w:jc w:val="center"/>
              <w:rPr>
                <w:rFonts w:asciiTheme="minorHAnsi" w:hAnsiTheme="minorHAnsi" w:cstheme="minorHAnsi"/>
                <w:bCs/>
                <w:color w:val="000000"/>
                <w:sz w:val="18"/>
                <w:szCs w:val="18"/>
              </w:rPr>
            </w:pPr>
            <w:r w:rsidRPr="00167A1B">
              <w:rPr>
                <w:rFonts w:asciiTheme="minorHAnsi" w:hAnsiTheme="minorHAnsi" w:cstheme="minorHAnsi"/>
                <w:bCs/>
                <w:color w:val="000000"/>
                <w:sz w:val="18"/>
                <w:szCs w:val="18"/>
              </w:rPr>
              <w:t>0.031</w:t>
            </w:r>
          </w:p>
        </w:tc>
        <w:tc>
          <w:tcPr>
            <w:tcW w:w="2567" w:type="dxa"/>
            <w:vAlign w:val="center"/>
          </w:tcPr>
          <w:p w14:paraId="1AFE1A66" w14:textId="77777777" w:rsidR="006B36E6" w:rsidRPr="00167A1B" w:rsidRDefault="006B36E6" w:rsidP="009D260B">
            <w:pPr>
              <w:spacing w:after="0" w:line="276" w:lineRule="auto"/>
              <w:jc w:val="center"/>
              <w:rPr>
                <w:rFonts w:asciiTheme="minorHAnsi" w:hAnsiTheme="minorHAnsi" w:cstheme="minorHAnsi"/>
                <w:bCs/>
                <w:color w:val="000000"/>
                <w:sz w:val="18"/>
                <w:szCs w:val="18"/>
              </w:rPr>
            </w:pPr>
            <w:r w:rsidRPr="00167A1B">
              <w:rPr>
                <w:rFonts w:asciiTheme="minorHAnsi" w:hAnsiTheme="minorHAnsi" w:cstheme="minorHAnsi"/>
                <w:bCs/>
                <w:color w:val="000000"/>
                <w:sz w:val="18"/>
                <w:szCs w:val="18"/>
              </w:rPr>
              <w:t>0.023</w:t>
            </w:r>
          </w:p>
        </w:tc>
      </w:tr>
      <w:tr w:rsidR="006B36E6" w:rsidRPr="00167A1B" w14:paraId="51008A03" w14:textId="77777777" w:rsidTr="005E0F2F">
        <w:trPr>
          <w:trHeight w:val="27"/>
        </w:trPr>
        <w:tc>
          <w:tcPr>
            <w:tcW w:w="4547" w:type="dxa"/>
            <w:noWrap/>
            <w:vAlign w:val="center"/>
          </w:tcPr>
          <w:p w14:paraId="4FDAA160" w14:textId="77777777" w:rsidR="006B36E6" w:rsidRPr="00167A1B" w:rsidRDefault="006B36E6" w:rsidP="009D260B">
            <w:pPr>
              <w:spacing w:after="0" w:line="276" w:lineRule="auto"/>
              <w:jc w:val="center"/>
              <w:rPr>
                <w:rFonts w:asciiTheme="minorHAnsi" w:hAnsiTheme="minorHAnsi" w:cstheme="minorHAnsi"/>
                <w:bCs/>
                <w:color w:val="000000"/>
                <w:sz w:val="18"/>
                <w:szCs w:val="18"/>
              </w:rPr>
            </w:pPr>
            <w:r w:rsidRPr="00167A1B">
              <w:rPr>
                <w:rFonts w:asciiTheme="minorHAnsi" w:hAnsiTheme="minorHAnsi" w:cstheme="minorHAnsi"/>
                <w:bCs/>
                <w:color w:val="000000"/>
                <w:sz w:val="18"/>
                <w:szCs w:val="18"/>
              </w:rPr>
              <w:t>End of life</w:t>
            </w:r>
          </w:p>
        </w:tc>
        <w:tc>
          <w:tcPr>
            <w:tcW w:w="1670" w:type="dxa"/>
            <w:vAlign w:val="center"/>
          </w:tcPr>
          <w:p w14:paraId="116DBA18" w14:textId="77777777" w:rsidR="006B36E6" w:rsidRPr="00167A1B" w:rsidRDefault="006B36E6" w:rsidP="009D260B">
            <w:pPr>
              <w:spacing w:after="0" w:line="276" w:lineRule="auto"/>
              <w:jc w:val="center"/>
              <w:rPr>
                <w:rFonts w:asciiTheme="minorHAnsi" w:hAnsiTheme="minorHAnsi" w:cstheme="minorHAnsi"/>
                <w:bCs/>
                <w:color w:val="000000"/>
                <w:sz w:val="18"/>
                <w:szCs w:val="18"/>
              </w:rPr>
            </w:pPr>
            <w:r w:rsidRPr="00167A1B">
              <w:rPr>
                <w:rFonts w:asciiTheme="minorHAnsi" w:hAnsiTheme="minorHAnsi" w:cstheme="minorHAnsi"/>
                <w:bCs/>
                <w:color w:val="000000"/>
                <w:sz w:val="18"/>
                <w:szCs w:val="18"/>
              </w:rPr>
              <w:t>0.0003</w:t>
            </w:r>
          </w:p>
        </w:tc>
        <w:tc>
          <w:tcPr>
            <w:tcW w:w="2567" w:type="dxa"/>
            <w:vAlign w:val="center"/>
          </w:tcPr>
          <w:p w14:paraId="3988D282" w14:textId="77777777" w:rsidR="006B36E6" w:rsidRPr="00167A1B" w:rsidRDefault="006B36E6" w:rsidP="009D260B">
            <w:pPr>
              <w:spacing w:after="0" w:line="276" w:lineRule="auto"/>
              <w:jc w:val="center"/>
              <w:rPr>
                <w:rFonts w:asciiTheme="minorHAnsi" w:hAnsiTheme="minorHAnsi" w:cstheme="minorHAnsi"/>
                <w:bCs/>
                <w:color w:val="000000"/>
                <w:sz w:val="18"/>
                <w:szCs w:val="18"/>
              </w:rPr>
            </w:pPr>
            <w:r w:rsidRPr="00167A1B">
              <w:rPr>
                <w:rFonts w:asciiTheme="minorHAnsi" w:hAnsiTheme="minorHAnsi" w:cstheme="minorHAnsi"/>
                <w:bCs/>
                <w:color w:val="000000"/>
                <w:sz w:val="18"/>
                <w:szCs w:val="18"/>
              </w:rPr>
              <w:t>0.0002</w:t>
            </w:r>
          </w:p>
        </w:tc>
      </w:tr>
      <w:tr w:rsidR="006B36E6" w:rsidRPr="00167A1B" w14:paraId="3DE99BE4" w14:textId="77777777" w:rsidTr="005E0F2F">
        <w:trPr>
          <w:trHeight w:val="27"/>
        </w:trPr>
        <w:tc>
          <w:tcPr>
            <w:tcW w:w="4547" w:type="dxa"/>
            <w:noWrap/>
            <w:vAlign w:val="center"/>
          </w:tcPr>
          <w:p w14:paraId="1CBB6531" w14:textId="77777777" w:rsidR="006B36E6" w:rsidRPr="00167A1B" w:rsidRDefault="006B36E6" w:rsidP="009D260B">
            <w:pPr>
              <w:spacing w:after="0" w:line="276" w:lineRule="auto"/>
              <w:jc w:val="center"/>
              <w:rPr>
                <w:rFonts w:asciiTheme="minorHAnsi" w:hAnsiTheme="minorHAnsi" w:cstheme="minorHAnsi"/>
                <w:b/>
                <w:color w:val="000000"/>
                <w:sz w:val="18"/>
                <w:szCs w:val="18"/>
              </w:rPr>
            </w:pPr>
            <w:r w:rsidRPr="00167A1B">
              <w:rPr>
                <w:rFonts w:asciiTheme="minorHAnsi" w:hAnsiTheme="minorHAnsi" w:cstheme="minorHAnsi"/>
                <w:b/>
                <w:color w:val="000000"/>
                <w:sz w:val="18"/>
                <w:szCs w:val="18"/>
              </w:rPr>
              <w:t>Total</w:t>
            </w:r>
          </w:p>
        </w:tc>
        <w:tc>
          <w:tcPr>
            <w:tcW w:w="1670" w:type="dxa"/>
            <w:vAlign w:val="center"/>
          </w:tcPr>
          <w:p w14:paraId="5C25C2F2" w14:textId="77777777" w:rsidR="006B36E6" w:rsidRPr="00167A1B" w:rsidRDefault="006B36E6" w:rsidP="009D260B">
            <w:pPr>
              <w:spacing w:after="0" w:line="276" w:lineRule="auto"/>
              <w:jc w:val="center"/>
              <w:rPr>
                <w:rFonts w:asciiTheme="minorHAnsi" w:hAnsiTheme="minorHAnsi" w:cstheme="minorHAnsi"/>
                <w:b/>
                <w:color w:val="000000"/>
                <w:sz w:val="18"/>
                <w:szCs w:val="18"/>
              </w:rPr>
            </w:pPr>
            <w:r w:rsidRPr="00167A1B">
              <w:rPr>
                <w:rFonts w:asciiTheme="minorHAnsi" w:hAnsiTheme="minorHAnsi" w:cstheme="minorHAnsi"/>
                <w:b/>
                <w:color w:val="000000"/>
                <w:sz w:val="18"/>
                <w:szCs w:val="18"/>
              </w:rPr>
              <w:t>0.066</w:t>
            </w:r>
          </w:p>
        </w:tc>
        <w:tc>
          <w:tcPr>
            <w:tcW w:w="2567" w:type="dxa"/>
            <w:vAlign w:val="center"/>
          </w:tcPr>
          <w:p w14:paraId="2FB495F5" w14:textId="77777777" w:rsidR="006B36E6" w:rsidRPr="00167A1B" w:rsidRDefault="006B36E6" w:rsidP="009D260B">
            <w:pPr>
              <w:spacing w:after="0" w:line="276" w:lineRule="auto"/>
              <w:jc w:val="center"/>
              <w:rPr>
                <w:rFonts w:asciiTheme="minorHAnsi" w:hAnsiTheme="minorHAnsi" w:cstheme="minorHAnsi"/>
                <w:b/>
                <w:color w:val="000000"/>
                <w:sz w:val="18"/>
                <w:szCs w:val="18"/>
              </w:rPr>
            </w:pPr>
            <w:r w:rsidRPr="00167A1B">
              <w:rPr>
                <w:rFonts w:asciiTheme="minorHAnsi" w:hAnsiTheme="minorHAnsi" w:cstheme="minorHAnsi"/>
                <w:b/>
                <w:color w:val="000000"/>
                <w:sz w:val="18"/>
                <w:szCs w:val="18"/>
              </w:rPr>
              <w:t>0.035</w:t>
            </w:r>
          </w:p>
        </w:tc>
      </w:tr>
    </w:tbl>
    <w:p w14:paraId="460E4308" w14:textId="77777777" w:rsidR="006B36E6" w:rsidRPr="00167A1B" w:rsidRDefault="006B36E6" w:rsidP="006B36E6">
      <w:pPr>
        <w:spacing w:line="276" w:lineRule="auto"/>
        <w:rPr>
          <w:sz w:val="22"/>
          <w:szCs w:val="22"/>
        </w:rPr>
      </w:pPr>
    </w:p>
    <w:p w14:paraId="0D5EA969" w14:textId="59D68C6B" w:rsidR="006B36E6" w:rsidRPr="00167A1B" w:rsidRDefault="006B36E6" w:rsidP="006B36E6">
      <w:pPr>
        <w:pStyle w:val="Caption"/>
      </w:pPr>
      <w:bookmarkStart w:id="36" w:name="_Ref70088236"/>
      <w:r w:rsidRPr="00167A1B">
        <w:t xml:space="preserve">Table </w:t>
      </w:r>
      <w:r w:rsidRPr="00167A1B">
        <w:fldChar w:fldCharType="begin"/>
      </w:r>
      <w:r w:rsidRPr="00167A1B">
        <w:instrText xml:space="preserve"> SEQ Table \* ARABIC \s 1 </w:instrText>
      </w:r>
      <w:r w:rsidRPr="00167A1B">
        <w:fldChar w:fldCharType="separate"/>
      </w:r>
      <w:r w:rsidR="00953106" w:rsidRPr="00167A1B">
        <w:t>8</w:t>
      </w:r>
      <w:r w:rsidRPr="00167A1B">
        <w:fldChar w:fldCharType="end"/>
      </w:r>
      <w:bookmarkEnd w:id="36"/>
      <w:r w:rsidRPr="00167A1B">
        <w:t>. Average GHG emissions per unit of component</w:t>
      </w:r>
    </w:p>
    <w:tbl>
      <w:tblPr>
        <w:tblStyle w:val="TableGrid"/>
        <w:tblW w:w="8784" w:type="dxa"/>
        <w:tblLook w:val="04A0" w:firstRow="1" w:lastRow="0" w:firstColumn="1" w:lastColumn="0" w:noHBand="0" w:noVBand="1"/>
      </w:tblPr>
      <w:tblGrid>
        <w:gridCol w:w="2461"/>
        <w:gridCol w:w="4208"/>
        <w:gridCol w:w="2115"/>
      </w:tblGrid>
      <w:tr w:rsidR="006B36E6" w:rsidRPr="00167A1B" w14:paraId="3E9CF915" w14:textId="77777777" w:rsidTr="00250BF5">
        <w:trPr>
          <w:cnfStyle w:val="100000000000" w:firstRow="1" w:lastRow="0" w:firstColumn="0" w:lastColumn="0" w:oddVBand="0" w:evenVBand="0" w:oddHBand="0" w:evenHBand="0" w:firstRowFirstColumn="0" w:firstRowLastColumn="0" w:lastRowFirstColumn="0" w:lastRowLastColumn="0"/>
          <w:trHeight w:val="490"/>
          <w:tblHeader/>
        </w:trPr>
        <w:tc>
          <w:tcPr>
            <w:tcW w:w="6669" w:type="dxa"/>
            <w:gridSpan w:val="2"/>
            <w:shd w:val="clear" w:color="auto" w:fill="0C4DA2" w:themeFill="text2"/>
            <w:noWrap/>
          </w:tcPr>
          <w:p w14:paraId="0395E8EE" w14:textId="77777777" w:rsidR="006B36E6" w:rsidRPr="00167A1B" w:rsidRDefault="006B36E6" w:rsidP="009D260B">
            <w:pPr>
              <w:spacing w:after="0"/>
              <w:jc w:val="left"/>
              <w:rPr>
                <w:rFonts w:asciiTheme="minorHAnsi" w:hAnsiTheme="minorHAnsi" w:cstheme="minorHAnsi"/>
                <w:color w:val="auto"/>
                <w:sz w:val="18"/>
                <w:szCs w:val="18"/>
              </w:rPr>
            </w:pPr>
            <w:r w:rsidRPr="00167A1B">
              <w:rPr>
                <w:rFonts w:ascii="Arial" w:hAnsi="Arial" w:cs="Arial"/>
                <w:b/>
                <w:color w:val="FFFFFF" w:themeColor="background1"/>
                <w:sz w:val="18"/>
                <w:szCs w:val="18"/>
              </w:rPr>
              <w:t>Component type</w:t>
            </w:r>
          </w:p>
        </w:tc>
        <w:tc>
          <w:tcPr>
            <w:tcW w:w="2115" w:type="dxa"/>
            <w:shd w:val="clear" w:color="auto" w:fill="0C4DA2" w:themeFill="text2"/>
            <w:noWrap/>
          </w:tcPr>
          <w:p w14:paraId="2915A663" w14:textId="77777777" w:rsidR="006B36E6" w:rsidRPr="00167A1B" w:rsidRDefault="006B36E6" w:rsidP="009D260B">
            <w:pPr>
              <w:spacing w:after="0"/>
              <w:jc w:val="center"/>
              <w:rPr>
                <w:rFonts w:ascii="Arial" w:hAnsi="Arial" w:cs="Arial"/>
                <w:b/>
                <w:color w:val="FFFFFF" w:themeColor="background1"/>
                <w:sz w:val="18"/>
                <w:szCs w:val="18"/>
              </w:rPr>
            </w:pPr>
            <w:r w:rsidRPr="00167A1B">
              <w:rPr>
                <w:rFonts w:ascii="Arial" w:hAnsi="Arial" w:cs="Arial"/>
                <w:b/>
                <w:color w:val="FFFFFF" w:themeColor="background1"/>
                <w:sz w:val="18"/>
                <w:szCs w:val="18"/>
              </w:rPr>
              <w:t>Average GHG emissions (kg CO</w:t>
            </w:r>
            <w:r w:rsidRPr="00167A1B">
              <w:rPr>
                <w:rFonts w:ascii="Arial" w:hAnsi="Arial" w:cs="Arial"/>
                <w:b/>
                <w:color w:val="FFFFFF" w:themeColor="background1"/>
                <w:sz w:val="18"/>
                <w:szCs w:val="18"/>
                <w:vertAlign w:val="subscript"/>
              </w:rPr>
              <w:t>2</w:t>
            </w:r>
            <w:r w:rsidRPr="00167A1B">
              <w:rPr>
                <w:rFonts w:ascii="Arial" w:hAnsi="Arial" w:cs="Arial"/>
                <w:b/>
                <w:color w:val="FFFFFF" w:themeColor="background1"/>
                <w:sz w:val="18"/>
                <w:szCs w:val="18"/>
              </w:rPr>
              <w:t>e)</w:t>
            </w:r>
          </w:p>
        </w:tc>
      </w:tr>
      <w:tr w:rsidR="006B36E6" w:rsidRPr="00167A1B" w14:paraId="37C865A2" w14:textId="77777777" w:rsidTr="005E0F2F">
        <w:trPr>
          <w:trHeight w:val="242"/>
        </w:trPr>
        <w:tc>
          <w:tcPr>
            <w:tcW w:w="2461" w:type="dxa"/>
            <w:noWrap/>
            <w:hideMark/>
          </w:tcPr>
          <w:p w14:paraId="270C81A8"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EPS &lt; 7.5 W</w:t>
            </w:r>
          </w:p>
        </w:tc>
        <w:tc>
          <w:tcPr>
            <w:tcW w:w="4208" w:type="dxa"/>
            <w:noWrap/>
            <w:hideMark/>
          </w:tcPr>
          <w:p w14:paraId="25D6DA82"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USB Type-A receptacle</w:t>
            </w:r>
          </w:p>
        </w:tc>
        <w:tc>
          <w:tcPr>
            <w:tcW w:w="2115" w:type="dxa"/>
            <w:noWrap/>
            <w:hideMark/>
          </w:tcPr>
          <w:p w14:paraId="3E8963DA"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1.8</w:t>
            </w:r>
          </w:p>
        </w:tc>
      </w:tr>
      <w:tr w:rsidR="006B36E6" w:rsidRPr="00167A1B" w14:paraId="74ADA5B6" w14:textId="77777777" w:rsidTr="005E0F2F">
        <w:trPr>
          <w:trHeight w:val="242"/>
        </w:trPr>
        <w:tc>
          <w:tcPr>
            <w:tcW w:w="2461" w:type="dxa"/>
            <w:noWrap/>
            <w:hideMark/>
          </w:tcPr>
          <w:p w14:paraId="1DEFBD9D"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EPS &lt; 7.5 W</w:t>
            </w:r>
          </w:p>
        </w:tc>
        <w:tc>
          <w:tcPr>
            <w:tcW w:w="4208" w:type="dxa"/>
            <w:noWrap/>
            <w:hideMark/>
          </w:tcPr>
          <w:p w14:paraId="1149E7A3"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USB Type-C receptacle</w:t>
            </w:r>
          </w:p>
        </w:tc>
        <w:tc>
          <w:tcPr>
            <w:tcW w:w="2115" w:type="dxa"/>
            <w:noWrap/>
            <w:hideMark/>
          </w:tcPr>
          <w:p w14:paraId="5B480326"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1.8</w:t>
            </w:r>
          </w:p>
        </w:tc>
      </w:tr>
      <w:tr w:rsidR="006B36E6" w:rsidRPr="00167A1B" w14:paraId="5BAF626C" w14:textId="77777777" w:rsidTr="005E0F2F">
        <w:trPr>
          <w:trHeight w:val="242"/>
        </w:trPr>
        <w:tc>
          <w:tcPr>
            <w:tcW w:w="2461" w:type="dxa"/>
            <w:noWrap/>
            <w:hideMark/>
          </w:tcPr>
          <w:p w14:paraId="44BB4050"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EPS &lt; 7.5 W</w:t>
            </w:r>
          </w:p>
        </w:tc>
        <w:tc>
          <w:tcPr>
            <w:tcW w:w="4208" w:type="dxa"/>
            <w:noWrap/>
            <w:hideMark/>
          </w:tcPr>
          <w:p w14:paraId="5E9F0704"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USB Type-A and Type-C receptacles (multi-port)</w:t>
            </w:r>
          </w:p>
        </w:tc>
        <w:tc>
          <w:tcPr>
            <w:tcW w:w="2115" w:type="dxa"/>
            <w:noWrap/>
            <w:hideMark/>
          </w:tcPr>
          <w:p w14:paraId="15DD0903"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1.8</w:t>
            </w:r>
          </w:p>
        </w:tc>
      </w:tr>
      <w:tr w:rsidR="006B36E6" w:rsidRPr="00167A1B" w14:paraId="38CEB3EE" w14:textId="77777777" w:rsidTr="005E0F2F">
        <w:trPr>
          <w:trHeight w:val="242"/>
        </w:trPr>
        <w:tc>
          <w:tcPr>
            <w:tcW w:w="2461" w:type="dxa"/>
            <w:noWrap/>
            <w:hideMark/>
          </w:tcPr>
          <w:p w14:paraId="725FBB1F"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7.5W &lt;= EPS &lt;=27W</w:t>
            </w:r>
          </w:p>
        </w:tc>
        <w:tc>
          <w:tcPr>
            <w:tcW w:w="4208" w:type="dxa"/>
            <w:noWrap/>
            <w:hideMark/>
          </w:tcPr>
          <w:p w14:paraId="5D9A980F"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USB Type-A receptacle</w:t>
            </w:r>
          </w:p>
        </w:tc>
        <w:tc>
          <w:tcPr>
            <w:tcW w:w="2115" w:type="dxa"/>
            <w:noWrap/>
            <w:hideMark/>
          </w:tcPr>
          <w:p w14:paraId="0EC864C6"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3.3</w:t>
            </w:r>
          </w:p>
        </w:tc>
      </w:tr>
      <w:tr w:rsidR="006B36E6" w:rsidRPr="00167A1B" w14:paraId="3AA98243" w14:textId="77777777" w:rsidTr="005E0F2F">
        <w:trPr>
          <w:trHeight w:val="242"/>
        </w:trPr>
        <w:tc>
          <w:tcPr>
            <w:tcW w:w="2461" w:type="dxa"/>
            <w:noWrap/>
            <w:hideMark/>
          </w:tcPr>
          <w:p w14:paraId="6CD98D8C"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lastRenderedPageBreak/>
              <w:t>7.5W &lt;= EPS &lt;=27W</w:t>
            </w:r>
          </w:p>
        </w:tc>
        <w:tc>
          <w:tcPr>
            <w:tcW w:w="4208" w:type="dxa"/>
            <w:noWrap/>
            <w:hideMark/>
          </w:tcPr>
          <w:p w14:paraId="711816C3"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USB Type-C receptacle</w:t>
            </w:r>
          </w:p>
        </w:tc>
        <w:tc>
          <w:tcPr>
            <w:tcW w:w="2115" w:type="dxa"/>
            <w:noWrap/>
            <w:hideMark/>
          </w:tcPr>
          <w:p w14:paraId="442E2E0D"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4.0</w:t>
            </w:r>
          </w:p>
        </w:tc>
      </w:tr>
      <w:tr w:rsidR="006B36E6" w:rsidRPr="00167A1B" w14:paraId="37BC78C9" w14:textId="77777777" w:rsidTr="005E0F2F">
        <w:trPr>
          <w:trHeight w:val="242"/>
        </w:trPr>
        <w:tc>
          <w:tcPr>
            <w:tcW w:w="2461" w:type="dxa"/>
            <w:noWrap/>
            <w:hideMark/>
          </w:tcPr>
          <w:p w14:paraId="13F72081"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7.5W &lt;= EPS &lt;=27W</w:t>
            </w:r>
          </w:p>
        </w:tc>
        <w:tc>
          <w:tcPr>
            <w:tcW w:w="4208" w:type="dxa"/>
            <w:noWrap/>
            <w:hideMark/>
          </w:tcPr>
          <w:p w14:paraId="0AA6B861"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USB Type-A and Type-C receptacles (multi-port)</w:t>
            </w:r>
          </w:p>
        </w:tc>
        <w:tc>
          <w:tcPr>
            <w:tcW w:w="2115" w:type="dxa"/>
            <w:noWrap/>
            <w:hideMark/>
          </w:tcPr>
          <w:p w14:paraId="38FC079A"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6.7</w:t>
            </w:r>
          </w:p>
        </w:tc>
      </w:tr>
      <w:tr w:rsidR="006B36E6" w:rsidRPr="00167A1B" w14:paraId="4B6BC9CC" w14:textId="77777777" w:rsidTr="005E0F2F">
        <w:trPr>
          <w:trHeight w:val="242"/>
        </w:trPr>
        <w:tc>
          <w:tcPr>
            <w:tcW w:w="2461" w:type="dxa"/>
            <w:noWrap/>
            <w:hideMark/>
          </w:tcPr>
          <w:p w14:paraId="547288B1"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 xml:space="preserve">EPS &gt; 27W </w:t>
            </w:r>
            <w:r w:rsidRPr="00167A1B">
              <w:rPr>
                <w:rStyle w:val="FootnoteReference"/>
                <w:rFonts w:cstheme="minorHAnsi"/>
                <w:szCs w:val="18"/>
              </w:rPr>
              <w:footnoteReference w:id="87"/>
            </w:r>
          </w:p>
        </w:tc>
        <w:tc>
          <w:tcPr>
            <w:tcW w:w="4208" w:type="dxa"/>
            <w:noWrap/>
            <w:hideMark/>
          </w:tcPr>
          <w:p w14:paraId="48F2C7B1"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USB Type-A receptacle</w:t>
            </w:r>
          </w:p>
        </w:tc>
        <w:tc>
          <w:tcPr>
            <w:tcW w:w="2115" w:type="dxa"/>
            <w:noWrap/>
            <w:hideMark/>
          </w:tcPr>
          <w:p w14:paraId="24E39F87"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6.2</w:t>
            </w:r>
          </w:p>
        </w:tc>
      </w:tr>
      <w:tr w:rsidR="006B36E6" w:rsidRPr="00167A1B" w14:paraId="565D5E56" w14:textId="77777777" w:rsidTr="005E0F2F">
        <w:trPr>
          <w:trHeight w:val="242"/>
        </w:trPr>
        <w:tc>
          <w:tcPr>
            <w:tcW w:w="2461" w:type="dxa"/>
            <w:noWrap/>
            <w:hideMark/>
          </w:tcPr>
          <w:p w14:paraId="01296317"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EPS &gt; 27W</w:t>
            </w:r>
          </w:p>
        </w:tc>
        <w:tc>
          <w:tcPr>
            <w:tcW w:w="4208" w:type="dxa"/>
            <w:noWrap/>
            <w:hideMark/>
          </w:tcPr>
          <w:p w14:paraId="2BCB23E0"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USB Type-C receptacle</w:t>
            </w:r>
          </w:p>
        </w:tc>
        <w:tc>
          <w:tcPr>
            <w:tcW w:w="2115" w:type="dxa"/>
            <w:noWrap/>
            <w:hideMark/>
          </w:tcPr>
          <w:p w14:paraId="2B2C1CE6"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7.7</w:t>
            </w:r>
          </w:p>
        </w:tc>
      </w:tr>
      <w:tr w:rsidR="006B36E6" w:rsidRPr="00167A1B" w14:paraId="24AB65C3" w14:textId="77777777" w:rsidTr="005E0F2F">
        <w:trPr>
          <w:trHeight w:val="242"/>
        </w:trPr>
        <w:tc>
          <w:tcPr>
            <w:tcW w:w="2461" w:type="dxa"/>
            <w:noWrap/>
            <w:hideMark/>
          </w:tcPr>
          <w:p w14:paraId="56F8E2F8"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EPS &gt; 27W</w:t>
            </w:r>
          </w:p>
        </w:tc>
        <w:tc>
          <w:tcPr>
            <w:tcW w:w="4208" w:type="dxa"/>
            <w:noWrap/>
            <w:hideMark/>
          </w:tcPr>
          <w:p w14:paraId="25281E76"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USB Type-A and Type-C receptacles (multi-port)</w:t>
            </w:r>
          </w:p>
        </w:tc>
        <w:tc>
          <w:tcPr>
            <w:tcW w:w="2115" w:type="dxa"/>
            <w:noWrap/>
            <w:hideMark/>
          </w:tcPr>
          <w:p w14:paraId="0F254A98"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8.6</w:t>
            </w:r>
          </w:p>
        </w:tc>
      </w:tr>
      <w:tr w:rsidR="006B36E6" w:rsidRPr="00167A1B" w14:paraId="43CC65AB" w14:textId="77777777" w:rsidTr="005E0F2F">
        <w:trPr>
          <w:trHeight w:val="242"/>
        </w:trPr>
        <w:tc>
          <w:tcPr>
            <w:tcW w:w="2461" w:type="dxa"/>
            <w:noWrap/>
            <w:hideMark/>
          </w:tcPr>
          <w:p w14:paraId="5E6BBAB0"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EPS &gt; 27W</w:t>
            </w:r>
          </w:p>
        </w:tc>
        <w:tc>
          <w:tcPr>
            <w:tcW w:w="4208" w:type="dxa"/>
            <w:noWrap/>
            <w:hideMark/>
          </w:tcPr>
          <w:p w14:paraId="65E5CB66"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Captive cable</w:t>
            </w:r>
          </w:p>
        </w:tc>
        <w:tc>
          <w:tcPr>
            <w:tcW w:w="2115" w:type="dxa"/>
            <w:noWrap/>
            <w:hideMark/>
          </w:tcPr>
          <w:p w14:paraId="3BB9039D"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7.4</w:t>
            </w:r>
          </w:p>
        </w:tc>
      </w:tr>
      <w:tr w:rsidR="006B36E6" w:rsidRPr="00167A1B" w14:paraId="5FD0DDE8" w14:textId="77777777" w:rsidTr="005E0F2F">
        <w:trPr>
          <w:trHeight w:val="242"/>
        </w:trPr>
        <w:tc>
          <w:tcPr>
            <w:tcW w:w="2461" w:type="dxa"/>
            <w:noWrap/>
            <w:hideMark/>
          </w:tcPr>
          <w:p w14:paraId="13651D7A"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Cable</w:t>
            </w:r>
          </w:p>
        </w:tc>
        <w:tc>
          <w:tcPr>
            <w:tcW w:w="4208" w:type="dxa"/>
            <w:noWrap/>
            <w:hideMark/>
          </w:tcPr>
          <w:p w14:paraId="29288852"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USB Type-A - USB Micro B plugs</w:t>
            </w:r>
          </w:p>
        </w:tc>
        <w:tc>
          <w:tcPr>
            <w:tcW w:w="2115" w:type="dxa"/>
            <w:noWrap/>
            <w:hideMark/>
          </w:tcPr>
          <w:p w14:paraId="130271B5"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0.7</w:t>
            </w:r>
          </w:p>
        </w:tc>
      </w:tr>
      <w:tr w:rsidR="006B36E6" w:rsidRPr="00167A1B" w14:paraId="437EC72B" w14:textId="77777777" w:rsidTr="005E0F2F">
        <w:trPr>
          <w:trHeight w:val="242"/>
        </w:trPr>
        <w:tc>
          <w:tcPr>
            <w:tcW w:w="2461" w:type="dxa"/>
            <w:noWrap/>
            <w:hideMark/>
          </w:tcPr>
          <w:p w14:paraId="6ADDED1D"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Cable</w:t>
            </w:r>
          </w:p>
        </w:tc>
        <w:tc>
          <w:tcPr>
            <w:tcW w:w="4208" w:type="dxa"/>
            <w:noWrap/>
            <w:hideMark/>
          </w:tcPr>
          <w:p w14:paraId="5EDE5796"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USB Type-A – USB Type-C plugs</w:t>
            </w:r>
          </w:p>
        </w:tc>
        <w:tc>
          <w:tcPr>
            <w:tcW w:w="2115" w:type="dxa"/>
            <w:noWrap/>
            <w:hideMark/>
          </w:tcPr>
          <w:p w14:paraId="12D2FE9F"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1.2</w:t>
            </w:r>
          </w:p>
        </w:tc>
      </w:tr>
      <w:tr w:rsidR="006B36E6" w:rsidRPr="00167A1B" w14:paraId="24A9439D" w14:textId="77777777" w:rsidTr="005E0F2F">
        <w:trPr>
          <w:trHeight w:val="242"/>
        </w:trPr>
        <w:tc>
          <w:tcPr>
            <w:tcW w:w="2461" w:type="dxa"/>
            <w:noWrap/>
            <w:hideMark/>
          </w:tcPr>
          <w:p w14:paraId="71AB994E"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Cable</w:t>
            </w:r>
          </w:p>
        </w:tc>
        <w:tc>
          <w:tcPr>
            <w:tcW w:w="4208" w:type="dxa"/>
            <w:noWrap/>
            <w:hideMark/>
          </w:tcPr>
          <w:p w14:paraId="5F2539A0"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USB Type-A – proprietary (Lightning) plugs</w:t>
            </w:r>
          </w:p>
        </w:tc>
        <w:tc>
          <w:tcPr>
            <w:tcW w:w="2115" w:type="dxa"/>
            <w:noWrap/>
            <w:hideMark/>
          </w:tcPr>
          <w:p w14:paraId="3220855E"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0.8</w:t>
            </w:r>
          </w:p>
        </w:tc>
      </w:tr>
      <w:tr w:rsidR="006B36E6" w:rsidRPr="00167A1B" w14:paraId="65C59A29" w14:textId="77777777" w:rsidTr="005E0F2F">
        <w:trPr>
          <w:trHeight w:val="242"/>
        </w:trPr>
        <w:tc>
          <w:tcPr>
            <w:tcW w:w="2461" w:type="dxa"/>
            <w:noWrap/>
            <w:hideMark/>
          </w:tcPr>
          <w:p w14:paraId="0C93970F"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Cable</w:t>
            </w:r>
          </w:p>
        </w:tc>
        <w:tc>
          <w:tcPr>
            <w:tcW w:w="4208" w:type="dxa"/>
            <w:noWrap/>
            <w:hideMark/>
          </w:tcPr>
          <w:p w14:paraId="1516D6B2"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USB Type -A – proprietary (Other device) plugs</w:t>
            </w:r>
          </w:p>
        </w:tc>
        <w:tc>
          <w:tcPr>
            <w:tcW w:w="2115" w:type="dxa"/>
            <w:noWrap/>
            <w:hideMark/>
          </w:tcPr>
          <w:p w14:paraId="28371FA4"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0.8</w:t>
            </w:r>
          </w:p>
        </w:tc>
      </w:tr>
      <w:tr w:rsidR="006B36E6" w:rsidRPr="00167A1B" w14:paraId="5AFA8689" w14:textId="77777777" w:rsidTr="005E0F2F">
        <w:trPr>
          <w:trHeight w:val="242"/>
        </w:trPr>
        <w:tc>
          <w:tcPr>
            <w:tcW w:w="2461" w:type="dxa"/>
            <w:noWrap/>
            <w:hideMark/>
          </w:tcPr>
          <w:p w14:paraId="68B810F3"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Cable</w:t>
            </w:r>
          </w:p>
        </w:tc>
        <w:tc>
          <w:tcPr>
            <w:tcW w:w="4208" w:type="dxa"/>
            <w:noWrap/>
            <w:hideMark/>
          </w:tcPr>
          <w:p w14:paraId="786F365B"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USB Type-C – USB Type-C plugs</w:t>
            </w:r>
          </w:p>
        </w:tc>
        <w:tc>
          <w:tcPr>
            <w:tcW w:w="2115" w:type="dxa"/>
            <w:noWrap/>
            <w:hideMark/>
          </w:tcPr>
          <w:p w14:paraId="5D853978"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1.6</w:t>
            </w:r>
          </w:p>
        </w:tc>
      </w:tr>
      <w:tr w:rsidR="006B36E6" w:rsidRPr="00167A1B" w14:paraId="49463D22" w14:textId="77777777" w:rsidTr="005E0F2F">
        <w:trPr>
          <w:trHeight w:val="242"/>
        </w:trPr>
        <w:tc>
          <w:tcPr>
            <w:tcW w:w="2461" w:type="dxa"/>
            <w:noWrap/>
            <w:hideMark/>
          </w:tcPr>
          <w:p w14:paraId="58081CB8"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Cable</w:t>
            </w:r>
          </w:p>
        </w:tc>
        <w:tc>
          <w:tcPr>
            <w:tcW w:w="4208" w:type="dxa"/>
            <w:noWrap/>
            <w:hideMark/>
          </w:tcPr>
          <w:p w14:paraId="4A42AEB6"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USB Type-C – proprietary (Lightning) plugs</w:t>
            </w:r>
          </w:p>
        </w:tc>
        <w:tc>
          <w:tcPr>
            <w:tcW w:w="2115" w:type="dxa"/>
            <w:noWrap/>
            <w:hideMark/>
          </w:tcPr>
          <w:p w14:paraId="7B355D39"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1.3</w:t>
            </w:r>
          </w:p>
        </w:tc>
      </w:tr>
      <w:tr w:rsidR="006B36E6" w:rsidRPr="00167A1B" w14:paraId="2C6E1F06" w14:textId="77777777" w:rsidTr="005E0F2F">
        <w:trPr>
          <w:trHeight w:val="242"/>
        </w:trPr>
        <w:tc>
          <w:tcPr>
            <w:tcW w:w="2461" w:type="dxa"/>
            <w:noWrap/>
            <w:hideMark/>
          </w:tcPr>
          <w:p w14:paraId="26A40AB5"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Cable</w:t>
            </w:r>
          </w:p>
        </w:tc>
        <w:tc>
          <w:tcPr>
            <w:tcW w:w="4208" w:type="dxa"/>
            <w:noWrap/>
            <w:hideMark/>
          </w:tcPr>
          <w:p w14:paraId="7E3B94EC"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USB Type-C - proprietary (Other device) plugs</w:t>
            </w:r>
          </w:p>
        </w:tc>
        <w:tc>
          <w:tcPr>
            <w:tcW w:w="2115" w:type="dxa"/>
            <w:noWrap/>
            <w:hideMark/>
          </w:tcPr>
          <w:p w14:paraId="4ECD1366"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1.3</w:t>
            </w:r>
          </w:p>
        </w:tc>
      </w:tr>
      <w:tr w:rsidR="006B36E6" w:rsidRPr="00167A1B" w14:paraId="2072C3B7" w14:textId="77777777" w:rsidTr="005E0F2F">
        <w:trPr>
          <w:trHeight w:val="242"/>
        </w:trPr>
        <w:tc>
          <w:tcPr>
            <w:tcW w:w="2461" w:type="dxa"/>
            <w:noWrap/>
            <w:hideMark/>
          </w:tcPr>
          <w:p w14:paraId="17A90365"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Cable</w:t>
            </w:r>
          </w:p>
        </w:tc>
        <w:tc>
          <w:tcPr>
            <w:tcW w:w="4208" w:type="dxa"/>
            <w:noWrap/>
            <w:hideMark/>
          </w:tcPr>
          <w:p w14:paraId="49F407D7" w14:textId="77777777" w:rsidR="006B36E6" w:rsidRPr="00167A1B" w:rsidRDefault="006B36E6" w:rsidP="009D260B">
            <w:pPr>
              <w:spacing w:after="0"/>
              <w:jc w:val="left"/>
              <w:rPr>
                <w:rFonts w:asciiTheme="minorHAnsi" w:hAnsiTheme="minorHAnsi" w:cstheme="minorHAnsi"/>
                <w:sz w:val="18"/>
                <w:szCs w:val="18"/>
              </w:rPr>
            </w:pPr>
            <w:r w:rsidRPr="00167A1B">
              <w:rPr>
                <w:rFonts w:asciiTheme="minorHAnsi" w:hAnsiTheme="minorHAnsi" w:cstheme="minorHAnsi"/>
                <w:sz w:val="18"/>
                <w:szCs w:val="18"/>
              </w:rPr>
              <w:t xml:space="preserve">USB Type-C plugs – wireless pad – Qi or other   </w:t>
            </w:r>
          </w:p>
        </w:tc>
        <w:tc>
          <w:tcPr>
            <w:tcW w:w="2115" w:type="dxa"/>
            <w:noWrap/>
            <w:hideMark/>
          </w:tcPr>
          <w:p w14:paraId="31DDAE41" w14:textId="77777777" w:rsidR="006B36E6" w:rsidRPr="00167A1B" w:rsidRDefault="006B36E6" w:rsidP="009D260B">
            <w:pPr>
              <w:spacing w:after="0"/>
              <w:jc w:val="center"/>
              <w:rPr>
                <w:rFonts w:asciiTheme="minorHAnsi" w:hAnsiTheme="minorHAnsi" w:cstheme="minorHAnsi"/>
                <w:sz w:val="18"/>
                <w:szCs w:val="18"/>
              </w:rPr>
            </w:pPr>
            <w:r w:rsidRPr="00167A1B">
              <w:rPr>
                <w:rFonts w:asciiTheme="minorHAnsi" w:hAnsiTheme="minorHAnsi" w:cstheme="minorHAnsi"/>
                <w:sz w:val="18"/>
                <w:szCs w:val="18"/>
              </w:rPr>
              <w:t>1.3</w:t>
            </w:r>
          </w:p>
        </w:tc>
      </w:tr>
    </w:tbl>
    <w:p w14:paraId="6C652735" w14:textId="22D7C70C" w:rsidR="00275F15" w:rsidRPr="00167A1B" w:rsidRDefault="00275F15" w:rsidP="008C1CDE">
      <w:pPr>
        <w:pStyle w:val="04ABodyText"/>
        <w:numPr>
          <w:ilvl w:val="0"/>
          <w:numId w:val="0"/>
        </w:numPr>
        <w:spacing w:after="0" w:line="240" w:lineRule="auto"/>
        <w:rPr>
          <w:sz w:val="18"/>
          <w:szCs w:val="16"/>
        </w:rPr>
      </w:pPr>
      <w:r w:rsidRPr="00167A1B">
        <w:rPr>
          <w:b/>
          <w:sz w:val="18"/>
          <w:szCs w:val="16"/>
        </w:rPr>
        <w:t>Source:</w:t>
      </w:r>
      <w:r w:rsidRPr="00167A1B">
        <w:rPr>
          <w:sz w:val="18"/>
          <w:szCs w:val="16"/>
        </w:rPr>
        <w:t xml:space="preserve">  Own TRI-STOCK-CHARGER model</w:t>
      </w:r>
      <w:r w:rsidR="00BC7958" w:rsidRPr="00167A1B">
        <w:rPr>
          <w:sz w:val="18"/>
          <w:szCs w:val="16"/>
        </w:rPr>
        <w:t>, results based on Table 5 and Table 7</w:t>
      </w:r>
      <w:r w:rsidRPr="00167A1B">
        <w:rPr>
          <w:sz w:val="18"/>
          <w:szCs w:val="16"/>
        </w:rPr>
        <w:t>.</w:t>
      </w:r>
    </w:p>
    <w:p w14:paraId="6DCAFD9F" w14:textId="77777777" w:rsidR="006B36E6" w:rsidRPr="00167A1B" w:rsidRDefault="006B36E6" w:rsidP="006B36E6">
      <w:pPr>
        <w:pStyle w:val="BodyText1"/>
        <w:rPr>
          <w:noProof w:val="0"/>
        </w:rPr>
      </w:pPr>
      <w:r w:rsidRPr="00167A1B">
        <w:rPr>
          <w:noProof w:val="0"/>
        </w:rPr>
        <w:t xml:space="preserve">During the scoping phase, we identified potential additional impacts from unbundling related to GHG emissions. For instance, not including an EPS and/or cable in the box could reduce the size of the packaging, impacting the environment in three main ways: firstly, it may reduce the materials used in packaging (fibre and plastic); Secondly, it may allow for more devices to be shipped within the same space, hence reducing the environmental footprint of distribution, whilst the reduction in weight being shipped may also reduce the environmental impact; but, thirdly, shipping phones and EPS and/or cables separately may require additional packaging, distribution and delivery journeys, which would increase the footprint. An analysis of the combined impact of these factors indicated the likelihood that their impact is relatively low compared to the impacts attributed to the other life-cycle phases considered, and additionally that there remain substantial uncertainties in estimating these impacts. For these reasons the impacts are not included in the main modelling and impact analysis. </w:t>
      </w:r>
    </w:p>
    <w:p w14:paraId="1F70BB2B" w14:textId="77777777" w:rsidR="006B36E6" w:rsidRPr="00167A1B" w:rsidRDefault="006B36E6" w:rsidP="006B36E6">
      <w:pPr>
        <w:spacing w:after="0"/>
        <w:rPr>
          <w:rFonts w:ascii="Arial" w:hAnsi="Arial"/>
          <w:sz w:val="22"/>
        </w:rPr>
      </w:pPr>
      <w:r w:rsidRPr="00167A1B">
        <w:rPr>
          <w:rFonts w:ascii="Arial" w:hAnsi="Arial"/>
          <w:sz w:val="22"/>
        </w:rPr>
        <w:t>In brief, the main stock model inputs related to the estimation of GHG emissions include:</w:t>
      </w:r>
    </w:p>
    <w:p w14:paraId="42C92495" w14:textId="77777777" w:rsidR="006B36E6" w:rsidRPr="00167A1B" w:rsidRDefault="006B36E6" w:rsidP="006B36E6">
      <w:pPr>
        <w:pStyle w:val="BodyText1"/>
        <w:numPr>
          <w:ilvl w:val="0"/>
          <w:numId w:val="61"/>
        </w:numPr>
        <w:spacing w:after="0"/>
        <w:rPr>
          <w:noProof w:val="0"/>
        </w:rPr>
      </w:pPr>
      <w:r w:rsidRPr="00167A1B">
        <w:rPr>
          <w:noProof w:val="0"/>
        </w:rPr>
        <w:t xml:space="preserve">Weight composition of the EPS and cables added to the stock every year, based on average material content profiles (as explained in 4.1.1) </w:t>
      </w:r>
    </w:p>
    <w:p w14:paraId="398D384E" w14:textId="77777777" w:rsidR="006B36E6" w:rsidRPr="00167A1B" w:rsidRDefault="006B36E6" w:rsidP="006B36E6">
      <w:pPr>
        <w:pStyle w:val="Caption"/>
        <w:numPr>
          <w:ilvl w:val="0"/>
          <w:numId w:val="61"/>
        </w:numPr>
        <w:jc w:val="left"/>
        <w:rPr>
          <w:i w:val="0"/>
          <w:sz w:val="22"/>
        </w:rPr>
      </w:pPr>
      <w:r w:rsidRPr="00167A1B">
        <w:rPr>
          <w:i w:val="0"/>
          <w:sz w:val="22"/>
        </w:rPr>
        <w:t>Average CO</w:t>
      </w:r>
      <w:r w:rsidRPr="00167A1B">
        <w:rPr>
          <w:i w:val="0"/>
          <w:sz w:val="22"/>
          <w:vertAlign w:val="subscript"/>
        </w:rPr>
        <w:t xml:space="preserve">2 </w:t>
      </w:r>
      <w:proofErr w:type="spellStart"/>
      <w:r w:rsidRPr="00167A1B">
        <w:rPr>
          <w:i w:val="0"/>
          <w:sz w:val="22"/>
          <w:vertAlign w:val="subscript"/>
        </w:rPr>
        <w:t>eq</w:t>
      </w:r>
      <w:proofErr w:type="spellEnd"/>
      <w:r w:rsidRPr="00167A1B">
        <w:rPr>
          <w:i w:val="0"/>
          <w:sz w:val="22"/>
        </w:rPr>
        <w:t xml:space="preserve"> emissions per weight of component (as presented in </w:t>
      </w:r>
      <w:r w:rsidRPr="00167A1B">
        <w:rPr>
          <w:i w:val="0"/>
          <w:sz w:val="22"/>
        </w:rPr>
        <w:fldChar w:fldCharType="begin"/>
      </w:r>
      <w:r w:rsidRPr="00167A1B">
        <w:rPr>
          <w:i w:val="0"/>
          <w:sz w:val="22"/>
        </w:rPr>
        <w:instrText xml:space="preserve"> REF _Ref70088233 \h  \* MERGEFORMAT </w:instrText>
      </w:r>
      <w:r w:rsidRPr="00167A1B">
        <w:rPr>
          <w:i w:val="0"/>
          <w:sz w:val="22"/>
        </w:rPr>
      </w:r>
      <w:r w:rsidRPr="00167A1B">
        <w:rPr>
          <w:i w:val="0"/>
          <w:sz w:val="22"/>
        </w:rPr>
        <w:fldChar w:fldCharType="separate"/>
      </w:r>
      <w:r w:rsidRPr="00167A1B">
        <w:rPr>
          <w:i w:val="0"/>
          <w:sz w:val="22"/>
        </w:rPr>
        <w:t>Table 5</w:t>
      </w:r>
      <w:r w:rsidRPr="00167A1B">
        <w:rPr>
          <w:i w:val="0"/>
          <w:sz w:val="22"/>
        </w:rPr>
        <w:fldChar w:fldCharType="end"/>
      </w:r>
      <w:r w:rsidRPr="00167A1B">
        <w:rPr>
          <w:i w:val="0"/>
          <w:sz w:val="22"/>
        </w:rPr>
        <w:t>)</w:t>
      </w:r>
    </w:p>
    <w:p w14:paraId="79B5C972" w14:textId="77777777" w:rsidR="006B36E6" w:rsidRPr="00167A1B" w:rsidRDefault="006B36E6" w:rsidP="006B36E6">
      <w:pPr>
        <w:pStyle w:val="BodyText1"/>
        <w:rPr>
          <w:noProof w:val="0"/>
        </w:rPr>
      </w:pPr>
      <w:r w:rsidRPr="00167A1B">
        <w:rPr>
          <w:noProof w:val="0"/>
        </w:rPr>
        <w:t>Based on these inputs, the GHG emissions (tonnes)</w:t>
      </w:r>
      <w:r w:rsidRPr="00167A1B">
        <w:rPr>
          <w:i/>
          <w:noProof w:val="0"/>
        </w:rPr>
        <w:t xml:space="preserve"> </w:t>
      </w:r>
      <w:r w:rsidRPr="00167A1B">
        <w:rPr>
          <w:noProof w:val="0"/>
        </w:rPr>
        <w:t xml:space="preserve">are calculated in the stock model </w:t>
      </w:r>
      <w:proofErr w:type="gramStart"/>
      <w:r w:rsidRPr="00167A1B">
        <w:rPr>
          <w:noProof w:val="0"/>
        </w:rPr>
        <w:t>on the basis of</w:t>
      </w:r>
      <w:proofErr w:type="gramEnd"/>
      <w:r w:rsidRPr="00167A1B">
        <w:rPr>
          <w:noProof w:val="0"/>
        </w:rPr>
        <w:t xml:space="preserve"> component specific weight and emission profiles, multiplied by the annual additions to the EPS and cables stock. An extended explanation of the modelling inputs input values used is provided in Annex G.</w:t>
      </w:r>
    </w:p>
    <w:p w14:paraId="3BB0F74B" w14:textId="2C46223D" w:rsidR="008F65B2" w:rsidRPr="00167A1B" w:rsidRDefault="008F65B2" w:rsidP="008F65B2">
      <w:pPr>
        <w:pStyle w:val="BodyText1"/>
        <w:rPr>
          <w:noProof w:val="0"/>
        </w:rPr>
      </w:pPr>
    </w:p>
    <w:p w14:paraId="199C5707" w14:textId="77777777" w:rsidR="008F65B2" w:rsidRPr="00167A1B" w:rsidRDefault="008F65B2" w:rsidP="008F65B2">
      <w:pPr>
        <w:pStyle w:val="BodyText1"/>
        <w:rPr>
          <w:noProof w:val="0"/>
        </w:rPr>
      </w:pPr>
    </w:p>
    <w:p w14:paraId="4E960AAE" w14:textId="09DCC5AA" w:rsidR="00D30D44" w:rsidRPr="00167A1B" w:rsidRDefault="00D30D44" w:rsidP="009C1705">
      <w:pPr>
        <w:pStyle w:val="Title2"/>
        <w:outlineLvl w:val="1"/>
      </w:pPr>
      <w:bookmarkStart w:id="37" w:name="_Toc74319753"/>
      <w:r w:rsidRPr="00167A1B">
        <w:t>Economic impacts</w:t>
      </w:r>
      <w:bookmarkEnd w:id="37"/>
      <w:r w:rsidRPr="00167A1B">
        <w:t xml:space="preserve"> </w:t>
      </w:r>
    </w:p>
    <w:p w14:paraId="0644261B" w14:textId="77777777" w:rsidR="00084C36" w:rsidRPr="00167A1B" w:rsidRDefault="00084C36" w:rsidP="00084C36">
      <w:pPr>
        <w:pStyle w:val="BodyText1"/>
        <w:rPr>
          <w:noProof w:val="0"/>
        </w:rPr>
      </w:pPr>
      <w:r w:rsidRPr="00167A1B">
        <w:rPr>
          <w:noProof w:val="0"/>
        </w:rPr>
        <w:t xml:space="preserve">The screening of economic impacts conducted in the first IA study, which followed the Tool #19 of the Better Regulation Toolbox, still applies (see page 100 of the first IA study). It identified as relevant the following types of impacts: Operating costs and conduct of </w:t>
      </w:r>
      <w:r w:rsidRPr="00167A1B">
        <w:rPr>
          <w:noProof w:val="0"/>
        </w:rPr>
        <w:lastRenderedPageBreak/>
        <w:t>business; administrative burdens on businesses; competitiveness of businesses, innovation and research; and impacts on consumers and households.</w:t>
      </w:r>
    </w:p>
    <w:p w14:paraId="7F769A9E" w14:textId="77777777" w:rsidR="00084C36" w:rsidRPr="00167A1B" w:rsidRDefault="00084C36" w:rsidP="00084C36">
      <w:pPr>
        <w:pStyle w:val="BodyText1"/>
        <w:rPr>
          <w:noProof w:val="0"/>
        </w:rPr>
      </w:pPr>
      <w:r w:rsidRPr="00167A1B">
        <w:rPr>
          <w:noProof w:val="0"/>
        </w:rPr>
        <w:t>Impacts on trade and investment flows were not considered relevant. The initiative may give rise to non-tariff barriers (e.g. if manufacturers cannot sell mobile phones using proprietary charging solutions) and it may also affect regulatory convergence with third countries (e.g. if a third country regulates for the use of different charging technologies). However, all policy options are based on international standards, meaning these impacts (if any) are expected to remain limited.</w:t>
      </w:r>
    </w:p>
    <w:p w14:paraId="0416A42D" w14:textId="196112C2" w:rsidR="00084C36" w:rsidRPr="00167A1B" w:rsidRDefault="00084C36" w:rsidP="00084C36">
      <w:pPr>
        <w:pStyle w:val="BodyText1"/>
        <w:rPr>
          <w:noProof w:val="0"/>
        </w:rPr>
      </w:pPr>
      <w:r w:rsidRPr="00167A1B">
        <w:rPr>
          <w:noProof w:val="0"/>
        </w:rPr>
        <w:t>The position of SMEs was also considered of low relevance, since most economic operators in the sector are big companies located in third countries. The first IA, however, recognised that a minority of European SMEs (</w:t>
      </w:r>
      <w:r w:rsidR="00B949F1" w:rsidRPr="00167A1B">
        <w:rPr>
          <w:noProof w:val="0"/>
        </w:rPr>
        <w:t xml:space="preserve">some </w:t>
      </w:r>
      <w:r w:rsidR="000E4FF4" w:rsidRPr="00167A1B">
        <w:rPr>
          <w:noProof w:val="0"/>
        </w:rPr>
        <w:t xml:space="preserve">manufacturers of mobile phones and other portable electronic devices and some </w:t>
      </w:r>
      <w:r w:rsidR="00B949F1" w:rsidRPr="00167A1B">
        <w:rPr>
          <w:noProof w:val="0"/>
        </w:rPr>
        <w:t>companies</w:t>
      </w:r>
      <w:r w:rsidRPr="00167A1B">
        <w:rPr>
          <w:noProof w:val="0"/>
        </w:rPr>
        <w:t xml:space="preserve"> that supply charging solutions to phone manufacturers) could be affected.</w:t>
      </w:r>
      <w:r w:rsidR="00B949F1" w:rsidRPr="00167A1B">
        <w:rPr>
          <w:rStyle w:val="FootnoteReference"/>
          <w:noProof w:val="0"/>
        </w:rPr>
        <w:footnoteReference w:id="88"/>
      </w:r>
      <w:r w:rsidRPr="00167A1B">
        <w:rPr>
          <w:noProof w:val="0"/>
        </w:rPr>
        <w:t xml:space="preserve"> This impact, although continues to be minor, is investigated in this study.</w:t>
      </w:r>
    </w:p>
    <w:p w14:paraId="73A500BA" w14:textId="77777777" w:rsidR="00084C36" w:rsidRPr="00167A1B" w:rsidRDefault="00084C36" w:rsidP="00084C36">
      <w:pPr>
        <w:pStyle w:val="BodyText1"/>
        <w:rPr>
          <w:noProof w:val="0"/>
        </w:rPr>
      </w:pPr>
      <w:r w:rsidRPr="00167A1B">
        <w:rPr>
          <w:noProof w:val="0"/>
        </w:rPr>
        <w:t>All the impacts identified for further assessment in the first IA study continue to be relevant,</w:t>
      </w:r>
      <w:r w:rsidRPr="00167A1B">
        <w:rPr>
          <w:rStyle w:val="FootnoteReference"/>
          <w:noProof w:val="0"/>
        </w:rPr>
        <w:footnoteReference w:id="89"/>
      </w:r>
      <w:r w:rsidRPr="00167A1B">
        <w:rPr>
          <w:noProof w:val="0"/>
        </w:rPr>
        <w:t xml:space="preserve"> and we have added two new impacts: costs to public authorities, and macroeconomic impacts. </w:t>
      </w:r>
    </w:p>
    <w:p w14:paraId="246BC621" w14:textId="77777777" w:rsidR="00084C36" w:rsidRPr="00167A1B" w:rsidRDefault="00084C36" w:rsidP="00084C36">
      <w:pPr>
        <w:pStyle w:val="BodyText1"/>
        <w:rPr>
          <w:noProof w:val="0"/>
        </w:rPr>
      </w:pPr>
      <w:r w:rsidRPr="00167A1B">
        <w:rPr>
          <w:noProof w:val="0"/>
        </w:rPr>
        <w:t>As a result, we focus the assessment on the following types of impacts:</w:t>
      </w:r>
    </w:p>
    <w:p w14:paraId="559CA2AC" w14:textId="77777777" w:rsidR="00084C36" w:rsidRPr="00167A1B" w:rsidRDefault="00084C36" w:rsidP="00084C36">
      <w:pPr>
        <w:pStyle w:val="bullet1"/>
        <w:rPr>
          <w:rFonts w:cs="Arial"/>
          <w:bCs/>
          <w:noProof w:val="0"/>
          <w:color w:val="000000"/>
          <w:lang w:eastAsia="en-GB"/>
        </w:rPr>
      </w:pPr>
      <w:r w:rsidRPr="00167A1B">
        <w:rPr>
          <w:rFonts w:cs="Arial"/>
          <w:bCs/>
          <w:noProof w:val="0"/>
          <w:color w:val="000000"/>
          <w:lang w:eastAsia="en-GB"/>
        </w:rPr>
        <w:t>Competitiveness of businesses</w:t>
      </w:r>
    </w:p>
    <w:p w14:paraId="751993A5" w14:textId="77777777" w:rsidR="00084C36" w:rsidRPr="00167A1B" w:rsidRDefault="00084C36" w:rsidP="00084C36">
      <w:pPr>
        <w:pStyle w:val="bullet1"/>
        <w:rPr>
          <w:rFonts w:cs="Arial"/>
          <w:bCs/>
          <w:noProof w:val="0"/>
          <w:color w:val="000000"/>
          <w:lang w:eastAsia="en-GB"/>
        </w:rPr>
      </w:pPr>
      <w:r w:rsidRPr="00167A1B">
        <w:rPr>
          <w:rFonts w:cs="Arial"/>
          <w:bCs/>
          <w:noProof w:val="0"/>
          <w:color w:val="000000"/>
          <w:lang w:eastAsia="en-GB"/>
        </w:rPr>
        <w:t>Innovation and research</w:t>
      </w:r>
    </w:p>
    <w:p w14:paraId="7142281C" w14:textId="77777777" w:rsidR="00084C36" w:rsidRPr="00167A1B" w:rsidRDefault="00084C36" w:rsidP="00084C36">
      <w:pPr>
        <w:pStyle w:val="bullet1"/>
        <w:rPr>
          <w:rFonts w:cs="Arial"/>
          <w:bCs/>
          <w:noProof w:val="0"/>
          <w:color w:val="000000"/>
          <w:lang w:eastAsia="en-GB"/>
        </w:rPr>
      </w:pPr>
      <w:r w:rsidRPr="00167A1B">
        <w:rPr>
          <w:rFonts w:cs="Arial"/>
          <w:bCs/>
          <w:noProof w:val="0"/>
          <w:color w:val="000000"/>
          <w:lang w:eastAsia="en-GB"/>
        </w:rPr>
        <w:t>Costs for consumers</w:t>
      </w:r>
    </w:p>
    <w:p w14:paraId="1209AE17" w14:textId="77777777" w:rsidR="00084C36" w:rsidRPr="00167A1B" w:rsidRDefault="00084C36" w:rsidP="00084C36">
      <w:pPr>
        <w:pStyle w:val="bullet1"/>
        <w:rPr>
          <w:rFonts w:cs="Arial"/>
          <w:bCs/>
          <w:noProof w:val="0"/>
          <w:color w:val="000000"/>
          <w:lang w:eastAsia="en-GB"/>
        </w:rPr>
      </w:pPr>
      <w:r w:rsidRPr="00167A1B">
        <w:rPr>
          <w:rFonts w:cs="Arial"/>
          <w:bCs/>
          <w:noProof w:val="0"/>
          <w:color w:val="000000"/>
          <w:lang w:eastAsia="en-GB"/>
        </w:rPr>
        <w:t>Operating costs and conduct of business</w:t>
      </w:r>
    </w:p>
    <w:p w14:paraId="18685BD5" w14:textId="77777777" w:rsidR="00084C36" w:rsidRPr="00167A1B" w:rsidRDefault="00084C36" w:rsidP="00084C36">
      <w:pPr>
        <w:pStyle w:val="bullet1"/>
        <w:rPr>
          <w:rFonts w:cs="Arial"/>
          <w:bCs/>
          <w:noProof w:val="0"/>
          <w:color w:val="000000"/>
          <w:lang w:eastAsia="en-GB"/>
        </w:rPr>
      </w:pPr>
      <w:r w:rsidRPr="00167A1B">
        <w:rPr>
          <w:rFonts w:cs="Arial"/>
          <w:bCs/>
          <w:noProof w:val="0"/>
          <w:color w:val="000000"/>
          <w:lang w:eastAsia="en-GB"/>
        </w:rPr>
        <w:t>Costs to public authorities</w:t>
      </w:r>
    </w:p>
    <w:p w14:paraId="7697CC0C" w14:textId="48460116" w:rsidR="00084C36" w:rsidRPr="00167A1B" w:rsidRDefault="002637F4" w:rsidP="00084C36">
      <w:pPr>
        <w:pStyle w:val="bullet1"/>
        <w:rPr>
          <w:rFonts w:cs="Arial"/>
          <w:bCs/>
          <w:noProof w:val="0"/>
          <w:color w:val="000000"/>
          <w:lang w:eastAsia="en-GB"/>
        </w:rPr>
      </w:pPr>
      <w:r w:rsidRPr="00167A1B">
        <w:rPr>
          <w:rFonts w:cs="Arial"/>
          <w:bCs/>
          <w:noProof w:val="0"/>
          <w:color w:val="000000"/>
          <w:lang w:eastAsia="en-GB"/>
        </w:rPr>
        <w:t>Impacts on SMEs</w:t>
      </w:r>
    </w:p>
    <w:p w14:paraId="387BE81D" w14:textId="77777777" w:rsidR="00084C36" w:rsidRPr="00167A1B" w:rsidRDefault="00084C36" w:rsidP="00084C36">
      <w:pPr>
        <w:pStyle w:val="Subtitle20"/>
        <w:rPr>
          <w:b/>
          <w:noProof w:val="0"/>
        </w:rPr>
      </w:pPr>
      <w:r w:rsidRPr="00167A1B">
        <w:rPr>
          <w:rStyle w:val="03ASubheading2ndlevelTOCChar"/>
          <w:noProof w:val="0"/>
        </w:rPr>
        <w:t xml:space="preserve">Competitiveness of businesses </w:t>
      </w:r>
    </w:p>
    <w:p w14:paraId="04846ED7" w14:textId="77777777" w:rsidR="00084C36" w:rsidRPr="00167A1B" w:rsidRDefault="00084C36" w:rsidP="00084C36">
      <w:pPr>
        <w:pStyle w:val="BodyText1"/>
        <w:rPr>
          <w:b/>
          <w:noProof w:val="0"/>
        </w:rPr>
      </w:pPr>
      <w:r w:rsidRPr="00167A1B">
        <w:rPr>
          <w:noProof w:val="0"/>
        </w:rPr>
        <w:t>The policy options considered may affect competitiveness in several ways. For instance, some connectors are more expensive than others, and mandating USB Type-C may increase the cost of lower-end devices that still use USB micro-B connectors. The options that consider unbundling, on the other hand, would affect the overall cost of the product, and it is still unclear whether savings from not including chargers in the box will be passed on to consumers, or absorbed by the industry. Finally, some manufacturers receive income from the sale of proprietary charging solutions/accessories. Their income may be affected if standard solutions are mandated.</w:t>
      </w:r>
    </w:p>
    <w:p w14:paraId="679CDA76" w14:textId="77777777" w:rsidR="00084C36" w:rsidRPr="00167A1B" w:rsidRDefault="00084C36" w:rsidP="00084C36">
      <w:pPr>
        <w:pStyle w:val="BodyText1"/>
        <w:rPr>
          <w:noProof w:val="0"/>
          <w:lang w:eastAsia="en-GB"/>
        </w:rPr>
      </w:pPr>
      <w:r w:rsidRPr="00167A1B">
        <w:rPr>
          <w:noProof w:val="0"/>
          <w:lang w:eastAsia="en-GB"/>
        </w:rPr>
        <w:t xml:space="preserve">Therefore, this type of cost encompasses four different effects: </w:t>
      </w:r>
    </w:p>
    <w:p w14:paraId="0775CF17" w14:textId="77777777" w:rsidR="00084C36" w:rsidRPr="00167A1B" w:rsidRDefault="00084C36" w:rsidP="00084C36">
      <w:pPr>
        <w:pStyle w:val="bullet1"/>
        <w:rPr>
          <w:rFonts w:cs="Arial"/>
          <w:bCs/>
          <w:noProof w:val="0"/>
          <w:color w:val="000000"/>
          <w:lang w:eastAsia="en-GB"/>
        </w:rPr>
      </w:pPr>
      <w:r w:rsidRPr="00167A1B">
        <w:rPr>
          <w:rFonts w:cs="Arial"/>
          <w:bCs/>
          <w:noProof w:val="0"/>
          <w:color w:val="000000"/>
          <w:lang w:eastAsia="en-GB"/>
        </w:rPr>
        <w:t>Revenues and/or costs generated from the production and sale of chargers that have different characteristics than in the baseline scenario;</w:t>
      </w:r>
    </w:p>
    <w:p w14:paraId="4D966040" w14:textId="77777777" w:rsidR="00084C36" w:rsidRPr="00167A1B" w:rsidRDefault="00084C36" w:rsidP="00084C36">
      <w:pPr>
        <w:pStyle w:val="bullet1"/>
        <w:rPr>
          <w:rFonts w:cs="Arial"/>
          <w:bCs/>
          <w:noProof w:val="0"/>
          <w:color w:val="000000"/>
          <w:lang w:eastAsia="en-GB"/>
        </w:rPr>
      </w:pPr>
      <w:r w:rsidRPr="00167A1B">
        <w:rPr>
          <w:rFonts w:cs="Arial"/>
          <w:bCs/>
          <w:noProof w:val="0"/>
          <w:color w:val="000000"/>
          <w:lang w:eastAsia="en-GB"/>
        </w:rPr>
        <w:lastRenderedPageBreak/>
        <w:t>Reduction in the number of chargers sold in the EU market as a result of unbundling;</w:t>
      </w:r>
    </w:p>
    <w:p w14:paraId="1CF74840" w14:textId="77777777" w:rsidR="00084C36" w:rsidRPr="00167A1B" w:rsidRDefault="00084C36" w:rsidP="00084C36">
      <w:pPr>
        <w:pStyle w:val="bullet1"/>
        <w:rPr>
          <w:rFonts w:cs="Arial"/>
          <w:bCs/>
          <w:noProof w:val="0"/>
          <w:color w:val="000000"/>
          <w:lang w:eastAsia="en-GB"/>
        </w:rPr>
      </w:pPr>
      <w:r w:rsidRPr="00167A1B">
        <w:rPr>
          <w:rFonts w:cs="Arial"/>
          <w:bCs/>
          <w:noProof w:val="0"/>
          <w:color w:val="000000"/>
          <w:lang w:eastAsia="en-GB"/>
        </w:rPr>
        <w:t>Changes to the distribution of revenue among competitors, due to harmonisation and/or unbundling of chargers;</w:t>
      </w:r>
    </w:p>
    <w:p w14:paraId="559B8049" w14:textId="77777777" w:rsidR="00084C36" w:rsidRPr="00167A1B" w:rsidRDefault="00084C36" w:rsidP="00084C36">
      <w:pPr>
        <w:pStyle w:val="bullet1"/>
        <w:spacing w:line="288" w:lineRule="auto"/>
        <w:jc w:val="left"/>
        <w:rPr>
          <w:rFonts w:cs="Arial"/>
          <w:noProof w:val="0"/>
          <w:color w:val="000000"/>
          <w:lang w:eastAsia="en-GB"/>
        </w:rPr>
      </w:pPr>
      <w:r w:rsidRPr="00167A1B">
        <w:rPr>
          <w:rFonts w:cs="Arial"/>
          <w:bCs/>
          <w:noProof w:val="0"/>
          <w:color w:val="000000"/>
          <w:lang w:eastAsia="en-GB"/>
        </w:rPr>
        <w:t>Variations in income from receiving/paying royalties.</w:t>
      </w:r>
    </w:p>
    <w:p w14:paraId="499563D5" w14:textId="77777777" w:rsidR="00084C36" w:rsidRPr="00167A1B" w:rsidRDefault="00084C36" w:rsidP="00084C36">
      <w:pPr>
        <w:pStyle w:val="BodyText1"/>
        <w:rPr>
          <w:noProof w:val="0"/>
        </w:rPr>
        <w:sectPr w:rsidR="00084C36" w:rsidRPr="00167A1B" w:rsidSect="00FB177B">
          <w:headerReference w:type="even" r:id="rId40"/>
          <w:headerReference w:type="default" r:id="rId41"/>
          <w:footerReference w:type="default" r:id="rId42"/>
          <w:pgSz w:w="11907" w:h="16839" w:code="9"/>
          <w:pgMar w:top="1418" w:right="1418" w:bottom="851" w:left="1701" w:header="567" w:footer="720" w:gutter="0"/>
          <w:cols w:space="720"/>
          <w:docGrid w:linePitch="326"/>
        </w:sectPr>
      </w:pPr>
      <w:r w:rsidRPr="00167A1B">
        <w:rPr>
          <w:noProof w:val="0"/>
          <w:lang w:eastAsia="en-GB"/>
        </w:rPr>
        <w:t>These effects are summarised below, per type of stakeholder affected.</w:t>
      </w:r>
    </w:p>
    <w:p w14:paraId="0323D121" w14:textId="75CADB83" w:rsidR="00084C36" w:rsidRPr="00167A1B" w:rsidRDefault="00084C36" w:rsidP="00084C36">
      <w:pPr>
        <w:pStyle w:val="Caption"/>
      </w:pPr>
      <w:r w:rsidRPr="00167A1B">
        <w:lastRenderedPageBreak/>
        <w:t xml:space="preserve">Table </w:t>
      </w:r>
      <w:r w:rsidRPr="00167A1B">
        <w:fldChar w:fldCharType="begin"/>
      </w:r>
      <w:r w:rsidRPr="00167A1B">
        <w:instrText xml:space="preserve"> SEQ Table \* ARABIC </w:instrText>
      </w:r>
      <w:r w:rsidRPr="00167A1B">
        <w:fldChar w:fldCharType="separate"/>
      </w:r>
      <w:r w:rsidR="00953106" w:rsidRPr="00167A1B">
        <w:t>9</w:t>
      </w:r>
      <w:r w:rsidRPr="00167A1B">
        <w:fldChar w:fldCharType="end"/>
      </w:r>
      <w:r w:rsidRPr="00167A1B">
        <w:t>. Impact on competitiveness of businesses, per type of stakeholder</w:t>
      </w:r>
      <w:r w:rsidRPr="00167A1B">
        <w:rPr>
          <w:i w:val="0"/>
          <w:color w:val="0C4DA2" w:themeColor="text2"/>
          <w:sz w:val="22"/>
        </w:rPr>
        <w:t xml:space="preserve"> </w:t>
      </w:r>
    </w:p>
    <w:tbl>
      <w:tblPr>
        <w:tblStyle w:val="TableGrid"/>
        <w:tblW w:w="5000" w:type="pct"/>
        <w:tblCellMar>
          <w:top w:w="57" w:type="dxa"/>
          <w:left w:w="57" w:type="dxa"/>
          <w:bottom w:w="57" w:type="dxa"/>
          <w:right w:w="57" w:type="dxa"/>
        </w:tblCellMar>
        <w:tblLook w:val="04A0" w:firstRow="1" w:lastRow="0" w:firstColumn="1" w:lastColumn="0" w:noHBand="0" w:noVBand="1"/>
      </w:tblPr>
      <w:tblGrid>
        <w:gridCol w:w="1556"/>
        <w:gridCol w:w="2833"/>
        <w:gridCol w:w="3544"/>
        <w:gridCol w:w="3261"/>
        <w:gridCol w:w="3366"/>
      </w:tblGrid>
      <w:tr w:rsidR="00250BF5" w:rsidRPr="00167A1B" w14:paraId="04778310" w14:textId="77777777" w:rsidTr="00250BF5">
        <w:trPr>
          <w:cnfStyle w:val="100000000000" w:firstRow="1" w:lastRow="0" w:firstColumn="0" w:lastColumn="0" w:oddVBand="0" w:evenVBand="0" w:oddHBand="0" w:evenHBand="0" w:firstRowFirstColumn="0" w:firstRowLastColumn="0" w:lastRowFirstColumn="0" w:lastRowLastColumn="0"/>
          <w:tblHeader/>
        </w:trPr>
        <w:tc>
          <w:tcPr>
            <w:tcW w:w="534" w:type="pct"/>
            <w:shd w:val="clear" w:color="auto" w:fill="0C4DA2" w:themeFill="text2"/>
          </w:tcPr>
          <w:p w14:paraId="101A7DF0" w14:textId="77777777" w:rsidR="00084C36" w:rsidRPr="00167A1B" w:rsidRDefault="00084C36" w:rsidP="00F756E1">
            <w:pPr>
              <w:pStyle w:val="Body"/>
              <w:numPr>
                <w:ilvl w:val="0"/>
                <w:numId w:val="0"/>
              </w:numPr>
              <w:jc w:val="left"/>
              <w:rPr>
                <w:rFonts w:ascii="Arial" w:hAnsi="Arial" w:cs="Arial"/>
                <w:b/>
                <w:lang w:val="en-GB"/>
              </w:rPr>
            </w:pPr>
            <w:r w:rsidRPr="00167A1B">
              <w:rPr>
                <w:rFonts w:ascii="Arial" w:hAnsi="Arial" w:cs="Arial"/>
                <w:b/>
                <w:lang w:val="en-GB"/>
              </w:rPr>
              <w:t>Stakeholder</w:t>
            </w:r>
          </w:p>
        </w:tc>
        <w:tc>
          <w:tcPr>
            <w:tcW w:w="973" w:type="pct"/>
            <w:shd w:val="clear" w:color="auto" w:fill="0C4DA2" w:themeFill="text2"/>
          </w:tcPr>
          <w:p w14:paraId="635E1457" w14:textId="77777777" w:rsidR="00084C36" w:rsidRPr="00167A1B" w:rsidRDefault="00084C36" w:rsidP="00F756E1">
            <w:pPr>
              <w:pStyle w:val="Body"/>
              <w:numPr>
                <w:ilvl w:val="0"/>
                <w:numId w:val="0"/>
              </w:numPr>
              <w:jc w:val="left"/>
              <w:rPr>
                <w:rFonts w:ascii="Arial" w:hAnsi="Arial" w:cs="Arial"/>
                <w:b/>
                <w:lang w:val="en-GB"/>
              </w:rPr>
            </w:pPr>
            <w:r w:rsidRPr="00167A1B">
              <w:rPr>
                <w:rFonts w:ascii="Arial" w:hAnsi="Arial" w:cs="Arial"/>
                <w:b/>
                <w:lang w:val="en-GB"/>
              </w:rPr>
              <w:t>Differences in costs</w:t>
            </w:r>
          </w:p>
        </w:tc>
        <w:tc>
          <w:tcPr>
            <w:tcW w:w="1217" w:type="pct"/>
            <w:shd w:val="clear" w:color="auto" w:fill="0C4DA2" w:themeFill="text2"/>
          </w:tcPr>
          <w:p w14:paraId="2B3F2845" w14:textId="77777777" w:rsidR="00084C36" w:rsidRPr="00167A1B" w:rsidRDefault="00084C36" w:rsidP="00F756E1">
            <w:pPr>
              <w:pStyle w:val="Body"/>
              <w:numPr>
                <w:ilvl w:val="0"/>
                <w:numId w:val="0"/>
              </w:numPr>
              <w:jc w:val="left"/>
              <w:rPr>
                <w:rFonts w:ascii="Arial" w:hAnsi="Arial" w:cs="Arial"/>
                <w:b/>
                <w:lang w:val="en-GB"/>
              </w:rPr>
            </w:pPr>
            <w:r w:rsidRPr="00167A1B">
              <w:rPr>
                <w:rFonts w:ascii="Arial" w:hAnsi="Arial" w:cs="Arial"/>
                <w:b/>
                <w:lang w:val="en-GB"/>
              </w:rPr>
              <w:t>Fewer chargers sold</w:t>
            </w:r>
          </w:p>
        </w:tc>
        <w:tc>
          <w:tcPr>
            <w:tcW w:w="1120" w:type="pct"/>
            <w:shd w:val="clear" w:color="auto" w:fill="0C4DA2" w:themeFill="text2"/>
          </w:tcPr>
          <w:p w14:paraId="30F8B0AA" w14:textId="77777777" w:rsidR="00084C36" w:rsidRPr="00167A1B" w:rsidRDefault="00084C36" w:rsidP="00F756E1">
            <w:pPr>
              <w:pStyle w:val="Body"/>
              <w:numPr>
                <w:ilvl w:val="0"/>
                <w:numId w:val="0"/>
              </w:numPr>
              <w:jc w:val="left"/>
              <w:rPr>
                <w:rFonts w:ascii="Arial" w:hAnsi="Arial" w:cs="Arial"/>
                <w:b/>
                <w:lang w:val="en-GB"/>
              </w:rPr>
            </w:pPr>
            <w:r w:rsidRPr="00167A1B">
              <w:rPr>
                <w:rFonts w:ascii="Arial" w:hAnsi="Arial" w:cs="Arial"/>
                <w:b/>
                <w:lang w:val="en-GB"/>
              </w:rPr>
              <w:t>Changes in distribution of revenue among competitors</w:t>
            </w:r>
          </w:p>
        </w:tc>
        <w:tc>
          <w:tcPr>
            <w:tcW w:w="1156" w:type="pct"/>
            <w:shd w:val="clear" w:color="auto" w:fill="0C4DA2" w:themeFill="text2"/>
          </w:tcPr>
          <w:p w14:paraId="4F9E3C2E" w14:textId="77777777" w:rsidR="00084C36" w:rsidRPr="00167A1B" w:rsidRDefault="00084C36" w:rsidP="00F756E1">
            <w:pPr>
              <w:pStyle w:val="Body"/>
              <w:numPr>
                <w:ilvl w:val="0"/>
                <w:numId w:val="0"/>
              </w:numPr>
              <w:jc w:val="left"/>
              <w:rPr>
                <w:rFonts w:ascii="Arial" w:hAnsi="Arial" w:cs="Arial"/>
                <w:b/>
                <w:lang w:val="en-GB"/>
              </w:rPr>
            </w:pPr>
            <w:r w:rsidRPr="00167A1B">
              <w:rPr>
                <w:rFonts w:ascii="Arial" w:hAnsi="Arial" w:cs="Arial"/>
                <w:b/>
                <w:lang w:val="en-GB"/>
              </w:rPr>
              <w:t>Variations in income from royalties</w:t>
            </w:r>
          </w:p>
        </w:tc>
      </w:tr>
      <w:tr w:rsidR="00250BF5" w:rsidRPr="00167A1B" w14:paraId="2B815908" w14:textId="77777777" w:rsidTr="00250BF5">
        <w:tc>
          <w:tcPr>
            <w:tcW w:w="534" w:type="pct"/>
          </w:tcPr>
          <w:p w14:paraId="77EBA1D3" w14:textId="77777777" w:rsidR="00084C36" w:rsidRPr="00167A1B" w:rsidRDefault="00084C36" w:rsidP="00F756E1">
            <w:pPr>
              <w:pStyle w:val="Body"/>
              <w:numPr>
                <w:ilvl w:val="0"/>
                <w:numId w:val="0"/>
              </w:numPr>
              <w:jc w:val="left"/>
              <w:rPr>
                <w:rFonts w:ascii="Arial" w:hAnsi="Arial" w:cs="Arial"/>
                <w:b/>
                <w:lang w:val="en-GB"/>
              </w:rPr>
            </w:pPr>
            <w:r w:rsidRPr="00167A1B">
              <w:rPr>
                <w:rFonts w:ascii="Arial" w:hAnsi="Arial" w:cs="Arial"/>
                <w:b/>
                <w:lang w:val="en-GB"/>
              </w:rPr>
              <w:t>Manufacturers of System on a Chip (SoC)</w:t>
            </w:r>
          </w:p>
        </w:tc>
        <w:tc>
          <w:tcPr>
            <w:tcW w:w="973" w:type="pct"/>
          </w:tcPr>
          <w:p w14:paraId="5528C427" w14:textId="1EC754F5"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Currently, manufacturers of SoC are already including USB PD in their chips. It may affect, however, the cost of SoC for lower-end devices.</w:t>
            </w:r>
          </w:p>
        </w:tc>
        <w:tc>
          <w:tcPr>
            <w:tcW w:w="1217" w:type="pct"/>
          </w:tcPr>
          <w:p w14:paraId="17F9E5C9"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Not applicable</w:t>
            </w:r>
          </w:p>
        </w:tc>
        <w:tc>
          <w:tcPr>
            <w:tcW w:w="1120" w:type="pct"/>
          </w:tcPr>
          <w:p w14:paraId="68F10CC9"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The battery charging protocol is only a small component of the chip. It is not expected that any of the options would produce changes in the distribution of revenue.</w:t>
            </w:r>
          </w:p>
        </w:tc>
        <w:tc>
          <w:tcPr>
            <w:tcW w:w="1156" w:type="pct"/>
          </w:tcPr>
          <w:p w14:paraId="028460C7"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 xml:space="preserve">The options considered allow the use of proprietary charging protocols, </w:t>
            </w:r>
            <w:proofErr w:type="gramStart"/>
            <w:r w:rsidRPr="00167A1B">
              <w:rPr>
                <w:rFonts w:ascii="Arial" w:hAnsi="Arial" w:cs="Arial"/>
                <w:lang w:val="en-GB"/>
              </w:rPr>
              <w:t>as long as</w:t>
            </w:r>
            <w:proofErr w:type="gramEnd"/>
            <w:r w:rsidRPr="00167A1B">
              <w:rPr>
                <w:rFonts w:ascii="Arial" w:hAnsi="Arial" w:cs="Arial"/>
                <w:lang w:val="en-GB"/>
              </w:rPr>
              <w:t xml:space="preserve"> USB PD is also included. Therefore, no losses of income from royalties are expected for SoC manufacturers. </w:t>
            </w:r>
          </w:p>
        </w:tc>
      </w:tr>
      <w:tr w:rsidR="00250BF5" w:rsidRPr="00167A1B" w14:paraId="20F8D31C" w14:textId="77777777" w:rsidTr="00250BF5">
        <w:tc>
          <w:tcPr>
            <w:tcW w:w="534" w:type="pct"/>
          </w:tcPr>
          <w:p w14:paraId="1C415E3A" w14:textId="77777777" w:rsidR="00084C36" w:rsidRPr="00167A1B" w:rsidRDefault="00084C36" w:rsidP="00F756E1">
            <w:pPr>
              <w:pStyle w:val="Body"/>
              <w:numPr>
                <w:ilvl w:val="0"/>
                <w:numId w:val="0"/>
              </w:numPr>
              <w:jc w:val="left"/>
              <w:rPr>
                <w:rFonts w:ascii="Arial" w:hAnsi="Arial" w:cs="Arial"/>
                <w:b/>
                <w:lang w:val="en-GB"/>
              </w:rPr>
            </w:pPr>
            <w:r w:rsidRPr="00167A1B">
              <w:rPr>
                <w:rFonts w:ascii="Arial" w:hAnsi="Arial" w:cs="Arial"/>
                <w:b/>
                <w:lang w:val="en-GB"/>
              </w:rPr>
              <w:t>Manufacturers of mobile phones and other portable devices</w:t>
            </w:r>
          </w:p>
        </w:tc>
        <w:tc>
          <w:tcPr>
            <w:tcW w:w="973" w:type="pct"/>
          </w:tcPr>
          <w:p w14:paraId="12C8AB25"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Differences in cost among different technologies are assumed to be passed on to consumers.</w:t>
            </w:r>
          </w:p>
        </w:tc>
        <w:tc>
          <w:tcPr>
            <w:tcW w:w="1217" w:type="pct"/>
          </w:tcPr>
          <w:p w14:paraId="375A5646"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 xml:space="preserve">The unbundling options would generate savings for manufacturers, as they would not need to include EPS and/or cables in the box anymore. </w:t>
            </w:r>
          </w:p>
          <w:p w14:paraId="1FAC9F3D"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Some of these savings may be passed on to consumers through reductions in the price of the device, but some may be absorbed by manufacturers as additional income.</w:t>
            </w:r>
          </w:p>
        </w:tc>
        <w:tc>
          <w:tcPr>
            <w:tcW w:w="1120" w:type="pct"/>
          </w:tcPr>
          <w:p w14:paraId="3C65988A"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Some manufacturers argue that their proprietary fast charging technologies offer them a competitive advantage, and mandatory standardisation or unbundling would affect their competitive position.</w:t>
            </w:r>
          </w:p>
          <w:p w14:paraId="2099B483" w14:textId="77777777" w:rsidR="00084C36" w:rsidRPr="00167A1B" w:rsidRDefault="00084C36" w:rsidP="00F756E1">
            <w:pPr>
              <w:pStyle w:val="Body"/>
              <w:numPr>
                <w:ilvl w:val="0"/>
                <w:numId w:val="0"/>
              </w:numPr>
              <w:jc w:val="left"/>
              <w:rPr>
                <w:rFonts w:ascii="Arial" w:hAnsi="Arial" w:cs="Arial"/>
                <w:lang w:val="en-GB"/>
              </w:rPr>
            </w:pPr>
          </w:p>
        </w:tc>
        <w:tc>
          <w:tcPr>
            <w:tcW w:w="1156" w:type="pct"/>
          </w:tcPr>
          <w:p w14:paraId="43AEB8EA"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Manufacturers of devices using proprietary connectors may lose incomes from royalties (e.g. sale of compatible accessories) if connectors are standardised.</w:t>
            </w:r>
          </w:p>
        </w:tc>
      </w:tr>
      <w:tr w:rsidR="00250BF5" w:rsidRPr="00167A1B" w14:paraId="238F04CD" w14:textId="77777777" w:rsidTr="00250BF5">
        <w:tc>
          <w:tcPr>
            <w:tcW w:w="534" w:type="pct"/>
          </w:tcPr>
          <w:p w14:paraId="04C79472" w14:textId="77777777" w:rsidR="00084C36" w:rsidRPr="00167A1B" w:rsidRDefault="00084C36" w:rsidP="00F756E1">
            <w:pPr>
              <w:pStyle w:val="Body"/>
              <w:numPr>
                <w:ilvl w:val="0"/>
                <w:numId w:val="0"/>
              </w:numPr>
              <w:jc w:val="left"/>
              <w:rPr>
                <w:rFonts w:ascii="Arial" w:hAnsi="Arial" w:cs="Arial"/>
                <w:b/>
                <w:lang w:val="en-GB"/>
              </w:rPr>
            </w:pPr>
            <w:r w:rsidRPr="00167A1B">
              <w:rPr>
                <w:rFonts w:ascii="Arial" w:hAnsi="Arial" w:cs="Arial"/>
                <w:b/>
                <w:lang w:val="en-GB"/>
              </w:rPr>
              <w:t>Manufacturers of chargers</w:t>
            </w:r>
          </w:p>
        </w:tc>
        <w:tc>
          <w:tcPr>
            <w:tcW w:w="973" w:type="pct"/>
          </w:tcPr>
          <w:p w14:paraId="77968086"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Differences in cost among different technologies are assumed to be passed on to consumers.</w:t>
            </w:r>
          </w:p>
        </w:tc>
        <w:tc>
          <w:tcPr>
            <w:tcW w:w="1217" w:type="pct"/>
          </w:tcPr>
          <w:p w14:paraId="63CD8DD6"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 xml:space="preserve">The unbundling options will likely reduce the total number of chargers sold in the EU, and therefore all manufacturers of chargers selling in the EU will be affected. </w:t>
            </w:r>
          </w:p>
        </w:tc>
        <w:tc>
          <w:tcPr>
            <w:tcW w:w="1120" w:type="pct"/>
          </w:tcPr>
          <w:p w14:paraId="5FC74001"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With unbundling options, firms who produce chargers to be sold in the box may lose market share if they are not able to adapt their distribution networks rapidly. This share would be won by manufacturers who distribute to retailers/consumers.</w:t>
            </w:r>
          </w:p>
          <w:p w14:paraId="79EF4A77"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Harmonisation options may also trigger a reduction of sales of proprietary chargers and cables that would benefit manufacturers of standard charging solutions.</w:t>
            </w:r>
          </w:p>
        </w:tc>
        <w:tc>
          <w:tcPr>
            <w:tcW w:w="1156" w:type="pct"/>
          </w:tcPr>
          <w:p w14:paraId="6C08AAD8"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Harmonisation options would lead to further adoption of USB PD / USB Type C than in the baseline, which may incentivise some firms to stop manufacturing proprietary solutions. This would lead to a reduction in royalty fees that charger manufacturers pay. As this is a very concentrated market, it is expected that marginal reductions in costs would be passed on to consumers, rather than producing gains for manufacturers.</w:t>
            </w:r>
          </w:p>
        </w:tc>
      </w:tr>
      <w:tr w:rsidR="00250BF5" w:rsidRPr="00167A1B" w14:paraId="66F4027D" w14:textId="77777777" w:rsidTr="00250BF5">
        <w:tc>
          <w:tcPr>
            <w:tcW w:w="534" w:type="pct"/>
          </w:tcPr>
          <w:p w14:paraId="40B7E857" w14:textId="77777777" w:rsidR="00084C36" w:rsidRPr="00167A1B" w:rsidRDefault="00084C36" w:rsidP="00F756E1">
            <w:pPr>
              <w:pStyle w:val="Body"/>
              <w:numPr>
                <w:ilvl w:val="0"/>
                <w:numId w:val="0"/>
              </w:numPr>
              <w:jc w:val="left"/>
              <w:rPr>
                <w:rFonts w:ascii="Arial" w:hAnsi="Arial" w:cs="Arial"/>
                <w:b/>
                <w:lang w:val="en-GB"/>
              </w:rPr>
            </w:pPr>
            <w:r w:rsidRPr="00167A1B">
              <w:rPr>
                <w:rFonts w:ascii="Arial" w:hAnsi="Arial" w:cs="Arial"/>
                <w:b/>
                <w:lang w:val="en-GB"/>
              </w:rPr>
              <w:t>Distributors, retailers, and wholesalers</w:t>
            </w:r>
          </w:p>
        </w:tc>
        <w:tc>
          <w:tcPr>
            <w:tcW w:w="973" w:type="pct"/>
          </w:tcPr>
          <w:p w14:paraId="6A593076"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No major impacts expected</w:t>
            </w:r>
          </w:p>
        </w:tc>
        <w:tc>
          <w:tcPr>
            <w:tcW w:w="1217" w:type="pct"/>
          </w:tcPr>
          <w:p w14:paraId="7AA51D6B"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Distributors may benefit from the increased sales of stand-alone chargers (if their revenue is higher than when sold in the box)</w:t>
            </w:r>
          </w:p>
        </w:tc>
        <w:tc>
          <w:tcPr>
            <w:tcW w:w="1120" w:type="pct"/>
          </w:tcPr>
          <w:p w14:paraId="2B668A0F"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No major impacts expected</w:t>
            </w:r>
          </w:p>
        </w:tc>
        <w:tc>
          <w:tcPr>
            <w:tcW w:w="1156" w:type="pct"/>
          </w:tcPr>
          <w:p w14:paraId="17CB226A" w14:textId="77777777" w:rsidR="00084C36" w:rsidRPr="00167A1B" w:rsidRDefault="00084C36" w:rsidP="00F756E1">
            <w:pPr>
              <w:pStyle w:val="Body"/>
              <w:numPr>
                <w:ilvl w:val="0"/>
                <w:numId w:val="0"/>
              </w:numPr>
              <w:jc w:val="left"/>
              <w:rPr>
                <w:rFonts w:ascii="Arial" w:hAnsi="Arial" w:cs="Arial"/>
                <w:lang w:val="en-GB"/>
              </w:rPr>
            </w:pPr>
            <w:r w:rsidRPr="00167A1B">
              <w:rPr>
                <w:rFonts w:ascii="Arial" w:hAnsi="Arial" w:cs="Arial"/>
                <w:lang w:val="en-GB"/>
              </w:rPr>
              <w:t>No major impacts expected</w:t>
            </w:r>
          </w:p>
        </w:tc>
      </w:tr>
    </w:tbl>
    <w:p w14:paraId="4B9E6C26" w14:textId="77777777" w:rsidR="00084C36" w:rsidRPr="00167A1B" w:rsidRDefault="00084C36" w:rsidP="00084C36"/>
    <w:p w14:paraId="17A7CDCA" w14:textId="77777777" w:rsidR="00084C36" w:rsidRPr="00167A1B" w:rsidRDefault="00084C36" w:rsidP="00084C36">
      <w:pPr>
        <w:sectPr w:rsidR="00084C36" w:rsidRPr="00167A1B" w:rsidSect="00C71CDA">
          <w:pgSz w:w="16839" w:h="11907" w:orient="landscape" w:code="9"/>
          <w:pgMar w:top="1701" w:right="1418" w:bottom="1418" w:left="851" w:header="567" w:footer="720" w:gutter="0"/>
          <w:cols w:space="720"/>
          <w:docGrid w:linePitch="326"/>
        </w:sectPr>
      </w:pPr>
    </w:p>
    <w:p w14:paraId="1B8E8C03" w14:textId="77777777" w:rsidR="00084C36" w:rsidRPr="00167A1B" w:rsidRDefault="00084C36" w:rsidP="00084C36">
      <w:pPr>
        <w:pStyle w:val="BodyText1"/>
        <w:rPr>
          <w:noProof w:val="0"/>
        </w:rPr>
      </w:pPr>
      <w:r w:rsidRPr="00167A1B">
        <w:rPr>
          <w:noProof w:val="0"/>
        </w:rPr>
        <w:lastRenderedPageBreak/>
        <w:t xml:space="preserve">A key question when assessing economic impacts is whether the savings from not including chargers in the box (for options that consider unbundling) will be reflected in the retail price of the devices or whether they will be absorbed as additional income by manufacturers. </w:t>
      </w:r>
    </w:p>
    <w:p w14:paraId="469E0975" w14:textId="77777777" w:rsidR="00084C36" w:rsidRPr="00167A1B" w:rsidRDefault="00084C36" w:rsidP="00084C36">
      <w:pPr>
        <w:pStyle w:val="BodyText1"/>
        <w:rPr>
          <w:noProof w:val="0"/>
          <w:szCs w:val="22"/>
        </w:rPr>
      </w:pPr>
      <w:r w:rsidRPr="00167A1B">
        <w:rPr>
          <w:noProof w:val="0"/>
        </w:rPr>
        <w:t xml:space="preserve">In the online survey of stakeholders, two thirds of industry stakeholders (64%) answered that it is very unlikely or quite unlikely that the average retail price of mobile phones will decrease in the short term if the EPS is not included in the box, and the majority (57%) were of the same </w:t>
      </w:r>
      <w:r w:rsidRPr="00167A1B">
        <w:rPr>
          <w:noProof w:val="0"/>
          <w:szCs w:val="22"/>
        </w:rPr>
        <w:t>view when considering the effects in the long term.</w:t>
      </w:r>
    </w:p>
    <w:p w14:paraId="37DDBA73" w14:textId="77777777" w:rsidR="00084C36" w:rsidRPr="00167A1B" w:rsidRDefault="00084C36" w:rsidP="00084C36">
      <w:pPr>
        <w:pStyle w:val="BodyText1"/>
        <w:rPr>
          <w:noProof w:val="0"/>
          <w:szCs w:val="22"/>
        </w:rPr>
      </w:pPr>
      <w:r w:rsidRPr="00167A1B">
        <w:rPr>
          <w:noProof w:val="0"/>
          <w:szCs w:val="22"/>
        </w:rPr>
        <w:t>Another key aspect is whether manufacturers will offer EPS out of the box at a reduced price if unbundling becomes mandatory. In the survey, just over half of respondents (54%) thought this is quite or very unlikely. However, in interviews, manufacturers who have started to unbundle commented that they have reduced the price of their stand-alone EPS.</w:t>
      </w:r>
      <w:r w:rsidRPr="00167A1B">
        <w:rPr>
          <w:rStyle w:val="FootnoteReference"/>
          <w:noProof w:val="0"/>
          <w:sz w:val="22"/>
          <w:szCs w:val="22"/>
        </w:rPr>
        <w:footnoteReference w:id="90"/>
      </w:r>
    </w:p>
    <w:p w14:paraId="5046ABA9" w14:textId="0B7004DA" w:rsidR="00084C36" w:rsidRPr="00167A1B" w:rsidRDefault="00084C36" w:rsidP="00084C36">
      <w:pPr>
        <w:pStyle w:val="Caption"/>
      </w:pPr>
      <w:r w:rsidRPr="00167A1B">
        <w:t xml:space="preserve">Figure </w:t>
      </w:r>
      <w:r w:rsidRPr="00167A1B">
        <w:fldChar w:fldCharType="begin"/>
      </w:r>
      <w:r w:rsidRPr="00167A1B">
        <w:instrText xml:space="preserve"> SEQ Figure \* ARABIC </w:instrText>
      </w:r>
      <w:r w:rsidRPr="00167A1B">
        <w:fldChar w:fldCharType="separate"/>
      </w:r>
      <w:r w:rsidR="00F756E1" w:rsidRPr="00167A1B">
        <w:t>4</w:t>
      </w:r>
      <w:r w:rsidRPr="00167A1B">
        <w:fldChar w:fldCharType="end"/>
      </w:r>
      <w:r w:rsidRPr="00167A1B">
        <w:t>: Anticipated impacts of mandatory unbundling as perceived by industry stakeholders</w:t>
      </w:r>
    </w:p>
    <w:p w14:paraId="42346316" w14:textId="77777777" w:rsidR="00084C36" w:rsidRPr="00167A1B" w:rsidRDefault="00084C36" w:rsidP="00084C36">
      <w:r w:rsidRPr="00167A1B">
        <w:rPr>
          <w:noProof/>
          <w:lang w:eastAsia="en-GB"/>
        </w:rPr>
        <w:drawing>
          <wp:inline distT="0" distB="0" distL="0" distR="0" wp14:anchorId="5FEF650F" wp14:editId="7E04DF7D">
            <wp:extent cx="5580380" cy="3671403"/>
            <wp:effectExtent l="0" t="0" r="1270" b="5715"/>
            <wp:docPr id="55" name="Chart 55">
              <a:extLst xmlns:a="http://schemas.openxmlformats.org/drawingml/2006/main">
                <a:ext uri="{FF2B5EF4-FFF2-40B4-BE49-F238E27FC236}">
                  <a16:creationId xmlns:a16="http://schemas.microsoft.com/office/drawing/2014/main" id="{33C7BCAE-14F7-475D-A229-0A669ED03D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ECA2406" w14:textId="77777777" w:rsidR="00084C36" w:rsidRPr="00167A1B" w:rsidRDefault="00084C36" w:rsidP="008C1CDE">
      <w:pPr>
        <w:pStyle w:val="Footerapproval"/>
        <w:ind w:right="-1"/>
        <w:rPr>
          <w:lang w:val="en-GB"/>
        </w:rPr>
      </w:pPr>
      <w:r w:rsidRPr="00167A1B">
        <w:rPr>
          <w:lang w:val="en-GB"/>
        </w:rPr>
        <w:t>Question: If mobile phone manufacturers and distributors were obliged (be it via a voluntary industry commitment or via regulation) to decouple the EPS from the phone (i.e. to no longer include an EPS in the box, but rather offer this as an optional accessory), how do you think the market would react? How likely would the following be to occur?</w:t>
      </w:r>
    </w:p>
    <w:p w14:paraId="5BD4DCA2" w14:textId="77777777" w:rsidR="00084C36" w:rsidRPr="00167A1B" w:rsidRDefault="00084C36" w:rsidP="00084C36">
      <w:pPr>
        <w:pStyle w:val="Footerapproval"/>
        <w:rPr>
          <w:lang w:val="en-GB"/>
        </w:rPr>
      </w:pPr>
      <w:r w:rsidRPr="00167A1B">
        <w:rPr>
          <w:lang w:val="en-GB"/>
        </w:rPr>
        <w:t>Source: Ipsos (2021), stakeholder survey. N=28, all private sector respondents</w:t>
      </w:r>
    </w:p>
    <w:p w14:paraId="355CBD32" w14:textId="77777777" w:rsidR="00084C36" w:rsidRPr="00167A1B" w:rsidRDefault="00084C36" w:rsidP="00084C36">
      <w:pPr>
        <w:pStyle w:val="04ABodyText"/>
      </w:pPr>
    </w:p>
    <w:p w14:paraId="62D906F7" w14:textId="4B2714FB" w:rsidR="00084C36" w:rsidRPr="00167A1B" w:rsidRDefault="00084C36" w:rsidP="008C1CDE">
      <w:pPr>
        <w:pStyle w:val="BodyText1"/>
        <w:rPr>
          <w:noProof w:val="0"/>
        </w:rPr>
      </w:pPr>
      <w:r w:rsidRPr="00167A1B">
        <w:rPr>
          <w:noProof w:val="0"/>
        </w:rPr>
        <w:t>In our stock model, we have assumed that the savings of selling mobile phones unbundled from the EPS/cable are passed on to consumers. In the premium segment of the market this might not be so obvious, as prices are not (only) determined by marginal costs but instead by market positioning strategies. However, evidence suggests that manufacturers are likely to offer other “accessories” instead (e.g. HMD is extending the guarantee of the device by one year). The price in medium and low tier phones is largely determined by the marginal price, and therefore it is to be expected that when savings are achieved from not including chargers in the box, these are passed on to consumers.</w:t>
      </w:r>
    </w:p>
    <w:p w14:paraId="3AED22CC" w14:textId="77777777" w:rsidR="00084C36" w:rsidRPr="00167A1B" w:rsidRDefault="00084C36" w:rsidP="00084C36">
      <w:pPr>
        <w:pStyle w:val="BodyText1"/>
        <w:rPr>
          <w:noProof w:val="0"/>
        </w:rPr>
      </w:pPr>
      <w:r w:rsidRPr="00167A1B">
        <w:rPr>
          <w:noProof w:val="0"/>
        </w:rPr>
        <w:lastRenderedPageBreak/>
        <w:t>This impact has been quantified through the stock model. It is assumed that, when EPS and cables are sold bundled with mobile phones, they are sold at the wholesale price (industry representatives interviewed in this and the first IA assured that they do not obtain any profits for the sale of bundled EPS). When EPS/cables are not bundled to mobile phones, consumers save the wholesale price of the charger; however, if they buy an EPS/cable separately, they pay the retail price. That is why, even when there are fewer chargers in the market, consumers might not obtain any savings. Their capacity to obtain savings will depend on the effectiveness of unbundling (i.e. how many consumers would continue buying EPS).</w:t>
      </w:r>
    </w:p>
    <w:p w14:paraId="4195E473" w14:textId="77777777" w:rsidR="00903311" w:rsidRPr="00167A1B" w:rsidRDefault="00903311" w:rsidP="00903311">
      <w:pPr>
        <w:pStyle w:val="BodyText1"/>
        <w:rPr>
          <w:noProof w:val="0"/>
        </w:rPr>
      </w:pPr>
      <w:r w:rsidRPr="00167A1B">
        <w:rPr>
          <w:noProof w:val="0"/>
        </w:rPr>
        <w:t xml:space="preserve">The supply chain of chargers of mobile phones is formed by, inter alia, manufacturers of chargers (EPS and cables), wholesalers, manufacturers of mobile phones and other portable devices (when chargers are sold unbundled), distributors, and retailers. In many cases, however, large firms have integrated vertically. For instance, Huawei manufacture their own chargers, and Apple control their distribution until the point of sale. </w:t>
      </w:r>
    </w:p>
    <w:p w14:paraId="2E69F143" w14:textId="02D45033" w:rsidR="00903311" w:rsidRPr="00167A1B" w:rsidRDefault="00903311" w:rsidP="00903311">
      <w:pPr>
        <w:pStyle w:val="BodyText1"/>
        <w:rPr>
          <w:noProof w:val="0"/>
        </w:rPr>
      </w:pPr>
      <w:r w:rsidRPr="00167A1B">
        <w:rPr>
          <w:noProof w:val="0"/>
        </w:rPr>
        <w:t xml:space="preserve">Our stock model calculates </w:t>
      </w:r>
      <w:r w:rsidR="00403AA1" w:rsidRPr="00167A1B">
        <w:rPr>
          <w:noProof w:val="0"/>
        </w:rPr>
        <w:t xml:space="preserve">the gross profit </w:t>
      </w:r>
      <w:r w:rsidRPr="00167A1B">
        <w:rPr>
          <w:noProof w:val="0"/>
        </w:rPr>
        <w:t>for the industry in a relatively simple way: production costs (e.g. costs of materials and other fixed costs) are deducted from consumer costs (i.e. retail price of chargers).</w:t>
      </w:r>
      <w:r w:rsidR="00403AA1" w:rsidRPr="00167A1B">
        <w:rPr>
          <w:noProof w:val="0"/>
        </w:rPr>
        <w:t xml:space="preserve"> See the costs and prices used in </w:t>
      </w:r>
      <w:r w:rsidR="00403AA1" w:rsidRPr="00167A1B">
        <w:rPr>
          <w:noProof w:val="0"/>
        </w:rPr>
        <w:fldChar w:fldCharType="begin"/>
      </w:r>
      <w:r w:rsidR="00403AA1" w:rsidRPr="00167A1B">
        <w:rPr>
          <w:noProof w:val="0"/>
        </w:rPr>
        <w:instrText xml:space="preserve"> REF _Ref71644614 \h </w:instrText>
      </w:r>
      <w:r w:rsidR="00403AA1" w:rsidRPr="00167A1B">
        <w:rPr>
          <w:noProof w:val="0"/>
        </w:rPr>
      </w:r>
      <w:r w:rsidR="00403AA1" w:rsidRPr="00167A1B">
        <w:rPr>
          <w:noProof w:val="0"/>
        </w:rPr>
        <w:fldChar w:fldCharType="separate"/>
      </w:r>
      <w:r w:rsidR="00403AA1" w:rsidRPr="00167A1B">
        <w:rPr>
          <w:noProof w:val="0"/>
        </w:rPr>
        <w:t>Table 8</w:t>
      </w:r>
      <w:r w:rsidR="00403AA1" w:rsidRPr="00167A1B">
        <w:rPr>
          <w:noProof w:val="0"/>
        </w:rPr>
        <w:fldChar w:fldCharType="end"/>
      </w:r>
      <w:r w:rsidR="00403AA1" w:rsidRPr="00167A1B">
        <w:rPr>
          <w:noProof w:val="0"/>
        </w:rPr>
        <w:t>.</w:t>
      </w:r>
      <w:r w:rsidRPr="00167A1B">
        <w:rPr>
          <w:noProof w:val="0"/>
        </w:rPr>
        <w:t xml:space="preserve"> Other costs that are borne by the industry since chargers are acquired from producers/wholesalers until they are placed in the market (e.g. transport, labour costs, etc.) are not included in the model. This simplicity (only accounting for changes in price and quantities resulting from the policy options) allows us to understand the net impact of the policy options. </w:t>
      </w:r>
    </w:p>
    <w:p w14:paraId="315956E1" w14:textId="077A30DB" w:rsidR="00903311" w:rsidRPr="00167A1B" w:rsidRDefault="00903311" w:rsidP="00903311">
      <w:pPr>
        <w:pStyle w:val="BodyText1"/>
        <w:rPr>
          <w:noProof w:val="0"/>
        </w:rPr>
      </w:pPr>
      <w:r w:rsidRPr="00167A1B">
        <w:rPr>
          <w:noProof w:val="0"/>
        </w:rPr>
        <w:t xml:space="preserve">The stock model separates the benefits for producers </w:t>
      </w:r>
      <w:r w:rsidR="00403AA1" w:rsidRPr="00167A1B">
        <w:rPr>
          <w:noProof w:val="0"/>
        </w:rPr>
        <w:t xml:space="preserve">of chargers </w:t>
      </w:r>
      <w:r w:rsidRPr="00167A1B">
        <w:rPr>
          <w:noProof w:val="0"/>
        </w:rPr>
        <w:t>and wholesalers, on the one hand, and the rest of the supply chain, on the other. The benefits for producers and wholesale</w:t>
      </w:r>
      <w:r w:rsidR="00F975FD" w:rsidRPr="00167A1B">
        <w:rPr>
          <w:noProof w:val="0"/>
        </w:rPr>
        <w:t>r</w:t>
      </w:r>
      <w:r w:rsidRPr="00167A1B">
        <w:rPr>
          <w:noProof w:val="0"/>
        </w:rPr>
        <w:t>s are calculated as the difference between the wholesale price of chargers and the production cost. The benefits for the rest of the supply chain, from wholesalers/producers until chargers are sold to consumers, are calculated as the difference between the retail and the wholesale price of chargers.</w:t>
      </w:r>
    </w:p>
    <w:p w14:paraId="4B66D0C7" w14:textId="77777777" w:rsidR="00903311" w:rsidRPr="00167A1B" w:rsidRDefault="00903311" w:rsidP="00903311">
      <w:pPr>
        <w:pStyle w:val="BodyText1"/>
        <w:rPr>
          <w:noProof w:val="0"/>
        </w:rPr>
      </w:pPr>
      <w:r w:rsidRPr="00167A1B">
        <w:rPr>
          <w:noProof w:val="0"/>
        </w:rPr>
        <w:t xml:space="preserve">The quantitative impact for manufacturers of mobile phones is not directly included in the model. From interviews with these stakeholders, it has become clear that they typically do not obtain a profit margin from the sale of chargers when they are bundled with mobile phones (without considering brand reputation, competitive advantages, etc.). Therefore, the policy options do not generate a </w:t>
      </w:r>
      <w:proofErr w:type="gramStart"/>
      <w:r w:rsidRPr="00167A1B">
        <w:rPr>
          <w:noProof w:val="0"/>
        </w:rPr>
        <w:t>direct quantitative economic impacts</w:t>
      </w:r>
      <w:proofErr w:type="gramEnd"/>
      <w:r w:rsidRPr="00167A1B">
        <w:rPr>
          <w:noProof w:val="0"/>
        </w:rPr>
        <w:t xml:space="preserve"> on manufacturers of mobile phones for the sale of chargers, with a few exceptions:</w:t>
      </w:r>
    </w:p>
    <w:p w14:paraId="4264305E" w14:textId="0F6D25FC" w:rsidR="00903311" w:rsidRPr="00167A1B" w:rsidRDefault="00903311" w:rsidP="00903311">
      <w:pPr>
        <w:pStyle w:val="BodyText1"/>
        <w:numPr>
          <w:ilvl w:val="0"/>
          <w:numId w:val="63"/>
        </w:numPr>
        <w:rPr>
          <w:noProof w:val="0"/>
        </w:rPr>
      </w:pPr>
      <w:r w:rsidRPr="00167A1B">
        <w:rPr>
          <w:noProof w:val="0"/>
        </w:rPr>
        <w:t xml:space="preserve">As explained above, some manufacturers of mobile phones have integrated their business vertically. Huawei, for instance, manufacture their own chargers. Therefore, </w:t>
      </w:r>
      <w:r w:rsidR="00167A1B" w:rsidRPr="00167A1B">
        <w:rPr>
          <w:noProof w:val="0"/>
        </w:rPr>
        <w:t>quantitative</w:t>
      </w:r>
      <w:r w:rsidRPr="00167A1B">
        <w:rPr>
          <w:noProof w:val="0"/>
        </w:rPr>
        <w:t xml:space="preserve"> impacts for Huawei are included under “benefit for manufacturers of chargers and wholesalers”.</w:t>
      </w:r>
    </w:p>
    <w:p w14:paraId="18A06A55" w14:textId="77777777" w:rsidR="00903311" w:rsidRPr="00167A1B" w:rsidRDefault="00903311" w:rsidP="00903311">
      <w:pPr>
        <w:pStyle w:val="BodyText1"/>
        <w:numPr>
          <w:ilvl w:val="0"/>
          <w:numId w:val="63"/>
        </w:numPr>
        <w:rPr>
          <w:noProof w:val="0"/>
        </w:rPr>
      </w:pPr>
      <w:r w:rsidRPr="00167A1B">
        <w:rPr>
          <w:noProof w:val="0"/>
        </w:rPr>
        <w:t>Apple do not manufacture chargers, but they have integrated their business vertically in the opposite direction, i.e. towards the point of sale. In this case, impacts on benefits for Apple (exclusively from the sale of chargers) are included under “benefits for distributors and retailers”. Other manufacturers of mobile phones also sell their devices directly to consumers (e.g. via online sales). Their benefits from selling chargers directly to consumers are also included under “benefits for distributors and retailers”.</w:t>
      </w:r>
    </w:p>
    <w:p w14:paraId="58A89E21" w14:textId="1D3C4764" w:rsidR="00403AA1" w:rsidRPr="00167A1B" w:rsidRDefault="005A007F" w:rsidP="00903311">
      <w:pPr>
        <w:pStyle w:val="BodyText1"/>
        <w:rPr>
          <w:noProof w:val="0"/>
        </w:rPr>
      </w:pPr>
      <w:r w:rsidRPr="00167A1B">
        <w:rPr>
          <w:noProof w:val="0"/>
        </w:rPr>
        <w:t>Manufacturers of phones, however, bear the cost of including USB PD in their devices, as well as the cost of the connector at the device end (cost</w:t>
      </w:r>
      <w:r w:rsidR="00EB1CCB" w:rsidRPr="00167A1B">
        <w:rPr>
          <w:noProof w:val="0"/>
        </w:rPr>
        <w:t>s</w:t>
      </w:r>
      <w:r w:rsidRPr="00167A1B">
        <w:rPr>
          <w:noProof w:val="0"/>
        </w:rPr>
        <w:t xml:space="preserve"> </w:t>
      </w:r>
      <w:r w:rsidR="00EB1CCB" w:rsidRPr="00167A1B">
        <w:rPr>
          <w:noProof w:val="0"/>
        </w:rPr>
        <w:t>are</w:t>
      </w:r>
      <w:r w:rsidRPr="00167A1B">
        <w:rPr>
          <w:noProof w:val="0"/>
        </w:rPr>
        <w:t xml:space="preserve"> ultimately passed on to consumers). </w:t>
      </w:r>
      <w:r w:rsidR="00EB1CCB" w:rsidRPr="00167A1B">
        <w:rPr>
          <w:noProof w:val="0"/>
        </w:rPr>
        <w:t xml:space="preserve">From information facilitated by interviewees and secondary research conducted, our estimation is that the cost of including USB PD charging protocol is 0.42 Euros per device, which translates into 2.10 Euros in the retail price. USB Type-C receptacles are also more expensive than USB micro-B receptacles. The difference in cost for manufacturers is estimated to be 0.17 Euros per device, which translates into 0.85 Euros in the retail price of the device. It has not been possible in this study to obtain information on the difference in cost between Lightning and USB Type-C. </w:t>
      </w:r>
      <w:r w:rsidR="00337D70" w:rsidRPr="00167A1B">
        <w:rPr>
          <w:noProof w:val="0"/>
        </w:rPr>
        <w:t xml:space="preserve">As information was incomplete, this cost has not been input in the stock model and is reported separately. </w:t>
      </w:r>
      <w:r w:rsidR="00EB1CCB" w:rsidRPr="00167A1B">
        <w:rPr>
          <w:noProof w:val="0"/>
        </w:rPr>
        <w:t>This impact is calculated for Options 1 and 2, which affect the connectors and/or battery charging protocols at the device end.</w:t>
      </w:r>
      <w:r w:rsidR="002C65E4" w:rsidRPr="00167A1B">
        <w:rPr>
          <w:noProof w:val="0"/>
        </w:rPr>
        <w:t xml:space="preserve"> It should be noted that this impact is very minor in both costs for producers and consumers.</w:t>
      </w:r>
    </w:p>
    <w:p w14:paraId="6ED37755" w14:textId="781D5587" w:rsidR="00903311" w:rsidRPr="00167A1B" w:rsidRDefault="00903311" w:rsidP="00EF05D5">
      <w:pPr>
        <w:pStyle w:val="BodyText1"/>
        <w:rPr>
          <w:noProof w:val="0"/>
        </w:rPr>
      </w:pPr>
      <w:r w:rsidRPr="00167A1B">
        <w:rPr>
          <w:noProof w:val="0"/>
        </w:rPr>
        <w:lastRenderedPageBreak/>
        <w:t>It is also important to highlight that the benefits for distributors and retailers are likely to be overestimated, as they only consider the costs of acquiring chargers from wholesalers. In practice, distributors also bear other costs such as transport, labour costs, storage, etc. that are not accounted for in the model. Benefits in this case should be understood as the difference between the cost of inputs and turnover.</w:t>
      </w:r>
    </w:p>
    <w:p w14:paraId="1F64E70A" w14:textId="3988555C" w:rsidR="000E4FF4" w:rsidRPr="00167A1B" w:rsidRDefault="000E4FF4" w:rsidP="00EF05D5">
      <w:pPr>
        <w:pStyle w:val="BodyText1"/>
        <w:rPr>
          <w:noProof w:val="0"/>
        </w:rPr>
      </w:pPr>
      <w:r w:rsidRPr="00167A1B">
        <w:rPr>
          <w:noProof w:val="0"/>
        </w:rPr>
        <w:t xml:space="preserve">We have estimated the </w:t>
      </w:r>
      <w:r w:rsidRPr="00167A1B">
        <w:rPr>
          <w:b/>
          <w:bCs/>
          <w:noProof w:val="0"/>
        </w:rPr>
        <w:t>gross profit generated via the sale of chargers</w:t>
      </w:r>
      <w:r w:rsidRPr="00167A1B">
        <w:rPr>
          <w:noProof w:val="0"/>
        </w:rPr>
        <w:t xml:space="preserve"> (both in the box and stand-alone) for each policy option, and we have compared it to the gross profit in the baseline, using the following formula:</w:t>
      </w:r>
    </w:p>
    <w:p w14:paraId="7D002FDD" w14:textId="77777777" w:rsidR="000E4FF4" w:rsidRPr="00167A1B" w:rsidRDefault="000E4FF4" w:rsidP="00EF05D5">
      <w:pPr>
        <w:pStyle w:val="BodyText1"/>
        <w:jc w:val="center"/>
        <w:rPr>
          <w:noProof w:val="0"/>
        </w:rPr>
      </w:pPr>
      <w:r w:rsidRPr="00167A1B">
        <w:rPr>
          <w:noProof w:val="0"/>
        </w:rPr>
        <w:t>GPPO</w:t>
      </w:r>
      <w:r w:rsidRPr="00167A1B">
        <w:rPr>
          <w:noProof w:val="0"/>
          <w:vertAlign w:val="subscript"/>
        </w:rPr>
        <w:t>j</w:t>
      </w:r>
      <w:r w:rsidRPr="00167A1B">
        <w:rPr>
          <w:noProof w:val="0"/>
        </w:rPr>
        <w:t xml:space="preserve"> = </w:t>
      </w:r>
      <m:oMath>
        <m:nary>
          <m:naryPr>
            <m:chr m:val="∑"/>
            <m:limLoc m:val="undOvr"/>
            <m:subHide m:val="1"/>
            <m:supHide m:val="1"/>
            <m:ctrlPr>
              <w:rPr>
                <w:rFonts w:ascii="Cambria Math" w:hAnsi="Cambria Math"/>
                <w:i/>
                <w:noProof w:val="0"/>
              </w:rPr>
            </m:ctrlPr>
          </m:naryPr>
          <m:sub/>
          <m:sup/>
          <m:e>
            <m:r>
              <w:rPr>
                <w:rFonts w:ascii="Cambria Math" w:hAnsi="Cambria Math"/>
                <w:noProof w:val="0"/>
              </w:rPr>
              <m:t>(Pi×Qi)</m:t>
            </m:r>
          </m:e>
        </m:nary>
        <m:r>
          <w:rPr>
            <w:rFonts w:ascii="Cambria Math" w:hAnsi="Cambria Math"/>
            <w:noProof w:val="0"/>
          </w:rPr>
          <m:t xml:space="preserve">+ </m:t>
        </m:r>
        <m:nary>
          <m:naryPr>
            <m:chr m:val="∑"/>
            <m:limLoc m:val="undOvr"/>
            <m:subHide m:val="1"/>
            <m:supHide m:val="1"/>
            <m:ctrlPr>
              <w:rPr>
                <w:rFonts w:ascii="Cambria Math" w:hAnsi="Cambria Math"/>
                <w:i/>
                <w:noProof w:val="0"/>
              </w:rPr>
            </m:ctrlPr>
          </m:naryPr>
          <m:sub/>
          <m:sup/>
          <m:e>
            <m:r>
              <w:rPr>
                <w:rFonts w:ascii="Cambria Math" w:hAnsi="Cambria Math"/>
                <w:noProof w:val="0"/>
              </w:rPr>
              <m:t>(SPi×SQi)</m:t>
            </m:r>
          </m:e>
        </m:nary>
      </m:oMath>
      <w:r w:rsidRPr="00167A1B">
        <w:rPr>
          <w:noProof w:val="0"/>
        </w:rPr>
        <w:t xml:space="preserve"> - </w:t>
      </w:r>
      <m:oMath>
        <m:nary>
          <m:naryPr>
            <m:chr m:val="∑"/>
            <m:limLoc m:val="undOvr"/>
            <m:subHide m:val="1"/>
            <m:supHide m:val="1"/>
            <m:ctrlPr>
              <w:rPr>
                <w:rFonts w:ascii="Cambria Math" w:hAnsi="Cambria Math"/>
                <w:i/>
                <w:noProof w:val="0"/>
              </w:rPr>
            </m:ctrlPr>
          </m:naryPr>
          <m:sub/>
          <m:sup/>
          <m:e>
            <m:r>
              <w:rPr>
                <w:rFonts w:ascii="Cambria Math" w:hAnsi="Cambria Math"/>
                <w:noProof w:val="0"/>
              </w:rPr>
              <m:t>(Ci×Qi)</m:t>
            </m:r>
          </m:e>
        </m:nary>
      </m:oMath>
      <w:r w:rsidRPr="00167A1B">
        <w:rPr>
          <w:noProof w:val="0"/>
        </w:rPr>
        <w:t xml:space="preserve"> - </w:t>
      </w:r>
      <m:oMath>
        <m:nary>
          <m:naryPr>
            <m:chr m:val="∑"/>
            <m:limLoc m:val="undOvr"/>
            <m:subHide m:val="1"/>
            <m:supHide m:val="1"/>
            <m:ctrlPr>
              <w:rPr>
                <w:rFonts w:ascii="Cambria Math" w:hAnsi="Cambria Math"/>
                <w:i/>
                <w:noProof w:val="0"/>
              </w:rPr>
            </m:ctrlPr>
          </m:naryPr>
          <m:sub/>
          <m:sup/>
          <m:e>
            <m:r>
              <w:rPr>
                <w:rFonts w:ascii="Cambria Math" w:hAnsi="Cambria Math"/>
                <w:noProof w:val="0"/>
              </w:rPr>
              <m:t>(Ci×SQi)</m:t>
            </m:r>
          </m:e>
        </m:nary>
      </m:oMath>
    </w:p>
    <w:p w14:paraId="0B3936B3" w14:textId="77777777" w:rsidR="000E4FF4" w:rsidRPr="00167A1B" w:rsidRDefault="000E4FF4" w:rsidP="00EF05D5">
      <w:pPr>
        <w:pStyle w:val="BodyText1"/>
        <w:rPr>
          <w:noProof w:val="0"/>
        </w:rPr>
      </w:pPr>
      <w:r w:rsidRPr="00167A1B">
        <w:rPr>
          <w:noProof w:val="0"/>
        </w:rPr>
        <w:t>Where:</w:t>
      </w:r>
    </w:p>
    <w:p w14:paraId="2CF42135" w14:textId="77777777" w:rsidR="000E4FF4" w:rsidRPr="00167A1B" w:rsidRDefault="000E4FF4" w:rsidP="00EF05D5">
      <w:pPr>
        <w:pStyle w:val="BodyText1"/>
        <w:numPr>
          <w:ilvl w:val="0"/>
          <w:numId w:val="49"/>
        </w:numPr>
        <w:rPr>
          <w:noProof w:val="0"/>
        </w:rPr>
      </w:pPr>
      <w:r w:rsidRPr="00167A1B">
        <w:rPr>
          <w:noProof w:val="0"/>
        </w:rPr>
        <w:t>GPPO</w:t>
      </w:r>
      <w:r w:rsidRPr="00167A1B">
        <w:rPr>
          <w:noProof w:val="0"/>
          <w:vertAlign w:val="subscript"/>
        </w:rPr>
        <w:t>j</w:t>
      </w:r>
      <w:r w:rsidRPr="00167A1B">
        <w:rPr>
          <w:noProof w:val="0"/>
        </w:rPr>
        <w:t xml:space="preserve"> = Gross profit for manufacturers in Policy Option j</w:t>
      </w:r>
    </w:p>
    <w:p w14:paraId="2CAAC03A" w14:textId="621C5C49" w:rsidR="000E4FF4" w:rsidRPr="00167A1B" w:rsidRDefault="000E4FF4" w:rsidP="00EF05D5">
      <w:pPr>
        <w:pStyle w:val="BodyText1"/>
        <w:numPr>
          <w:ilvl w:val="0"/>
          <w:numId w:val="49"/>
        </w:numPr>
        <w:rPr>
          <w:noProof w:val="0"/>
        </w:rPr>
      </w:pPr>
      <w:r w:rsidRPr="00167A1B">
        <w:rPr>
          <w:noProof w:val="0"/>
        </w:rPr>
        <w:t>P</w:t>
      </w:r>
      <w:r w:rsidRPr="00167A1B">
        <w:rPr>
          <w:noProof w:val="0"/>
          <w:vertAlign w:val="subscript"/>
        </w:rPr>
        <w:t xml:space="preserve">i </w:t>
      </w:r>
      <w:r w:rsidRPr="00167A1B">
        <w:rPr>
          <w:noProof w:val="0"/>
        </w:rPr>
        <w:t>= Price of type of charger I (EPS/cable) when sold in the box</w:t>
      </w:r>
    </w:p>
    <w:p w14:paraId="2D9D3FF9" w14:textId="223168C5" w:rsidR="000E4FF4" w:rsidRPr="00167A1B" w:rsidRDefault="000E4FF4" w:rsidP="00EF05D5">
      <w:pPr>
        <w:pStyle w:val="BodyText1"/>
        <w:numPr>
          <w:ilvl w:val="0"/>
          <w:numId w:val="49"/>
        </w:numPr>
        <w:rPr>
          <w:noProof w:val="0"/>
        </w:rPr>
      </w:pPr>
      <w:r w:rsidRPr="00167A1B">
        <w:rPr>
          <w:noProof w:val="0"/>
        </w:rPr>
        <w:t>Q</w:t>
      </w:r>
      <w:r w:rsidRPr="00167A1B">
        <w:rPr>
          <w:noProof w:val="0"/>
          <w:vertAlign w:val="subscript"/>
        </w:rPr>
        <w:t>i</w:t>
      </w:r>
      <w:r w:rsidRPr="00167A1B">
        <w:rPr>
          <w:noProof w:val="0"/>
        </w:rPr>
        <w:t xml:space="preserve"> = Quantity of type of charger i (EPS/cable) sold in the box</w:t>
      </w:r>
    </w:p>
    <w:p w14:paraId="04ABF134" w14:textId="586A039C" w:rsidR="000E4FF4" w:rsidRPr="00167A1B" w:rsidRDefault="000E4FF4" w:rsidP="00EF05D5">
      <w:pPr>
        <w:pStyle w:val="BodyText1"/>
        <w:numPr>
          <w:ilvl w:val="0"/>
          <w:numId w:val="49"/>
        </w:numPr>
        <w:rPr>
          <w:noProof w:val="0"/>
        </w:rPr>
      </w:pPr>
      <w:r w:rsidRPr="00167A1B">
        <w:rPr>
          <w:noProof w:val="0"/>
        </w:rPr>
        <w:t>SP</w:t>
      </w:r>
      <w:r w:rsidRPr="00167A1B">
        <w:rPr>
          <w:noProof w:val="0"/>
          <w:vertAlign w:val="subscript"/>
        </w:rPr>
        <w:t>i</w:t>
      </w:r>
      <w:r w:rsidRPr="00167A1B">
        <w:rPr>
          <w:noProof w:val="0"/>
        </w:rPr>
        <w:t xml:space="preserve"> = Price of type of charger i (EPS/cable) when sold as a standalone charger</w:t>
      </w:r>
    </w:p>
    <w:p w14:paraId="5350FEC7" w14:textId="19A8A905" w:rsidR="000E4FF4" w:rsidRPr="00167A1B" w:rsidRDefault="000E4FF4" w:rsidP="00EF05D5">
      <w:pPr>
        <w:pStyle w:val="BodyText1"/>
        <w:numPr>
          <w:ilvl w:val="0"/>
          <w:numId w:val="49"/>
        </w:numPr>
        <w:rPr>
          <w:noProof w:val="0"/>
        </w:rPr>
      </w:pPr>
      <w:r w:rsidRPr="00167A1B">
        <w:rPr>
          <w:noProof w:val="0"/>
        </w:rPr>
        <w:t>SQ</w:t>
      </w:r>
      <w:r w:rsidRPr="00167A1B">
        <w:rPr>
          <w:noProof w:val="0"/>
          <w:vertAlign w:val="subscript"/>
        </w:rPr>
        <w:t>i</w:t>
      </w:r>
      <w:r w:rsidRPr="00167A1B">
        <w:rPr>
          <w:noProof w:val="0"/>
        </w:rPr>
        <w:t xml:space="preserve"> = Quantity of standalone chargers sold of type i (EPS/cable)</w:t>
      </w:r>
    </w:p>
    <w:p w14:paraId="654AFC8C" w14:textId="4404C141" w:rsidR="000E4FF4" w:rsidRPr="00167A1B" w:rsidRDefault="000E4FF4" w:rsidP="00EF05D5">
      <w:pPr>
        <w:pStyle w:val="BodyText1"/>
        <w:numPr>
          <w:ilvl w:val="0"/>
          <w:numId w:val="49"/>
        </w:numPr>
        <w:rPr>
          <w:noProof w:val="0"/>
        </w:rPr>
      </w:pPr>
      <w:r w:rsidRPr="00167A1B">
        <w:rPr>
          <w:noProof w:val="0"/>
        </w:rPr>
        <w:t>C</w:t>
      </w:r>
      <w:r w:rsidRPr="00167A1B">
        <w:rPr>
          <w:noProof w:val="0"/>
          <w:vertAlign w:val="subscript"/>
        </w:rPr>
        <w:t>i</w:t>
      </w:r>
      <w:r w:rsidRPr="00167A1B">
        <w:rPr>
          <w:noProof w:val="0"/>
        </w:rPr>
        <w:t xml:space="preserve"> = Production cost of manufacturing a charger of type i (EPS/cable)</w:t>
      </w:r>
    </w:p>
    <w:p w14:paraId="1B4DCFD7" w14:textId="0A588554" w:rsidR="008C1CDE" w:rsidRPr="00167A1B" w:rsidRDefault="00084C36" w:rsidP="00084C36">
      <w:pPr>
        <w:pStyle w:val="BodyText1"/>
        <w:rPr>
          <w:rFonts w:cs="Arial"/>
          <w:noProof w:val="0"/>
          <w:color w:val="000000"/>
          <w:lang w:eastAsia="en-GB"/>
        </w:rPr>
      </w:pPr>
      <w:r w:rsidRPr="00167A1B">
        <w:rPr>
          <w:rFonts w:cs="Arial"/>
          <w:noProof w:val="0"/>
          <w:color w:val="000000"/>
          <w:lang w:eastAsia="en-GB"/>
        </w:rPr>
        <w:t>Prices per type of product have been determined as follows: first, the study team conducted a mapping of all types of cables and EPS in retail websites. An average retail price was then calculated per product. A similar exercise was conducted for the wholesale prices. Our estimate is that, on average, the wholesale price is 45% of the retail price. In other words, the retail price is 2.2 times the wholesale price. Estimating production costs required a different approach, as this is not public information. In interviews, we asked manufacturers about the production costs or their products, and about differences in production cost between, e.g. USB Type-C receptacles and USB micro-B receptacles. Our estimate is that the production cost is, approximately, 20% of the retail price. In other words, the retail price is 5 times the production cost. The table below details the prices used in the impact assessment. The quantities are derived from the stock model.</w:t>
      </w:r>
    </w:p>
    <w:p w14:paraId="0D97A450" w14:textId="4B1F4B83" w:rsidR="00084C36" w:rsidRPr="00167A1B" w:rsidRDefault="00084C36" w:rsidP="00084C36">
      <w:pPr>
        <w:pStyle w:val="Caption"/>
      </w:pPr>
      <w:bookmarkStart w:id="39" w:name="_Ref71644614"/>
      <w:r w:rsidRPr="00167A1B">
        <w:lastRenderedPageBreak/>
        <w:t xml:space="preserve">Table </w:t>
      </w:r>
      <w:r w:rsidRPr="00167A1B">
        <w:fldChar w:fldCharType="begin"/>
      </w:r>
      <w:r w:rsidRPr="00167A1B">
        <w:instrText xml:space="preserve"> SEQ Table \* ARABIC </w:instrText>
      </w:r>
      <w:r w:rsidRPr="00167A1B">
        <w:fldChar w:fldCharType="separate"/>
      </w:r>
      <w:r w:rsidR="00953106" w:rsidRPr="00167A1B">
        <w:t>10</w:t>
      </w:r>
      <w:r w:rsidRPr="00167A1B">
        <w:fldChar w:fldCharType="end"/>
      </w:r>
      <w:bookmarkEnd w:id="39"/>
      <w:r w:rsidRPr="00167A1B">
        <w:t>. Assumed costs and prices of chargers</w:t>
      </w:r>
    </w:p>
    <w:tbl>
      <w:tblPr>
        <w:tblStyle w:val="TableGrid"/>
        <w:tblW w:w="9000" w:type="dxa"/>
        <w:tblLayout w:type="fixed"/>
        <w:tblCellMar>
          <w:top w:w="57" w:type="dxa"/>
          <w:bottom w:w="57" w:type="dxa"/>
        </w:tblCellMar>
        <w:tblLook w:val="04A0" w:firstRow="1" w:lastRow="0" w:firstColumn="1" w:lastColumn="0" w:noHBand="0" w:noVBand="1"/>
      </w:tblPr>
      <w:tblGrid>
        <w:gridCol w:w="1493"/>
        <w:gridCol w:w="3464"/>
        <w:gridCol w:w="1347"/>
        <w:gridCol w:w="1348"/>
        <w:gridCol w:w="1348"/>
      </w:tblGrid>
      <w:tr w:rsidR="00084C36" w:rsidRPr="00167A1B" w14:paraId="4DB10615" w14:textId="77777777" w:rsidTr="00950DFC">
        <w:trPr>
          <w:cnfStyle w:val="100000000000" w:firstRow="1" w:lastRow="0" w:firstColumn="0" w:lastColumn="0" w:oddVBand="0" w:evenVBand="0" w:oddHBand="0" w:evenHBand="0" w:firstRowFirstColumn="0" w:firstRowLastColumn="0" w:lastRowFirstColumn="0" w:lastRowLastColumn="0"/>
          <w:trHeight w:val="540"/>
          <w:tblHeader/>
        </w:trPr>
        <w:tc>
          <w:tcPr>
            <w:tcW w:w="1493" w:type="dxa"/>
            <w:noWrap/>
            <w:hideMark/>
          </w:tcPr>
          <w:p w14:paraId="0D874B49" w14:textId="77777777" w:rsidR="00084C36" w:rsidRPr="00167A1B" w:rsidRDefault="00084C36" w:rsidP="008C1CDE">
            <w:pPr>
              <w:keepNext/>
              <w:spacing w:after="0"/>
              <w:rPr>
                <w:rFonts w:ascii="Arial" w:hAnsi="Arial" w:cs="Arial"/>
                <w:b/>
                <w:bCs/>
                <w:sz w:val="18"/>
                <w:szCs w:val="18"/>
              </w:rPr>
            </w:pPr>
            <w:r w:rsidRPr="00167A1B">
              <w:rPr>
                <w:rFonts w:ascii="Arial" w:hAnsi="Arial" w:cs="Arial"/>
                <w:b/>
                <w:bCs/>
                <w:sz w:val="18"/>
                <w:szCs w:val="18"/>
              </w:rPr>
              <w:t>Product</w:t>
            </w:r>
          </w:p>
        </w:tc>
        <w:tc>
          <w:tcPr>
            <w:tcW w:w="3464" w:type="dxa"/>
            <w:noWrap/>
            <w:hideMark/>
          </w:tcPr>
          <w:p w14:paraId="1A5FE82B" w14:textId="77777777" w:rsidR="00084C36" w:rsidRPr="00167A1B" w:rsidRDefault="00084C36" w:rsidP="008C1CDE">
            <w:pPr>
              <w:keepNext/>
              <w:spacing w:after="0"/>
              <w:rPr>
                <w:rFonts w:ascii="Arial" w:hAnsi="Arial" w:cs="Arial"/>
                <w:b/>
                <w:bCs/>
                <w:sz w:val="18"/>
                <w:szCs w:val="18"/>
              </w:rPr>
            </w:pPr>
            <w:r w:rsidRPr="00167A1B">
              <w:rPr>
                <w:rFonts w:ascii="Arial" w:hAnsi="Arial" w:cs="Arial"/>
                <w:b/>
                <w:bCs/>
                <w:sz w:val="18"/>
                <w:szCs w:val="18"/>
              </w:rPr>
              <w:t>Type of product</w:t>
            </w:r>
          </w:p>
        </w:tc>
        <w:tc>
          <w:tcPr>
            <w:tcW w:w="1347" w:type="dxa"/>
            <w:hideMark/>
          </w:tcPr>
          <w:p w14:paraId="6C5A7962" w14:textId="77777777" w:rsidR="00084C36" w:rsidRPr="00167A1B" w:rsidRDefault="00084C36" w:rsidP="008C1CDE">
            <w:pPr>
              <w:keepNext/>
              <w:spacing w:after="0"/>
              <w:rPr>
                <w:rFonts w:ascii="Arial" w:hAnsi="Arial" w:cs="Arial"/>
                <w:b/>
                <w:bCs/>
                <w:sz w:val="18"/>
                <w:szCs w:val="18"/>
              </w:rPr>
            </w:pPr>
            <w:r w:rsidRPr="00167A1B">
              <w:rPr>
                <w:rFonts w:ascii="Arial" w:hAnsi="Arial" w:cs="Arial"/>
                <w:b/>
                <w:bCs/>
                <w:sz w:val="18"/>
                <w:szCs w:val="18"/>
              </w:rPr>
              <w:t>Production cost (€)</w:t>
            </w:r>
          </w:p>
        </w:tc>
        <w:tc>
          <w:tcPr>
            <w:tcW w:w="1348" w:type="dxa"/>
            <w:hideMark/>
          </w:tcPr>
          <w:p w14:paraId="65EF948B" w14:textId="77777777" w:rsidR="00084C36" w:rsidRPr="00167A1B" w:rsidRDefault="00084C36" w:rsidP="008C1CDE">
            <w:pPr>
              <w:keepNext/>
              <w:spacing w:after="0"/>
              <w:jc w:val="left"/>
              <w:rPr>
                <w:rFonts w:ascii="Arial" w:hAnsi="Arial" w:cs="Arial"/>
                <w:b/>
                <w:bCs/>
                <w:sz w:val="18"/>
                <w:szCs w:val="18"/>
              </w:rPr>
            </w:pPr>
            <w:r w:rsidRPr="00167A1B">
              <w:rPr>
                <w:rFonts w:ascii="Arial" w:hAnsi="Arial" w:cs="Arial"/>
                <w:b/>
                <w:bCs/>
                <w:sz w:val="18"/>
                <w:szCs w:val="18"/>
              </w:rPr>
              <w:t>Price when sold in the box (€)</w:t>
            </w:r>
          </w:p>
        </w:tc>
        <w:tc>
          <w:tcPr>
            <w:tcW w:w="1348" w:type="dxa"/>
            <w:hideMark/>
          </w:tcPr>
          <w:p w14:paraId="332280B9" w14:textId="77777777" w:rsidR="00084C36" w:rsidRPr="00167A1B" w:rsidRDefault="00084C36" w:rsidP="008C1CDE">
            <w:pPr>
              <w:keepNext/>
              <w:spacing w:after="0"/>
              <w:jc w:val="left"/>
              <w:rPr>
                <w:rFonts w:ascii="Arial" w:hAnsi="Arial" w:cs="Arial"/>
                <w:b/>
                <w:bCs/>
                <w:sz w:val="18"/>
                <w:szCs w:val="18"/>
              </w:rPr>
            </w:pPr>
            <w:r w:rsidRPr="00167A1B">
              <w:rPr>
                <w:rFonts w:ascii="Arial" w:hAnsi="Arial" w:cs="Arial"/>
                <w:b/>
                <w:bCs/>
                <w:sz w:val="18"/>
                <w:szCs w:val="18"/>
              </w:rPr>
              <w:t>Stand-alone price (€)</w:t>
            </w:r>
          </w:p>
        </w:tc>
      </w:tr>
      <w:tr w:rsidR="00084C36" w:rsidRPr="00167A1B" w14:paraId="58143396" w14:textId="77777777" w:rsidTr="008C1CDE">
        <w:trPr>
          <w:trHeight w:val="20"/>
        </w:trPr>
        <w:tc>
          <w:tcPr>
            <w:tcW w:w="1493" w:type="dxa"/>
            <w:vMerge w:val="restart"/>
            <w:noWrap/>
            <w:hideMark/>
          </w:tcPr>
          <w:p w14:paraId="1B433B68"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EPS &lt;7.5W</w:t>
            </w:r>
          </w:p>
        </w:tc>
        <w:tc>
          <w:tcPr>
            <w:tcW w:w="3464" w:type="dxa"/>
            <w:noWrap/>
            <w:hideMark/>
          </w:tcPr>
          <w:p w14:paraId="7D4ACE35"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USB Standard-A receptacle</w:t>
            </w:r>
          </w:p>
        </w:tc>
        <w:tc>
          <w:tcPr>
            <w:tcW w:w="1347" w:type="dxa"/>
            <w:noWrap/>
          </w:tcPr>
          <w:p w14:paraId="39D5C7C2"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3.3</w:t>
            </w:r>
          </w:p>
        </w:tc>
        <w:tc>
          <w:tcPr>
            <w:tcW w:w="1348" w:type="dxa"/>
            <w:noWrap/>
          </w:tcPr>
          <w:p w14:paraId="595D24BB"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5.8</w:t>
            </w:r>
          </w:p>
        </w:tc>
        <w:tc>
          <w:tcPr>
            <w:tcW w:w="1348" w:type="dxa"/>
            <w:noWrap/>
          </w:tcPr>
          <w:p w14:paraId="6557102B"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16.7</w:t>
            </w:r>
          </w:p>
        </w:tc>
      </w:tr>
      <w:tr w:rsidR="00084C36" w:rsidRPr="00167A1B" w14:paraId="38814881" w14:textId="77777777" w:rsidTr="008C1CDE">
        <w:trPr>
          <w:trHeight w:val="20"/>
        </w:trPr>
        <w:tc>
          <w:tcPr>
            <w:tcW w:w="1493" w:type="dxa"/>
            <w:vMerge/>
            <w:noWrap/>
            <w:hideMark/>
          </w:tcPr>
          <w:p w14:paraId="1A0BE5E6" w14:textId="77777777" w:rsidR="00084C36" w:rsidRPr="00167A1B" w:rsidRDefault="00084C36" w:rsidP="008C1CDE">
            <w:pPr>
              <w:keepNext/>
              <w:spacing w:after="0"/>
              <w:rPr>
                <w:rFonts w:ascii="Arial" w:hAnsi="Arial" w:cs="Arial"/>
                <w:color w:val="000000"/>
                <w:sz w:val="18"/>
                <w:szCs w:val="18"/>
              </w:rPr>
            </w:pPr>
          </w:p>
        </w:tc>
        <w:tc>
          <w:tcPr>
            <w:tcW w:w="3464" w:type="dxa"/>
            <w:noWrap/>
            <w:hideMark/>
          </w:tcPr>
          <w:p w14:paraId="557F6B51"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USB Type-C receptacle</w:t>
            </w:r>
          </w:p>
        </w:tc>
        <w:tc>
          <w:tcPr>
            <w:tcW w:w="1347" w:type="dxa"/>
            <w:noWrap/>
          </w:tcPr>
          <w:p w14:paraId="1444D633"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3.0</w:t>
            </w:r>
          </w:p>
        </w:tc>
        <w:tc>
          <w:tcPr>
            <w:tcW w:w="1348" w:type="dxa"/>
            <w:noWrap/>
          </w:tcPr>
          <w:p w14:paraId="2FDA18DA"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5.3</w:t>
            </w:r>
          </w:p>
        </w:tc>
        <w:tc>
          <w:tcPr>
            <w:tcW w:w="1348" w:type="dxa"/>
            <w:noWrap/>
          </w:tcPr>
          <w:p w14:paraId="5CF8311F"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15.0</w:t>
            </w:r>
          </w:p>
        </w:tc>
      </w:tr>
      <w:tr w:rsidR="00084C36" w:rsidRPr="00167A1B" w14:paraId="6BE68F5E" w14:textId="77777777" w:rsidTr="008C1CDE">
        <w:trPr>
          <w:trHeight w:val="20"/>
        </w:trPr>
        <w:tc>
          <w:tcPr>
            <w:tcW w:w="1493" w:type="dxa"/>
            <w:vMerge/>
            <w:noWrap/>
            <w:hideMark/>
          </w:tcPr>
          <w:p w14:paraId="52C75953" w14:textId="77777777" w:rsidR="00084C36" w:rsidRPr="00167A1B" w:rsidRDefault="00084C36" w:rsidP="008C1CDE">
            <w:pPr>
              <w:keepNext/>
              <w:spacing w:after="0"/>
              <w:rPr>
                <w:rFonts w:ascii="Arial" w:hAnsi="Arial" w:cs="Arial"/>
                <w:color w:val="000000"/>
                <w:sz w:val="18"/>
                <w:szCs w:val="18"/>
              </w:rPr>
            </w:pPr>
          </w:p>
        </w:tc>
        <w:tc>
          <w:tcPr>
            <w:tcW w:w="3464" w:type="dxa"/>
            <w:noWrap/>
            <w:hideMark/>
          </w:tcPr>
          <w:p w14:paraId="44BAA489"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Multiport</w:t>
            </w:r>
          </w:p>
        </w:tc>
        <w:tc>
          <w:tcPr>
            <w:tcW w:w="1347" w:type="dxa"/>
            <w:noWrap/>
          </w:tcPr>
          <w:p w14:paraId="4746FE60"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3.0</w:t>
            </w:r>
          </w:p>
        </w:tc>
        <w:tc>
          <w:tcPr>
            <w:tcW w:w="1348" w:type="dxa"/>
            <w:noWrap/>
          </w:tcPr>
          <w:p w14:paraId="09998437"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5.3</w:t>
            </w:r>
          </w:p>
        </w:tc>
        <w:tc>
          <w:tcPr>
            <w:tcW w:w="1348" w:type="dxa"/>
            <w:noWrap/>
          </w:tcPr>
          <w:p w14:paraId="6171F590"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15.0</w:t>
            </w:r>
          </w:p>
        </w:tc>
      </w:tr>
      <w:tr w:rsidR="00084C36" w:rsidRPr="00167A1B" w14:paraId="7FC43556" w14:textId="77777777" w:rsidTr="008C1CDE">
        <w:trPr>
          <w:trHeight w:val="20"/>
        </w:trPr>
        <w:tc>
          <w:tcPr>
            <w:tcW w:w="1493" w:type="dxa"/>
            <w:vMerge w:val="restart"/>
            <w:noWrap/>
          </w:tcPr>
          <w:p w14:paraId="0717053C"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EPS 7.5-27W</w:t>
            </w:r>
          </w:p>
        </w:tc>
        <w:tc>
          <w:tcPr>
            <w:tcW w:w="3464" w:type="dxa"/>
            <w:noWrap/>
          </w:tcPr>
          <w:p w14:paraId="19307A7C"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USB Standard-A receptacle</w:t>
            </w:r>
          </w:p>
        </w:tc>
        <w:tc>
          <w:tcPr>
            <w:tcW w:w="1347" w:type="dxa"/>
            <w:noWrap/>
          </w:tcPr>
          <w:p w14:paraId="73D7968C"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3.0</w:t>
            </w:r>
          </w:p>
        </w:tc>
        <w:tc>
          <w:tcPr>
            <w:tcW w:w="1348" w:type="dxa"/>
            <w:noWrap/>
          </w:tcPr>
          <w:p w14:paraId="30B77F35"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5.2</w:t>
            </w:r>
          </w:p>
        </w:tc>
        <w:tc>
          <w:tcPr>
            <w:tcW w:w="1348" w:type="dxa"/>
            <w:noWrap/>
          </w:tcPr>
          <w:p w14:paraId="0A97E1F5"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15.0</w:t>
            </w:r>
          </w:p>
        </w:tc>
      </w:tr>
      <w:tr w:rsidR="00084C36" w:rsidRPr="00167A1B" w14:paraId="05958734" w14:textId="77777777" w:rsidTr="008C1CDE">
        <w:trPr>
          <w:trHeight w:val="20"/>
        </w:trPr>
        <w:tc>
          <w:tcPr>
            <w:tcW w:w="1493" w:type="dxa"/>
            <w:vMerge/>
            <w:noWrap/>
          </w:tcPr>
          <w:p w14:paraId="253F336F" w14:textId="77777777" w:rsidR="00084C36" w:rsidRPr="00167A1B" w:rsidRDefault="00084C36" w:rsidP="008C1CDE">
            <w:pPr>
              <w:keepNext/>
              <w:spacing w:after="0"/>
              <w:rPr>
                <w:rFonts w:ascii="Arial" w:hAnsi="Arial" w:cs="Arial"/>
                <w:color w:val="000000"/>
                <w:sz w:val="18"/>
                <w:szCs w:val="18"/>
              </w:rPr>
            </w:pPr>
          </w:p>
        </w:tc>
        <w:tc>
          <w:tcPr>
            <w:tcW w:w="3464" w:type="dxa"/>
            <w:noWrap/>
          </w:tcPr>
          <w:p w14:paraId="04A4E14D"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USB Type-C receptacle</w:t>
            </w:r>
          </w:p>
        </w:tc>
        <w:tc>
          <w:tcPr>
            <w:tcW w:w="1347" w:type="dxa"/>
            <w:noWrap/>
          </w:tcPr>
          <w:p w14:paraId="4463EE63"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4.8</w:t>
            </w:r>
          </w:p>
        </w:tc>
        <w:tc>
          <w:tcPr>
            <w:tcW w:w="1348" w:type="dxa"/>
            <w:noWrap/>
          </w:tcPr>
          <w:p w14:paraId="48BD1445"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8.4</w:t>
            </w:r>
          </w:p>
        </w:tc>
        <w:tc>
          <w:tcPr>
            <w:tcW w:w="1348" w:type="dxa"/>
            <w:noWrap/>
          </w:tcPr>
          <w:p w14:paraId="18BF7FC6"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24.0</w:t>
            </w:r>
          </w:p>
        </w:tc>
      </w:tr>
      <w:tr w:rsidR="00084C36" w:rsidRPr="00167A1B" w14:paraId="169C2E29" w14:textId="77777777" w:rsidTr="008C1CDE">
        <w:trPr>
          <w:trHeight w:val="20"/>
        </w:trPr>
        <w:tc>
          <w:tcPr>
            <w:tcW w:w="1493" w:type="dxa"/>
            <w:vMerge/>
            <w:noWrap/>
          </w:tcPr>
          <w:p w14:paraId="5470992D" w14:textId="77777777" w:rsidR="00084C36" w:rsidRPr="00167A1B" w:rsidRDefault="00084C36" w:rsidP="008C1CDE">
            <w:pPr>
              <w:keepNext/>
              <w:spacing w:after="0"/>
              <w:rPr>
                <w:rFonts w:ascii="Arial" w:hAnsi="Arial" w:cs="Arial"/>
                <w:color w:val="000000"/>
                <w:sz w:val="18"/>
                <w:szCs w:val="18"/>
              </w:rPr>
            </w:pPr>
          </w:p>
        </w:tc>
        <w:tc>
          <w:tcPr>
            <w:tcW w:w="3464" w:type="dxa"/>
            <w:noWrap/>
          </w:tcPr>
          <w:p w14:paraId="7EB13187"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Multiport</w:t>
            </w:r>
          </w:p>
        </w:tc>
        <w:tc>
          <w:tcPr>
            <w:tcW w:w="1347" w:type="dxa"/>
            <w:noWrap/>
          </w:tcPr>
          <w:p w14:paraId="6EC6149B"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5.5</w:t>
            </w:r>
          </w:p>
        </w:tc>
        <w:tc>
          <w:tcPr>
            <w:tcW w:w="1348" w:type="dxa"/>
            <w:noWrap/>
          </w:tcPr>
          <w:p w14:paraId="40117538"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9.6</w:t>
            </w:r>
          </w:p>
        </w:tc>
        <w:tc>
          <w:tcPr>
            <w:tcW w:w="1348" w:type="dxa"/>
            <w:noWrap/>
          </w:tcPr>
          <w:p w14:paraId="78CAC95F"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27.4</w:t>
            </w:r>
          </w:p>
        </w:tc>
      </w:tr>
      <w:tr w:rsidR="00084C36" w:rsidRPr="00167A1B" w14:paraId="026A3EF3" w14:textId="77777777" w:rsidTr="008C1CDE">
        <w:trPr>
          <w:trHeight w:val="20"/>
        </w:trPr>
        <w:tc>
          <w:tcPr>
            <w:tcW w:w="1493" w:type="dxa"/>
            <w:vMerge w:val="restart"/>
            <w:noWrap/>
          </w:tcPr>
          <w:p w14:paraId="00A39D0F"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EPS &gt;27W</w:t>
            </w:r>
          </w:p>
        </w:tc>
        <w:tc>
          <w:tcPr>
            <w:tcW w:w="3464" w:type="dxa"/>
            <w:noWrap/>
          </w:tcPr>
          <w:p w14:paraId="1FCD0AD7"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USB Standard-A receptacle</w:t>
            </w:r>
          </w:p>
        </w:tc>
        <w:tc>
          <w:tcPr>
            <w:tcW w:w="1347" w:type="dxa"/>
            <w:noWrap/>
          </w:tcPr>
          <w:p w14:paraId="18258B0A"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6.0</w:t>
            </w:r>
          </w:p>
        </w:tc>
        <w:tc>
          <w:tcPr>
            <w:tcW w:w="1348" w:type="dxa"/>
            <w:noWrap/>
          </w:tcPr>
          <w:p w14:paraId="7353AEB2"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10.5</w:t>
            </w:r>
          </w:p>
        </w:tc>
        <w:tc>
          <w:tcPr>
            <w:tcW w:w="1348" w:type="dxa"/>
            <w:noWrap/>
          </w:tcPr>
          <w:p w14:paraId="6C61E3BA"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30.0</w:t>
            </w:r>
          </w:p>
        </w:tc>
      </w:tr>
      <w:tr w:rsidR="00084C36" w:rsidRPr="00167A1B" w14:paraId="04B821A0" w14:textId="77777777" w:rsidTr="008C1CDE">
        <w:trPr>
          <w:trHeight w:val="20"/>
        </w:trPr>
        <w:tc>
          <w:tcPr>
            <w:tcW w:w="1493" w:type="dxa"/>
            <w:vMerge/>
            <w:noWrap/>
          </w:tcPr>
          <w:p w14:paraId="40FDA4CD" w14:textId="77777777" w:rsidR="00084C36" w:rsidRPr="00167A1B" w:rsidRDefault="00084C36" w:rsidP="008C1CDE">
            <w:pPr>
              <w:keepNext/>
              <w:spacing w:after="0"/>
              <w:rPr>
                <w:rFonts w:ascii="Arial" w:hAnsi="Arial" w:cs="Arial"/>
                <w:color w:val="000000"/>
                <w:sz w:val="18"/>
                <w:szCs w:val="18"/>
              </w:rPr>
            </w:pPr>
          </w:p>
        </w:tc>
        <w:tc>
          <w:tcPr>
            <w:tcW w:w="3464" w:type="dxa"/>
            <w:noWrap/>
          </w:tcPr>
          <w:p w14:paraId="5DA832FA"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USB Type-C receptacle</w:t>
            </w:r>
          </w:p>
        </w:tc>
        <w:tc>
          <w:tcPr>
            <w:tcW w:w="1347" w:type="dxa"/>
            <w:noWrap/>
          </w:tcPr>
          <w:p w14:paraId="18B87DE2"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6.4</w:t>
            </w:r>
          </w:p>
        </w:tc>
        <w:tc>
          <w:tcPr>
            <w:tcW w:w="1348" w:type="dxa"/>
            <w:noWrap/>
          </w:tcPr>
          <w:p w14:paraId="78C21181"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11.2</w:t>
            </w:r>
          </w:p>
        </w:tc>
        <w:tc>
          <w:tcPr>
            <w:tcW w:w="1348" w:type="dxa"/>
            <w:noWrap/>
          </w:tcPr>
          <w:p w14:paraId="482669DD"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32.0</w:t>
            </w:r>
          </w:p>
        </w:tc>
      </w:tr>
      <w:tr w:rsidR="00084C36" w:rsidRPr="00167A1B" w14:paraId="33F4E9A4" w14:textId="77777777" w:rsidTr="008C1CDE">
        <w:trPr>
          <w:trHeight w:val="20"/>
        </w:trPr>
        <w:tc>
          <w:tcPr>
            <w:tcW w:w="1493" w:type="dxa"/>
            <w:vMerge/>
            <w:noWrap/>
          </w:tcPr>
          <w:p w14:paraId="26EE9E8A" w14:textId="77777777" w:rsidR="00084C36" w:rsidRPr="00167A1B" w:rsidRDefault="00084C36" w:rsidP="008C1CDE">
            <w:pPr>
              <w:keepNext/>
              <w:spacing w:after="0"/>
              <w:rPr>
                <w:rFonts w:ascii="Arial" w:hAnsi="Arial" w:cs="Arial"/>
                <w:color w:val="000000"/>
                <w:sz w:val="18"/>
                <w:szCs w:val="18"/>
              </w:rPr>
            </w:pPr>
          </w:p>
        </w:tc>
        <w:tc>
          <w:tcPr>
            <w:tcW w:w="3464" w:type="dxa"/>
            <w:noWrap/>
          </w:tcPr>
          <w:p w14:paraId="2B44DC71"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Multiport</w:t>
            </w:r>
          </w:p>
        </w:tc>
        <w:tc>
          <w:tcPr>
            <w:tcW w:w="1347" w:type="dxa"/>
            <w:noWrap/>
          </w:tcPr>
          <w:p w14:paraId="0BC99965"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7.6</w:t>
            </w:r>
          </w:p>
        </w:tc>
        <w:tc>
          <w:tcPr>
            <w:tcW w:w="1348" w:type="dxa"/>
            <w:noWrap/>
          </w:tcPr>
          <w:p w14:paraId="500E6FF6"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13.3</w:t>
            </w:r>
          </w:p>
        </w:tc>
        <w:tc>
          <w:tcPr>
            <w:tcW w:w="1348" w:type="dxa"/>
            <w:noWrap/>
          </w:tcPr>
          <w:p w14:paraId="54EA1A04"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38.1</w:t>
            </w:r>
          </w:p>
        </w:tc>
      </w:tr>
      <w:tr w:rsidR="00084C36" w:rsidRPr="00167A1B" w14:paraId="5C449941" w14:textId="77777777" w:rsidTr="008C1CDE">
        <w:trPr>
          <w:trHeight w:val="20"/>
        </w:trPr>
        <w:tc>
          <w:tcPr>
            <w:tcW w:w="1493" w:type="dxa"/>
            <w:vMerge/>
            <w:noWrap/>
          </w:tcPr>
          <w:p w14:paraId="55B3F86B" w14:textId="77777777" w:rsidR="00084C36" w:rsidRPr="00167A1B" w:rsidRDefault="00084C36" w:rsidP="008C1CDE">
            <w:pPr>
              <w:keepNext/>
              <w:spacing w:after="0"/>
              <w:rPr>
                <w:rFonts w:ascii="Arial" w:hAnsi="Arial" w:cs="Arial"/>
                <w:color w:val="000000"/>
                <w:sz w:val="18"/>
                <w:szCs w:val="18"/>
              </w:rPr>
            </w:pPr>
          </w:p>
        </w:tc>
        <w:tc>
          <w:tcPr>
            <w:tcW w:w="3464" w:type="dxa"/>
            <w:noWrap/>
          </w:tcPr>
          <w:p w14:paraId="744DF16B"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Captive cable</w:t>
            </w:r>
          </w:p>
        </w:tc>
        <w:tc>
          <w:tcPr>
            <w:tcW w:w="1347" w:type="dxa"/>
            <w:noWrap/>
          </w:tcPr>
          <w:p w14:paraId="6D3379D3"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5.5</w:t>
            </w:r>
          </w:p>
        </w:tc>
        <w:tc>
          <w:tcPr>
            <w:tcW w:w="1348" w:type="dxa"/>
            <w:noWrap/>
          </w:tcPr>
          <w:p w14:paraId="6AD5797A"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9.6</w:t>
            </w:r>
          </w:p>
        </w:tc>
        <w:tc>
          <w:tcPr>
            <w:tcW w:w="1348" w:type="dxa"/>
            <w:noWrap/>
          </w:tcPr>
          <w:p w14:paraId="1AA237D5"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27.5</w:t>
            </w:r>
          </w:p>
        </w:tc>
      </w:tr>
      <w:tr w:rsidR="00084C36" w:rsidRPr="00167A1B" w14:paraId="05A8FD67" w14:textId="77777777" w:rsidTr="008C1CDE">
        <w:trPr>
          <w:trHeight w:val="126"/>
        </w:trPr>
        <w:tc>
          <w:tcPr>
            <w:tcW w:w="1493" w:type="dxa"/>
            <w:vMerge w:val="restart"/>
            <w:noWrap/>
            <w:hideMark/>
          </w:tcPr>
          <w:p w14:paraId="4EB83944"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Cables (1m)</w:t>
            </w:r>
          </w:p>
        </w:tc>
        <w:tc>
          <w:tcPr>
            <w:tcW w:w="3464" w:type="dxa"/>
            <w:noWrap/>
            <w:hideMark/>
          </w:tcPr>
          <w:p w14:paraId="0C79B9B4"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USB Standard-A - USB Micro-B</w:t>
            </w:r>
          </w:p>
        </w:tc>
        <w:tc>
          <w:tcPr>
            <w:tcW w:w="1347" w:type="dxa"/>
            <w:noWrap/>
          </w:tcPr>
          <w:p w14:paraId="34D5D342"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1.4</w:t>
            </w:r>
          </w:p>
        </w:tc>
        <w:tc>
          <w:tcPr>
            <w:tcW w:w="1348" w:type="dxa"/>
            <w:noWrap/>
          </w:tcPr>
          <w:p w14:paraId="0A164C8B"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2.5</w:t>
            </w:r>
          </w:p>
        </w:tc>
        <w:tc>
          <w:tcPr>
            <w:tcW w:w="1348" w:type="dxa"/>
            <w:noWrap/>
          </w:tcPr>
          <w:p w14:paraId="14832181"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7.0</w:t>
            </w:r>
          </w:p>
        </w:tc>
      </w:tr>
      <w:tr w:rsidR="00084C36" w:rsidRPr="00167A1B" w14:paraId="3146AD5F" w14:textId="77777777" w:rsidTr="008C1CDE">
        <w:trPr>
          <w:trHeight w:val="20"/>
        </w:trPr>
        <w:tc>
          <w:tcPr>
            <w:tcW w:w="1493" w:type="dxa"/>
            <w:vMerge/>
            <w:noWrap/>
          </w:tcPr>
          <w:p w14:paraId="3F0DF9FC" w14:textId="77777777" w:rsidR="00084C36" w:rsidRPr="00167A1B" w:rsidRDefault="00084C36" w:rsidP="008C1CDE">
            <w:pPr>
              <w:keepNext/>
              <w:spacing w:after="0"/>
              <w:rPr>
                <w:rFonts w:ascii="Arial" w:hAnsi="Arial" w:cs="Arial"/>
                <w:color w:val="000000"/>
                <w:sz w:val="18"/>
                <w:szCs w:val="18"/>
              </w:rPr>
            </w:pPr>
          </w:p>
        </w:tc>
        <w:tc>
          <w:tcPr>
            <w:tcW w:w="3464" w:type="dxa"/>
            <w:noWrap/>
            <w:hideMark/>
          </w:tcPr>
          <w:p w14:paraId="163C20C6"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USB Standard-A - USB Type-C</w:t>
            </w:r>
          </w:p>
        </w:tc>
        <w:tc>
          <w:tcPr>
            <w:tcW w:w="1347" w:type="dxa"/>
            <w:noWrap/>
          </w:tcPr>
          <w:p w14:paraId="1BC218CF"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1.9</w:t>
            </w:r>
          </w:p>
        </w:tc>
        <w:tc>
          <w:tcPr>
            <w:tcW w:w="1348" w:type="dxa"/>
            <w:noWrap/>
          </w:tcPr>
          <w:p w14:paraId="003E7E9E"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3.3</w:t>
            </w:r>
          </w:p>
        </w:tc>
        <w:tc>
          <w:tcPr>
            <w:tcW w:w="1348" w:type="dxa"/>
            <w:noWrap/>
          </w:tcPr>
          <w:p w14:paraId="788C1676"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9.5</w:t>
            </w:r>
          </w:p>
        </w:tc>
      </w:tr>
      <w:tr w:rsidR="00084C36" w:rsidRPr="00167A1B" w14:paraId="32B6A0F9" w14:textId="77777777" w:rsidTr="008C1CDE">
        <w:trPr>
          <w:trHeight w:val="20"/>
        </w:trPr>
        <w:tc>
          <w:tcPr>
            <w:tcW w:w="1493" w:type="dxa"/>
            <w:vMerge/>
            <w:noWrap/>
          </w:tcPr>
          <w:p w14:paraId="7F75EB27" w14:textId="77777777" w:rsidR="00084C36" w:rsidRPr="00167A1B" w:rsidRDefault="00084C36" w:rsidP="008C1CDE">
            <w:pPr>
              <w:keepNext/>
              <w:spacing w:after="0"/>
              <w:rPr>
                <w:rFonts w:ascii="Arial" w:hAnsi="Arial" w:cs="Arial"/>
                <w:color w:val="000000"/>
                <w:sz w:val="18"/>
                <w:szCs w:val="18"/>
              </w:rPr>
            </w:pPr>
          </w:p>
        </w:tc>
        <w:tc>
          <w:tcPr>
            <w:tcW w:w="3464" w:type="dxa"/>
            <w:noWrap/>
            <w:hideMark/>
          </w:tcPr>
          <w:p w14:paraId="69CB289B"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USB Standard-A – proprietary (Lightning)</w:t>
            </w:r>
          </w:p>
        </w:tc>
        <w:tc>
          <w:tcPr>
            <w:tcW w:w="1347" w:type="dxa"/>
            <w:noWrap/>
          </w:tcPr>
          <w:p w14:paraId="31E1C2D0"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5.0</w:t>
            </w:r>
          </w:p>
        </w:tc>
        <w:tc>
          <w:tcPr>
            <w:tcW w:w="1348" w:type="dxa"/>
            <w:noWrap/>
          </w:tcPr>
          <w:p w14:paraId="3CFB6CBF"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8.8</w:t>
            </w:r>
          </w:p>
        </w:tc>
        <w:tc>
          <w:tcPr>
            <w:tcW w:w="1348" w:type="dxa"/>
            <w:noWrap/>
          </w:tcPr>
          <w:p w14:paraId="1487A44C"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25.0</w:t>
            </w:r>
          </w:p>
        </w:tc>
      </w:tr>
      <w:tr w:rsidR="00084C36" w:rsidRPr="00167A1B" w14:paraId="7B6EB26E" w14:textId="77777777" w:rsidTr="008C1CDE">
        <w:trPr>
          <w:trHeight w:val="89"/>
        </w:trPr>
        <w:tc>
          <w:tcPr>
            <w:tcW w:w="1493" w:type="dxa"/>
            <w:vMerge/>
            <w:noWrap/>
          </w:tcPr>
          <w:p w14:paraId="234A2E20" w14:textId="77777777" w:rsidR="00084C36" w:rsidRPr="00167A1B" w:rsidRDefault="00084C36" w:rsidP="008C1CDE">
            <w:pPr>
              <w:keepNext/>
              <w:spacing w:after="0"/>
              <w:rPr>
                <w:rFonts w:ascii="Arial" w:hAnsi="Arial" w:cs="Arial"/>
                <w:color w:val="000000"/>
                <w:sz w:val="18"/>
                <w:szCs w:val="18"/>
              </w:rPr>
            </w:pPr>
          </w:p>
        </w:tc>
        <w:tc>
          <w:tcPr>
            <w:tcW w:w="3464" w:type="dxa"/>
            <w:noWrap/>
            <w:hideMark/>
          </w:tcPr>
          <w:p w14:paraId="6FD847E8"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USB Type-C - USB Type-C</w:t>
            </w:r>
          </w:p>
        </w:tc>
        <w:tc>
          <w:tcPr>
            <w:tcW w:w="1347" w:type="dxa"/>
            <w:noWrap/>
          </w:tcPr>
          <w:p w14:paraId="574B77A8"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2.8</w:t>
            </w:r>
          </w:p>
        </w:tc>
        <w:tc>
          <w:tcPr>
            <w:tcW w:w="1348" w:type="dxa"/>
            <w:noWrap/>
          </w:tcPr>
          <w:p w14:paraId="053A42EC"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4.9</w:t>
            </w:r>
          </w:p>
        </w:tc>
        <w:tc>
          <w:tcPr>
            <w:tcW w:w="1348" w:type="dxa"/>
            <w:noWrap/>
          </w:tcPr>
          <w:p w14:paraId="272617E0"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14.0</w:t>
            </w:r>
          </w:p>
        </w:tc>
      </w:tr>
      <w:tr w:rsidR="00084C36" w:rsidRPr="00167A1B" w14:paraId="291F9994" w14:textId="77777777" w:rsidTr="008C1CDE">
        <w:trPr>
          <w:trHeight w:val="20"/>
        </w:trPr>
        <w:tc>
          <w:tcPr>
            <w:tcW w:w="1493" w:type="dxa"/>
            <w:vMerge/>
            <w:noWrap/>
          </w:tcPr>
          <w:p w14:paraId="60C01FCB" w14:textId="77777777" w:rsidR="00084C36" w:rsidRPr="00167A1B" w:rsidRDefault="00084C36" w:rsidP="008C1CDE">
            <w:pPr>
              <w:keepNext/>
              <w:spacing w:after="0"/>
              <w:rPr>
                <w:rFonts w:ascii="Arial" w:hAnsi="Arial" w:cs="Arial"/>
                <w:color w:val="000000"/>
                <w:sz w:val="18"/>
                <w:szCs w:val="18"/>
              </w:rPr>
            </w:pPr>
          </w:p>
        </w:tc>
        <w:tc>
          <w:tcPr>
            <w:tcW w:w="3464" w:type="dxa"/>
            <w:noWrap/>
            <w:hideMark/>
          </w:tcPr>
          <w:p w14:paraId="45909612" w14:textId="77777777" w:rsidR="00084C36" w:rsidRPr="00167A1B" w:rsidRDefault="00084C36" w:rsidP="008C1CDE">
            <w:pPr>
              <w:keepNext/>
              <w:spacing w:after="0"/>
              <w:rPr>
                <w:rFonts w:ascii="Arial" w:hAnsi="Arial" w:cs="Arial"/>
                <w:color w:val="000000"/>
                <w:sz w:val="18"/>
                <w:szCs w:val="18"/>
              </w:rPr>
            </w:pPr>
            <w:r w:rsidRPr="00167A1B">
              <w:rPr>
                <w:rFonts w:ascii="Arial" w:hAnsi="Arial" w:cs="Arial"/>
                <w:color w:val="000000"/>
                <w:sz w:val="18"/>
                <w:szCs w:val="18"/>
              </w:rPr>
              <w:t>USB Type-C – proprietary (Lightning)</w:t>
            </w:r>
          </w:p>
        </w:tc>
        <w:tc>
          <w:tcPr>
            <w:tcW w:w="1347" w:type="dxa"/>
            <w:noWrap/>
          </w:tcPr>
          <w:p w14:paraId="56DA1CE2"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5.0</w:t>
            </w:r>
          </w:p>
        </w:tc>
        <w:tc>
          <w:tcPr>
            <w:tcW w:w="1348" w:type="dxa"/>
            <w:noWrap/>
          </w:tcPr>
          <w:p w14:paraId="0892FCF8"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8.8</w:t>
            </w:r>
          </w:p>
        </w:tc>
        <w:tc>
          <w:tcPr>
            <w:tcW w:w="1348" w:type="dxa"/>
            <w:noWrap/>
          </w:tcPr>
          <w:p w14:paraId="09FF7B08" w14:textId="77777777" w:rsidR="00084C36" w:rsidRPr="00167A1B" w:rsidRDefault="00084C36" w:rsidP="008C1CDE">
            <w:pPr>
              <w:keepNext/>
              <w:spacing w:after="0"/>
              <w:jc w:val="right"/>
              <w:rPr>
                <w:rFonts w:ascii="Arial" w:hAnsi="Arial" w:cs="Arial"/>
                <w:sz w:val="18"/>
                <w:szCs w:val="18"/>
              </w:rPr>
            </w:pPr>
            <w:r w:rsidRPr="00167A1B">
              <w:rPr>
                <w:rFonts w:ascii="Arial" w:hAnsi="Arial" w:cs="Arial"/>
                <w:sz w:val="18"/>
                <w:szCs w:val="18"/>
              </w:rPr>
              <w:t>25.0</w:t>
            </w:r>
          </w:p>
        </w:tc>
      </w:tr>
    </w:tbl>
    <w:p w14:paraId="3C539B08" w14:textId="77777777" w:rsidR="00084C36" w:rsidRPr="00167A1B" w:rsidRDefault="00084C36" w:rsidP="008C1CDE">
      <w:pPr>
        <w:pStyle w:val="Footerapproval"/>
        <w:keepNext/>
        <w:rPr>
          <w:rFonts w:ascii="Arial" w:hAnsi="Arial" w:cs="Arial"/>
          <w:sz w:val="16"/>
          <w:szCs w:val="24"/>
          <w:lang w:val="en-GB"/>
        </w:rPr>
      </w:pPr>
    </w:p>
    <w:p w14:paraId="11D3797F" w14:textId="6956F67B" w:rsidR="00EB7F46" w:rsidRPr="00167A1B" w:rsidRDefault="00EB7F46" w:rsidP="008C1CDE">
      <w:pPr>
        <w:pStyle w:val="Footerapproval"/>
        <w:keepNext/>
        <w:ind w:right="-143"/>
        <w:rPr>
          <w:rFonts w:ascii="Arial" w:hAnsi="Arial" w:cs="Arial"/>
          <w:sz w:val="16"/>
          <w:szCs w:val="24"/>
          <w:lang w:val="en-GB" w:eastAsia="en-GB"/>
        </w:rPr>
      </w:pPr>
      <w:r w:rsidRPr="00167A1B">
        <w:rPr>
          <w:rFonts w:ascii="Arial" w:hAnsi="Arial" w:cs="Arial"/>
          <w:sz w:val="16"/>
          <w:szCs w:val="24"/>
          <w:lang w:val="en-GB" w:eastAsia="en-GB"/>
        </w:rPr>
        <w:t>Source: Own estimates based on retail and wholesale prices</w:t>
      </w:r>
      <w:r w:rsidR="00F37D5A" w:rsidRPr="00167A1B">
        <w:rPr>
          <w:rFonts w:ascii="Arial" w:hAnsi="Arial" w:cs="Arial"/>
          <w:sz w:val="16"/>
          <w:szCs w:val="24"/>
          <w:lang w:val="en-GB" w:eastAsia="en-GB"/>
        </w:rPr>
        <w:t xml:space="preserve"> from online vendors. Wholesale prices were consulted at the Irish website of Farnell, Mouser and Aulola. Retail prices were obtained from </w:t>
      </w:r>
      <w:proofErr w:type="gramStart"/>
      <w:r w:rsidR="00F37D5A" w:rsidRPr="00167A1B">
        <w:rPr>
          <w:rFonts w:ascii="Arial" w:hAnsi="Arial" w:cs="Arial"/>
          <w:sz w:val="16"/>
          <w:szCs w:val="24"/>
          <w:lang w:val="en-GB" w:eastAsia="en-GB"/>
        </w:rPr>
        <w:t>a large number of</w:t>
      </w:r>
      <w:proofErr w:type="gramEnd"/>
      <w:r w:rsidR="00F37D5A" w:rsidRPr="00167A1B">
        <w:rPr>
          <w:rFonts w:ascii="Arial" w:hAnsi="Arial" w:cs="Arial"/>
          <w:sz w:val="16"/>
          <w:szCs w:val="24"/>
          <w:lang w:val="en-GB" w:eastAsia="en-GB"/>
        </w:rPr>
        <w:t xml:space="preserve"> online retail vendors in the EU such as Curries, Mediamarkt, Samsung, Amazon, Aukey, etc. The table includes average prices from across different vendors.</w:t>
      </w:r>
    </w:p>
    <w:p w14:paraId="7A918D5F" w14:textId="77777777" w:rsidR="00EB7F46" w:rsidRPr="00167A1B" w:rsidRDefault="00EB7F46" w:rsidP="00084C36">
      <w:pPr>
        <w:pStyle w:val="BodyText1"/>
        <w:rPr>
          <w:noProof w:val="0"/>
          <w:lang w:eastAsia="en-GB"/>
        </w:rPr>
      </w:pPr>
    </w:p>
    <w:p w14:paraId="6E6F5AB2" w14:textId="2AEB5E8E" w:rsidR="00084C36" w:rsidRPr="00167A1B" w:rsidRDefault="00084C36" w:rsidP="00084C36">
      <w:pPr>
        <w:pStyle w:val="BodyText1"/>
        <w:rPr>
          <w:noProof w:val="0"/>
          <w:lang w:eastAsia="en-GB"/>
        </w:rPr>
      </w:pPr>
      <w:r w:rsidRPr="00167A1B">
        <w:rPr>
          <w:noProof w:val="0"/>
          <w:lang w:eastAsia="en-GB"/>
        </w:rPr>
        <w:t xml:space="preserve">It should be noted that the prices have </w:t>
      </w:r>
      <w:r w:rsidR="008C1CDE" w:rsidRPr="00167A1B">
        <w:rPr>
          <w:noProof w:val="0"/>
          <w:lang w:eastAsia="en-GB"/>
        </w:rPr>
        <w:t xml:space="preserve">been </w:t>
      </w:r>
      <w:r w:rsidRPr="00167A1B">
        <w:rPr>
          <w:noProof w:val="0"/>
          <w:lang w:eastAsia="en-GB"/>
        </w:rPr>
        <w:t>kept constant over time in our model. However, interviews with experts and industry representatives suggest that the cost and price of USB Type-C connectors will decrease over time, as more devices incorporate this connector and more economies of scale are achieved. However, the trend is highly uncertain, and we have not observed any changes in prices between now and 2019, when the first IA was conducted. As a result, we have decided to keep the prices constant.</w:t>
      </w:r>
    </w:p>
    <w:p w14:paraId="40F741DF" w14:textId="77777777" w:rsidR="00084C36" w:rsidRPr="00167A1B" w:rsidRDefault="00084C36" w:rsidP="00084C36">
      <w:pPr>
        <w:pStyle w:val="BodyText1"/>
        <w:rPr>
          <w:noProof w:val="0"/>
          <w:lang w:eastAsia="en-GB"/>
        </w:rPr>
      </w:pPr>
      <w:r w:rsidRPr="00167A1B">
        <w:rPr>
          <w:noProof w:val="0"/>
          <w:lang w:eastAsia="en-GB"/>
        </w:rPr>
        <w:t>Other impacts on competitiveness, i.e. changes in distribution of revenue among competitors and loss of income from royalties, are explored qualitatively.</w:t>
      </w:r>
    </w:p>
    <w:p w14:paraId="68A6CE5E" w14:textId="77777777" w:rsidR="00084C36" w:rsidRPr="00167A1B" w:rsidRDefault="00084C36" w:rsidP="00084C36">
      <w:pPr>
        <w:pStyle w:val="Subtitle20"/>
        <w:rPr>
          <w:noProof w:val="0"/>
        </w:rPr>
      </w:pPr>
      <w:r w:rsidRPr="00167A1B">
        <w:rPr>
          <w:rStyle w:val="03ASubheading2ndlevelTOCChar"/>
          <w:noProof w:val="0"/>
        </w:rPr>
        <w:t xml:space="preserve">Innovation and </w:t>
      </w:r>
      <w:r w:rsidRPr="00167A1B">
        <w:rPr>
          <w:noProof w:val="0"/>
        </w:rPr>
        <w:t>research</w:t>
      </w:r>
    </w:p>
    <w:p w14:paraId="6247DB7D" w14:textId="77777777" w:rsidR="00084C36" w:rsidRPr="00167A1B" w:rsidRDefault="00084C36" w:rsidP="00084C36">
      <w:pPr>
        <w:pStyle w:val="BodyText1"/>
        <w:rPr>
          <w:noProof w:val="0"/>
          <w:lang w:eastAsia="en-GB"/>
        </w:rPr>
      </w:pPr>
      <w:r w:rsidRPr="00167A1B">
        <w:rPr>
          <w:noProof w:val="0"/>
          <w:lang w:eastAsia="en-GB"/>
        </w:rPr>
        <w:t>The initiative may affect innovation in charging technologies that are not compliant with the policy options (e.g. innovation in new connectors or fast charging technologies). Innovations may be pursued in a collaborative environment to develop new standards (e.g. the USB-IF), or by private companies individually to obtain new sources of comparative advantage. The new regulation or voluntary agreement on harmonisation could be updated to incorporate new standards (e.g. USB Type-D</w:t>
      </w:r>
      <w:r w:rsidRPr="00167A1B">
        <w:rPr>
          <w:rStyle w:val="FootnoteReference"/>
          <w:rFonts w:cs="Arial"/>
          <w:noProof w:val="0"/>
          <w:color w:val="000000"/>
          <w:lang w:eastAsia="en-GB"/>
        </w:rPr>
        <w:footnoteReference w:id="91"/>
      </w:r>
      <w:r w:rsidRPr="00167A1B">
        <w:rPr>
          <w:noProof w:val="0"/>
          <w:lang w:eastAsia="en-GB"/>
        </w:rPr>
        <w:t xml:space="preserve">), but not proprietary charging technologies. </w:t>
      </w:r>
    </w:p>
    <w:p w14:paraId="79BC4776" w14:textId="77777777" w:rsidR="00084C36" w:rsidRPr="00167A1B" w:rsidRDefault="00084C36" w:rsidP="00084C36">
      <w:pPr>
        <w:pStyle w:val="BodyText1"/>
        <w:rPr>
          <w:noProof w:val="0"/>
          <w:lang w:eastAsia="en-GB"/>
        </w:rPr>
      </w:pPr>
      <w:r w:rsidRPr="00167A1B">
        <w:rPr>
          <w:noProof w:val="0"/>
          <w:lang w:eastAsia="en-GB"/>
        </w:rPr>
        <w:t>Given the size of the EU market, a regulation that prohibits proprietary charging technologies to be placed in the EU market may preclude private companies from investing in this type of innovation (i.e. not cooperative). Under the voluntary agreement, companies would voluntarily commit, but not be obliged, to remove proprietary charging technologies from their phones, which means they would not be disincentivised (or not to the same extent) from investing in new technologies.</w:t>
      </w:r>
    </w:p>
    <w:p w14:paraId="470E8023" w14:textId="77777777" w:rsidR="00084C36" w:rsidRPr="00167A1B" w:rsidRDefault="00084C36" w:rsidP="00084C36">
      <w:pPr>
        <w:pStyle w:val="BodyText1"/>
        <w:rPr>
          <w:noProof w:val="0"/>
          <w:lang w:eastAsia="en-GB"/>
        </w:rPr>
      </w:pPr>
      <w:r w:rsidRPr="00167A1B">
        <w:rPr>
          <w:noProof w:val="0"/>
          <w:lang w:eastAsia="en-GB"/>
        </w:rPr>
        <w:lastRenderedPageBreak/>
        <w:t xml:space="preserve">The development of the USB Type-C connector may serve as an illustrative example. During the interviews conducted in the first IA, it was widely recognised by the industry that the development of USB Type-C connectors was influenced (and to some extent facilitated) by the existence of Lightning. </w:t>
      </w:r>
      <w:proofErr w:type="gramStart"/>
      <w:r w:rsidRPr="00167A1B">
        <w:rPr>
          <w:noProof w:val="0"/>
          <w:lang w:eastAsia="en-GB"/>
        </w:rPr>
        <w:t>In particular, industry</w:t>
      </w:r>
      <w:proofErr w:type="gramEnd"/>
      <w:r w:rsidRPr="00167A1B">
        <w:rPr>
          <w:noProof w:val="0"/>
          <w:lang w:eastAsia="en-GB"/>
        </w:rPr>
        <w:t xml:space="preserve"> commented that some features of Lightning, including the fact that it is reversible, found their way into the USB Type-C connector. By extension, it appears plausible that the development of future USB technology could be negatively affected by the absence of any competing connector technologies whose features could eventually be incorporated.</w:t>
      </w:r>
    </w:p>
    <w:p w14:paraId="1256ABBD" w14:textId="77777777" w:rsidR="00084C36" w:rsidRPr="00167A1B" w:rsidRDefault="00084C36" w:rsidP="00084C36">
      <w:pPr>
        <w:pStyle w:val="BodyText1"/>
        <w:rPr>
          <w:noProof w:val="0"/>
          <w:lang w:eastAsia="en-GB"/>
        </w:rPr>
      </w:pPr>
      <w:r w:rsidRPr="00167A1B">
        <w:rPr>
          <w:noProof w:val="0"/>
          <w:lang w:eastAsia="en-GB"/>
        </w:rPr>
        <w:t>Businesses’ capacity to innovate, in this case, is also linked to their competitiveness. In fact, as explained in section 2 (problem definition), fast charging solutions are a source of competitive advantage for some companies.</w:t>
      </w:r>
    </w:p>
    <w:p w14:paraId="22073027" w14:textId="0EA64D0A" w:rsidR="00084C36" w:rsidRPr="00167A1B" w:rsidRDefault="00084C36" w:rsidP="00084C36">
      <w:pPr>
        <w:pStyle w:val="BodyText1"/>
        <w:rPr>
          <w:noProof w:val="0"/>
          <w:szCs w:val="22"/>
          <w:lang w:eastAsia="en-GB"/>
        </w:rPr>
      </w:pPr>
      <w:r w:rsidRPr="00167A1B">
        <w:rPr>
          <w:noProof w:val="0"/>
          <w:szCs w:val="22"/>
          <w:lang w:eastAsia="en-GB"/>
        </w:rPr>
        <w:t>The significance of this impact will depend on the chosen policy instrument, with higher negative impacts if the instrument is a regulation (as opposed to a voluntary agreement). It should be noted that companies innovating in charging solutions are not based in the EU (companies with proprietary charging solutions are based in California and Asia). This impact is analysed qualitatively.</w:t>
      </w:r>
      <w:r w:rsidR="00F233AC" w:rsidRPr="00167A1B">
        <w:rPr>
          <w:rStyle w:val="FootnoteReference"/>
          <w:noProof w:val="0"/>
          <w:sz w:val="22"/>
          <w:szCs w:val="22"/>
          <w:lang w:eastAsia="en-GB"/>
        </w:rPr>
        <w:footnoteReference w:id="92"/>
      </w:r>
    </w:p>
    <w:p w14:paraId="08CF0E61" w14:textId="77777777" w:rsidR="00084C36" w:rsidRPr="00167A1B" w:rsidRDefault="00084C36" w:rsidP="00084C36">
      <w:pPr>
        <w:pStyle w:val="Subtitle20"/>
        <w:rPr>
          <w:noProof w:val="0"/>
          <w:lang w:eastAsia="en-GB"/>
        </w:rPr>
      </w:pPr>
      <w:r w:rsidRPr="00167A1B">
        <w:rPr>
          <w:noProof w:val="0"/>
          <w:lang w:eastAsia="en-GB"/>
        </w:rPr>
        <w:t>Impacts on consumers</w:t>
      </w:r>
    </w:p>
    <w:p w14:paraId="0A675A49" w14:textId="77777777" w:rsidR="00084C36" w:rsidRPr="00167A1B" w:rsidRDefault="00084C36" w:rsidP="00084C36">
      <w:pPr>
        <w:pStyle w:val="BodyText1"/>
        <w:rPr>
          <w:noProof w:val="0"/>
        </w:rPr>
      </w:pPr>
      <w:r w:rsidRPr="00167A1B">
        <w:rPr>
          <w:noProof w:val="0"/>
        </w:rPr>
        <w:t>Impacts on consumers are primarily assessed in the sections dedicated to “social impacts” (sections 4.3 and 5.3). However, the policy options may also have economic impacts for consumers, which are assessed in section 5.2.</w:t>
      </w:r>
    </w:p>
    <w:p w14:paraId="39FF5B17" w14:textId="2005AC06" w:rsidR="00084C36" w:rsidRPr="00167A1B" w:rsidRDefault="00084C36" w:rsidP="00084C36">
      <w:pPr>
        <w:pStyle w:val="BodyText1"/>
        <w:rPr>
          <w:noProof w:val="0"/>
        </w:rPr>
      </w:pPr>
      <w:r w:rsidRPr="00167A1B">
        <w:rPr>
          <w:noProof w:val="0"/>
        </w:rPr>
        <w:t>As explained above when describing the impacts on competitiveness, the policy options may require the use of certain inputs (e.g. USB Type-C connectors) or unbundling the chargers, which would have an impact on the price consumers pay when acquiring a new mobile phone. This impact is quantified following the same approach as for impacts on competitiveness.</w:t>
      </w:r>
    </w:p>
    <w:p w14:paraId="1C539EAC" w14:textId="77777777" w:rsidR="00663211" w:rsidRPr="00167A1B" w:rsidRDefault="00663211" w:rsidP="00EF05D5">
      <w:pPr>
        <w:pStyle w:val="Body"/>
        <w:numPr>
          <w:ilvl w:val="0"/>
          <w:numId w:val="0"/>
        </w:numPr>
        <w:rPr>
          <w:lang w:val="en-GB"/>
        </w:rPr>
      </w:pPr>
      <w:r w:rsidRPr="00167A1B">
        <w:rPr>
          <w:lang w:val="en-GB"/>
        </w:rPr>
        <w:t>The price that consumers will pay for their chargers, whether included in the box or bought separately, will be affected by the policy options, in the same way that the options affect the gross profit that manufacturers receive. The formula to calculate the cost for consumers is as follows:</w:t>
      </w:r>
    </w:p>
    <w:p w14:paraId="4EFAE4E8" w14:textId="77777777" w:rsidR="00663211" w:rsidRPr="00E50DAB" w:rsidRDefault="00663211" w:rsidP="00EF05D5">
      <w:pPr>
        <w:pStyle w:val="Body"/>
        <w:numPr>
          <w:ilvl w:val="0"/>
          <w:numId w:val="0"/>
        </w:numPr>
        <w:jc w:val="center"/>
        <w:rPr>
          <w:lang w:val="pt-BR"/>
        </w:rPr>
      </w:pPr>
      <w:r w:rsidRPr="00E50DAB">
        <w:rPr>
          <w:lang w:val="pt-BR"/>
        </w:rPr>
        <w:t>CPO</w:t>
      </w:r>
      <w:r w:rsidRPr="00E50DAB">
        <w:rPr>
          <w:vertAlign w:val="subscript"/>
          <w:lang w:val="pt-BR"/>
        </w:rPr>
        <w:t>j</w:t>
      </w:r>
      <w:r w:rsidRPr="00E50DAB">
        <w:rPr>
          <w:lang w:val="pt-BR"/>
        </w:rPr>
        <w:t xml:space="preserve"> = </w:t>
      </w:r>
      <m:oMath>
        <m:nary>
          <m:naryPr>
            <m:chr m:val="∑"/>
            <m:limLoc m:val="undOvr"/>
            <m:subHide m:val="1"/>
            <m:supHide m:val="1"/>
            <m:ctrlPr>
              <w:rPr>
                <w:rFonts w:ascii="Cambria Math" w:hAnsi="Cambria Math"/>
                <w:i/>
                <w:lang w:val="en-GB"/>
              </w:rPr>
            </m:ctrlPr>
          </m:naryPr>
          <m:sub/>
          <m:sup/>
          <m:e>
            <m:r>
              <w:rPr>
                <w:rFonts w:ascii="Cambria Math" w:hAnsi="Cambria Math"/>
                <w:lang w:val="pt-BR"/>
              </w:rPr>
              <m:t>(</m:t>
            </m:r>
            <m:r>
              <w:rPr>
                <w:rFonts w:ascii="Cambria Math" w:hAnsi="Cambria Math"/>
                <w:lang w:val="en-GB"/>
              </w:rPr>
              <m:t>Pi</m:t>
            </m:r>
            <m:r>
              <w:rPr>
                <w:rFonts w:ascii="Cambria Math" w:hAnsi="Cambria Math"/>
                <w:lang w:val="pt-BR"/>
              </w:rPr>
              <m:t>×</m:t>
            </m:r>
            <m:r>
              <w:rPr>
                <w:rFonts w:ascii="Cambria Math" w:hAnsi="Cambria Math"/>
                <w:lang w:val="en-GB"/>
              </w:rPr>
              <m:t>Qi</m:t>
            </m:r>
            <m:r>
              <w:rPr>
                <w:rFonts w:ascii="Cambria Math" w:hAnsi="Cambria Math"/>
                <w:lang w:val="pt-BR"/>
              </w:rPr>
              <m:t>)</m:t>
            </m:r>
          </m:e>
        </m:nary>
        <m:r>
          <w:rPr>
            <w:rFonts w:ascii="Cambria Math" w:hAnsi="Cambria Math"/>
            <w:lang w:val="pt-BR"/>
          </w:rPr>
          <m:t xml:space="preserve">+ </m:t>
        </m:r>
        <m:nary>
          <m:naryPr>
            <m:chr m:val="∑"/>
            <m:limLoc m:val="undOvr"/>
            <m:subHide m:val="1"/>
            <m:supHide m:val="1"/>
            <m:ctrlPr>
              <w:rPr>
                <w:rFonts w:ascii="Cambria Math" w:hAnsi="Cambria Math"/>
                <w:i/>
                <w:lang w:val="en-GB"/>
              </w:rPr>
            </m:ctrlPr>
          </m:naryPr>
          <m:sub/>
          <m:sup/>
          <m:e>
            <m:r>
              <w:rPr>
                <w:rFonts w:ascii="Cambria Math" w:hAnsi="Cambria Math"/>
                <w:lang w:val="pt-BR"/>
              </w:rPr>
              <m:t>(</m:t>
            </m:r>
            <m:r>
              <w:rPr>
                <w:rFonts w:ascii="Cambria Math" w:hAnsi="Cambria Math"/>
                <w:lang w:val="en-GB"/>
              </w:rPr>
              <m:t>SPi</m:t>
            </m:r>
            <m:r>
              <w:rPr>
                <w:rFonts w:ascii="Cambria Math" w:hAnsi="Cambria Math"/>
                <w:lang w:val="pt-BR"/>
              </w:rPr>
              <m:t>×</m:t>
            </m:r>
            <m:r>
              <w:rPr>
                <w:rFonts w:ascii="Cambria Math" w:hAnsi="Cambria Math"/>
                <w:lang w:val="en-GB"/>
              </w:rPr>
              <m:t>SQi</m:t>
            </m:r>
            <m:r>
              <w:rPr>
                <w:rFonts w:ascii="Cambria Math" w:hAnsi="Cambria Math"/>
                <w:lang w:val="pt-BR"/>
              </w:rPr>
              <m:t>)</m:t>
            </m:r>
          </m:e>
        </m:nary>
      </m:oMath>
    </w:p>
    <w:p w14:paraId="0A2C6982" w14:textId="77777777" w:rsidR="00663211" w:rsidRPr="00167A1B" w:rsidRDefault="00663211" w:rsidP="00EF05D5">
      <w:pPr>
        <w:pStyle w:val="Body"/>
        <w:numPr>
          <w:ilvl w:val="0"/>
          <w:numId w:val="0"/>
        </w:numPr>
        <w:rPr>
          <w:lang w:val="en-GB"/>
        </w:rPr>
      </w:pPr>
      <w:r w:rsidRPr="00167A1B">
        <w:rPr>
          <w:lang w:val="en-GB"/>
        </w:rPr>
        <w:t>Where:</w:t>
      </w:r>
    </w:p>
    <w:p w14:paraId="64D84FCE" w14:textId="77777777" w:rsidR="00663211" w:rsidRPr="00167A1B" w:rsidRDefault="00663211" w:rsidP="00EF05D5">
      <w:pPr>
        <w:pStyle w:val="Body"/>
        <w:numPr>
          <w:ilvl w:val="0"/>
          <w:numId w:val="48"/>
        </w:numPr>
        <w:spacing w:after="240"/>
        <w:contextualSpacing/>
        <w:jc w:val="left"/>
        <w:rPr>
          <w:lang w:val="en-GB"/>
        </w:rPr>
      </w:pPr>
      <w:r w:rsidRPr="00167A1B">
        <w:rPr>
          <w:lang w:val="en-GB"/>
        </w:rPr>
        <w:t>CPO</w:t>
      </w:r>
      <w:r w:rsidRPr="00167A1B">
        <w:rPr>
          <w:vertAlign w:val="subscript"/>
          <w:lang w:val="en-GB"/>
        </w:rPr>
        <w:t>j</w:t>
      </w:r>
      <w:r w:rsidRPr="00167A1B">
        <w:rPr>
          <w:lang w:val="en-GB"/>
        </w:rPr>
        <w:t xml:space="preserve"> = Cost for consumers in Policy Option j</w:t>
      </w:r>
    </w:p>
    <w:p w14:paraId="597A78C9" w14:textId="77777777" w:rsidR="00663211" w:rsidRPr="00167A1B" w:rsidRDefault="00663211" w:rsidP="00EF05D5">
      <w:pPr>
        <w:pStyle w:val="Body"/>
        <w:numPr>
          <w:ilvl w:val="0"/>
          <w:numId w:val="48"/>
        </w:numPr>
        <w:spacing w:after="240"/>
        <w:contextualSpacing/>
        <w:jc w:val="left"/>
        <w:rPr>
          <w:lang w:val="en-GB"/>
        </w:rPr>
      </w:pPr>
      <w:r w:rsidRPr="00167A1B">
        <w:rPr>
          <w:lang w:val="en-GB"/>
        </w:rPr>
        <w:t>P</w:t>
      </w:r>
      <w:r w:rsidRPr="00167A1B">
        <w:rPr>
          <w:vertAlign w:val="subscript"/>
          <w:lang w:val="en-GB"/>
        </w:rPr>
        <w:t xml:space="preserve">i </w:t>
      </w:r>
      <w:r w:rsidRPr="00167A1B">
        <w:rPr>
          <w:lang w:val="en-GB"/>
        </w:rPr>
        <w:t>= Price of type of charger i when sold in the box</w:t>
      </w:r>
    </w:p>
    <w:p w14:paraId="4A78A6E3" w14:textId="77777777" w:rsidR="00663211" w:rsidRPr="00167A1B" w:rsidRDefault="00663211" w:rsidP="00EF05D5">
      <w:pPr>
        <w:pStyle w:val="Body"/>
        <w:numPr>
          <w:ilvl w:val="0"/>
          <w:numId w:val="48"/>
        </w:numPr>
        <w:spacing w:after="240"/>
        <w:contextualSpacing/>
        <w:jc w:val="left"/>
        <w:rPr>
          <w:lang w:val="en-GB"/>
        </w:rPr>
      </w:pPr>
      <w:r w:rsidRPr="00167A1B">
        <w:rPr>
          <w:lang w:val="en-GB"/>
        </w:rPr>
        <w:t>Q</w:t>
      </w:r>
      <w:r w:rsidRPr="00167A1B">
        <w:rPr>
          <w:vertAlign w:val="subscript"/>
          <w:lang w:val="en-GB"/>
        </w:rPr>
        <w:t>i</w:t>
      </w:r>
      <w:r w:rsidRPr="00167A1B">
        <w:rPr>
          <w:lang w:val="en-GB"/>
        </w:rPr>
        <w:t xml:space="preserve"> = Quantity of type of charger i sold in the box</w:t>
      </w:r>
    </w:p>
    <w:p w14:paraId="11A73393" w14:textId="77777777" w:rsidR="00663211" w:rsidRPr="00167A1B" w:rsidRDefault="00663211" w:rsidP="00EF05D5">
      <w:pPr>
        <w:pStyle w:val="Body"/>
        <w:numPr>
          <w:ilvl w:val="0"/>
          <w:numId w:val="48"/>
        </w:numPr>
        <w:spacing w:after="240"/>
        <w:contextualSpacing/>
        <w:jc w:val="left"/>
        <w:rPr>
          <w:lang w:val="en-GB"/>
        </w:rPr>
      </w:pPr>
      <w:r w:rsidRPr="00167A1B">
        <w:rPr>
          <w:lang w:val="en-GB"/>
        </w:rPr>
        <w:t>SP</w:t>
      </w:r>
      <w:r w:rsidRPr="00167A1B">
        <w:rPr>
          <w:vertAlign w:val="subscript"/>
          <w:lang w:val="en-GB"/>
        </w:rPr>
        <w:t>i</w:t>
      </w:r>
      <w:r w:rsidRPr="00167A1B">
        <w:rPr>
          <w:lang w:val="en-GB"/>
        </w:rPr>
        <w:t xml:space="preserve"> = Price of type of charger i when sold as a standalone charger</w:t>
      </w:r>
    </w:p>
    <w:p w14:paraId="56725176" w14:textId="77777777" w:rsidR="00663211" w:rsidRPr="00167A1B" w:rsidRDefault="00663211" w:rsidP="00EF05D5">
      <w:pPr>
        <w:pStyle w:val="Body"/>
        <w:numPr>
          <w:ilvl w:val="0"/>
          <w:numId w:val="48"/>
        </w:numPr>
        <w:spacing w:after="240"/>
        <w:contextualSpacing/>
        <w:jc w:val="left"/>
        <w:rPr>
          <w:lang w:val="en-GB"/>
        </w:rPr>
      </w:pPr>
      <w:r w:rsidRPr="00167A1B">
        <w:rPr>
          <w:lang w:val="en-GB"/>
        </w:rPr>
        <w:t>SQ</w:t>
      </w:r>
      <w:r w:rsidRPr="00167A1B">
        <w:rPr>
          <w:vertAlign w:val="subscript"/>
          <w:lang w:val="en-GB"/>
        </w:rPr>
        <w:t>i</w:t>
      </w:r>
      <w:r w:rsidRPr="00167A1B">
        <w:rPr>
          <w:lang w:val="en-GB"/>
        </w:rPr>
        <w:t xml:space="preserve"> = Quantity of standalone chargers sold of type i</w:t>
      </w:r>
    </w:p>
    <w:p w14:paraId="14A51642" w14:textId="77777777" w:rsidR="00663211" w:rsidRPr="00167A1B" w:rsidRDefault="00663211" w:rsidP="00084C36">
      <w:pPr>
        <w:pStyle w:val="BodyText1"/>
        <w:rPr>
          <w:noProof w:val="0"/>
        </w:rPr>
      </w:pPr>
    </w:p>
    <w:p w14:paraId="14566084" w14:textId="77777777" w:rsidR="00084C36" w:rsidRPr="00167A1B" w:rsidRDefault="00084C36" w:rsidP="00084C36">
      <w:pPr>
        <w:pStyle w:val="Subtitle20"/>
        <w:rPr>
          <w:noProof w:val="0"/>
        </w:rPr>
      </w:pPr>
      <w:r w:rsidRPr="00167A1B">
        <w:rPr>
          <w:rStyle w:val="03ASubheading2ndlevelTOCChar"/>
          <w:noProof w:val="0"/>
        </w:rPr>
        <w:t xml:space="preserve">Operating costs and conduct of business </w:t>
      </w:r>
    </w:p>
    <w:p w14:paraId="50C175A7" w14:textId="33FAE18D" w:rsidR="00084C36" w:rsidRPr="00167A1B" w:rsidRDefault="00084C36" w:rsidP="00084C36">
      <w:pPr>
        <w:pStyle w:val="BodyText1"/>
        <w:rPr>
          <w:noProof w:val="0"/>
          <w:lang w:eastAsia="en-GB"/>
        </w:rPr>
      </w:pPr>
      <w:r w:rsidRPr="00167A1B">
        <w:rPr>
          <w:noProof w:val="0"/>
          <w:lang w:eastAsia="en-GB"/>
        </w:rPr>
        <w:t xml:space="preserve">Operating costs and conduct of business refer to additional adjustment, compliance or transaction costs on businesses derived from the policy options. It may affect, </w:t>
      </w:r>
      <w:r w:rsidRPr="00167A1B">
        <w:rPr>
          <w:i/>
          <w:iCs/>
          <w:noProof w:val="0"/>
          <w:lang w:eastAsia="en-GB"/>
        </w:rPr>
        <w:t>inter alia</w:t>
      </w:r>
      <w:r w:rsidRPr="00167A1B">
        <w:rPr>
          <w:noProof w:val="0"/>
          <w:lang w:eastAsia="en-GB"/>
        </w:rPr>
        <w:t xml:space="preserve">, the cost or availability of essential inputs, access to finance, the investment cycle, or </w:t>
      </w:r>
      <w:r w:rsidRPr="00167A1B">
        <w:rPr>
          <w:rFonts w:eastAsia="Calibri"/>
          <w:noProof w:val="0"/>
          <w:lang w:eastAsia="en-GB"/>
        </w:rPr>
        <w:t>entail the withdrawal of certain products from the market</w:t>
      </w:r>
      <w:r w:rsidRPr="00167A1B">
        <w:rPr>
          <w:noProof w:val="0"/>
          <w:lang w:eastAsia="en-GB"/>
        </w:rPr>
        <w:t xml:space="preserve">. </w:t>
      </w:r>
    </w:p>
    <w:p w14:paraId="3AAB9B71" w14:textId="570C48DC" w:rsidR="002637F4" w:rsidRPr="00167A1B" w:rsidRDefault="002637F4" w:rsidP="00084C36">
      <w:pPr>
        <w:pStyle w:val="BodyText1"/>
        <w:rPr>
          <w:noProof w:val="0"/>
          <w:lang w:eastAsia="en-GB"/>
        </w:rPr>
      </w:pPr>
      <w:r w:rsidRPr="00167A1B">
        <w:rPr>
          <w:noProof w:val="0"/>
          <w:lang w:eastAsia="en-GB"/>
        </w:rPr>
        <w:t xml:space="preserve">Operating costs include the cost of redesigning products (especially if the policy option applies to existing models), the shortening of the natural lifetime of existing models (if they are not </w:t>
      </w:r>
      <w:r w:rsidRPr="00167A1B">
        <w:rPr>
          <w:noProof w:val="0"/>
          <w:lang w:eastAsia="en-GB"/>
        </w:rPr>
        <w:lastRenderedPageBreak/>
        <w:t>compliant with the new regulation) and associated loss of sales, and the need to have two product lines (e.g. one for the EU market, and another one for the rest of the world).</w:t>
      </w:r>
      <w:r w:rsidRPr="00167A1B">
        <w:rPr>
          <w:rStyle w:val="FootnoteReference"/>
          <w:noProof w:val="0"/>
          <w:lang w:eastAsia="en-GB"/>
        </w:rPr>
        <w:footnoteReference w:id="93"/>
      </w:r>
    </w:p>
    <w:p w14:paraId="28CB6F5F" w14:textId="77777777" w:rsidR="00084C36" w:rsidRPr="00167A1B" w:rsidRDefault="00084C36" w:rsidP="00084C36">
      <w:pPr>
        <w:pStyle w:val="BodyText1"/>
        <w:rPr>
          <w:noProof w:val="0"/>
          <w:lang w:eastAsia="en-GB"/>
        </w:rPr>
      </w:pPr>
      <w:r w:rsidRPr="00167A1B">
        <w:rPr>
          <w:noProof w:val="0"/>
        </w:rPr>
        <w:t>One of the costs considered is the cost of demonstrating compliance with the standard or regulation in question (conformity assessment). The costs vary substantially depending on the type of regulation (e.g. essential requirement, harmonised standard…) and on the option given to / chosen by manufacturers to demonstrate compliance (e.g. presumption of conformity, or other methods).</w:t>
      </w:r>
      <w:r w:rsidRPr="00167A1B">
        <w:rPr>
          <w:noProof w:val="0"/>
          <w:vertAlign w:val="superscript"/>
        </w:rPr>
        <w:footnoteReference w:id="94"/>
      </w:r>
      <w:r w:rsidRPr="00167A1B">
        <w:rPr>
          <w:noProof w:val="0"/>
        </w:rPr>
        <w:t xml:space="preserve"> The impact will also depend on whether the policy options require full compliance with a standard, or compatibility (e.g. essential requirements). </w:t>
      </w:r>
    </w:p>
    <w:p w14:paraId="1F7C51FA" w14:textId="3A0F5275" w:rsidR="00084C36" w:rsidRPr="00167A1B" w:rsidRDefault="00084C36" w:rsidP="00084C36">
      <w:pPr>
        <w:pStyle w:val="BodyText1"/>
        <w:rPr>
          <w:noProof w:val="0"/>
        </w:rPr>
      </w:pPr>
      <w:r w:rsidRPr="00167A1B">
        <w:rPr>
          <w:noProof w:val="0"/>
        </w:rPr>
        <w:t xml:space="preserve">The USB IF has a compliance programme to certify sinks (devices) and sources (EPS) that are compliant with the USB PD 3.0 specification. Manufacturers may also test whether their own products are USB PD compatible. </w:t>
      </w:r>
    </w:p>
    <w:p w14:paraId="7F619BB7" w14:textId="77777777" w:rsidR="00084C36" w:rsidRPr="00167A1B" w:rsidRDefault="00084C36" w:rsidP="00084C36">
      <w:pPr>
        <w:pStyle w:val="BodyText1"/>
        <w:rPr>
          <w:noProof w:val="0"/>
        </w:rPr>
      </w:pPr>
      <w:r w:rsidRPr="00167A1B">
        <w:rPr>
          <w:noProof w:val="0"/>
        </w:rPr>
        <w:t>In addition, mandating certain standards may create market barriers and produce distortions (e.g. if other countries apply different requirements or standards), forcing manufacturers to have different models or designs for each market.</w:t>
      </w:r>
    </w:p>
    <w:p w14:paraId="5E9FA8A6" w14:textId="77777777" w:rsidR="00084C36" w:rsidRPr="00167A1B" w:rsidRDefault="00084C36" w:rsidP="00084C36">
      <w:pPr>
        <w:pStyle w:val="BodyText1"/>
        <w:rPr>
          <w:noProof w:val="0"/>
          <w:lang w:eastAsia="en-GB"/>
        </w:rPr>
      </w:pPr>
      <w:r w:rsidRPr="00167A1B">
        <w:rPr>
          <w:noProof w:val="0"/>
          <w:lang w:eastAsia="en-GB"/>
        </w:rPr>
        <w:t>This impact is assessed qualitatively based on information provided by interviewees across all types of stakeholders, and on literature review.</w:t>
      </w:r>
    </w:p>
    <w:tbl>
      <w:tblPr>
        <w:tblStyle w:val="TableGrid"/>
        <w:tblW w:w="9351" w:type="dxa"/>
        <w:tblLook w:val="04A0" w:firstRow="1" w:lastRow="0" w:firstColumn="1" w:lastColumn="0" w:noHBand="0" w:noVBand="1"/>
      </w:tblPr>
      <w:tblGrid>
        <w:gridCol w:w="2263"/>
        <w:gridCol w:w="7088"/>
      </w:tblGrid>
      <w:tr w:rsidR="00084C36" w:rsidRPr="00167A1B" w14:paraId="07B87469" w14:textId="77777777" w:rsidTr="008C1CDE">
        <w:trPr>
          <w:cnfStyle w:val="100000000000" w:firstRow="1" w:lastRow="0" w:firstColumn="0" w:lastColumn="0" w:oddVBand="0" w:evenVBand="0" w:oddHBand="0" w:evenHBand="0" w:firstRowFirstColumn="0" w:firstRowLastColumn="0" w:lastRowFirstColumn="0" w:lastRowLastColumn="0"/>
          <w:trHeight w:val="262"/>
          <w:tblHeader/>
        </w:trPr>
        <w:tc>
          <w:tcPr>
            <w:tcW w:w="2263" w:type="dxa"/>
          </w:tcPr>
          <w:p w14:paraId="2E15DB2C" w14:textId="77777777" w:rsidR="00084C36" w:rsidRPr="00167A1B" w:rsidRDefault="00084C36" w:rsidP="00FA3984">
            <w:pPr>
              <w:numPr>
                <w:ilvl w:val="0"/>
                <w:numId w:val="28"/>
              </w:numPr>
              <w:spacing w:after="0"/>
              <w:jc w:val="left"/>
              <w:rPr>
                <w:rFonts w:ascii="Arial" w:hAnsi="Arial" w:cs="Arial"/>
                <w:b/>
                <w:color w:val="FFFFFF" w:themeColor="background1"/>
                <w:sz w:val="20"/>
                <w:lang w:eastAsia="cs-CZ"/>
              </w:rPr>
            </w:pPr>
            <w:r w:rsidRPr="00167A1B">
              <w:rPr>
                <w:rFonts w:ascii="Arial" w:hAnsi="Arial" w:cs="Arial"/>
                <w:b/>
                <w:color w:val="FFFFFF" w:themeColor="background1"/>
                <w:sz w:val="20"/>
                <w:lang w:eastAsia="cs-CZ"/>
              </w:rPr>
              <w:t>Type of stakeholder</w:t>
            </w:r>
          </w:p>
        </w:tc>
        <w:tc>
          <w:tcPr>
            <w:tcW w:w="7088" w:type="dxa"/>
          </w:tcPr>
          <w:p w14:paraId="1785EBEC" w14:textId="77777777" w:rsidR="00084C36" w:rsidRPr="00167A1B" w:rsidRDefault="00084C36" w:rsidP="00FA3984">
            <w:pPr>
              <w:numPr>
                <w:ilvl w:val="0"/>
                <w:numId w:val="28"/>
              </w:numPr>
              <w:spacing w:after="0"/>
              <w:jc w:val="left"/>
              <w:rPr>
                <w:rFonts w:ascii="Arial" w:hAnsi="Arial" w:cs="Arial"/>
                <w:b/>
                <w:color w:val="FFFFFF" w:themeColor="background1"/>
                <w:sz w:val="20"/>
                <w:lang w:eastAsia="cs-CZ"/>
              </w:rPr>
            </w:pPr>
            <w:r w:rsidRPr="00167A1B">
              <w:rPr>
                <w:rFonts w:ascii="Arial" w:hAnsi="Arial" w:cs="Arial"/>
                <w:b/>
                <w:color w:val="FFFFFF" w:themeColor="background1"/>
                <w:sz w:val="20"/>
                <w:lang w:eastAsia="cs-CZ"/>
              </w:rPr>
              <w:t>How they may be affected</w:t>
            </w:r>
          </w:p>
        </w:tc>
      </w:tr>
      <w:tr w:rsidR="00084C36" w:rsidRPr="00167A1B" w14:paraId="47FCC173" w14:textId="77777777" w:rsidTr="008C1CDE">
        <w:trPr>
          <w:trHeight w:val="1066"/>
        </w:trPr>
        <w:tc>
          <w:tcPr>
            <w:tcW w:w="2263" w:type="dxa"/>
          </w:tcPr>
          <w:p w14:paraId="4A56920C" w14:textId="77777777" w:rsidR="00084C36" w:rsidRPr="00167A1B" w:rsidRDefault="00084C36" w:rsidP="00FA3984">
            <w:pPr>
              <w:pStyle w:val="BodyText1"/>
              <w:jc w:val="left"/>
              <w:rPr>
                <w:noProof w:val="0"/>
                <w:sz w:val="20"/>
                <w:lang w:eastAsia="cs-CZ"/>
              </w:rPr>
            </w:pPr>
            <w:r w:rsidRPr="00167A1B">
              <w:rPr>
                <w:noProof w:val="0"/>
                <w:sz w:val="20"/>
                <w:lang w:eastAsia="cs-CZ"/>
              </w:rPr>
              <w:t xml:space="preserve">Manufacturers of mobile phones </w:t>
            </w:r>
          </w:p>
        </w:tc>
        <w:tc>
          <w:tcPr>
            <w:tcW w:w="7088" w:type="dxa"/>
          </w:tcPr>
          <w:p w14:paraId="762DAF25" w14:textId="77777777" w:rsidR="00084C36" w:rsidRPr="00167A1B" w:rsidRDefault="00084C36" w:rsidP="00FA3984">
            <w:pPr>
              <w:pStyle w:val="BodyText1"/>
              <w:jc w:val="left"/>
              <w:rPr>
                <w:rFonts w:cs="Arial"/>
                <w:b/>
                <w:bCs/>
                <w:noProof w:val="0"/>
                <w:sz w:val="20"/>
                <w:lang w:eastAsia="en-GB"/>
              </w:rPr>
            </w:pPr>
            <w:r w:rsidRPr="00167A1B">
              <w:rPr>
                <w:noProof w:val="0"/>
                <w:sz w:val="20"/>
                <w:lang w:eastAsia="nl-BE"/>
              </w:rPr>
              <w:t xml:space="preserve">All the policy options considered require manufacturers making changes in their devices (e.g. to include USB Type C connectors and/or USB PD as the charging battery protocol), </w:t>
            </w:r>
            <w:r w:rsidRPr="00167A1B">
              <w:rPr>
                <w:bCs/>
                <w:noProof w:val="0"/>
                <w:sz w:val="20"/>
                <w:lang w:eastAsia="nl-BE"/>
              </w:rPr>
              <w:t>or</w:t>
            </w:r>
            <w:r w:rsidRPr="00167A1B">
              <w:rPr>
                <w:noProof w:val="0"/>
                <w:sz w:val="20"/>
                <w:lang w:eastAsia="nl-BE"/>
              </w:rPr>
              <w:t xml:space="preserve"> changes in their packages (to remove the EPS and/or the cable, for those cases where accessories are still included). </w:t>
            </w:r>
            <w:r w:rsidRPr="00167A1B">
              <w:rPr>
                <w:rFonts w:cs="Arial"/>
                <w:bCs/>
                <w:noProof w:val="0"/>
                <w:sz w:val="20"/>
                <w:lang w:eastAsia="en-GB"/>
              </w:rPr>
              <w:t xml:space="preserve">Manufacturers may also need to demonstrate compliance with standards (USB Type C and/or USB PD) in their devices and the EPS included in the box. </w:t>
            </w:r>
          </w:p>
          <w:p w14:paraId="51A52802" w14:textId="77777777" w:rsidR="00084C36" w:rsidRPr="00167A1B" w:rsidRDefault="00084C36" w:rsidP="00FA3984">
            <w:pPr>
              <w:pStyle w:val="BodyText1"/>
              <w:jc w:val="left"/>
              <w:rPr>
                <w:noProof w:val="0"/>
                <w:sz w:val="20"/>
                <w:lang w:eastAsia="nl-BE"/>
              </w:rPr>
            </w:pPr>
            <w:r w:rsidRPr="00167A1B">
              <w:rPr>
                <w:rFonts w:cs="Arial"/>
                <w:bCs/>
                <w:noProof w:val="0"/>
                <w:sz w:val="20"/>
                <w:lang w:eastAsia="en-GB"/>
              </w:rPr>
              <w:t>A new logo to advertise the battery charging protocol used in the devices (Option 5) may also have an associated cost for manufacturers.</w:t>
            </w:r>
          </w:p>
        </w:tc>
      </w:tr>
      <w:tr w:rsidR="00084C36" w:rsidRPr="00167A1B" w14:paraId="131FDF88" w14:textId="77777777" w:rsidTr="008C1CDE">
        <w:trPr>
          <w:trHeight w:val="1000"/>
        </w:trPr>
        <w:tc>
          <w:tcPr>
            <w:tcW w:w="2263" w:type="dxa"/>
          </w:tcPr>
          <w:p w14:paraId="469621C2" w14:textId="77777777" w:rsidR="00084C36" w:rsidRPr="00167A1B" w:rsidRDefault="00084C36" w:rsidP="00FA3984">
            <w:pPr>
              <w:pStyle w:val="BodyText1"/>
              <w:jc w:val="left"/>
              <w:rPr>
                <w:noProof w:val="0"/>
                <w:sz w:val="20"/>
                <w:lang w:eastAsia="cs-CZ"/>
              </w:rPr>
            </w:pPr>
            <w:r w:rsidRPr="00167A1B">
              <w:rPr>
                <w:noProof w:val="0"/>
                <w:sz w:val="20"/>
                <w:lang w:eastAsia="cs-CZ"/>
              </w:rPr>
              <w:t>Distributors, retailers and wholesalers</w:t>
            </w:r>
          </w:p>
        </w:tc>
        <w:tc>
          <w:tcPr>
            <w:tcW w:w="7088" w:type="dxa"/>
          </w:tcPr>
          <w:p w14:paraId="0899E62C" w14:textId="77777777" w:rsidR="00084C36" w:rsidRPr="00167A1B" w:rsidRDefault="00084C36" w:rsidP="00FA3984">
            <w:pPr>
              <w:pStyle w:val="BodyText1"/>
              <w:jc w:val="left"/>
              <w:rPr>
                <w:noProof w:val="0"/>
                <w:sz w:val="20"/>
                <w:lang w:eastAsia="cs-CZ"/>
              </w:rPr>
            </w:pPr>
            <w:r w:rsidRPr="00167A1B">
              <w:rPr>
                <w:noProof w:val="0"/>
                <w:sz w:val="20"/>
                <w:lang w:eastAsia="cs-CZ"/>
              </w:rPr>
              <w:t>The options that include unbundling may affect distributors, as they may have to look for new suppliers of stand-alone EPS and/or cables. They may also need to upskill their staff to be able to provide advice to consumers on which EPS/cable works with their devices.</w:t>
            </w:r>
          </w:p>
        </w:tc>
      </w:tr>
      <w:tr w:rsidR="00084C36" w:rsidRPr="00167A1B" w14:paraId="207776ED" w14:textId="77777777" w:rsidTr="008C1CDE">
        <w:trPr>
          <w:trHeight w:val="711"/>
        </w:trPr>
        <w:tc>
          <w:tcPr>
            <w:tcW w:w="2263" w:type="dxa"/>
          </w:tcPr>
          <w:p w14:paraId="48CF2B10" w14:textId="77777777" w:rsidR="00084C36" w:rsidRPr="00167A1B" w:rsidRDefault="00084C36" w:rsidP="00FA3984">
            <w:pPr>
              <w:pStyle w:val="BodyText1"/>
              <w:jc w:val="left"/>
              <w:rPr>
                <w:noProof w:val="0"/>
                <w:sz w:val="20"/>
                <w:lang w:eastAsia="cs-CZ"/>
              </w:rPr>
            </w:pPr>
            <w:r w:rsidRPr="00167A1B">
              <w:rPr>
                <w:noProof w:val="0"/>
                <w:sz w:val="20"/>
                <w:lang w:eastAsia="cs-CZ"/>
              </w:rPr>
              <w:t>Manufacturers of chargers (EPS and/or cables)</w:t>
            </w:r>
          </w:p>
        </w:tc>
        <w:tc>
          <w:tcPr>
            <w:tcW w:w="7088" w:type="dxa"/>
          </w:tcPr>
          <w:p w14:paraId="4EB3E9AA" w14:textId="77777777" w:rsidR="00084C36" w:rsidRPr="00167A1B" w:rsidRDefault="00084C36" w:rsidP="00FA3984">
            <w:pPr>
              <w:pStyle w:val="BodyText1"/>
              <w:jc w:val="left"/>
              <w:rPr>
                <w:noProof w:val="0"/>
                <w:sz w:val="20"/>
                <w:lang w:eastAsia="cs-CZ"/>
              </w:rPr>
            </w:pPr>
            <w:r w:rsidRPr="00167A1B">
              <w:rPr>
                <w:noProof w:val="0"/>
                <w:sz w:val="20"/>
                <w:lang w:eastAsia="cs-CZ"/>
              </w:rPr>
              <w:t>Manufacturers of chargers of portable devices would also be affected by unbundling and harmonisation initiatives. If unbundling is mandated, they may have to find new intermediaries to sell their EPS/cables. Firms that manufacture the chargers that are currently included in the box with mobile phones and other devices would be particularly affected. In interviews with the industry, it has become apparent that there are some charger manufacturers specialised in designing and producing tailor-made EPS and cables for specific portable devices. Chargers are produced and sold unbranded to manufacturers of portable devices, who incorporate their own brand to the final product.</w:t>
            </w:r>
            <w:r w:rsidRPr="00167A1B" w:rsidDel="00490068">
              <w:rPr>
                <w:noProof w:val="0"/>
                <w:sz w:val="20"/>
                <w:lang w:eastAsia="cs-CZ"/>
              </w:rPr>
              <w:t xml:space="preserve"> </w:t>
            </w:r>
          </w:p>
          <w:p w14:paraId="67180B54" w14:textId="77777777" w:rsidR="00084C36" w:rsidRPr="00167A1B" w:rsidRDefault="00084C36" w:rsidP="00FA3984">
            <w:pPr>
              <w:pStyle w:val="BodyText1"/>
              <w:jc w:val="left"/>
              <w:rPr>
                <w:noProof w:val="0"/>
                <w:sz w:val="20"/>
                <w:lang w:eastAsia="cs-CZ"/>
              </w:rPr>
            </w:pPr>
            <w:r w:rsidRPr="00167A1B">
              <w:rPr>
                <w:noProof w:val="0"/>
                <w:sz w:val="20"/>
                <w:lang w:eastAsia="cs-CZ"/>
              </w:rPr>
              <w:t>Harmonisation of EPS, on the other hand, would affect those firms that are currently manufacturing chargers with proprietary charging protocols, as they would need to adapt their processes to incorporate standard protocols (if not incorporated yet). Manufacturers of chargers may need to perform new tests or obtain new certifications on their EPS (e.g. on USB PD compliance).</w:t>
            </w:r>
          </w:p>
        </w:tc>
      </w:tr>
      <w:tr w:rsidR="00084C36" w:rsidRPr="00167A1B" w14:paraId="6DF8CD42" w14:textId="77777777" w:rsidTr="008C1CDE">
        <w:trPr>
          <w:trHeight w:val="2280"/>
        </w:trPr>
        <w:tc>
          <w:tcPr>
            <w:tcW w:w="2263" w:type="dxa"/>
          </w:tcPr>
          <w:p w14:paraId="221A1AAC" w14:textId="77777777" w:rsidR="00084C36" w:rsidRPr="00167A1B" w:rsidRDefault="00084C36" w:rsidP="00FA3984">
            <w:pPr>
              <w:pStyle w:val="BodyText1"/>
              <w:jc w:val="left"/>
              <w:rPr>
                <w:noProof w:val="0"/>
                <w:sz w:val="20"/>
                <w:lang w:eastAsia="cs-CZ"/>
              </w:rPr>
            </w:pPr>
            <w:r w:rsidRPr="00167A1B">
              <w:rPr>
                <w:noProof w:val="0"/>
                <w:sz w:val="20"/>
                <w:lang w:eastAsia="cs-CZ"/>
              </w:rPr>
              <w:lastRenderedPageBreak/>
              <w:t>Manufacturers of System-on-Chip (SoC)</w:t>
            </w:r>
          </w:p>
        </w:tc>
        <w:tc>
          <w:tcPr>
            <w:tcW w:w="7088" w:type="dxa"/>
          </w:tcPr>
          <w:p w14:paraId="5E7DF147" w14:textId="77777777" w:rsidR="00084C36" w:rsidRPr="00167A1B" w:rsidRDefault="00084C36" w:rsidP="00FA3984">
            <w:pPr>
              <w:pStyle w:val="BodyText1"/>
              <w:jc w:val="left"/>
              <w:rPr>
                <w:noProof w:val="0"/>
                <w:sz w:val="20"/>
                <w:lang w:eastAsia="en-GB"/>
              </w:rPr>
            </w:pPr>
            <w:r w:rsidRPr="00167A1B">
              <w:rPr>
                <w:noProof w:val="0"/>
                <w:sz w:val="20"/>
                <w:lang w:eastAsia="cs-CZ"/>
              </w:rPr>
              <w:t xml:space="preserve">A system on a chip (SoC) is an </w:t>
            </w:r>
            <w:r w:rsidRPr="00167A1B">
              <w:rPr>
                <w:noProof w:val="0"/>
                <w:sz w:val="20"/>
                <w:lang w:eastAsia="en-GB"/>
              </w:rPr>
              <w:t>integrated circuit (also known as a "chip") that integrates all or most components of a computer or other electronic system. These components almost always include a central processing unit (CPU), memory, input/output ports and secondary storage, often alongside other components such as radio modems and a GPU – all on a single substrate or microchip. The SoC determines the battery charging protocol used by electronic devices.</w:t>
            </w:r>
          </w:p>
          <w:p w14:paraId="209E24DC" w14:textId="77777777" w:rsidR="00084C36" w:rsidRPr="00167A1B" w:rsidRDefault="00084C36" w:rsidP="00FA3984">
            <w:pPr>
              <w:pStyle w:val="BodyText1"/>
              <w:jc w:val="left"/>
              <w:rPr>
                <w:noProof w:val="0"/>
                <w:sz w:val="20"/>
                <w:lang w:eastAsia="cs-CZ"/>
              </w:rPr>
            </w:pPr>
            <w:r w:rsidRPr="00167A1B">
              <w:rPr>
                <w:noProof w:val="0"/>
                <w:sz w:val="20"/>
                <w:lang w:eastAsia="cs-CZ"/>
              </w:rPr>
              <w:t xml:space="preserve">Manufacturers of SoC generally include USB PD along with other proprietary solutions. Under option 2, it would be mandatory for manufacturers of SoC to integrate USB PD. </w:t>
            </w:r>
          </w:p>
        </w:tc>
      </w:tr>
    </w:tbl>
    <w:p w14:paraId="7CE745CC" w14:textId="77777777" w:rsidR="00084C36" w:rsidRPr="00167A1B" w:rsidRDefault="00084C36" w:rsidP="00084C36"/>
    <w:p w14:paraId="3CCB7E0D" w14:textId="77777777" w:rsidR="00084C36" w:rsidRPr="00167A1B" w:rsidRDefault="00084C36" w:rsidP="00084C36">
      <w:pPr>
        <w:pStyle w:val="Subtitle20"/>
        <w:rPr>
          <w:noProof w:val="0"/>
        </w:rPr>
      </w:pPr>
      <w:r w:rsidRPr="00167A1B">
        <w:rPr>
          <w:rStyle w:val="03ASubheading2ndlevelTOCChar"/>
          <w:rFonts w:cs="Times New Roman"/>
          <w:noProof w:val="0"/>
          <w:lang w:eastAsia="en-US"/>
        </w:rPr>
        <w:t xml:space="preserve">Costs to public authorities </w:t>
      </w:r>
    </w:p>
    <w:p w14:paraId="65AF87FF" w14:textId="77777777" w:rsidR="00084C36" w:rsidRPr="00167A1B" w:rsidRDefault="00084C36" w:rsidP="00084C36">
      <w:pPr>
        <w:pStyle w:val="BodyText1"/>
        <w:rPr>
          <w:b/>
          <w:noProof w:val="0"/>
        </w:rPr>
      </w:pPr>
      <w:r w:rsidRPr="00167A1B">
        <w:rPr>
          <w:noProof w:val="0"/>
        </w:rPr>
        <w:t>Costs to public authorities may arise in two ways:</w:t>
      </w:r>
    </w:p>
    <w:p w14:paraId="1A012239" w14:textId="1B20EEE3" w:rsidR="00084C36" w:rsidRPr="00167A1B" w:rsidRDefault="00084C36" w:rsidP="00084C36">
      <w:pPr>
        <w:pStyle w:val="bullet1"/>
        <w:rPr>
          <w:rFonts w:cs="Arial"/>
          <w:bCs/>
          <w:noProof w:val="0"/>
          <w:color w:val="000000"/>
          <w:lang w:eastAsia="en-GB"/>
        </w:rPr>
      </w:pPr>
      <w:r w:rsidRPr="00167A1B">
        <w:rPr>
          <w:rFonts w:cs="Arial"/>
          <w:bCs/>
          <w:noProof w:val="0"/>
          <w:color w:val="000000"/>
          <w:lang w:eastAsia="en-GB"/>
        </w:rPr>
        <w:t>Cost of adapting standards (e.g. IEC 63002) to the requirements of the EU regulation (e.g. defining minimum requirements that firms need to comply with, based on the standard). This cost is expected to be low / negligible, as existing standards would be used for any policy option.</w:t>
      </w:r>
    </w:p>
    <w:p w14:paraId="388A9D5B" w14:textId="77777777" w:rsidR="00084C36" w:rsidRPr="00167A1B" w:rsidRDefault="00084C36" w:rsidP="00084C36">
      <w:pPr>
        <w:pStyle w:val="bullet1"/>
        <w:rPr>
          <w:rFonts w:cs="Arial"/>
          <w:bCs/>
          <w:noProof w:val="0"/>
          <w:color w:val="000000"/>
          <w:lang w:eastAsia="en-GB"/>
        </w:rPr>
      </w:pPr>
      <w:r w:rsidRPr="00167A1B">
        <w:rPr>
          <w:rFonts w:cs="Arial"/>
          <w:bCs/>
          <w:noProof w:val="0"/>
          <w:color w:val="000000"/>
          <w:lang w:eastAsia="en-GB"/>
        </w:rPr>
        <w:t xml:space="preserve">Increase in control costs for surveillance authorities to check an additional standard. Given that control and surveillance systems are already in place, the marginal cost for testing any additional requirement is expected to be very low or negligible. </w:t>
      </w:r>
    </w:p>
    <w:p w14:paraId="38C36BD3" w14:textId="77777777" w:rsidR="00084C36" w:rsidRPr="00167A1B" w:rsidRDefault="00084C36" w:rsidP="00084C36">
      <w:pPr>
        <w:pStyle w:val="BodyText1"/>
        <w:rPr>
          <w:noProof w:val="0"/>
        </w:rPr>
      </w:pPr>
      <w:r w:rsidRPr="00167A1B">
        <w:rPr>
          <w:noProof w:val="0"/>
        </w:rPr>
        <w:t xml:space="preserve">This impact, which </w:t>
      </w:r>
      <w:proofErr w:type="gramStart"/>
      <w:r w:rsidRPr="00167A1B">
        <w:rPr>
          <w:noProof w:val="0"/>
        </w:rPr>
        <w:t>is considered to be</w:t>
      </w:r>
      <w:proofErr w:type="gramEnd"/>
      <w:r w:rsidRPr="00167A1B">
        <w:rPr>
          <w:noProof w:val="0"/>
        </w:rPr>
        <w:t xml:space="preserve"> very minor, is assessed qualitatively. </w:t>
      </w:r>
    </w:p>
    <w:p w14:paraId="3C0C473C" w14:textId="189E036F" w:rsidR="00084C36" w:rsidRPr="00167A1B" w:rsidRDefault="00C331E9" w:rsidP="00084C36">
      <w:pPr>
        <w:pStyle w:val="Subtitle20"/>
        <w:rPr>
          <w:noProof w:val="0"/>
        </w:rPr>
      </w:pPr>
      <w:r w:rsidRPr="00167A1B">
        <w:rPr>
          <w:rStyle w:val="03ASubheading2ndlevelTOCChar"/>
          <w:noProof w:val="0"/>
        </w:rPr>
        <w:t>I</w:t>
      </w:r>
      <w:r w:rsidR="00084C36" w:rsidRPr="00167A1B">
        <w:rPr>
          <w:rStyle w:val="03ASubheading2ndlevelTOCChar"/>
          <w:noProof w:val="0"/>
        </w:rPr>
        <w:t>mpacts on SMEs</w:t>
      </w:r>
      <w:r w:rsidR="00E16DF1" w:rsidRPr="00167A1B">
        <w:rPr>
          <w:rStyle w:val="03ASubheading2ndlevelTOCChar"/>
          <w:noProof w:val="0"/>
        </w:rPr>
        <w:t xml:space="preserve"> in the EU</w:t>
      </w:r>
    </w:p>
    <w:p w14:paraId="010E9CDF" w14:textId="5CF671E0" w:rsidR="00663211" w:rsidRPr="00167A1B" w:rsidRDefault="00084C36" w:rsidP="00084C36">
      <w:pPr>
        <w:pStyle w:val="BodyText1"/>
        <w:rPr>
          <w:noProof w:val="0"/>
        </w:rPr>
      </w:pPr>
      <w:r w:rsidRPr="00167A1B">
        <w:rPr>
          <w:noProof w:val="0"/>
        </w:rPr>
        <w:t>Most of the companies in the supply chain of mobile phones and their chargers are located out of the EU. There are very few manufacturers of mobile phones headquartered in the EU (notably, HMD, and Fairphone</w:t>
      </w:r>
      <w:r w:rsidR="00663211" w:rsidRPr="00167A1B">
        <w:rPr>
          <w:noProof w:val="0"/>
        </w:rPr>
        <w:t>, as well as other small companies specialised on mobile phones for specific segments of the population, e.g. people working or living in hard environmental conditions, and old people</w:t>
      </w:r>
      <w:r w:rsidRPr="00167A1B">
        <w:rPr>
          <w:noProof w:val="0"/>
        </w:rPr>
        <w:t>), and their production lines are located overseas</w:t>
      </w:r>
      <w:r w:rsidR="00663211" w:rsidRPr="00167A1B">
        <w:rPr>
          <w:noProof w:val="0"/>
        </w:rPr>
        <w:t xml:space="preserve"> in most cases</w:t>
      </w:r>
      <w:r w:rsidRPr="00167A1B">
        <w:rPr>
          <w:noProof w:val="0"/>
        </w:rPr>
        <w:t xml:space="preserve">. </w:t>
      </w:r>
      <w:r w:rsidR="00B13042" w:rsidRPr="00167A1B">
        <w:rPr>
          <w:noProof w:val="0"/>
        </w:rPr>
        <w:t xml:space="preserve">The impacts for EU-based </w:t>
      </w:r>
      <w:r w:rsidR="00E16DF1" w:rsidRPr="00167A1B">
        <w:rPr>
          <w:noProof w:val="0"/>
        </w:rPr>
        <w:t>SMEs</w:t>
      </w:r>
      <w:r w:rsidR="00B13042" w:rsidRPr="00167A1B">
        <w:rPr>
          <w:noProof w:val="0"/>
        </w:rPr>
        <w:t xml:space="preserve"> are assessed qualitatively.</w:t>
      </w:r>
    </w:p>
    <w:p w14:paraId="6E10110C" w14:textId="051042B8" w:rsidR="00C331E9" w:rsidRPr="00167A1B" w:rsidRDefault="00C331E9" w:rsidP="008C1CDE">
      <w:pPr>
        <w:pStyle w:val="03ASubheading2ndlevelTOC"/>
      </w:pPr>
      <w:r w:rsidRPr="00167A1B">
        <w:t>Macroeconomic impacts</w:t>
      </w:r>
    </w:p>
    <w:p w14:paraId="3E158A82" w14:textId="2CB559D0" w:rsidR="00084C36" w:rsidRPr="00167A1B" w:rsidRDefault="00084C36" w:rsidP="00084C36">
      <w:pPr>
        <w:pStyle w:val="BodyText1"/>
        <w:rPr>
          <w:noProof w:val="0"/>
          <w:szCs w:val="22"/>
        </w:rPr>
      </w:pPr>
      <w:r w:rsidRPr="00167A1B">
        <w:rPr>
          <w:noProof w:val="0"/>
          <w:szCs w:val="22"/>
        </w:rPr>
        <w:t xml:space="preserve">The market of chargers is fragmented (i.e. formed by a larger number of companies), </w:t>
      </w:r>
      <w:proofErr w:type="gramStart"/>
      <w:r w:rsidRPr="00167A1B">
        <w:rPr>
          <w:noProof w:val="0"/>
          <w:szCs w:val="22"/>
        </w:rPr>
        <w:t>with  some</w:t>
      </w:r>
      <w:proofErr w:type="gramEnd"/>
      <w:r w:rsidRPr="00167A1B">
        <w:rPr>
          <w:noProof w:val="0"/>
          <w:szCs w:val="22"/>
        </w:rPr>
        <w:t xml:space="preserve"> companies manufacturing chargers in the EU. There are around 10,000 companies manufacturing “other electrical equipment” in the EU (NACE 2790)</w:t>
      </w:r>
      <w:r w:rsidRPr="00167A1B">
        <w:rPr>
          <w:rStyle w:val="FootnoteReference"/>
          <w:noProof w:val="0"/>
          <w:sz w:val="22"/>
          <w:szCs w:val="22"/>
        </w:rPr>
        <w:footnoteReference w:id="95"/>
      </w:r>
      <w:r w:rsidRPr="00167A1B">
        <w:rPr>
          <w:noProof w:val="0"/>
          <w:szCs w:val="22"/>
        </w:rPr>
        <w:t>, of which we estimate that around 1% (100 firms) manufacture power supply units for telecommunication apparatus.</w:t>
      </w:r>
      <w:r w:rsidR="00663211" w:rsidRPr="00167A1B">
        <w:rPr>
          <w:rStyle w:val="FootnoteReference"/>
          <w:noProof w:val="0"/>
          <w:sz w:val="22"/>
          <w:szCs w:val="22"/>
        </w:rPr>
        <w:footnoteReference w:id="96"/>
      </w:r>
      <w:r w:rsidRPr="00167A1B">
        <w:rPr>
          <w:noProof w:val="0"/>
          <w:szCs w:val="22"/>
        </w:rPr>
        <w:t xml:space="preserve"> Through our stock model, we estimate that their turnover in 2020 was 154 million EUR (including only turnover from sales of chargers).</w:t>
      </w:r>
      <w:r w:rsidRPr="00167A1B">
        <w:rPr>
          <w:rStyle w:val="FootnoteReference"/>
          <w:noProof w:val="0"/>
          <w:sz w:val="22"/>
          <w:szCs w:val="22"/>
        </w:rPr>
        <w:footnoteReference w:id="97"/>
      </w:r>
      <w:r w:rsidRPr="00167A1B">
        <w:rPr>
          <w:noProof w:val="0"/>
          <w:szCs w:val="22"/>
        </w:rPr>
        <w:t xml:space="preserve"> On average, between 2012 and 2018, there was one person employed in the EU in the manufacture of EPS per 186,177 Euros of turnover.</w:t>
      </w:r>
      <w:r w:rsidRPr="00167A1B">
        <w:rPr>
          <w:rStyle w:val="FootnoteReference"/>
          <w:noProof w:val="0"/>
          <w:sz w:val="22"/>
          <w:szCs w:val="22"/>
        </w:rPr>
        <w:footnoteReference w:id="98"/>
      </w:r>
      <w:r w:rsidRPr="00167A1B">
        <w:rPr>
          <w:noProof w:val="0"/>
          <w:szCs w:val="22"/>
        </w:rPr>
        <w:t xml:space="preserve"> In other words, there were around 1,900 people in the EU employed in the production of chargers. </w:t>
      </w:r>
    </w:p>
    <w:p w14:paraId="4A1C2836" w14:textId="169F1EB2" w:rsidR="00B93B3D" w:rsidRPr="00167A1B" w:rsidRDefault="00084C36" w:rsidP="00084C36">
      <w:pPr>
        <w:pStyle w:val="BodyText1"/>
        <w:rPr>
          <w:noProof w:val="0"/>
        </w:rPr>
      </w:pPr>
      <w:r w:rsidRPr="00167A1B">
        <w:rPr>
          <w:noProof w:val="0"/>
        </w:rPr>
        <w:t xml:space="preserve">Regulations that affect the overall number of sales of EPS and cables in the EU would affect the firms’ turnover and, therefore, may have wider macroeconomic implications on production and employment. </w:t>
      </w:r>
      <w:r w:rsidR="00B93B3D" w:rsidRPr="00167A1B">
        <w:rPr>
          <w:noProof w:val="0"/>
        </w:rPr>
        <w:t xml:space="preserve">However, given the small size of the market, our estimation is that the </w:t>
      </w:r>
      <w:r w:rsidR="00B93B3D" w:rsidRPr="00167A1B">
        <w:rPr>
          <w:noProof w:val="0"/>
        </w:rPr>
        <w:lastRenderedPageBreak/>
        <w:t>significance of the impact of the policy options on employment in the EU would be low in all policy options (between -100 and +200 jobs). Therefore, this impact is not assessed further.</w:t>
      </w:r>
    </w:p>
    <w:p w14:paraId="7A047D92" w14:textId="04793F49" w:rsidR="008F65B2" w:rsidRPr="00167A1B" w:rsidRDefault="008F65B2" w:rsidP="008F65B2">
      <w:pPr>
        <w:pStyle w:val="BodyText1"/>
        <w:rPr>
          <w:noProof w:val="0"/>
        </w:rPr>
      </w:pPr>
    </w:p>
    <w:p w14:paraId="3A7D856C" w14:textId="77777777" w:rsidR="008C1CDE" w:rsidRPr="00167A1B" w:rsidRDefault="008C1CDE" w:rsidP="008F65B2">
      <w:pPr>
        <w:pStyle w:val="BodyText1"/>
        <w:rPr>
          <w:noProof w:val="0"/>
        </w:rPr>
      </w:pPr>
    </w:p>
    <w:p w14:paraId="6D248DEC" w14:textId="54113BB1" w:rsidR="00D30D44" w:rsidRPr="00167A1B" w:rsidRDefault="00D30D44" w:rsidP="009C1705">
      <w:pPr>
        <w:pStyle w:val="Title2"/>
        <w:jc w:val="left"/>
        <w:outlineLvl w:val="1"/>
      </w:pPr>
      <w:bookmarkStart w:id="40" w:name="_Toc74319754"/>
      <w:r w:rsidRPr="00167A1B">
        <w:t>Social impacts</w:t>
      </w:r>
      <w:bookmarkEnd w:id="40"/>
    </w:p>
    <w:p w14:paraId="22DD92A3" w14:textId="77777777" w:rsidR="0047600E" w:rsidRPr="00167A1B" w:rsidRDefault="0047600E" w:rsidP="0047600E">
      <w:pPr>
        <w:pStyle w:val="BodyText1"/>
        <w:rPr>
          <w:noProof w:val="0"/>
        </w:rPr>
      </w:pPr>
      <w:r w:rsidRPr="00167A1B">
        <w:rPr>
          <w:noProof w:val="0"/>
        </w:rPr>
        <w:t xml:space="preserve">Based on the screening undertaken as part of the first IA study, the main social impacts of the initiative are likely to be two-fold: </w:t>
      </w:r>
    </w:p>
    <w:p w14:paraId="294F400C" w14:textId="77777777" w:rsidR="0047600E" w:rsidRPr="00167A1B" w:rsidRDefault="0047600E" w:rsidP="00827359">
      <w:pPr>
        <w:pStyle w:val="BodyText1"/>
        <w:numPr>
          <w:ilvl w:val="0"/>
          <w:numId w:val="34"/>
        </w:numPr>
        <w:rPr>
          <w:noProof w:val="0"/>
        </w:rPr>
      </w:pPr>
      <w:r w:rsidRPr="00167A1B">
        <w:rPr>
          <w:noProof w:val="0"/>
        </w:rPr>
        <w:t>Impacts on consumer convenience from increased harmonisation and/or unbundling of charging solutions</w:t>
      </w:r>
      <w:r w:rsidRPr="00167A1B">
        <w:rPr>
          <w:rStyle w:val="FootnoteReference"/>
          <w:noProof w:val="0"/>
        </w:rPr>
        <w:footnoteReference w:id="99"/>
      </w:r>
    </w:p>
    <w:p w14:paraId="6058D51D" w14:textId="77777777" w:rsidR="0047600E" w:rsidRPr="00167A1B" w:rsidRDefault="0047600E" w:rsidP="00827359">
      <w:pPr>
        <w:pStyle w:val="BodyText1"/>
        <w:numPr>
          <w:ilvl w:val="0"/>
          <w:numId w:val="34"/>
        </w:numPr>
        <w:rPr>
          <w:noProof w:val="0"/>
        </w:rPr>
      </w:pPr>
      <w:r w:rsidRPr="00167A1B">
        <w:rPr>
          <w:noProof w:val="0"/>
        </w:rPr>
        <w:t>Impacts on product safety, in terms of the risk of injury or damage to consumers, from sub-standard and/or counterfeit chargers</w:t>
      </w:r>
    </w:p>
    <w:p w14:paraId="4AF4A1AF" w14:textId="4009CE5B" w:rsidR="0047600E" w:rsidRPr="00167A1B" w:rsidRDefault="0047600E" w:rsidP="0047600E">
      <w:pPr>
        <w:pStyle w:val="BodyText1"/>
        <w:rPr>
          <w:noProof w:val="0"/>
        </w:rPr>
      </w:pPr>
      <w:r w:rsidRPr="00167A1B">
        <w:rPr>
          <w:noProof w:val="0"/>
        </w:rPr>
        <w:t xml:space="preserve">Due to the nature and limitations of the available data, </w:t>
      </w:r>
      <w:proofErr w:type="gramStart"/>
      <w:r w:rsidRPr="00167A1B">
        <w:rPr>
          <w:noProof w:val="0"/>
        </w:rPr>
        <w:t>both of these</w:t>
      </w:r>
      <w:proofErr w:type="gramEnd"/>
      <w:r w:rsidRPr="00167A1B">
        <w:rPr>
          <w:noProof w:val="0"/>
        </w:rPr>
        <w:t xml:space="preserve"> types of impacts can only be analysed qualitatively.</w:t>
      </w:r>
      <w:r w:rsidR="009E42F1" w:rsidRPr="00167A1B">
        <w:rPr>
          <w:noProof w:val="0"/>
        </w:rPr>
        <w:t xml:space="preserve"> Below we briefly describe the approach to the assessment of the social impacts. The assessment itself is presented in the following chapter (section 5.3).</w:t>
      </w:r>
    </w:p>
    <w:p w14:paraId="11DA93B8" w14:textId="3B855692" w:rsidR="0047600E" w:rsidRPr="00167A1B" w:rsidRDefault="0047600E" w:rsidP="008F65B2">
      <w:pPr>
        <w:pStyle w:val="BodyText1"/>
        <w:rPr>
          <w:noProof w:val="0"/>
        </w:rPr>
      </w:pPr>
    </w:p>
    <w:p w14:paraId="3CE36272" w14:textId="77777777" w:rsidR="0047600E" w:rsidRPr="00167A1B" w:rsidRDefault="0047600E" w:rsidP="0047600E">
      <w:pPr>
        <w:pStyle w:val="title3"/>
      </w:pPr>
      <w:r w:rsidRPr="00167A1B">
        <w:t>Consumer convenience</w:t>
      </w:r>
    </w:p>
    <w:p w14:paraId="7A4493F7" w14:textId="77777777" w:rsidR="0047600E" w:rsidRPr="00167A1B" w:rsidRDefault="0047600E" w:rsidP="0047600E">
      <w:pPr>
        <w:pStyle w:val="BodyText1"/>
        <w:rPr>
          <w:noProof w:val="0"/>
        </w:rPr>
      </w:pPr>
      <w:r w:rsidRPr="00167A1B">
        <w:rPr>
          <w:noProof w:val="0"/>
        </w:rPr>
        <w:t>These impacts will be assessed based primarily on the responses to the surveys with representative samples of consumers carried out as part of the previous study as well as this study, which provide relevant insights into the nature and scale of the problems, as well as pointers to how consumers are likely to react to, or be affected by, the different policy options.</w:t>
      </w:r>
    </w:p>
    <w:p w14:paraId="33ED61CB" w14:textId="77777777" w:rsidR="0047600E" w:rsidRPr="00167A1B" w:rsidRDefault="0047600E" w:rsidP="0047600E">
      <w:pPr>
        <w:pStyle w:val="BodyText1"/>
        <w:rPr>
          <w:noProof w:val="0"/>
        </w:rPr>
      </w:pPr>
      <w:r w:rsidRPr="00167A1B">
        <w:rPr>
          <w:noProof w:val="0"/>
        </w:rPr>
        <w:t xml:space="preserve">There are </w:t>
      </w:r>
      <w:proofErr w:type="gramStart"/>
      <w:r w:rsidRPr="00167A1B">
        <w:rPr>
          <w:noProof w:val="0"/>
        </w:rPr>
        <w:t>a number of</w:t>
      </w:r>
      <w:proofErr w:type="gramEnd"/>
      <w:r w:rsidRPr="00167A1B">
        <w:rPr>
          <w:noProof w:val="0"/>
        </w:rPr>
        <w:t xml:space="preserve"> different dimensions to this issue, which were tested as part of the consumer panel survey undertaken as part of the first IA study report. This showed that the main sources of inconvenience caused by the current situation are: (1) the inability to charge certain devices (as fast) with certain chargers, (2) too many chargers, (3) no access to a compatible charger, and (4) confusion about which charger works with what (see the first IA study report, sections 3.5 and 5.2). </w:t>
      </w:r>
    </w:p>
    <w:p w14:paraId="34CD745A" w14:textId="7EBBD604" w:rsidR="0047600E" w:rsidRPr="00167A1B" w:rsidRDefault="0047600E" w:rsidP="0047600E">
      <w:pPr>
        <w:pStyle w:val="BodyText1"/>
        <w:rPr>
          <w:noProof w:val="0"/>
        </w:rPr>
      </w:pPr>
      <w:r w:rsidRPr="00167A1B">
        <w:rPr>
          <w:noProof w:val="0"/>
        </w:rPr>
        <w:t>In addition, the consumer panel survey undertaken as part of the present study tested specifically respondents’ attitudes to issues related to unbundling, including their preferences for bundled or unbundled solutions in different circumstances.</w:t>
      </w:r>
    </w:p>
    <w:p w14:paraId="070E424E" w14:textId="77777777" w:rsidR="00FA3984" w:rsidRPr="00167A1B" w:rsidRDefault="00FA3984" w:rsidP="0047600E">
      <w:pPr>
        <w:pStyle w:val="BodyText1"/>
        <w:rPr>
          <w:noProof w:val="0"/>
        </w:rPr>
      </w:pPr>
    </w:p>
    <w:p w14:paraId="48F55EBC" w14:textId="77777777" w:rsidR="0047600E" w:rsidRPr="00167A1B" w:rsidRDefault="0047600E" w:rsidP="0047600E">
      <w:pPr>
        <w:pStyle w:val="title3"/>
      </w:pPr>
      <w:r w:rsidRPr="00167A1B">
        <w:t>Product safety and illicit markets</w:t>
      </w:r>
    </w:p>
    <w:p w14:paraId="08403B6D" w14:textId="77777777" w:rsidR="0047600E" w:rsidRPr="00167A1B" w:rsidRDefault="0047600E" w:rsidP="0047600E">
      <w:pPr>
        <w:pStyle w:val="BodyText1"/>
        <w:rPr>
          <w:noProof w:val="0"/>
        </w:rPr>
      </w:pPr>
      <w:r w:rsidRPr="00167A1B">
        <w:rPr>
          <w:noProof w:val="0"/>
        </w:rPr>
        <w:t>As described in more detail in the first IA study report (sections 3.8 and 3.9), there appears to be a substantial market for substandard and/or counterfeit chargers, which raises concerns in terms of product safety for users, as substandard chargers imply higher electric shock, electrocution and fire risks. If the chargers are counterfeit, this also implies direct and/or indirect economic losses to the holders of the intellectual property rights (usually the large mobile phone manufacturers themselves). These issues are almost always associated with stand-alone chargers (which are very difficult to control effectively, especially if sold online).</w:t>
      </w:r>
    </w:p>
    <w:p w14:paraId="3AA9E96C" w14:textId="7C745905" w:rsidR="008F65B2" w:rsidRPr="00167A1B" w:rsidRDefault="0047600E" w:rsidP="0047600E">
      <w:pPr>
        <w:pStyle w:val="BodyText1"/>
        <w:rPr>
          <w:noProof w:val="0"/>
        </w:rPr>
      </w:pPr>
      <w:r w:rsidRPr="00167A1B">
        <w:rPr>
          <w:noProof w:val="0"/>
        </w:rPr>
        <w:t>It therefore needs to be considered carefully if and how the initiative would affect the market for stand-alone chargers, since an increase in demand could potentially exacerbate the risks. Since the exact scale of the problem is impossible to ascertain (product safety risk alerts in databases such as RAPEX or ICSMS only represent the “tip of the iceberg”, and reliable data on the market for counterfeit chargers does not exist)</w:t>
      </w:r>
      <w:r w:rsidR="00B10E6B" w:rsidRPr="00167A1B">
        <w:rPr>
          <w:noProof w:val="0"/>
        </w:rPr>
        <w:t xml:space="preserve">. As part of this study (see section 5.3), </w:t>
      </w:r>
      <w:r w:rsidR="00B10E6B" w:rsidRPr="00167A1B">
        <w:rPr>
          <w:noProof w:val="0"/>
        </w:rPr>
        <w:lastRenderedPageBreak/>
        <w:t>we do try to provide an approximation of the size of the counterfeit</w:t>
      </w:r>
      <w:r w:rsidRPr="00167A1B">
        <w:rPr>
          <w:noProof w:val="0"/>
        </w:rPr>
        <w:t xml:space="preserve"> </w:t>
      </w:r>
      <w:r w:rsidR="00B10E6B" w:rsidRPr="00167A1B">
        <w:rPr>
          <w:noProof w:val="0"/>
        </w:rPr>
        <w:t xml:space="preserve">market, and the frequency of product safety issues, based on the responses to our consumer survey. However, beyond this, </w:t>
      </w:r>
      <w:r w:rsidRPr="00167A1B">
        <w:rPr>
          <w:noProof w:val="0"/>
        </w:rPr>
        <w:t xml:space="preserve">the assessment </w:t>
      </w:r>
      <w:r w:rsidR="00B10E6B" w:rsidRPr="00167A1B">
        <w:rPr>
          <w:noProof w:val="0"/>
        </w:rPr>
        <w:t xml:space="preserve">of the </w:t>
      </w:r>
      <w:r w:rsidRPr="00167A1B">
        <w:rPr>
          <w:noProof w:val="0"/>
        </w:rPr>
        <w:t xml:space="preserve">impacts </w:t>
      </w:r>
      <w:r w:rsidR="00B10E6B" w:rsidRPr="00167A1B">
        <w:rPr>
          <w:noProof w:val="0"/>
        </w:rPr>
        <w:t xml:space="preserve">of the policy options on product safety and illicit markets </w:t>
      </w:r>
      <w:r w:rsidRPr="00167A1B">
        <w:rPr>
          <w:noProof w:val="0"/>
        </w:rPr>
        <w:t xml:space="preserve">can only be qualitative, based on a reasoned examination of the likely effects of any changes in the size and/or characteristics of the stand-alone charger market (for </w:t>
      </w:r>
      <w:r w:rsidR="00B10E6B" w:rsidRPr="00167A1B">
        <w:rPr>
          <w:noProof w:val="0"/>
        </w:rPr>
        <w:t xml:space="preserve">further </w:t>
      </w:r>
      <w:r w:rsidRPr="00167A1B">
        <w:rPr>
          <w:noProof w:val="0"/>
        </w:rPr>
        <w:t>details see section 5.2 of the first IA study report).</w:t>
      </w:r>
    </w:p>
    <w:p w14:paraId="5CFAE596" w14:textId="3D3D7A13" w:rsidR="008F65B2" w:rsidRPr="00167A1B" w:rsidRDefault="008F65B2">
      <w:pPr>
        <w:spacing w:after="0"/>
        <w:jc w:val="left"/>
        <w:rPr>
          <w:rFonts w:ascii="Arial" w:hAnsi="Arial" w:cs="Arial"/>
          <w:color w:val="000000" w:themeColor="text1"/>
          <w:sz w:val="22"/>
          <w:lang w:eastAsia="en-GB"/>
        </w:rPr>
      </w:pPr>
      <w:r w:rsidRPr="00167A1B">
        <w:br w:type="page"/>
      </w:r>
    </w:p>
    <w:p w14:paraId="2E659956" w14:textId="572BFBF9" w:rsidR="00D30D44" w:rsidRPr="00167A1B" w:rsidRDefault="00D30D44" w:rsidP="00630BCE">
      <w:pPr>
        <w:pStyle w:val="Title1"/>
        <w:outlineLvl w:val="0"/>
      </w:pPr>
      <w:bookmarkStart w:id="41" w:name="_Toc74319755"/>
      <w:r w:rsidRPr="00167A1B">
        <w:lastRenderedPageBreak/>
        <w:t>Impact assessment for mobile phones</w:t>
      </w:r>
      <w:bookmarkEnd w:id="41"/>
      <w:r w:rsidRPr="00167A1B">
        <w:t xml:space="preserve"> </w:t>
      </w:r>
    </w:p>
    <w:p w14:paraId="0AB842CD" w14:textId="769F4E17" w:rsidR="00D30D44" w:rsidRPr="00167A1B" w:rsidRDefault="00D30D44" w:rsidP="009C1705">
      <w:pPr>
        <w:pStyle w:val="Title2"/>
        <w:outlineLvl w:val="1"/>
      </w:pPr>
      <w:bookmarkStart w:id="42" w:name="_Toc74319756"/>
      <w:r w:rsidRPr="00167A1B">
        <w:t>Environmental impacts</w:t>
      </w:r>
      <w:bookmarkEnd w:id="42"/>
      <w:r w:rsidRPr="00167A1B">
        <w:t xml:space="preserve"> </w:t>
      </w:r>
    </w:p>
    <w:p w14:paraId="237646D8" w14:textId="77777777" w:rsidR="006B36E6" w:rsidRPr="00167A1B" w:rsidRDefault="006B36E6" w:rsidP="006B36E6">
      <w:pPr>
        <w:pStyle w:val="BodyText1"/>
        <w:rPr>
          <w:noProof w:val="0"/>
        </w:rPr>
      </w:pPr>
      <w:r w:rsidRPr="00167A1B">
        <w:rPr>
          <w:noProof w:val="0"/>
        </w:rPr>
        <w:t>The key environmental impacts were introduced in section 4.1 of this report, which set out impacts to be assessed, namely raw material use, e-waste and GHG emissions. The stock model has been used to model the impacts of the baseline and each policy option for each of these environmental impact categories. In addition to the description of policy options presented in chapter 3, a detailed elaboration of the modelling assumptions for each policy option is provided in Annex G.</w:t>
      </w:r>
    </w:p>
    <w:p w14:paraId="0B888664" w14:textId="77777777" w:rsidR="006B36E6" w:rsidRPr="00167A1B" w:rsidRDefault="006B36E6" w:rsidP="006B36E6">
      <w:pPr>
        <w:pStyle w:val="Subtitle10"/>
        <w:rPr>
          <w:noProof w:val="0"/>
        </w:rPr>
      </w:pPr>
      <w:r w:rsidRPr="00167A1B">
        <w:rPr>
          <w:noProof w:val="0"/>
        </w:rPr>
        <w:t>Summary of impacts</w:t>
      </w:r>
    </w:p>
    <w:p w14:paraId="0F986D78" w14:textId="77777777" w:rsidR="006B36E6" w:rsidRPr="00167A1B" w:rsidRDefault="006B36E6" w:rsidP="006B36E6">
      <w:pPr>
        <w:pStyle w:val="BodyText1"/>
        <w:rPr>
          <w:noProof w:val="0"/>
        </w:rPr>
      </w:pPr>
      <w:r w:rsidRPr="00167A1B">
        <w:rPr>
          <w:noProof w:val="0"/>
        </w:rPr>
        <w:t>The following table summarises the environmental impacts of the options with a comparison to the baseline. The calculation of each of the environmental impacts is based on the approach presented in Chapter 4.</w:t>
      </w:r>
    </w:p>
    <w:p w14:paraId="65AC3E7A" w14:textId="3C281CB5" w:rsidR="006B36E6" w:rsidRPr="00167A1B" w:rsidRDefault="006B36E6" w:rsidP="006B36E6">
      <w:pPr>
        <w:pStyle w:val="Caption"/>
      </w:pPr>
      <w:r w:rsidRPr="00167A1B">
        <w:t xml:space="preserve">Table </w:t>
      </w:r>
      <w:r w:rsidRPr="00167A1B">
        <w:fldChar w:fldCharType="begin"/>
      </w:r>
      <w:r w:rsidRPr="00167A1B">
        <w:instrText xml:space="preserve"> SEQ Table \* ARABIC \s 1 </w:instrText>
      </w:r>
      <w:r w:rsidRPr="00167A1B">
        <w:fldChar w:fldCharType="separate"/>
      </w:r>
      <w:r w:rsidR="00953106" w:rsidRPr="00167A1B">
        <w:t>11</w:t>
      </w:r>
      <w:r w:rsidRPr="00167A1B">
        <w:fldChar w:fldCharType="end"/>
      </w:r>
      <w:r w:rsidRPr="00167A1B">
        <w:t xml:space="preserve"> Summary of environmental impacts</w:t>
      </w:r>
    </w:p>
    <w:tbl>
      <w:tblPr>
        <w:tblStyle w:val="TableGrid"/>
        <w:tblW w:w="5000" w:type="pct"/>
        <w:tblLayout w:type="fixed"/>
        <w:tblCellMar>
          <w:left w:w="57" w:type="dxa"/>
          <w:right w:w="57" w:type="dxa"/>
        </w:tblCellMar>
        <w:tblLook w:val="04A0" w:firstRow="1" w:lastRow="0" w:firstColumn="1" w:lastColumn="0" w:noHBand="0" w:noVBand="1"/>
      </w:tblPr>
      <w:tblGrid>
        <w:gridCol w:w="1271"/>
        <w:gridCol w:w="1415"/>
        <w:gridCol w:w="815"/>
        <w:gridCol w:w="926"/>
        <w:gridCol w:w="928"/>
        <w:gridCol w:w="928"/>
        <w:gridCol w:w="926"/>
        <w:gridCol w:w="928"/>
        <w:gridCol w:w="924"/>
      </w:tblGrid>
      <w:tr w:rsidR="006B36E6" w:rsidRPr="00167A1B" w14:paraId="27B96F6F" w14:textId="77777777" w:rsidTr="00BC7958">
        <w:trPr>
          <w:cnfStyle w:val="100000000000" w:firstRow="1" w:lastRow="0" w:firstColumn="0" w:lastColumn="0" w:oddVBand="0" w:evenVBand="0" w:oddHBand="0" w:evenHBand="0" w:firstRowFirstColumn="0" w:firstRowLastColumn="0" w:lastRowFirstColumn="0" w:lastRowLastColumn="0"/>
          <w:trHeight w:val="285"/>
        </w:trPr>
        <w:tc>
          <w:tcPr>
            <w:tcW w:w="701" w:type="pct"/>
            <w:noWrap/>
            <w:hideMark/>
          </w:tcPr>
          <w:p w14:paraId="1BE5BCC4" w14:textId="77777777" w:rsidR="006B36E6" w:rsidRPr="00167A1B" w:rsidRDefault="006B36E6" w:rsidP="009D260B">
            <w:pPr>
              <w:spacing w:after="0"/>
              <w:jc w:val="left"/>
              <w:rPr>
                <w:sz w:val="20"/>
                <w:szCs w:val="24"/>
              </w:rPr>
            </w:pPr>
          </w:p>
        </w:tc>
        <w:tc>
          <w:tcPr>
            <w:tcW w:w="781" w:type="pct"/>
            <w:noWrap/>
            <w:hideMark/>
          </w:tcPr>
          <w:p w14:paraId="57877B00" w14:textId="77777777" w:rsidR="006B36E6" w:rsidRPr="00167A1B" w:rsidRDefault="006B36E6" w:rsidP="009D260B">
            <w:pPr>
              <w:spacing w:after="0"/>
              <w:jc w:val="left"/>
              <w:rPr>
                <w:sz w:val="20"/>
              </w:rPr>
            </w:pPr>
          </w:p>
        </w:tc>
        <w:tc>
          <w:tcPr>
            <w:tcW w:w="450" w:type="pct"/>
            <w:hideMark/>
          </w:tcPr>
          <w:p w14:paraId="03869A00"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Baseline</w:t>
            </w:r>
          </w:p>
        </w:tc>
        <w:tc>
          <w:tcPr>
            <w:tcW w:w="511" w:type="pct"/>
            <w:hideMark/>
          </w:tcPr>
          <w:p w14:paraId="5DCEB429"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PO1</w:t>
            </w:r>
          </w:p>
        </w:tc>
        <w:tc>
          <w:tcPr>
            <w:tcW w:w="512" w:type="pct"/>
            <w:hideMark/>
          </w:tcPr>
          <w:p w14:paraId="5DE271A5"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PO2</w:t>
            </w:r>
          </w:p>
        </w:tc>
        <w:tc>
          <w:tcPr>
            <w:tcW w:w="512" w:type="pct"/>
            <w:hideMark/>
          </w:tcPr>
          <w:p w14:paraId="532E9E3B"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PO3</w:t>
            </w:r>
          </w:p>
        </w:tc>
        <w:tc>
          <w:tcPr>
            <w:tcW w:w="511" w:type="pct"/>
            <w:hideMark/>
          </w:tcPr>
          <w:p w14:paraId="3E792EBA"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PO4.a</w:t>
            </w:r>
          </w:p>
        </w:tc>
        <w:tc>
          <w:tcPr>
            <w:tcW w:w="512" w:type="pct"/>
            <w:hideMark/>
          </w:tcPr>
          <w:p w14:paraId="4A02619F"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PO4.b</w:t>
            </w:r>
          </w:p>
        </w:tc>
        <w:tc>
          <w:tcPr>
            <w:tcW w:w="510" w:type="pct"/>
            <w:hideMark/>
          </w:tcPr>
          <w:p w14:paraId="5867F89C"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PO5</w:t>
            </w:r>
          </w:p>
        </w:tc>
      </w:tr>
      <w:tr w:rsidR="006B36E6" w:rsidRPr="00167A1B" w14:paraId="2BB983B8" w14:textId="77777777" w:rsidTr="00BC7958">
        <w:trPr>
          <w:trHeight w:val="915"/>
        </w:trPr>
        <w:tc>
          <w:tcPr>
            <w:tcW w:w="701" w:type="pct"/>
            <w:tcBorders>
              <w:bottom w:val="single" w:sz="4" w:space="0" w:color="438EF1" w:themeColor="text2" w:themeTint="99"/>
            </w:tcBorders>
            <w:noWrap/>
            <w:hideMark/>
          </w:tcPr>
          <w:p w14:paraId="0FF4CB58" w14:textId="77777777" w:rsidR="006B36E6" w:rsidRPr="00167A1B" w:rsidRDefault="006B36E6" w:rsidP="009D260B">
            <w:pPr>
              <w:spacing w:after="0"/>
              <w:jc w:val="left"/>
              <w:rPr>
                <w:rFonts w:ascii="Trebuchet MS" w:hAnsi="Trebuchet MS"/>
                <w:b/>
                <w:sz w:val="16"/>
                <w:szCs w:val="16"/>
              </w:rPr>
            </w:pPr>
          </w:p>
        </w:tc>
        <w:tc>
          <w:tcPr>
            <w:tcW w:w="781" w:type="pct"/>
            <w:tcBorders>
              <w:bottom w:val="single" w:sz="4" w:space="0" w:color="438EF1" w:themeColor="text2" w:themeTint="99"/>
            </w:tcBorders>
            <w:noWrap/>
            <w:hideMark/>
          </w:tcPr>
          <w:p w14:paraId="3D29B687" w14:textId="77777777" w:rsidR="006B36E6" w:rsidRPr="00167A1B" w:rsidRDefault="006B36E6" w:rsidP="009D260B">
            <w:pPr>
              <w:spacing w:after="0"/>
              <w:jc w:val="left"/>
              <w:rPr>
                <w:sz w:val="20"/>
              </w:rPr>
            </w:pPr>
          </w:p>
        </w:tc>
        <w:tc>
          <w:tcPr>
            <w:tcW w:w="450" w:type="pct"/>
            <w:tcBorders>
              <w:bottom w:val="single" w:sz="4" w:space="0" w:color="438EF1" w:themeColor="text2" w:themeTint="99"/>
            </w:tcBorders>
            <w:hideMark/>
          </w:tcPr>
          <w:p w14:paraId="044C1E6E"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 </w:t>
            </w:r>
          </w:p>
        </w:tc>
        <w:tc>
          <w:tcPr>
            <w:tcW w:w="511" w:type="pct"/>
            <w:tcBorders>
              <w:bottom w:val="single" w:sz="4" w:space="0" w:color="438EF1" w:themeColor="text2" w:themeTint="99"/>
            </w:tcBorders>
            <w:hideMark/>
          </w:tcPr>
          <w:p w14:paraId="77381D14" w14:textId="77777777" w:rsidR="006B36E6" w:rsidRPr="00167A1B" w:rsidRDefault="006B36E6" w:rsidP="009D260B">
            <w:pPr>
              <w:spacing w:after="0"/>
              <w:jc w:val="left"/>
              <w:rPr>
                <w:rFonts w:ascii="Trebuchet MS" w:hAnsi="Trebuchet MS"/>
                <w:b/>
                <w:sz w:val="14"/>
                <w:szCs w:val="14"/>
              </w:rPr>
            </w:pPr>
            <w:r w:rsidRPr="00167A1B">
              <w:rPr>
                <w:rFonts w:ascii="Trebuchet MS" w:hAnsi="Trebuchet MS"/>
                <w:b/>
                <w:sz w:val="14"/>
                <w:szCs w:val="14"/>
              </w:rPr>
              <w:t>Harmonise device-end connectors</w:t>
            </w:r>
          </w:p>
        </w:tc>
        <w:tc>
          <w:tcPr>
            <w:tcW w:w="512" w:type="pct"/>
            <w:tcBorders>
              <w:bottom w:val="single" w:sz="4" w:space="0" w:color="438EF1" w:themeColor="text2" w:themeTint="99"/>
            </w:tcBorders>
            <w:hideMark/>
          </w:tcPr>
          <w:p w14:paraId="3EC06E2B" w14:textId="77777777" w:rsidR="006B36E6" w:rsidRPr="00167A1B" w:rsidRDefault="006B36E6" w:rsidP="009D260B">
            <w:pPr>
              <w:spacing w:after="0"/>
              <w:jc w:val="left"/>
              <w:rPr>
                <w:rFonts w:ascii="Trebuchet MS" w:hAnsi="Trebuchet MS"/>
                <w:b/>
                <w:sz w:val="14"/>
                <w:szCs w:val="14"/>
              </w:rPr>
            </w:pPr>
            <w:r w:rsidRPr="00167A1B">
              <w:rPr>
                <w:rFonts w:ascii="Trebuchet MS" w:hAnsi="Trebuchet MS"/>
                <w:b/>
                <w:sz w:val="14"/>
                <w:szCs w:val="14"/>
              </w:rPr>
              <w:t>Require mobile phones to be compatible with USB PD</w:t>
            </w:r>
          </w:p>
        </w:tc>
        <w:tc>
          <w:tcPr>
            <w:tcW w:w="512" w:type="pct"/>
            <w:tcBorders>
              <w:bottom w:val="single" w:sz="4" w:space="0" w:color="438EF1" w:themeColor="text2" w:themeTint="99"/>
            </w:tcBorders>
            <w:hideMark/>
          </w:tcPr>
          <w:p w14:paraId="774F42A8" w14:textId="77777777" w:rsidR="006B36E6" w:rsidRPr="00167A1B" w:rsidRDefault="006B36E6" w:rsidP="009D260B">
            <w:pPr>
              <w:spacing w:after="0"/>
              <w:jc w:val="left"/>
              <w:rPr>
                <w:rFonts w:ascii="Trebuchet MS" w:hAnsi="Trebuchet MS"/>
                <w:b/>
                <w:sz w:val="14"/>
                <w:szCs w:val="14"/>
              </w:rPr>
            </w:pPr>
            <w:r w:rsidRPr="00167A1B">
              <w:rPr>
                <w:rFonts w:ascii="Trebuchet MS" w:hAnsi="Trebuchet MS"/>
                <w:b/>
                <w:sz w:val="14"/>
                <w:szCs w:val="14"/>
              </w:rPr>
              <w:t>"Common" EPS for mobile phones</w:t>
            </w:r>
          </w:p>
        </w:tc>
        <w:tc>
          <w:tcPr>
            <w:tcW w:w="511" w:type="pct"/>
            <w:tcBorders>
              <w:bottom w:val="single" w:sz="4" w:space="0" w:color="438EF1" w:themeColor="text2" w:themeTint="99"/>
            </w:tcBorders>
            <w:hideMark/>
          </w:tcPr>
          <w:p w14:paraId="36BD1B79" w14:textId="77777777" w:rsidR="006B36E6" w:rsidRPr="00167A1B" w:rsidRDefault="006B36E6" w:rsidP="009D260B">
            <w:pPr>
              <w:spacing w:after="0"/>
              <w:jc w:val="left"/>
              <w:rPr>
                <w:rFonts w:ascii="Trebuchet MS" w:hAnsi="Trebuchet MS"/>
                <w:b/>
                <w:sz w:val="14"/>
                <w:szCs w:val="14"/>
              </w:rPr>
            </w:pPr>
            <w:r w:rsidRPr="00167A1B">
              <w:rPr>
                <w:rFonts w:ascii="Trebuchet MS" w:hAnsi="Trebuchet MS"/>
                <w:b/>
                <w:sz w:val="14"/>
                <w:szCs w:val="14"/>
              </w:rPr>
              <w:t>Mandatory unbundling of EPS</w:t>
            </w:r>
          </w:p>
        </w:tc>
        <w:tc>
          <w:tcPr>
            <w:tcW w:w="512" w:type="pct"/>
            <w:tcBorders>
              <w:bottom w:val="single" w:sz="4" w:space="0" w:color="438EF1" w:themeColor="text2" w:themeTint="99"/>
            </w:tcBorders>
            <w:hideMark/>
          </w:tcPr>
          <w:p w14:paraId="0FD3AEED" w14:textId="77777777" w:rsidR="006B36E6" w:rsidRPr="00167A1B" w:rsidRDefault="006B36E6" w:rsidP="009D260B">
            <w:pPr>
              <w:spacing w:after="0"/>
              <w:jc w:val="left"/>
              <w:rPr>
                <w:rFonts w:ascii="Trebuchet MS" w:hAnsi="Trebuchet MS"/>
                <w:b/>
                <w:sz w:val="14"/>
                <w:szCs w:val="14"/>
              </w:rPr>
            </w:pPr>
            <w:r w:rsidRPr="00167A1B">
              <w:rPr>
                <w:rFonts w:ascii="Trebuchet MS" w:hAnsi="Trebuchet MS"/>
                <w:b/>
                <w:sz w:val="14"/>
                <w:szCs w:val="14"/>
              </w:rPr>
              <w:t>Mandatory unbundling of EPS and Cable</w:t>
            </w:r>
          </w:p>
        </w:tc>
        <w:tc>
          <w:tcPr>
            <w:tcW w:w="510" w:type="pct"/>
            <w:tcBorders>
              <w:bottom w:val="single" w:sz="4" w:space="0" w:color="438EF1" w:themeColor="text2" w:themeTint="99"/>
            </w:tcBorders>
            <w:hideMark/>
          </w:tcPr>
          <w:p w14:paraId="46EA75E4" w14:textId="77777777" w:rsidR="006B36E6" w:rsidRPr="00167A1B" w:rsidRDefault="006B36E6" w:rsidP="009D260B">
            <w:pPr>
              <w:spacing w:after="0"/>
              <w:jc w:val="left"/>
              <w:rPr>
                <w:rFonts w:ascii="Trebuchet MS" w:hAnsi="Trebuchet MS"/>
                <w:b/>
                <w:sz w:val="14"/>
                <w:szCs w:val="14"/>
              </w:rPr>
            </w:pPr>
            <w:r w:rsidRPr="00167A1B">
              <w:rPr>
                <w:rFonts w:ascii="Trebuchet MS" w:hAnsi="Trebuchet MS"/>
                <w:b/>
                <w:sz w:val="14"/>
                <w:szCs w:val="14"/>
              </w:rPr>
              <w:t>Interoperability labelling / information scheme</w:t>
            </w:r>
          </w:p>
        </w:tc>
      </w:tr>
      <w:tr w:rsidR="006B36E6" w:rsidRPr="00167A1B" w14:paraId="42ED3095" w14:textId="77777777" w:rsidTr="00BC7958">
        <w:trPr>
          <w:trHeight w:val="300"/>
        </w:trPr>
        <w:tc>
          <w:tcPr>
            <w:tcW w:w="701" w:type="pct"/>
            <w:tcBorders>
              <w:top w:val="single" w:sz="4" w:space="0" w:color="438EF1" w:themeColor="text2" w:themeTint="99"/>
              <w:bottom w:val="nil"/>
            </w:tcBorders>
            <w:noWrap/>
            <w:vAlign w:val="center"/>
            <w:hideMark/>
          </w:tcPr>
          <w:p w14:paraId="06FF0629"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GHG emissions [ktCO</w:t>
            </w:r>
            <w:r w:rsidRPr="00167A1B">
              <w:rPr>
                <w:rFonts w:ascii="Trebuchet MS" w:hAnsi="Trebuchet MS"/>
                <w:b/>
                <w:sz w:val="16"/>
                <w:szCs w:val="16"/>
                <w:vertAlign w:val="subscript"/>
              </w:rPr>
              <w:t>2</w:t>
            </w:r>
            <w:r w:rsidRPr="00167A1B">
              <w:rPr>
                <w:rFonts w:ascii="Trebuchet MS" w:hAnsi="Trebuchet MS"/>
                <w:b/>
                <w:sz w:val="16"/>
                <w:szCs w:val="16"/>
              </w:rPr>
              <w:t>e]</w:t>
            </w:r>
            <w:r w:rsidRPr="00167A1B">
              <w:rPr>
                <w:rStyle w:val="FootnoteReference"/>
                <w:b/>
                <w:szCs w:val="16"/>
              </w:rPr>
              <w:footnoteReference w:id="100"/>
            </w:r>
          </w:p>
        </w:tc>
        <w:tc>
          <w:tcPr>
            <w:tcW w:w="781" w:type="pct"/>
            <w:tcBorders>
              <w:top w:val="single" w:sz="4" w:space="0" w:color="438EF1" w:themeColor="text2" w:themeTint="99"/>
            </w:tcBorders>
            <w:noWrap/>
            <w:vAlign w:val="center"/>
            <w:hideMark/>
          </w:tcPr>
          <w:p w14:paraId="009BFDFC"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Total 2024-2030</w:t>
            </w:r>
          </w:p>
        </w:tc>
        <w:tc>
          <w:tcPr>
            <w:tcW w:w="450" w:type="pct"/>
            <w:tcBorders>
              <w:top w:val="single" w:sz="4" w:space="0" w:color="438EF1" w:themeColor="text2" w:themeTint="99"/>
            </w:tcBorders>
            <w:noWrap/>
            <w:vAlign w:val="center"/>
            <w:hideMark/>
          </w:tcPr>
          <w:p w14:paraId="7B6B4AAA"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7 838</w:t>
            </w:r>
          </w:p>
        </w:tc>
        <w:tc>
          <w:tcPr>
            <w:tcW w:w="511" w:type="pct"/>
            <w:tcBorders>
              <w:top w:val="single" w:sz="4" w:space="0" w:color="438EF1" w:themeColor="text2" w:themeTint="99"/>
            </w:tcBorders>
            <w:noWrap/>
            <w:vAlign w:val="center"/>
            <w:hideMark/>
          </w:tcPr>
          <w:p w14:paraId="5E1C5CB6"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7 963</w:t>
            </w:r>
          </w:p>
        </w:tc>
        <w:tc>
          <w:tcPr>
            <w:tcW w:w="512" w:type="pct"/>
            <w:tcBorders>
              <w:top w:val="single" w:sz="4" w:space="0" w:color="438EF1" w:themeColor="text2" w:themeTint="99"/>
            </w:tcBorders>
            <w:noWrap/>
            <w:vAlign w:val="center"/>
            <w:hideMark/>
          </w:tcPr>
          <w:p w14:paraId="011D885D"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7 767</w:t>
            </w:r>
          </w:p>
        </w:tc>
        <w:tc>
          <w:tcPr>
            <w:tcW w:w="512" w:type="pct"/>
            <w:tcBorders>
              <w:top w:val="single" w:sz="4" w:space="0" w:color="438EF1" w:themeColor="text2" w:themeTint="99"/>
            </w:tcBorders>
            <w:noWrap/>
            <w:vAlign w:val="center"/>
            <w:hideMark/>
          </w:tcPr>
          <w:p w14:paraId="65050DE2"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7 944</w:t>
            </w:r>
          </w:p>
        </w:tc>
        <w:tc>
          <w:tcPr>
            <w:tcW w:w="511" w:type="pct"/>
            <w:tcBorders>
              <w:top w:val="single" w:sz="4" w:space="0" w:color="438EF1" w:themeColor="text2" w:themeTint="99"/>
            </w:tcBorders>
            <w:noWrap/>
            <w:vAlign w:val="center"/>
            <w:hideMark/>
          </w:tcPr>
          <w:p w14:paraId="0DF2767D"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7 139</w:t>
            </w:r>
          </w:p>
        </w:tc>
        <w:tc>
          <w:tcPr>
            <w:tcW w:w="512" w:type="pct"/>
            <w:tcBorders>
              <w:top w:val="single" w:sz="4" w:space="0" w:color="438EF1" w:themeColor="text2" w:themeTint="99"/>
            </w:tcBorders>
            <w:noWrap/>
            <w:vAlign w:val="center"/>
            <w:hideMark/>
          </w:tcPr>
          <w:p w14:paraId="29B8611E"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6 271</w:t>
            </w:r>
          </w:p>
        </w:tc>
        <w:tc>
          <w:tcPr>
            <w:tcW w:w="510" w:type="pct"/>
            <w:tcBorders>
              <w:top w:val="single" w:sz="4" w:space="0" w:color="438EF1" w:themeColor="text2" w:themeTint="99"/>
            </w:tcBorders>
            <w:noWrap/>
            <w:vAlign w:val="center"/>
            <w:hideMark/>
          </w:tcPr>
          <w:p w14:paraId="21728F39"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7 762</w:t>
            </w:r>
          </w:p>
        </w:tc>
      </w:tr>
      <w:tr w:rsidR="006B36E6" w:rsidRPr="00167A1B" w14:paraId="08E94C12" w14:textId="77777777" w:rsidTr="00BC7958">
        <w:trPr>
          <w:trHeight w:val="300"/>
        </w:trPr>
        <w:tc>
          <w:tcPr>
            <w:tcW w:w="701" w:type="pct"/>
            <w:tcBorders>
              <w:top w:val="nil"/>
              <w:bottom w:val="nil"/>
            </w:tcBorders>
            <w:noWrap/>
            <w:vAlign w:val="center"/>
            <w:hideMark/>
          </w:tcPr>
          <w:p w14:paraId="206DAAC8"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noWrap/>
            <w:vAlign w:val="center"/>
            <w:hideMark/>
          </w:tcPr>
          <w:p w14:paraId="2A3D8EA7"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Difference with baseline</w:t>
            </w:r>
          </w:p>
        </w:tc>
        <w:tc>
          <w:tcPr>
            <w:tcW w:w="450" w:type="pct"/>
            <w:noWrap/>
            <w:vAlign w:val="center"/>
            <w:hideMark/>
          </w:tcPr>
          <w:p w14:paraId="169667E6"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 </w:t>
            </w:r>
          </w:p>
        </w:tc>
        <w:tc>
          <w:tcPr>
            <w:tcW w:w="511" w:type="pct"/>
            <w:noWrap/>
            <w:vAlign w:val="center"/>
            <w:hideMark/>
          </w:tcPr>
          <w:p w14:paraId="231CA41E"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125</w:t>
            </w:r>
          </w:p>
        </w:tc>
        <w:tc>
          <w:tcPr>
            <w:tcW w:w="512" w:type="pct"/>
            <w:noWrap/>
            <w:vAlign w:val="center"/>
            <w:hideMark/>
          </w:tcPr>
          <w:p w14:paraId="1CD0EA44"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-71</w:t>
            </w:r>
          </w:p>
        </w:tc>
        <w:tc>
          <w:tcPr>
            <w:tcW w:w="512" w:type="pct"/>
            <w:noWrap/>
            <w:vAlign w:val="center"/>
            <w:hideMark/>
          </w:tcPr>
          <w:p w14:paraId="15B8049A"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106</w:t>
            </w:r>
          </w:p>
        </w:tc>
        <w:tc>
          <w:tcPr>
            <w:tcW w:w="511" w:type="pct"/>
            <w:noWrap/>
            <w:vAlign w:val="center"/>
            <w:hideMark/>
          </w:tcPr>
          <w:p w14:paraId="4F954FE0"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-699</w:t>
            </w:r>
          </w:p>
        </w:tc>
        <w:tc>
          <w:tcPr>
            <w:tcW w:w="512" w:type="pct"/>
            <w:noWrap/>
            <w:vAlign w:val="center"/>
            <w:hideMark/>
          </w:tcPr>
          <w:p w14:paraId="2E262C9A"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-1 567</w:t>
            </w:r>
          </w:p>
        </w:tc>
        <w:tc>
          <w:tcPr>
            <w:tcW w:w="510" w:type="pct"/>
            <w:noWrap/>
            <w:vAlign w:val="center"/>
            <w:hideMark/>
          </w:tcPr>
          <w:p w14:paraId="0989DCD3"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-76</w:t>
            </w:r>
          </w:p>
        </w:tc>
      </w:tr>
      <w:tr w:rsidR="006B36E6" w:rsidRPr="00167A1B" w14:paraId="31E128AE" w14:textId="77777777" w:rsidTr="00BC7958">
        <w:trPr>
          <w:trHeight w:val="300"/>
        </w:trPr>
        <w:tc>
          <w:tcPr>
            <w:tcW w:w="701" w:type="pct"/>
            <w:tcBorders>
              <w:top w:val="nil"/>
              <w:bottom w:val="nil"/>
            </w:tcBorders>
            <w:noWrap/>
            <w:vAlign w:val="center"/>
            <w:hideMark/>
          </w:tcPr>
          <w:p w14:paraId="7917F19A"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noWrap/>
            <w:vAlign w:val="center"/>
            <w:hideMark/>
          </w:tcPr>
          <w:p w14:paraId="269CA173"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Annual average</w:t>
            </w:r>
          </w:p>
        </w:tc>
        <w:tc>
          <w:tcPr>
            <w:tcW w:w="450" w:type="pct"/>
            <w:noWrap/>
            <w:vAlign w:val="center"/>
            <w:hideMark/>
          </w:tcPr>
          <w:p w14:paraId="61EA8008"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1 120</w:t>
            </w:r>
          </w:p>
        </w:tc>
        <w:tc>
          <w:tcPr>
            <w:tcW w:w="511" w:type="pct"/>
            <w:noWrap/>
            <w:vAlign w:val="center"/>
            <w:hideMark/>
          </w:tcPr>
          <w:p w14:paraId="7C3EA924"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1 138</w:t>
            </w:r>
          </w:p>
        </w:tc>
        <w:tc>
          <w:tcPr>
            <w:tcW w:w="512" w:type="pct"/>
            <w:noWrap/>
            <w:vAlign w:val="center"/>
            <w:hideMark/>
          </w:tcPr>
          <w:p w14:paraId="0AEBBC0C"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1 110</w:t>
            </w:r>
          </w:p>
        </w:tc>
        <w:tc>
          <w:tcPr>
            <w:tcW w:w="512" w:type="pct"/>
            <w:noWrap/>
            <w:vAlign w:val="center"/>
            <w:hideMark/>
          </w:tcPr>
          <w:p w14:paraId="1099D67A"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1 135</w:t>
            </w:r>
          </w:p>
        </w:tc>
        <w:tc>
          <w:tcPr>
            <w:tcW w:w="511" w:type="pct"/>
            <w:noWrap/>
            <w:vAlign w:val="center"/>
            <w:hideMark/>
          </w:tcPr>
          <w:p w14:paraId="78C5D00C"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1 020</w:t>
            </w:r>
          </w:p>
        </w:tc>
        <w:tc>
          <w:tcPr>
            <w:tcW w:w="512" w:type="pct"/>
            <w:noWrap/>
            <w:vAlign w:val="center"/>
            <w:hideMark/>
          </w:tcPr>
          <w:p w14:paraId="57CB525F"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896</w:t>
            </w:r>
          </w:p>
        </w:tc>
        <w:tc>
          <w:tcPr>
            <w:tcW w:w="510" w:type="pct"/>
            <w:noWrap/>
            <w:vAlign w:val="center"/>
            <w:hideMark/>
          </w:tcPr>
          <w:p w14:paraId="2E23E3A6"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1 109</w:t>
            </w:r>
          </w:p>
        </w:tc>
      </w:tr>
      <w:tr w:rsidR="006B36E6" w:rsidRPr="00167A1B" w14:paraId="62090879" w14:textId="77777777" w:rsidTr="00BC7958">
        <w:trPr>
          <w:trHeight w:val="300"/>
        </w:trPr>
        <w:tc>
          <w:tcPr>
            <w:tcW w:w="701" w:type="pct"/>
            <w:tcBorders>
              <w:top w:val="nil"/>
              <w:bottom w:val="nil"/>
            </w:tcBorders>
            <w:noWrap/>
            <w:vAlign w:val="center"/>
            <w:hideMark/>
          </w:tcPr>
          <w:p w14:paraId="25E258BB"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noWrap/>
            <w:vAlign w:val="center"/>
            <w:hideMark/>
          </w:tcPr>
          <w:p w14:paraId="7772B647"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Difference with baseline</w:t>
            </w:r>
          </w:p>
        </w:tc>
        <w:tc>
          <w:tcPr>
            <w:tcW w:w="450" w:type="pct"/>
            <w:noWrap/>
            <w:vAlign w:val="center"/>
            <w:hideMark/>
          </w:tcPr>
          <w:p w14:paraId="06C7B26A"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 </w:t>
            </w:r>
          </w:p>
        </w:tc>
        <w:tc>
          <w:tcPr>
            <w:tcW w:w="511" w:type="pct"/>
            <w:noWrap/>
            <w:vAlign w:val="center"/>
            <w:hideMark/>
          </w:tcPr>
          <w:p w14:paraId="36144049"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18</w:t>
            </w:r>
          </w:p>
        </w:tc>
        <w:tc>
          <w:tcPr>
            <w:tcW w:w="512" w:type="pct"/>
            <w:noWrap/>
            <w:vAlign w:val="center"/>
            <w:hideMark/>
          </w:tcPr>
          <w:p w14:paraId="41F2F7B4"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-10</w:t>
            </w:r>
          </w:p>
        </w:tc>
        <w:tc>
          <w:tcPr>
            <w:tcW w:w="512" w:type="pct"/>
            <w:noWrap/>
            <w:vAlign w:val="center"/>
            <w:hideMark/>
          </w:tcPr>
          <w:p w14:paraId="21157D4C"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15</w:t>
            </w:r>
          </w:p>
        </w:tc>
        <w:tc>
          <w:tcPr>
            <w:tcW w:w="511" w:type="pct"/>
            <w:noWrap/>
            <w:vAlign w:val="center"/>
            <w:hideMark/>
          </w:tcPr>
          <w:p w14:paraId="50749C55"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-100</w:t>
            </w:r>
          </w:p>
        </w:tc>
        <w:tc>
          <w:tcPr>
            <w:tcW w:w="512" w:type="pct"/>
            <w:noWrap/>
            <w:vAlign w:val="center"/>
            <w:hideMark/>
          </w:tcPr>
          <w:p w14:paraId="249E4CE9"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-224</w:t>
            </w:r>
          </w:p>
        </w:tc>
        <w:tc>
          <w:tcPr>
            <w:tcW w:w="510" w:type="pct"/>
            <w:noWrap/>
            <w:vAlign w:val="center"/>
            <w:hideMark/>
          </w:tcPr>
          <w:p w14:paraId="67F94CED"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-11</w:t>
            </w:r>
          </w:p>
        </w:tc>
      </w:tr>
      <w:tr w:rsidR="006B36E6" w:rsidRPr="00167A1B" w14:paraId="377E3FB7" w14:textId="77777777" w:rsidTr="00BC7958">
        <w:trPr>
          <w:trHeight w:val="300"/>
        </w:trPr>
        <w:tc>
          <w:tcPr>
            <w:tcW w:w="701" w:type="pct"/>
            <w:tcBorders>
              <w:top w:val="nil"/>
              <w:bottom w:val="single" w:sz="4" w:space="0" w:color="438EF1" w:themeColor="text2" w:themeTint="99"/>
            </w:tcBorders>
            <w:noWrap/>
            <w:vAlign w:val="center"/>
            <w:hideMark/>
          </w:tcPr>
          <w:p w14:paraId="0F96E4C6"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tcBorders>
              <w:bottom w:val="single" w:sz="4" w:space="0" w:color="438EF1" w:themeColor="text2" w:themeTint="99"/>
            </w:tcBorders>
            <w:noWrap/>
            <w:vAlign w:val="center"/>
            <w:hideMark/>
          </w:tcPr>
          <w:p w14:paraId="2AD3391A"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As %</w:t>
            </w:r>
          </w:p>
        </w:tc>
        <w:tc>
          <w:tcPr>
            <w:tcW w:w="450" w:type="pct"/>
            <w:tcBorders>
              <w:bottom w:val="single" w:sz="4" w:space="0" w:color="438EF1" w:themeColor="text2" w:themeTint="99"/>
            </w:tcBorders>
            <w:noWrap/>
            <w:vAlign w:val="center"/>
            <w:hideMark/>
          </w:tcPr>
          <w:p w14:paraId="044264A1"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 </w:t>
            </w:r>
          </w:p>
        </w:tc>
        <w:tc>
          <w:tcPr>
            <w:tcW w:w="511" w:type="pct"/>
            <w:tcBorders>
              <w:bottom w:val="single" w:sz="4" w:space="0" w:color="438EF1" w:themeColor="text2" w:themeTint="99"/>
            </w:tcBorders>
            <w:noWrap/>
            <w:vAlign w:val="center"/>
            <w:hideMark/>
          </w:tcPr>
          <w:p w14:paraId="021B2139"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1.6%</w:t>
            </w:r>
          </w:p>
        </w:tc>
        <w:tc>
          <w:tcPr>
            <w:tcW w:w="512" w:type="pct"/>
            <w:tcBorders>
              <w:bottom w:val="single" w:sz="4" w:space="0" w:color="438EF1" w:themeColor="text2" w:themeTint="99"/>
            </w:tcBorders>
            <w:noWrap/>
            <w:vAlign w:val="center"/>
            <w:hideMark/>
          </w:tcPr>
          <w:p w14:paraId="65D64C0A"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-0.9%</w:t>
            </w:r>
          </w:p>
        </w:tc>
        <w:tc>
          <w:tcPr>
            <w:tcW w:w="512" w:type="pct"/>
            <w:tcBorders>
              <w:bottom w:val="single" w:sz="4" w:space="0" w:color="438EF1" w:themeColor="text2" w:themeTint="99"/>
            </w:tcBorders>
            <w:noWrap/>
            <w:vAlign w:val="center"/>
            <w:hideMark/>
          </w:tcPr>
          <w:p w14:paraId="69300EA6"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1.3%</w:t>
            </w:r>
          </w:p>
        </w:tc>
        <w:tc>
          <w:tcPr>
            <w:tcW w:w="511" w:type="pct"/>
            <w:tcBorders>
              <w:bottom w:val="single" w:sz="4" w:space="0" w:color="438EF1" w:themeColor="text2" w:themeTint="99"/>
            </w:tcBorders>
            <w:noWrap/>
            <w:vAlign w:val="center"/>
            <w:hideMark/>
          </w:tcPr>
          <w:p w14:paraId="73AEE02D"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-8.9%</w:t>
            </w:r>
          </w:p>
        </w:tc>
        <w:tc>
          <w:tcPr>
            <w:tcW w:w="512" w:type="pct"/>
            <w:tcBorders>
              <w:bottom w:val="single" w:sz="4" w:space="0" w:color="438EF1" w:themeColor="text2" w:themeTint="99"/>
            </w:tcBorders>
            <w:noWrap/>
            <w:vAlign w:val="center"/>
            <w:hideMark/>
          </w:tcPr>
          <w:p w14:paraId="16DB1171"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-20.0%</w:t>
            </w:r>
          </w:p>
        </w:tc>
        <w:tc>
          <w:tcPr>
            <w:tcW w:w="510" w:type="pct"/>
            <w:tcBorders>
              <w:bottom w:val="single" w:sz="4" w:space="0" w:color="438EF1" w:themeColor="text2" w:themeTint="99"/>
            </w:tcBorders>
            <w:noWrap/>
            <w:vAlign w:val="center"/>
            <w:hideMark/>
          </w:tcPr>
          <w:p w14:paraId="6D38CF86"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-1.0%</w:t>
            </w:r>
          </w:p>
        </w:tc>
      </w:tr>
      <w:tr w:rsidR="006B36E6" w:rsidRPr="00167A1B" w14:paraId="636DE763" w14:textId="77777777" w:rsidTr="00BC7958">
        <w:trPr>
          <w:trHeight w:val="300"/>
        </w:trPr>
        <w:tc>
          <w:tcPr>
            <w:tcW w:w="701" w:type="pct"/>
            <w:tcBorders>
              <w:top w:val="single" w:sz="4" w:space="0" w:color="438EF1" w:themeColor="text2" w:themeTint="99"/>
              <w:bottom w:val="nil"/>
            </w:tcBorders>
            <w:noWrap/>
            <w:vAlign w:val="center"/>
            <w:hideMark/>
          </w:tcPr>
          <w:p w14:paraId="015F2906"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Material Use [tonnes]</w:t>
            </w:r>
            <w:r w:rsidRPr="00167A1B">
              <w:rPr>
                <w:rStyle w:val="FootnoteReference"/>
                <w:b/>
                <w:szCs w:val="16"/>
              </w:rPr>
              <w:footnoteReference w:id="101"/>
            </w:r>
          </w:p>
        </w:tc>
        <w:tc>
          <w:tcPr>
            <w:tcW w:w="781" w:type="pct"/>
            <w:tcBorders>
              <w:top w:val="single" w:sz="4" w:space="0" w:color="438EF1" w:themeColor="text2" w:themeTint="99"/>
            </w:tcBorders>
            <w:noWrap/>
            <w:vAlign w:val="center"/>
            <w:hideMark/>
          </w:tcPr>
          <w:p w14:paraId="3AB580FB"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Total 2024-2030</w:t>
            </w:r>
          </w:p>
        </w:tc>
        <w:tc>
          <w:tcPr>
            <w:tcW w:w="450" w:type="pct"/>
            <w:tcBorders>
              <w:top w:val="single" w:sz="4" w:space="0" w:color="438EF1" w:themeColor="text2" w:themeTint="99"/>
            </w:tcBorders>
            <w:noWrap/>
            <w:vAlign w:val="center"/>
            <w:hideMark/>
          </w:tcPr>
          <w:p w14:paraId="6021E0B2"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152 806</w:t>
            </w:r>
          </w:p>
        </w:tc>
        <w:tc>
          <w:tcPr>
            <w:tcW w:w="511" w:type="pct"/>
            <w:tcBorders>
              <w:top w:val="single" w:sz="4" w:space="0" w:color="438EF1" w:themeColor="text2" w:themeTint="99"/>
            </w:tcBorders>
            <w:noWrap/>
            <w:vAlign w:val="center"/>
            <w:hideMark/>
          </w:tcPr>
          <w:p w14:paraId="0EB5E4DC"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155 110</w:t>
            </w:r>
          </w:p>
        </w:tc>
        <w:tc>
          <w:tcPr>
            <w:tcW w:w="512" w:type="pct"/>
            <w:tcBorders>
              <w:top w:val="single" w:sz="4" w:space="0" w:color="438EF1" w:themeColor="text2" w:themeTint="99"/>
            </w:tcBorders>
            <w:noWrap/>
            <w:vAlign w:val="center"/>
            <w:hideMark/>
          </w:tcPr>
          <w:p w14:paraId="73197761"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151 597</w:t>
            </w:r>
          </w:p>
        </w:tc>
        <w:tc>
          <w:tcPr>
            <w:tcW w:w="512" w:type="pct"/>
            <w:tcBorders>
              <w:top w:val="single" w:sz="4" w:space="0" w:color="438EF1" w:themeColor="text2" w:themeTint="99"/>
            </w:tcBorders>
            <w:noWrap/>
            <w:vAlign w:val="center"/>
            <w:hideMark/>
          </w:tcPr>
          <w:p w14:paraId="3305AB91"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154 274</w:t>
            </w:r>
          </w:p>
        </w:tc>
        <w:tc>
          <w:tcPr>
            <w:tcW w:w="511" w:type="pct"/>
            <w:tcBorders>
              <w:top w:val="single" w:sz="4" w:space="0" w:color="438EF1" w:themeColor="text2" w:themeTint="99"/>
            </w:tcBorders>
            <w:noWrap/>
            <w:vAlign w:val="center"/>
            <w:hideMark/>
          </w:tcPr>
          <w:p w14:paraId="7B939FBB"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143 710</w:t>
            </w:r>
          </w:p>
        </w:tc>
        <w:tc>
          <w:tcPr>
            <w:tcW w:w="512" w:type="pct"/>
            <w:tcBorders>
              <w:top w:val="single" w:sz="4" w:space="0" w:color="438EF1" w:themeColor="text2" w:themeTint="99"/>
            </w:tcBorders>
            <w:noWrap/>
            <w:vAlign w:val="center"/>
            <w:hideMark/>
          </w:tcPr>
          <w:p w14:paraId="6963C2C4"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119 238</w:t>
            </w:r>
          </w:p>
        </w:tc>
        <w:tc>
          <w:tcPr>
            <w:tcW w:w="510" w:type="pct"/>
            <w:tcBorders>
              <w:top w:val="single" w:sz="4" w:space="0" w:color="438EF1" w:themeColor="text2" w:themeTint="99"/>
            </w:tcBorders>
            <w:noWrap/>
            <w:vAlign w:val="center"/>
            <w:hideMark/>
          </w:tcPr>
          <w:p w14:paraId="3333C088"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151 477</w:t>
            </w:r>
          </w:p>
        </w:tc>
      </w:tr>
      <w:tr w:rsidR="006B36E6" w:rsidRPr="00167A1B" w14:paraId="4BB6F033" w14:textId="77777777" w:rsidTr="00BC7958">
        <w:trPr>
          <w:trHeight w:val="300"/>
        </w:trPr>
        <w:tc>
          <w:tcPr>
            <w:tcW w:w="701" w:type="pct"/>
            <w:tcBorders>
              <w:top w:val="nil"/>
              <w:bottom w:val="nil"/>
            </w:tcBorders>
            <w:noWrap/>
            <w:vAlign w:val="center"/>
            <w:hideMark/>
          </w:tcPr>
          <w:p w14:paraId="0A52B3D5"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noWrap/>
            <w:vAlign w:val="center"/>
            <w:hideMark/>
          </w:tcPr>
          <w:p w14:paraId="21C9B751"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Difference with baseline</w:t>
            </w:r>
          </w:p>
        </w:tc>
        <w:tc>
          <w:tcPr>
            <w:tcW w:w="450" w:type="pct"/>
            <w:noWrap/>
            <w:vAlign w:val="center"/>
            <w:hideMark/>
          </w:tcPr>
          <w:p w14:paraId="528A5619"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 </w:t>
            </w:r>
          </w:p>
        </w:tc>
        <w:tc>
          <w:tcPr>
            <w:tcW w:w="511" w:type="pct"/>
            <w:noWrap/>
            <w:vAlign w:val="center"/>
            <w:hideMark/>
          </w:tcPr>
          <w:p w14:paraId="2015D55A"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2 304</w:t>
            </w:r>
          </w:p>
        </w:tc>
        <w:tc>
          <w:tcPr>
            <w:tcW w:w="512" w:type="pct"/>
            <w:noWrap/>
            <w:vAlign w:val="center"/>
            <w:hideMark/>
          </w:tcPr>
          <w:p w14:paraId="00A69020"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-1 209</w:t>
            </w:r>
          </w:p>
        </w:tc>
        <w:tc>
          <w:tcPr>
            <w:tcW w:w="512" w:type="pct"/>
            <w:noWrap/>
            <w:vAlign w:val="center"/>
            <w:hideMark/>
          </w:tcPr>
          <w:p w14:paraId="10F3D878"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1 468</w:t>
            </w:r>
          </w:p>
        </w:tc>
        <w:tc>
          <w:tcPr>
            <w:tcW w:w="511" w:type="pct"/>
            <w:noWrap/>
            <w:vAlign w:val="center"/>
            <w:hideMark/>
          </w:tcPr>
          <w:p w14:paraId="75C439F3"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-9 096</w:t>
            </w:r>
          </w:p>
        </w:tc>
        <w:tc>
          <w:tcPr>
            <w:tcW w:w="512" w:type="pct"/>
            <w:noWrap/>
            <w:vAlign w:val="center"/>
            <w:hideMark/>
          </w:tcPr>
          <w:p w14:paraId="03F01A20"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-33 568</w:t>
            </w:r>
          </w:p>
        </w:tc>
        <w:tc>
          <w:tcPr>
            <w:tcW w:w="510" w:type="pct"/>
            <w:noWrap/>
            <w:vAlign w:val="center"/>
            <w:hideMark/>
          </w:tcPr>
          <w:p w14:paraId="2D26FCA4"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-1 329</w:t>
            </w:r>
          </w:p>
        </w:tc>
      </w:tr>
      <w:tr w:rsidR="006B36E6" w:rsidRPr="00167A1B" w14:paraId="4692CEDC" w14:textId="77777777" w:rsidTr="00BC7958">
        <w:trPr>
          <w:trHeight w:val="300"/>
        </w:trPr>
        <w:tc>
          <w:tcPr>
            <w:tcW w:w="701" w:type="pct"/>
            <w:tcBorders>
              <w:top w:val="nil"/>
              <w:bottom w:val="nil"/>
            </w:tcBorders>
            <w:noWrap/>
            <w:vAlign w:val="center"/>
            <w:hideMark/>
          </w:tcPr>
          <w:p w14:paraId="4429BF73"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noWrap/>
            <w:vAlign w:val="center"/>
            <w:hideMark/>
          </w:tcPr>
          <w:p w14:paraId="10A28056"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Annual average</w:t>
            </w:r>
          </w:p>
        </w:tc>
        <w:tc>
          <w:tcPr>
            <w:tcW w:w="450" w:type="pct"/>
            <w:noWrap/>
            <w:vAlign w:val="center"/>
            <w:hideMark/>
          </w:tcPr>
          <w:p w14:paraId="452229C0"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21 829</w:t>
            </w:r>
          </w:p>
        </w:tc>
        <w:tc>
          <w:tcPr>
            <w:tcW w:w="511" w:type="pct"/>
            <w:noWrap/>
            <w:vAlign w:val="center"/>
            <w:hideMark/>
          </w:tcPr>
          <w:p w14:paraId="4AA881AB"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22 159</w:t>
            </w:r>
          </w:p>
        </w:tc>
        <w:tc>
          <w:tcPr>
            <w:tcW w:w="512" w:type="pct"/>
            <w:noWrap/>
            <w:vAlign w:val="center"/>
            <w:hideMark/>
          </w:tcPr>
          <w:p w14:paraId="3D834B92"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21 657</w:t>
            </w:r>
          </w:p>
        </w:tc>
        <w:tc>
          <w:tcPr>
            <w:tcW w:w="512" w:type="pct"/>
            <w:noWrap/>
            <w:vAlign w:val="center"/>
            <w:hideMark/>
          </w:tcPr>
          <w:p w14:paraId="70F700B2"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22 039</w:t>
            </w:r>
          </w:p>
        </w:tc>
        <w:tc>
          <w:tcPr>
            <w:tcW w:w="511" w:type="pct"/>
            <w:noWrap/>
            <w:vAlign w:val="center"/>
            <w:hideMark/>
          </w:tcPr>
          <w:p w14:paraId="4EE292A4"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20 530</w:t>
            </w:r>
          </w:p>
        </w:tc>
        <w:tc>
          <w:tcPr>
            <w:tcW w:w="512" w:type="pct"/>
            <w:noWrap/>
            <w:vAlign w:val="center"/>
            <w:hideMark/>
          </w:tcPr>
          <w:p w14:paraId="65207FA8"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17 034</w:t>
            </w:r>
          </w:p>
        </w:tc>
        <w:tc>
          <w:tcPr>
            <w:tcW w:w="510" w:type="pct"/>
            <w:noWrap/>
            <w:vAlign w:val="center"/>
            <w:hideMark/>
          </w:tcPr>
          <w:p w14:paraId="2ACE4752"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21 640</w:t>
            </w:r>
          </w:p>
        </w:tc>
      </w:tr>
      <w:tr w:rsidR="006B36E6" w:rsidRPr="00167A1B" w14:paraId="20F69345" w14:textId="77777777" w:rsidTr="00BC7958">
        <w:trPr>
          <w:trHeight w:val="300"/>
        </w:trPr>
        <w:tc>
          <w:tcPr>
            <w:tcW w:w="701" w:type="pct"/>
            <w:tcBorders>
              <w:top w:val="nil"/>
              <w:bottom w:val="nil"/>
            </w:tcBorders>
            <w:noWrap/>
            <w:vAlign w:val="center"/>
            <w:hideMark/>
          </w:tcPr>
          <w:p w14:paraId="09169EFF"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noWrap/>
            <w:vAlign w:val="center"/>
            <w:hideMark/>
          </w:tcPr>
          <w:p w14:paraId="43DE64A5"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Difference with baseline</w:t>
            </w:r>
          </w:p>
        </w:tc>
        <w:tc>
          <w:tcPr>
            <w:tcW w:w="450" w:type="pct"/>
            <w:noWrap/>
            <w:vAlign w:val="center"/>
            <w:hideMark/>
          </w:tcPr>
          <w:p w14:paraId="45C7D6C6"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 </w:t>
            </w:r>
          </w:p>
        </w:tc>
        <w:tc>
          <w:tcPr>
            <w:tcW w:w="511" w:type="pct"/>
            <w:noWrap/>
            <w:vAlign w:val="center"/>
            <w:hideMark/>
          </w:tcPr>
          <w:p w14:paraId="1E8732B0"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329</w:t>
            </w:r>
          </w:p>
        </w:tc>
        <w:tc>
          <w:tcPr>
            <w:tcW w:w="512" w:type="pct"/>
            <w:noWrap/>
            <w:vAlign w:val="center"/>
            <w:hideMark/>
          </w:tcPr>
          <w:p w14:paraId="43B04BBA"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-173</w:t>
            </w:r>
          </w:p>
        </w:tc>
        <w:tc>
          <w:tcPr>
            <w:tcW w:w="512" w:type="pct"/>
            <w:noWrap/>
            <w:vAlign w:val="center"/>
            <w:hideMark/>
          </w:tcPr>
          <w:p w14:paraId="5D55E47A"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210</w:t>
            </w:r>
          </w:p>
        </w:tc>
        <w:tc>
          <w:tcPr>
            <w:tcW w:w="511" w:type="pct"/>
            <w:noWrap/>
            <w:vAlign w:val="center"/>
            <w:hideMark/>
          </w:tcPr>
          <w:p w14:paraId="432B0838"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-1 299</w:t>
            </w:r>
          </w:p>
        </w:tc>
        <w:tc>
          <w:tcPr>
            <w:tcW w:w="512" w:type="pct"/>
            <w:noWrap/>
            <w:vAlign w:val="center"/>
            <w:hideMark/>
          </w:tcPr>
          <w:p w14:paraId="64E71566"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-4 795</w:t>
            </w:r>
          </w:p>
        </w:tc>
        <w:tc>
          <w:tcPr>
            <w:tcW w:w="510" w:type="pct"/>
            <w:noWrap/>
            <w:vAlign w:val="center"/>
            <w:hideMark/>
          </w:tcPr>
          <w:p w14:paraId="102CC7B8"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-190</w:t>
            </w:r>
          </w:p>
        </w:tc>
      </w:tr>
      <w:tr w:rsidR="006B36E6" w:rsidRPr="00167A1B" w14:paraId="2F94C875" w14:textId="77777777" w:rsidTr="00BC7958">
        <w:trPr>
          <w:trHeight w:val="300"/>
        </w:trPr>
        <w:tc>
          <w:tcPr>
            <w:tcW w:w="701" w:type="pct"/>
            <w:tcBorders>
              <w:top w:val="nil"/>
              <w:bottom w:val="single" w:sz="4" w:space="0" w:color="438EF1" w:themeColor="text2" w:themeTint="99"/>
            </w:tcBorders>
            <w:noWrap/>
            <w:vAlign w:val="center"/>
            <w:hideMark/>
          </w:tcPr>
          <w:p w14:paraId="2E7C851A"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tcBorders>
              <w:bottom w:val="single" w:sz="4" w:space="0" w:color="438EF1" w:themeColor="text2" w:themeTint="99"/>
            </w:tcBorders>
            <w:noWrap/>
            <w:vAlign w:val="center"/>
            <w:hideMark/>
          </w:tcPr>
          <w:p w14:paraId="7A0AF169"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As %</w:t>
            </w:r>
          </w:p>
        </w:tc>
        <w:tc>
          <w:tcPr>
            <w:tcW w:w="450" w:type="pct"/>
            <w:tcBorders>
              <w:bottom w:val="single" w:sz="4" w:space="0" w:color="438EF1" w:themeColor="text2" w:themeTint="99"/>
            </w:tcBorders>
            <w:noWrap/>
            <w:vAlign w:val="center"/>
            <w:hideMark/>
          </w:tcPr>
          <w:p w14:paraId="10DC477A"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 </w:t>
            </w:r>
          </w:p>
        </w:tc>
        <w:tc>
          <w:tcPr>
            <w:tcW w:w="511" w:type="pct"/>
            <w:tcBorders>
              <w:bottom w:val="single" w:sz="4" w:space="0" w:color="438EF1" w:themeColor="text2" w:themeTint="99"/>
            </w:tcBorders>
            <w:noWrap/>
            <w:vAlign w:val="center"/>
            <w:hideMark/>
          </w:tcPr>
          <w:p w14:paraId="6DAED062"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1.5%</w:t>
            </w:r>
          </w:p>
        </w:tc>
        <w:tc>
          <w:tcPr>
            <w:tcW w:w="512" w:type="pct"/>
            <w:tcBorders>
              <w:bottom w:val="single" w:sz="4" w:space="0" w:color="438EF1" w:themeColor="text2" w:themeTint="99"/>
            </w:tcBorders>
            <w:noWrap/>
            <w:vAlign w:val="center"/>
            <w:hideMark/>
          </w:tcPr>
          <w:p w14:paraId="667D413A"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-0.8%</w:t>
            </w:r>
          </w:p>
        </w:tc>
        <w:tc>
          <w:tcPr>
            <w:tcW w:w="512" w:type="pct"/>
            <w:tcBorders>
              <w:bottom w:val="single" w:sz="4" w:space="0" w:color="438EF1" w:themeColor="text2" w:themeTint="99"/>
            </w:tcBorders>
            <w:noWrap/>
            <w:vAlign w:val="center"/>
            <w:hideMark/>
          </w:tcPr>
          <w:p w14:paraId="6E3C3133"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1.0%</w:t>
            </w:r>
          </w:p>
        </w:tc>
        <w:tc>
          <w:tcPr>
            <w:tcW w:w="511" w:type="pct"/>
            <w:tcBorders>
              <w:bottom w:val="single" w:sz="4" w:space="0" w:color="438EF1" w:themeColor="text2" w:themeTint="99"/>
            </w:tcBorders>
            <w:noWrap/>
            <w:vAlign w:val="center"/>
            <w:hideMark/>
          </w:tcPr>
          <w:p w14:paraId="16385748"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-6.0%</w:t>
            </w:r>
          </w:p>
        </w:tc>
        <w:tc>
          <w:tcPr>
            <w:tcW w:w="512" w:type="pct"/>
            <w:tcBorders>
              <w:bottom w:val="single" w:sz="4" w:space="0" w:color="438EF1" w:themeColor="text2" w:themeTint="99"/>
            </w:tcBorders>
            <w:noWrap/>
            <w:vAlign w:val="center"/>
            <w:hideMark/>
          </w:tcPr>
          <w:p w14:paraId="0A793269"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-22.0%</w:t>
            </w:r>
          </w:p>
        </w:tc>
        <w:tc>
          <w:tcPr>
            <w:tcW w:w="510" w:type="pct"/>
            <w:tcBorders>
              <w:bottom w:val="single" w:sz="4" w:space="0" w:color="438EF1" w:themeColor="text2" w:themeTint="99"/>
            </w:tcBorders>
            <w:noWrap/>
            <w:vAlign w:val="center"/>
            <w:hideMark/>
          </w:tcPr>
          <w:p w14:paraId="668FA409"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-0.9%</w:t>
            </w:r>
          </w:p>
        </w:tc>
      </w:tr>
      <w:tr w:rsidR="006B36E6" w:rsidRPr="00167A1B" w14:paraId="62F48F5B" w14:textId="77777777" w:rsidTr="00BC7958">
        <w:trPr>
          <w:trHeight w:val="270"/>
        </w:trPr>
        <w:tc>
          <w:tcPr>
            <w:tcW w:w="701" w:type="pct"/>
            <w:tcBorders>
              <w:top w:val="single" w:sz="4" w:space="0" w:color="438EF1" w:themeColor="text2" w:themeTint="99"/>
              <w:bottom w:val="nil"/>
            </w:tcBorders>
            <w:noWrap/>
            <w:vAlign w:val="center"/>
            <w:hideMark/>
          </w:tcPr>
          <w:p w14:paraId="79DB0C83"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E-waste [tonnes]</w:t>
            </w:r>
            <w:r w:rsidRPr="00167A1B">
              <w:rPr>
                <w:rStyle w:val="FootnoteReference"/>
                <w:b/>
                <w:szCs w:val="16"/>
              </w:rPr>
              <w:footnoteReference w:id="102"/>
            </w:r>
          </w:p>
        </w:tc>
        <w:tc>
          <w:tcPr>
            <w:tcW w:w="781" w:type="pct"/>
            <w:tcBorders>
              <w:top w:val="single" w:sz="4" w:space="0" w:color="438EF1" w:themeColor="text2" w:themeTint="99"/>
            </w:tcBorders>
            <w:noWrap/>
            <w:vAlign w:val="center"/>
            <w:hideMark/>
          </w:tcPr>
          <w:p w14:paraId="637BFFE3"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Total 2024-2030</w:t>
            </w:r>
          </w:p>
        </w:tc>
        <w:tc>
          <w:tcPr>
            <w:tcW w:w="450" w:type="pct"/>
            <w:tcBorders>
              <w:top w:val="single" w:sz="4" w:space="0" w:color="438EF1" w:themeColor="text2" w:themeTint="99"/>
            </w:tcBorders>
            <w:noWrap/>
            <w:vAlign w:val="center"/>
            <w:hideMark/>
          </w:tcPr>
          <w:p w14:paraId="2714A2E0"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133 196</w:t>
            </w:r>
          </w:p>
        </w:tc>
        <w:tc>
          <w:tcPr>
            <w:tcW w:w="511" w:type="pct"/>
            <w:tcBorders>
              <w:top w:val="single" w:sz="4" w:space="0" w:color="438EF1" w:themeColor="text2" w:themeTint="99"/>
            </w:tcBorders>
            <w:noWrap/>
            <w:vAlign w:val="center"/>
            <w:hideMark/>
          </w:tcPr>
          <w:p w14:paraId="5DB92511"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134 283</w:t>
            </w:r>
          </w:p>
        </w:tc>
        <w:tc>
          <w:tcPr>
            <w:tcW w:w="512" w:type="pct"/>
            <w:tcBorders>
              <w:top w:val="single" w:sz="4" w:space="0" w:color="438EF1" w:themeColor="text2" w:themeTint="99"/>
            </w:tcBorders>
            <w:noWrap/>
            <w:vAlign w:val="center"/>
            <w:hideMark/>
          </w:tcPr>
          <w:p w14:paraId="22CFF823"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132 846</w:t>
            </w:r>
          </w:p>
        </w:tc>
        <w:tc>
          <w:tcPr>
            <w:tcW w:w="512" w:type="pct"/>
            <w:tcBorders>
              <w:top w:val="single" w:sz="4" w:space="0" w:color="438EF1" w:themeColor="text2" w:themeTint="99"/>
            </w:tcBorders>
            <w:noWrap/>
            <w:vAlign w:val="center"/>
            <w:hideMark/>
          </w:tcPr>
          <w:p w14:paraId="1F6F0CF7"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133 886</w:t>
            </w:r>
          </w:p>
        </w:tc>
        <w:tc>
          <w:tcPr>
            <w:tcW w:w="511" w:type="pct"/>
            <w:tcBorders>
              <w:top w:val="single" w:sz="4" w:space="0" w:color="438EF1" w:themeColor="text2" w:themeTint="99"/>
            </w:tcBorders>
            <w:noWrap/>
            <w:vAlign w:val="center"/>
            <w:hideMark/>
          </w:tcPr>
          <w:p w14:paraId="025126B1"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129 650</w:t>
            </w:r>
          </w:p>
        </w:tc>
        <w:tc>
          <w:tcPr>
            <w:tcW w:w="512" w:type="pct"/>
            <w:tcBorders>
              <w:top w:val="single" w:sz="4" w:space="0" w:color="438EF1" w:themeColor="text2" w:themeTint="99"/>
            </w:tcBorders>
            <w:noWrap/>
            <w:vAlign w:val="center"/>
            <w:hideMark/>
          </w:tcPr>
          <w:p w14:paraId="7E46084C"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bCs/>
                <w:sz w:val="16"/>
                <w:szCs w:val="16"/>
              </w:rPr>
              <w:t>119 787</w:t>
            </w:r>
          </w:p>
        </w:tc>
        <w:tc>
          <w:tcPr>
            <w:tcW w:w="510" w:type="pct"/>
            <w:tcBorders>
              <w:top w:val="single" w:sz="4" w:space="0" w:color="438EF1" w:themeColor="text2" w:themeTint="99"/>
            </w:tcBorders>
            <w:noWrap/>
            <w:vAlign w:val="center"/>
            <w:hideMark/>
          </w:tcPr>
          <w:p w14:paraId="5FB94E0F"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132 681</w:t>
            </w:r>
          </w:p>
        </w:tc>
      </w:tr>
      <w:tr w:rsidR="006B36E6" w:rsidRPr="00167A1B" w14:paraId="4D77C74C" w14:textId="77777777" w:rsidTr="00BC7958">
        <w:trPr>
          <w:trHeight w:val="270"/>
        </w:trPr>
        <w:tc>
          <w:tcPr>
            <w:tcW w:w="701" w:type="pct"/>
            <w:tcBorders>
              <w:top w:val="nil"/>
              <w:bottom w:val="nil"/>
            </w:tcBorders>
            <w:noWrap/>
            <w:vAlign w:val="center"/>
            <w:hideMark/>
          </w:tcPr>
          <w:p w14:paraId="5B2C8434"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noWrap/>
            <w:vAlign w:val="center"/>
            <w:hideMark/>
          </w:tcPr>
          <w:p w14:paraId="55D8992E"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Difference with baseline</w:t>
            </w:r>
          </w:p>
        </w:tc>
        <w:tc>
          <w:tcPr>
            <w:tcW w:w="450" w:type="pct"/>
            <w:noWrap/>
            <w:vAlign w:val="center"/>
            <w:hideMark/>
          </w:tcPr>
          <w:p w14:paraId="71794ED4"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 </w:t>
            </w:r>
          </w:p>
        </w:tc>
        <w:tc>
          <w:tcPr>
            <w:tcW w:w="511" w:type="pct"/>
            <w:noWrap/>
            <w:vAlign w:val="center"/>
            <w:hideMark/>
          </w:tcPr>
          <w:p w14:paraId="55D2020B"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1 088</w:t>
            </w:r>
          </w:p>
        </w:tc>
        <w:tc>
          <w:tcPr>
            <w:tcW w:w="512" w:type="pct"/>
            <w:noWrap/>
            <w:vAlign w:val="center"/>
            <w:hideMark/>
          </w:tcPr>
          <w:p w14:paraId="74A5308B"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-350</w:t>
            </w:r>
          </w:p>
        </w:tc>
        <w:tc>
          <w:tcPr>
            <w:tcW w:w="512" w:type="pct"/>
            <w:noWrap/>
            <w:vAlign w:val="center"/>
            <w:hideMark/>
          </w:tcPr>
          <w:p w14:paraId="00442874"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690</w:t>
            </w:r>
          </w:p>
        </w:tc>
        <w:tc>
          <w:tcPr>
            <w:tcW w:w="511" w:type="pct"/>
            <w:noWrap/>
            <w:vAlign w:val="center"/>
            <w:hideMark/>
          </w:tcPr>
          <w:p w14:paraId="51D0A99B"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-3 546</w:t>
            </w:r>
          </w:p>
        </w:tc>
        <w:tc>
          <w:tcPr>
            <w:tcW w:w="512" w:type="pct"/>
            <w:noWrap/>
            <w:vAlign w:val="center"/>
            <w:hideMark/>
          </w:tcPr>
          <w:p w14:paraId="4D077361"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-13 409</w:t>
            </w:r>
          </w:p>
        </w:tc>
        <w:tc>
          <w:tcPr>
            <w:tcW w:w="510" w:type="pct"/>
            <w:noWrap/>
            <w:vAlign w:val="center"/>
            <w:hideMark/>
          </w:tcPr>
          <w:p w14:paraId="31E230D2"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-515</w:t>
            </w:r>
          </w:p>
        </w:tc>
      </w:tr>
      <w:tr w:rsidR="006B36E6" w:rsidRPr="00167A1B" w14:paraId="3B763ACC" w14:textId="77777777" w:rsidTr="00BC7958">
        <w:trPr>
          <w:trHeight w:val="456"/>
        </w:trPr>
        <w:tc>
          <w:tcPr>
            <w:tcW w:w="701" w:type="pct"/>
            <w:tcBorders>
              <w:top w:val="nil"/>
              <w:bottom w:val="nil"/>
            </w:tcBorders>
            <w:noWrap/>
            <w:vAlign w:val="center"/>
            <w:hideMark/>
          </w:tcPr>
          <w:p w14:paraId="072594BE"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noWrap/>
            <w:vAlign w:val="center"/>
            <w:hideMark/>
          </w:tcPr>
          <w:p w14:paraId="47C7E03D"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Annual average</w:t>
            </w:r>
          </w:p>
        </w:tc>
        <w:tc>
          <w:tcPr>
            <w:tcW w:w="450" w:type="pct"/>
            <w:noWrap/>
            <w:vAlign w:val="center"/>
            <w:hideMark/>
          </w:tcPr>
          <w:p w14:paraId="59F26C3C"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19 028</w:t>
            </w:r>
          </w:p>
        </w:tc>
        <w:tc>
          <w:tcPr>
            <w:tcW w:w="511" w:type="pct"/>
            <w:noWrap/>
            <w:vAlign w:val="center"/>
            <w:hideMark/>
          </w:tcPr>
          <w:p w14:paraId="442F1F1A"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19 183</w:t>
            </w:r>
          </w:p>
        </w:tc>
        <w:tc>
          <w:tcPr>
            <w:tcW w:w="512" w:type="pct"/>
            <w:noWrap/>
            <w:vAlign w:val="center"/>
            <w:hideMark/>
          </w:tcPr>
          <w:p w14:paraId="5EC8F219"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18 978</w:t>
            </w:r>
          </w:p>
        </w:tc>
        <w:tc>
          <w:tcPr>
            <w:tcW w:w="512" w:type="pct"/>
            <w:noWrap/>
            <w:vAlign w:val="center"/>
            <w:hideMark/>
          </w:tcPr>
          <w:p w14:paraId="5DFC9820"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19 127</w:t>
            </w:r>
          </w:p>
        </w:tc>
        <w:tc>
          <w:tcPr>
            <w:tcW w:w="511" w:type="pct"/>
            <w:noWrap/>
            <w:vAlign w:val="center"/>
            <w:hideMark/>
          </w:tcPr>
          <w:p w14:paraId="3E64E4CF"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18 521</w:t>
            </w:r>
          </w:p>
        </w:tc>
        <w:tc>
          <w:tcPr>
            <w:tcW w:w="512" w:type="pct"/>
            <w:noWrap/>
            <w:vAlign w:val="center"/>
            <w:hideMark/>
          </w:tcPr>
          <w:p w14:paraId="3FAAA33B"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17 112</w:t>
            </w:r>
          </w:p>
        </w:tc>
        <w:tc>
          <w:tcPr>
            <w:tcW w:w="510" w:type="pct"/>
            <w:noWrap/>
            <w:vAlign w:val="center"/>
            <w:hideMark/>
          </w:tcPr>
          <w:p w14:paraId="1044D398"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18 954</w:t>
            </w:r>
          </w:p>
        </w:tc>
      </w:tr>
      <w:tr w:rsidR="006B36E6" w:rsidRPr="00167A1B" w14:paraId="5609D52C" w14:textId="77777777" w:rsidTr="00BC7958">
        <w:trPr>
          <w:trHeight w:val="285"/>
        </w:trPr>
        <w:tc>
          <w:tcPr>
            <w:tcW w:w="701" w:type="pct"/>
            <w:tcBorders>
              <w:top w:val="nil"/>
              <w:bottom w:val="nil"/>
            </w:tcBorders>
            <w:noWrap/>
            <w:vAlign w:val="center"/>
            <w:hideMark/>
          </w:tcPr>
          <w:p w14:paraId="41BA7003"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noWrap/>
            <w:vAlign w:val="center"/>
            <w:hideMark/>
          </w:tcPr>
          <w:p w14:paraId="2867FD01"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Difference with baseline</w:t>
            </w:r>
          </w:p>
        </w:tc>
        <w:tc>
          <w:tcPr>
            <w:tcW w:w="450" w:type="pct"/>
            <w:noWrap/>
            <w:vAlign w:val="center"/>
            <w:hideMark/>
          </w:tcPr>
          <w:p w14:paraId="3861E801"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 </w:t>
            </w:r>
          </w:p>
        </w:tc>
        <w:tc>
          <w:tcPr>
            <w:tcW w:w="511" w:type="pct"/>
            <w:noWrap/>
            <w:vAlign w:val="center"/>
            <w:hideMark/>
          </w:tcPr>
          <w:p w14:paraId="1F0E43A2"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155</w:t>
            </w:r>
          </w:p>
        </w:tc>
        <w:tc>
          <w:tcPr>
            <w:tcW w:w="512" w:type="pct"/>
            <w:noWrap/>
            <w:vAlign w:val="center"/>
            <w:hideMark/>
          </w:tcPr>
          <w:p w14:paraId="01456C75"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-50</w:t>
            </w:r>
          </w:p>
        </w:tc>
        <w:tc>
          <w:tcPr>
            <w:tcW w:w="512" w:type="pct"/>
            <w:noWrap/>
            <w:vAlign w:val="center"/>
            <w:hideMark/>
          </w:tcPr>
          <w:p w14:paraId="5F5E665F"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99</w:t>
            </w:r>
          </w:p>
        </w:tc>
        <w:tc>
          <w:tcPr>
            <w:tcW w:w="511" w:type="pct"/>
            <w:noWrap/>
            <w:vAlign w:val="center"/>
            <w:hideMark/>
          </w:tcPr>
          <w:p w14:paraId="438A2840"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-507</w:t>
            </w:r>
          </w:p>
        </w:tc>
        <w:tc>
          <w:tcPr>
            <w:tcW w:w="512" w:type="pct"/>
            <w:noWrap/>
            <w:vAlign w:val="center"/>
            <w:hideMark/>
          </w:tcPr>
          <w:p w14:paraId="2636E71C"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-1 916</w:t>
            </w:r>
          </w:p>
        </w:tc>
        <w:tc>
          <w:tcPr>
            <w:tcW w:w="510" w:type="pct"/>
            <w:noWrap/>
            <w:vAlign w:val="center"/>
            <w:hideMark/>
          </w:tcPr>
          <w:p w14:paraId="234CD811"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-74</w:t>
            </w:r>
          </w:p>
        </w:tc>
      </w:tr>
      <w:tr w:rsidR="006B36E6" w:rsidRPr="00167A1B" w14:paraId="21222B38" w14:textId="77777777" w:rsidTr="00BC7958">
        <w:trPr>
          <w:trHeight w:val="300"/>
        </w:trPr>
        <w:tc>
          <w:tcPr>
            <w:tcW w:w="701" w:type="pct"/>
            <w:tcBorders>
              <w:top w:val="nil"/>
              <w:bottom w:val="single" w:sz="4" w:space="0" w:color="438EF1" w:themeColor="text2" w:themeTint="99"/>
            </w:tcBorders>
            <w:noWrap/>
            <w:vAlign w:val="center"/>
            <w:hideMark/>
          </w:tcPr>
          <w:p w14:paraId="5243E062"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tcBorders>
              <w:bottom w:val="single" w:sz="4" w:space="0" w:color="438EF1" w:themeColor="text2" w:themeTint="99"/>
            </w:tcBorders>
            <w:noWrap/>
            <w:vAlign w:val="center"/>
            <w:hideMark/>
          </w:tcPr>
          <w:p w14:paraId="110402EB"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As %</w:t>
            </w:r>
          </w:p>
        </w:tc>
        <w:tc>
          <w:tcPr>
            <w:tcW w:w="450" w:type="pct"/>
            <w:tcBorders>
              <w:bottom w:val="single" w:sz="4" w:space="0" w:color="438EF1" w:themeColor="text2" w:themeTint="99"/>
            </w:tcBorders>
            <w:noWrap/>
            <w:vAlign w:val="center"/>
            <w:hideMark/>
          </w:tcPr>
          <w:p w14:paraId="61F0B9C0"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 </w:t>
            </w:r>
          </w:p>
        </w:tc>
        <w:tc>
          <w:tcPr>
            <w:tcW w:w="511" w:type="pct"/>
            <w:tcBorders>
              <w:bottom w:val="single" w:sz="4" w:space="0" w:color="438EF1" w:themeColor="text2" w:themeTint="99"/>
            </w:tcBorders>
            <w:noWrap/>
            <w:vAlign w:val="center"/>
            <w:hideMark/>
          </w:tcPr>
          <w:p w14:paraId="6B12E66B"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0.8%</w:t>
            </w:r>
          </w:p>
        </w:tc>
        <w:tc>
          <w:tcPr>
            <w:tcW w:w="512" w:type="pct"/>
            <w:tcBorders>
              <w:bottom w:val="single" w:sz="4" w:space="0" w:color="438EF1" w:themeColor="text2" w:themeTint="99"/>
            </w:tcBorders>
            <w:noWrap/>
            <w:vAlign w:val="center"/>
            <w:hideMark/>
          </w:tcPr>
          <w:p w14:paraId="4F1E97BF"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-0.3%</w:t>
            </w:r>
          </w:p>
        </w:tc>
        <w:tc>
          <w:tcPr>
            <w:tcW w:w="512" w:type="pct"/>
            <w:tcBorders>
              <w:bottom w:val="single" w:sz="4" w:space="0" w:color="438EF1" w:themeColor="text2" w:themeTint="99"/>
            </w:tcBorders>
            <w:noWrap/>
            <w:vAlign w:val="center"/>
            <w:hideMark/>
          </w:tcPr>
          <w:p w14:paraId="63B06469"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0.5%</w:t>
            </w:r>
          </w:p>
        </w:tc>
        <w:tc>
          <w:tcPr>
            <w:tcW w:w="511" w:type="pct"/>
            <w:tcBorders>
              <w:bottom w:val="single" w:sz="4" w:space="0" w:color="438EF1" w:themeColor="text2" w:themeTint="99"/>
            </w:tcBorders>
            <w:noWrap/>
            <w:vAlign w:val="center"/>
            <w:hideMark/>
          </w:tcPr>
          <w:p w14:paraId="0108EAD0"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-2.7%</w:t>
            </w:r>
          </w:p>
        </w:tc>
        <w:tc>
          <w:tcPr>
            <w:tcW w:w="512" w:type="pct"/>
            <w:tcBorders>
              <w:bottom w:val="single" w:sz="4" w:space="0" w:color="438EF1" w:themeColor="text2" w:themeTint="99"/>
            </w:tcBorders>
            <w:noWrap/>
            <w:vAlign w:val="center"/>
            <w:hideMark/>
          </w:tcPr>
          <w:p w14:paraId="4E24D8CC"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-10.1%</w:t>
            </w:r>
          </w:p>
        </w:tc>
        <w:tc>
          <w:tcPr>
            <w:tcW w:w="510" w:type="pct"/>
            <w:tcBorders>
              <w:bottom w:val="single" w:sz="4" w:space="0" w:color="438EF1" w:themeColor="text2" w:themeTint="99"/>
            </w:tcBorders>
            <w:noWrap/>
            <w:vAlign w:val="center"/>
            <w:hideMark/>
          </w:tcPr>
          <w:p w14:paraId="769DDC87"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-0.4%</w:t>
            </w:r>
          </w:p>
        </w:tc>
      </w:tr>
      <w:tr w:rsidR="006B36E6" w:rsidRPr="00167A1B" w14:paraId="52EF9E00" w14:textId="77777777" w:rsidTr="00BC7958">
        <w:trPr>
          <w:trHeight w:val="285"/>
        </w:trPr>
        <w:tc>
          <w:tcPr>
            <w:tcW w:w="701" w:type="pct"/>
            <w:tcBorders>
              <w:top w:val="single" w:sz="4" w:space="0" w:color="438EF1" w:themeColor="text2" w:themeTint="99"/>
              <w:bottom w:val="nil"/>
            </w:tcBorders>
            <w:noWrap/>
            <w:vAlign w:val="center"/>
            <w:hideMark/>
          </w:tcPr>
          <w:p w14:paraId="36E0C6B5"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lastRenderedPageBreak/>
              <w:t>Of which Untreated [tonnes]</w:t>
            </w:r>
            <w:r w:rsidRPr="00167A1B">
              <w:rPr>
                <w:rStyle w:val="FootnoteReference"/>
                <w:b/>
                <w:szCs w:val="16"/>
              </w:rPr>
              <w:footnoteReference w:id="103"/>
            </w:r>
          </w:p>
        </w:tc>
        <w:tc>
          <w:tcPr>
            <w:tcW w:w="781" w:type="pct"/>
            <w:tcBorders>
              <w:top w:val="single" w:sz="4" w:space="0" w:color="438EF1" w:themeColor="text2" w:themeTint="99"/>
            </w:tcBorders>
            <w:noWrap/>
            <w:vAlign w:val="center"/>
            <w:hideMark/>
          </w:tcPr>
          <w:p w14:paraId="6833CC8B"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Total 2024-2030</w:t>
            </w:r>
          </w:p>
        </w:tc>
        <w:tc>
          <w:tcPr>
            <w:tcW w:w="450" w:type="pct"/>
            <w:tcBorders>
              <w:top w:val="single" w:sz="4" w:space="0" w:color="438EF1" w:themeColor="text2" w:themeTint="99"/>
            </w:tcBorders>
            <w:noWrap/>
            <w:vAlign w:val="center"/>
            <w:hideMark/>
          </w:tcPr>
          <w:p w14:paraId="263AD294"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bCs/>
                <w:sz w:val="16"/>
                <w:szCs w:val="16"/>
              </w:rPr>
              <w:t>27 365</w:t>
            </w:r>
          </w:p>
        </w:tc>
        <w:tc>
          <w:tcPr>
            <w:tcW w:w="511" w:type="pct"/>
            <w:tcBorders>
              <w:top w:val="single" w:sz="4" w:space="0" w:color="438EF1" w:themeColor="text2" w:themeTint="99"/>
            </w:tcBorders>
            <w:noWrap/>
            <w:vAlign w:val="center"/>
            <w:hideMark/>
          </w:tcPr>
          <w:p w14:paraId="39AD48B0"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bCs/>
                <w:sz w:val="16"/>
                <w:szCs w:val="16"/>
              </w:rPr>
              <w:t>27 580</w:t>
            </w:r>
          </w:p>
        </w:tc>
        <w:tc>
          <w:tcPr>
            <w:tcW w:w="512" w:type="pct"/>
            <w:tcBorders>
              <w:top w:val="single" w:sz="4" w:space="0" w:color="438EF1" w:themeColor="text2" w:themeTint="99"/>
            </w:tcBorders>
            <w:noWrap/>
            <w:vAlign w:val="center"/>
            <w:hideMark/>
          </w:tcPr>
          <w:p w14:paraId="47CA685F"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bCs/>
                <w:sz w:val="16"/>
                <w:szCs w:val="16"/>
              </w:rPr>
              <w:t>27 302</w:t>
            </w:r>
          </w:p>
        </w:tc>
        <w:tc>
          <w:tcPr>
            <w:tcW w:w="512" w:type="pct"/>
            <w:tcBorders>
              <w:top w:val="single" w:sz="4" w:space="0" w:color="438EF1" w:themeColor="text2" w:themeTint="99"/>
            </w:tcBorders>
            <w:noWrap/>
            <w:vAlign w:val="center"/>
            <w:hideMark/>
          </w:tcPr>
          <w:p w14:paraId="3B12D596"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bCs/>
                <w:sz w:val="16"/>
                <w:szCs w:val="16"/>
              </w:rPr>
              <w:t>27 504</w:t>
            </w:r>
          </w:p>
        </w:tc>
        <w:tc>
          <w:tcPr>
            <w:tcW w:w="511" w:type="pct"/>
            <w:tcBorders>
              <w:top w:val="single" w:sz="4" w:space="0" w:color="438EF1" w:themeColor="text2" w:themeTint="99"/>
            </w:tcBorders>
            <w:noWrap/>
            <w:vAlign w:val="center"/>
            <w:hideMark/>
          </w:tcPr>
          <w:p w14:paraId="5C98A37F"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bCs/>
                <w:sz w:val="16"/>
                <w:szCs w:val="16"/>
              </w:rPr>
              <w:t>26 677</w:t>
            </w:r>
          </w:p>
        </w:tc>
        <w:tc>
          <w:tcPr>
            <w:tcW w:w="512" w:type="pct"/>
            <w:tcBorders>
              <w:top w:val="single" w:sz="4" w:space="0" w:color="438EF1" w:themeColor="text2" w:themeTint="99"/>
            </w:tcBorders>
            <w:noWrap/>
            <w:vAlign w:val="center"/>
            <w:hideMark/>
          </w:tcPr>
          <w:p w14:paraId="66C52E54"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bCs/>
                <w:sz w:val="16"/>
                <w:szCs w:val="16"/>
              </w:rPr>
              <w:t>24 786</w:t>
            </w:r>
          </w:p>
        </w:tc>
        <w:tc>
          <w:tcPr>
            <w:tcW w:w="510" w:type="pct"/>
            <w:tcBorders>
              <w:top w:val="single" w:sz="4" w:space="0" w:color="438EF1" w:themeColor="text2" w:themeTint="99"/>
            </w:tcBorders>
            <w:noWrap/>
            <w:vAlign w:val="center"/>
            <w:hideMark/>
          </w:tcPr>
          <w:p w14:paraId="358F3BA3"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bCs/>
                <w:sz w:val="16"/>
                <w:szCs w:val="16"/>
              </w:rPr>
              <w:t>27 266</w:t>
            </w:r>
          </w:p>
        </w:tc>
      </w:tr>
      <w:tr w:rsidR="006B36E6" w:rsidRPr="00167A1B" w14:paraId="4BF80F7F" w14:textId="77777777" w:rsidTr="00BC7958">
        <w:trPr>
          <w:trHeight w:val="300"/>
        </w:trPr>
        <w:tc>
          <w:tcPr>
            <w:tcW w:w="701" w:type="pct"/>
            <w:tcBorders>
              <w:top w:val="nil"/>
              <w:bottom w:val="nil"/>
            </w:tcBorders>
            <w:noWrap/>
            <w:vAlign w:val="center"/>
            <w:hideMark/>
          </w:tcPr>
          <w:p w14:paraId="4D8D5245"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noWrap/>
            <w:vAlign w:val="center"/>
            <w:hideMark/>
          </w:tcPr>
          <w:p w14:paraId="419A0CF7"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Difference with baseline</w:t>
            </w:r>
          </w:p>
        </w:tc>
        <w:tc>
          <w:tcPr>
            <w:tcW w:w="450" w:type="pct"/>
            <w:noWrap/>
            <w:vAlign w:val="center"/>
            <w:hideMark/>
          </w:tcPr>
          <w:p w14:paraId="4DF028C9"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 </w:t>
            </w:r>
          </w:p>
        </w:tc>
        <w:tc>
          <w:tcPr>
            <w:tcW w:w="511" w:type="pct"/>
            <w:noWrap/>
            <w:vAlign w:val="center"/>
            <w:hideMark/>
          </w:tcPr>
          <w:p w14:paraId="115984AF"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215</w:t>
            </w:r>
          </w:p>
        </w:tc>
        <w:tc>
          <w:tcPr>
            <w:tcW w:w="512" w:type="pct"/>
            <w:noWrap/>
            <w:vAlign w:val="center"/>
            <w:hideMark/>
          </w:tcPr>
          <w:p w14:paraId="3243E300"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-63</w:t>
            </w:r>
          </w:p>
        </w:tc>
        <w:tc>
          <w:tcPr>
            <w:tcW w:w="512" w:type="pct"/>
            <w:noWrap/>
            <w:vAlign w:val="center"/>
            <w:hideMark/>
          </w:tcPr>
          <w:p w14:paraId="71683E08"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139</w:t>
            </w:r>
          </w:p>
        </w:tc>
        <w:tc>
          <w:tcPr>
            <w:tcW w:w="511" w:type="pct"/>
            <w:noWrap/>
            <w:vAlign w:val="center"/>
            <w:hideMark/>
          </w:tcPr>
          <w:p w14:paraId="47209A3D"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-688</w:t>
            </w:r>
          </w:p>
        </w:tc>
        <w:tc>
          <w:tcPr>
            <w:tcW w:w="512" w:type="pct"/>
            <w:noWrap/>
            <w:vAlign w:val="center"/>
            <w:hideMark/>
          </w:tcPr>
          <w:p w14:paraId="48C9EE33"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-2 579</w:t>
            </w:r>
          </w:p>
        </w:tc>
        <w:tc>
          <w:tcPr>
            <w:tcW w:w="510" w:type="pct"/>
            <w:noWrap/>
            <w:vAlign w:val="center"/>
            <w:hideMark/>
          </w:tcPr>
          <w:p w14:paraId="05C404C8"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-99</w:t>
            </w:r>
          </w:p>
        </w:tc>
      </w:tr>
      <w:tr w:rsidR="006B36E6" w:rsidRPr="00167A1B" w14:paraId="72B07198" w14:textId="77777777" w:rsidTr="00BC7958">
        <w:trPr>
          <w:trHeight w:val="285"/>
        </w:trPr>
        <w:tc>
          <w:tcPr>
            <w:tcW w:w="701" w:type="pct"/>
            <w:tcBorders>
              <w:top w:val="nil"/>
              <w:bottom w:val="nil"/>
            </w:tcBorders>
            <w:noWrap/>
            <w:vAlign w:val="center"/>
            <w:hideMark/>
          </w:tcPr>
          <w:p w14:paraId="067766BD"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noWrap/>
            <w:vAlign w:val="center"/>
            <w:hideMark/>
          </w:tcPr>
          <w:p w14:paraId="2DAD0DD8"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Annual average</w:t>
            </w:r>
          </w:p>
        </w:tc>
        <w:tc>
          <w:tcPr>
            <w:tcW w:w="450" w:type="pct"/>
            <w:noWrap/>
            <w:vAlign w:val="center"/>
            <w:hideMark/>
          </w:tcPr>
          <w:p w14:paraId="62F8DF40"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3 909</w:t>
            </w:r>
          </w:p>
        </w:tc>
        <w:tc>
          <w:tcPr>
            <w:tcW w:w="511" w:type="pct"/>
            <w:noWrap/>
            <w:vAlign w:val="center"/>
            <w:hideMark/>
          </w:tcPr>
          <w:p w14:paraId="0099748B"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3 940</w:t>
            </w:r>
          </w:p>
        </w:tc>
        <w:tc>
          <w:tcPr>
            <w:tcW w:w="512" w:type="pct"/>
            <w:noWrap/>
            <w:vAlign w:val="center"/>
            <w:hideMark/>
          </w:tcPr>
          <w:p w14:paraId="1A18A741"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3 900</w:t>
            </w:r>
          </w:p>
        </w:tc>
        <w:tc>
          <w:tcPr>
            <w:tcW w:w="512" w:type="pct"/>
            <w:noWrap/>
            <w:vAlign w:val="center"/>
            <w:hideMark/>
          </w:tcPr>
          <w:p w14:paraId="3ED52947"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3 929</w:t>
            </w:r>
          </w:p>
        </w:tc>
        <w:tc>
          <w:tcPr>
            <w:tcW w:w="511" w:type="pct"/>
            <w:noWrap/>
            <w:vAlign w:val="center"/>
            <w:hideMark/>
          </w:tcPr>
          <w:p w14:paraId="129D64C5"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3 811</w:t>
            </w:r>
          </w:p>
        </w:tc>
        <w:tc>
          <w:tcPr>
            <w:tcW w:w="512" w:type="pct"/>
            <w:noWrap/>
            <w:vAlign w:val="center"/>
            <w:hideMark/>
          </w:tcPr>
          <w:p w14:paraId="3B2F9ECD"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3 541</w:t>
            </w:r>
          </w:p>
        </w:tc>
        <w:tc>
          <w:tcPr>
            <w:tcW w:w="510" w:type="pct"/>
            <w:noWrap/>
            <w:vAlign w:val="center"/>
            <w:hideMark/>
          </w:tcPr>
          <w:p w14:paraId="2CEBF205"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3 895</w:t>
            </w:r>
          </w:p>
        </w:tc>
      </w:tr>
      <w:tr w:rsidR="006B36E6" w:rsidRPr="00167A1B" w14:paraId="253CD721" w14:textId="77777777" w:rsidTr="00BC7958">
        <w:trPr>
          <w:trHeight w:val="300"/>
        </w:trPr>
        <w:tc>
          <w:tcPr>
            <w:tcW w:w="701" w:type="pct"/>
            <w:tcBorders>
              <w:top w:val="nil"/>
              <w:bottom w:val="nil"/>
            </w:tcBorders>
            <w:noWrap/>
            <w:vAlign w:val="center"/>
            <w:hideMark/>
          </w:tcPr>
          <w:p w14:paraId="7602D4DE"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noWrap/>
            <w:vAlign w:val="center"/>
            <w:hideMark/>
          </w:tcPr>
          <w:p w14:paraId="65AD4434"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Difference with baseline</w:t>
            </w:r>
          </w:p>
        </w:tc>
        <w:tc>
          <w:tcPr>
            <w:tcW w:w="450" w:type="pct"/>
            <w:noWrap/>
            <w:vAlign w:val="center"/>
            <w:hideMark/>
          </w:tcPr>
          <w:p w14:paraId="431E6CF6"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 </w:t>
            </w:r>
          </w:p>
        </w:tc>
        <w:tc>
          <w:tcPr>
            <w:tcW w:w="511" w:type="pct"/>
            <w:noWrap/>
            <w:vAlign w:val="center"/>
            <w:hideMark/>
          </w:tcPr>
          <w:p w14:paraId="0146ECB1"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31</w:t>
            </w:r>
          </w:p>
        </w:tc>
        <w:tc>
          <w:tcPr>
            <w:tcW w:w="512" w:type="pct"/>
            <w:noWrap/>
            <w:vAlign w:val="center"/>
            <w:hideMark/>
          </w:tcPr>
          <w:p w14:paraId="18F2F52E"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-9</w:t>
            </w:r>
          </w:p>
        </w:tc>
        <w:tc>
          <w:tcPr>
            <w:tcW w:w="512" w:type="pct"/>
            <w:noWrap/>
            <w:vAlign w:val="center"/>
            <w:hideMark/>
          </w:tcPr>
          <w:p w14:paraId="3BB4A600"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20</w:t>
            </w:r>
          </w:p>
        </w:tc>
        <w:tc>
          <w:tcPr>
            <w:tcW w:w="511" w:type="pct"/>
            <w:noWrap/>
            <w:vAlign w:val="center"/>
            <w:hideMark/>
          </w:tcPr>
          <w:p w14:paraId="1C512D80"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-98</w:t>
            </w:r>
          </w:p>
        </w:tc>
        <w:tc>
          <w:tcPr>
            <w:tcW w:w="512" w:type="pct"/>
            <w:noWrap/>
            <w:vAlign w:val="center"/>
            <w:hideMark/>
          </w:tcPr>
          <w:p w14:paraId="714B3B0C"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-368</w:t>
            </w:r>
          </w:p>
        </w:tc>
        <w:tc>
          <w:tcPr>
            <w:tcW w:w="510" w:type="pct"/>
            <w:noWrap/>
            <w:vAlign w:val="center"/>
            <w:hideMark/>
          </w:tcPr>
          <w:p w14:paraId="6E253A5C"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-14</w:t>
            </w:r>
          </w:p>
        </w:tc>
      </w:tr>
      <w:tr w:rsidR="006B36E6" w:rsidRPr="00167A1B" w14:paraId="287DE6F9" w14:textId="77777777" w:rsidTr="00BC7958">
        <w:trPr>
          <w:trHeight w:val="285"/>
        </w:trPr>
        <w:tc>
          <w:tcPr>
            <w:tcW w:w="701" w:type="pct"/>
            <w:tcBorders>
              <w:top w:val="nil"/>
              <w:bottom w:val="single" w:sz="4" w:space="0" w:color="438EF1" w:themeColor="text2" w:themeTint="99"/>
            </w:tcBorders>
            <w:noWrap/>
            <w:vAlign w:val="center"/>
            <w:hideMark/>
          </w:tcPr>
          <w:p w14:paraId="2A15E2A2"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tcBorders>
              <w:bottom w:val="single" w:sz="4" w:space="0" w:color="438EF1" w:themeColor="text2" w:themeTint="99"/>
            </w:tcBorders>
            <w:noWrap/>
            <w:vAlign w:val="center"/>
            <w:hideMark/>
          </w:tcPr>
          <w:p w14:paraId="24A42BEF"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As %</w:t>
            </w:r>
          </w:p>
        </w:tc>
        <w:tc>
          <w:tcPr>
            <w:tcW w:w="450" w:type="pct"/>
            <w:tcBorders>
              <w:bottom w:val="single" w:sz="4" w:space="0" w:color="438EF1" w:themeColor="text2" w:themeTint="99"/>
            </w:tcBorders>
            <w:noWrap/>
            <w:vAlign w:val="center"/>
            <w:hideMark/>
          </w:tcPr>
          <w:p w14:paraId="49362373"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 </w:t>
            </w:r>
          </w:p>
        </w:tc>
        <w:tc>
          <w:tcPr>
            <w:tcW w:w="511" w:type="pct"/>
            <w:tcBorders>
              <w:bottom w:val="single" w:sz="4" w:space="0" w:color="438EF1" w:themeColor="text2" w:themeTint="99"/>
            </w:tcBorders>
            <w:noWrap/>
            <w:vAlign w:val="center"/>
            <w:hideMark/>
          </w:tcPr>
          <w:p w14:paraId="3CFAD263"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0.8%</w:t>
            </w:r>
          </w:p>
        </w:tc>
        <w:tc>
          <w:tcPr>
            <w:tcW w:w="512" w:type="pct"/>
            <w:tcBorders>
              <w:bottom w:val="single" w:sz="4" w:space="0" w:color="438EF1" w:themeColor="text2" w:themeTint="99"/>
            </w:tcBorders>
            <w:noWrap/>
            <w:vAlign w:val="center"/>
            <w:hideMark/>
          </w:tcPr>
          <w:p w14:paraId="7D65F11C"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-0.2%</w:t>
            </w:r>
          </w:p>
        </w:tc>
        <w:tc>
          <w:tcPr>
            <w:tcW w:w="512" w:type="pct"/>
            <w:tcBorders>
              <w:bottom w:val="single" w:sz="4" w:space="0" w:color="438EF1" w:themeColor="text2" w:themeTint="99"/>
            </w:tcBorders>
            <w:noWrap/>
            <w:vAlign w:val="center"/>
            <w:hideMark/>
          </w:tcPr>
          <w:p w14:paraId="4ADFB482"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0.5%</w:t>
            </w:r>
          </w:p>
        </w:tc>
        <w:tc>
          <w:tcPr>
            <w:tcW w:w="511" w:type="pct"/>
            <w:tcBorders>
              <w:bottom w:val="single" w:sz="4" w:space="0" w:color="438EF1" w:themeColor="text2" w:themeTint="99"/>
            </w:tcBorders>
            <w:noWrap/>
            <w:vAlign w:val="center"/>
            <w:hideMark/>
          </w:tcPr>
          <w:p w14:paraId="031CCA74"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-2.5%</w:t>
            </w:r>
          </w:p>
        </w:tc>
        <w:tc>
          <w:tcPr>
            <w:tcW w:w="512" w:type="pct"/>
            <w:tcBorders>
              <w:bottom w:val="single" w:sz="4" w:space="0" w:color="438EF1" w:themeColor="text2" w:themeTint="99"/>
            </w:tcBorders>
            <w:noWrap/>
            <w:vAlign w:val="center"/>
            <w:hideMark/>
          </w:tcPr>
          <w:p w14:paraId="028F74D9"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-9.4%</w:t>
            </w:r>
          </w:p>
        </w:tc>
        <w:tc>
          <w:tcPr>
            <w:tcW w:w="510" w:type="pct"/>
            <w:tcBorders>
              <w:bottom w:val="single" w:sz="4" w:space="0" w:color="438EF1" w:themeColor="text2" w:themeTint="99"/>
            </w:tcBorders>
            <w:noWrap/>
            <w:vAlign w:val="center"/>
            <w:hideMark/>
          </w:tcPr>
          <w:p w14:paraId="54825EDB"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-0.4%</w:t>
            </w:r>
          </w:p>
        </w:tc>
      </w:tr>
      <w:tr w:rsidR="006B36E6" w:rsidRPr="00167A1B" w14:paraId="4C908D2C" w14:textId="77777777" w:rsidTr="00BC7958">
        <w:trPr>
          <w:trHeight w:val="300"/>
        </w:trPr>
        <w:tc>
          <w:tcPr>
            <w:tcW w:w="701" w:type="pct"/>
            <w:tcBorders>
              <w:top w:val="single" w:sz="4" w:space="0" w:color="438EF1" w:themeColor="text2" w:themeTint="99"/>
              <w:bottom w:val="nil"/>
            </w:tcBorders>
            <w:noWrap/>
            <w:vAlign w:val="center"/>
            <w:hideMark/>
          </w:tcPr>
          <w:p w14:paraId="0112B47B"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Of which Recycled [tonnes]</w:t>
            </w:r>
            <w:r w:rsidRPr="00167A1B">
              <w:rPr>
                <w:rStyle w:val="FootnoteReference"/>
                <w:b/>
                <w:szCs w:val="16"/>
              </w:rPr>
              <w:footnoteReference w:id="104"/>
            </w:r>
          </w:p>
        </w:tc>
        <w:tc>
          <w:tcPr>
            <w:tcW w:w="781" w:type="pct"/>
            <w:tcBorders>
              <w:top w:val="single" w:sz="4" w:space="0" w:color="438EF1" w:themeColor="text2" w:themeTint="99"/>
            </w:tcBorders>
            <w:noWrap/>
            <w:vAlign w:val="center"/>
            <w:hideMark/>
          </w:tcPr>
          <w:p w14:paraId="45A273E0" w14:textId="77777777" w:rsidR="006B36E6" w:rsidRPr="00167A1B" w:rsidRDefault="006B36E6" w:rsidP="009D260B">
            <w:pPr>
              <w:spacing w:after="0"/>
              <w:jc w:val="left"/>
              <w:rPr>
                <w:rFonts w:ascii="Trebuchet MS" w:hAnsi="Trebuchet MS"/>
                <w:b/>
                <w:sz w:val="16"/>
                <w:szCs w:val="16"/>
              </w:rPr>
            </w:pPr>
            <w:r w:rsidRPr="00167A1B">
              <w:rPr>
                <w:rFonts w:ascii="Trebuchet MS" w:hAnsi="Trebuchet MS"/>
                <w:b/>
                <w:sz w:val="16"/>
                <w:szCs w:val="16"/>
              </w:rPr>
              <w:t>Total 2024-2030</w:t>
            </w:r>
          </w:p>
        </w:tc>
        <w:tc>
          <w:tcPr>
            <w:tcW w:w="450" w:type="pct"/>
            <w:tcBorders>
              <w:top w:val="single" w:sz="4" w:space="0" w:color="438EF1" w:themeColor="text2" w:themeTint="99"/>
            </w:tcBorders>
            <w:noWrap/>
            <w:vAlign w:val="center"/>
            <w:hideMark/>
          </w:tcPr>
          <w:p w14:paraId="04444421"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70 685</w:t>
            </w:r>
          </w:p>
        </w:tc>
        <w:tc>
          <w:tcPr>
            <w:tcW w:w="511" w:type="pct"/>
            <w:tcBorders>
              <w:top w:val="single" w:sz="4" w:space="0" w:color="438EF1" w:themeColor="text2" w:themeTint="99"/>
            </w:tcBorders>
            <w:noWrap/>
            <w:vAlign w:val="center"/>
            <w:hideMark/>
          </w:tcPr>
          <w:p w14:paraId="49F64635"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71 330</w:t>
            </w:r>
          </w:p>
        </w:tc>
        <w:tc>
          <w:tcPr>
            <w:tcW w:w="512" w:type="pct"/>
            <w:tcBorders>
              <w:top w:val="single" w:sz="4" w:space="0" w:color="438EF1" w:themeColor="text2" w:themeTint="99"/>
            </w:tcBorders>
            <w:noWrap/>
            <w:vAlign w:val="center"/>
            <w:hideMark/>
          </w:tcPr>
          <w:p w14:paraId="07F03D25"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70 556</w:t>
            </w:r>
          </w:p>
        </w:tc>
        <w:tc>
          <w:tcPr>
            <w:tcW w:w="512" w:type="pct"/>
            <w:tcBorders>
              <w:top w:val="single" w:sz="4" w:space="0" w:color="438EF1" w:themeColor="text2" w:themeTint="99"/>
            </w:tcBorders>
            <w:noWrap/>
            <w:vAlign w:val="center"/>
            <w:hideMark/>
          </w:tcPr>
          <w:p w14:paraId="26665869"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71 070</w:t>
            </w:r>
          </w:p>
        </w:tc>
        <w:tc>
          <w:tcPr>
            <w:tcW w:w="511" w:type="pct"/>
            <w:tcBorders>
              <w:top w:val="single" w:sz="4" w:space="0" w:color="438EF1" w:themeColor="text2" w:themeTint="99"/>
            </w:tcBorders>
            <w:noWrap/>
            <w:vAlign w:val="center"/>
            <w:hideMark/>
          </w:tcPr>
          <w:p w14:paraId="3F5A6ED0"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69 087</w:t>
            </w:r>
          </w:p>
        </w:tc>
        <w:tc>
          <w:tcPr>
            <w:tcW w:w="512" w:type="pct"/>
            <w:tcBorders>
              <w:top w:val="single" w:sz="4" w:space="0" w:color="438EF1" w:themeColor="text2" w:themeTint="99"/>
            </w:tcBorders>
            <w:noWrap/>
            <w:vAlign w:val="center"/>
            <w:hideMark/>
          </w:tcPr>
          <w:p w14:paraId="0B5A0406"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bCs/>
                <w:sz w:val="16"/>
                <w:szCs w:val="16"/>
              </w:rPr>
              <w:t>63 072</w:t>
            </w:r>
          </w:p>
        </w:tc>
        <w:tc>
          <w:tcPr>
            <w:tcW w:w="510" w:type="pct"/>
            <w:tcBorders>
              <w:top w:val="single" w:sz="4" w:space="0" w:color="438EF1" w:themeColor="text2" w:themeTint="99"/>
            </w:tcBorders>
            <w:noWrap/>
            <w:vAlign w:val="center"/>
            <w:hideMark/>
          </w:tcPr>
          <w:p w14:paraId="17590138" w14:textId="77777777" w:rsidR="006B36E6" w:rsidRPr="00167A1B" w:rsidRDefault="006B36E6" w:rsidP="009D260B">
            <w:pPr>
              <w:spacing w:after="0"/>
              <w:jc w:val="right"/>
              <w:rPr>
                <w:rFonts w:ascii="Trebuchet MS" w:hAnsi="Trebuchet MS"/>
                <w:b/>
                <w:sz w:val="16"/>
                <w:szCs w:val="16"/>
              </w:rPr>
            </w:pPr>
            <w:r w:rsidRPr="00167A1B">
              <w:rPr>
                <w:rFonts w:ascii="Trebuchet MS" w:hAnsi="Trebuchet MS"/>
                <w:b/>
                <w:sz w:val="16"/>
                <w:szCs w:val="16"/>
              </w:rPr>
              <w:t>70 413</w:t>
            </w:r>
          </w:p>
        </w:tc>
      </w:tr>
      <w:tr w:rsidR="006B36E6" w:rsidRPr="00167A1B" w14:paraId="1B1391A1" w14:textId="77777777" w:rsidTr="00BC7958">
        <w:trPr>
          <w:trHeight w:val="285"/>
        </w:trPr>
        <w:tc>
          <w:tcPr>
            <w:tcW w:w="701" w:type="pct"/>
            <w:tcBorders>
              <w:top w:val="nil"/>
              <w:bottom w:val="nil"/>
            </w:tcBorders>
            <w:noWrap/>
            <w:vAlign w:val="center"/>
            <w:hideMark/>
          </w:tcPr>
          <w:p w14:paraId="6084A3EE"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noWrap/>
            <w:vAlign w:val="center"/>
            <w:hideMark/>
          </w:tcPr>
          <w:p w14:paraId="5B91BE39"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Difference with baseline</w:t>
            </w:r>
          </w:p>
        </w:tc>
        <w:tc>
          <w:tcPr>
            <w:tcW w:w="450" w:type="pct"/>
            <w:noWrap/>
            <w:vAlign w:val="center"/>
            <w:hideMark/>
          </w:tcPr>
          <w:p w14:paraId="013B659B"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 </w:t>
            </w:r>
          </w:p>
        </w:tc>
        <w:tc>
          <w:tcPr>
            <w:tcW w:w="511" w:type="pct"/>
            <w:noWrap/>
            <w:vAlign w:val="center"/>
            <w:hideMark/>
          </w:tcPr>
          <w:p w14:paraId="5EB59711"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645</w:t>
            </w:r>
          </w:p>
        </w:tc>
        <w:tc>
          <w:tcPr>
            <w:tcW w:w="512" w:type="pct"/>
            <w:noWrap/>
            <w:vAlign w:val="center"/>
            <w:hideMark/>
          </w:tcPr>
          <w:p w14:paraId="77714403"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-129</w:t>
            </w:r>
          </w:p>
        </w:tc>
        <w:tc>
          <w:tcPr>
            <w:tcW w:w="512" w:type="pct"/>
            <w:noWrap/>
            <w:vAlign w:val="center"/>
            <w:hideMark/>
          </w:tcPr>
          <w:p w14:paraId="4F4B0E6A"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386</w:t>
            </w:r>
          </w:p>
        </w:tc>
        <w:tc>
          <w:tcPr>
            <w:tcW w:w="511" w:type="pct"/>
            <w:noWrap/>
            <w:vAlign w:val="center"/>
            <w:hideMark/>
          </w:tcPr>
          <w:p w14:paraId="0D74E4EF"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-1 597</w:t>
            </w:r>
          </w:p>
        </w:tc>
        <w:tc>
          <w:tcPr>
            <w:tcW w:w="512" w:type="pct"/>
            <w:noWrap/>
            <w:vAlign w:val="center"/>
            <w:hideMark/>
          </w:tcPr>
          <w:p w14:paraId="587F51EE"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-7 613</w:t>
            </w:r>
          </w:p>
        </w:tc>
        <w:tc>
          <w:tcPr>
            <w:tcW w:w="510" w:type="pct"/>
            <w:noWrap/>
            <w:vAlign w:val="center"/>
            <w:hideMark/>
          </w:tcPr>
          <w:p w14:paraId="2776FEA4"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-272</w:t>
            </w:r>
          </w:p>
        </w:tc>
      </w:tr>
      <w:tr w:rsidR="006B36E6" w:rsidRPr="00167A1B" w14:paraId="14F7AF67" w14:textId="77777777" w:rsidTr="00BC7958">
        <w:trPr>
          <w:trHeight w:val="300"/>
        </w:trPr>
        <w:tc>
          <w:tcPr>
            <w:tcW w:w="701" w:type="pct"/>
            <w:tcBorders>
              <w:top w:val="nil"/>
              <w:bottom w:val="nil"/>
            </w:tcBorders>
            <w:noWrap/>
            <w:vAlign w:val="center"/>
            <w:hideMark/>
          </w:tcPr>
          <w:p w14:paraId="58C67BDE"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noWrap/>
            <w:vAlign w:val="center"/>
            <w:hideMark/>
          </w:tcPr>
          <w:p w14:paraId="518ADE32"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Annual average</w:t>
            </w:r>
          </w:p>
        </w:tc>
        <w:tc>
          <w:tcPr>
            <w:tcW w:w="450" w:type="pct"/>
            <w:noWrap/>
            <w:vAlign w:val="center"/>
            <w:hideMark/>
          </w:tcPr>
          <w:p w14:paraId="577B093E"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10 098</w:t>
            </w:r>
          </w:p>
        </w:tc>
        <w:tc>
          <w:tcPr>
            <w:tcW w:w="511" w:type="pct"/>
            <w:noWrap/>
            <w:vAlign w:val="center"/>
            <w:hideMark/>
          </w:tcPr>
          <w:p w14:paraId="261E6AA3"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10 190</w:t>
            </w:r>
          </w:p>
        </w:tc>
        <w:tc>
          <w:tcPr>
            <w:tcW w:w="512" w:type="pct"/>
            <w:noWrap/>
            <w:vAlign w:val="center"/>
            <w:hideMark/>
          </w:tcPr>
          <w:p w14:paraId="77EDC441"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10 079</w:t>
            </w:r>
          </w:p>
        </w:tc>
        <w:tc>
          <w:tcPr>
            <w:tcW w:w="512" w:type="pct"/>
            <w:noWrap/>
            <w:vAlign w:val="center"/>
            <w:hideMark/>
          </w:tcPr>
          <w:p w14:paraId="778EF808"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10 153</w:t>
            </w:r>
          </w:p>
        </w:tc>
        <w:tc>
          <w:tcPr>
            <w:tcW w:w="511" w:type="pct"/>
            <w:noWrap/>
            <w:vAlign w:val="center"/>
            <w:hideMark/>
          </w:tcPr>
          <w:p w14:paraId="42CE4603"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9 870</w:t>
            </w:r>
          </w:p>
        </w:tc>
        <w:tc>
          <w:tcPr>
            <w:tcW w:w="512" w:type="pct"/>
            <w:noWrap/>
            <w:vAlign w:val="center"/>
            <w:hideMark/>
          </w:tcPr>
          <w:p w14:paraId="7E60CBB6"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9 010</w:t>
            </w:r>
          </w:p>
        </w:tc>
        <w:tc>
          <w:tcPr>
            <w:tcW w:w="510" w:type="pct"/>
            <w:noWrap/>
            <w:vAlign w:val="center"/>
            <w:hideMark/>
          </w:tcPr>
          <w:p w14:paraId="6273F129"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10 059</w:t>
            </w:r>
          </w:p>
        </w:tc>
      </w:tr>
      <w:tr w:rsidR="006B36E6" w:rsidRPr="00167A1B" w14:paraId="79F83ACA" w14:textId="77777777" w:rsidTr="00BC7958">
        <w:trPr>
          <w:trHeight w:val="270"/>
        </w:trPr>
        <w:tc>
          <w:tcPr>
            <w:tcW w:w="701" w:type="pct"/>
            <w:tcBorders>
              <w:top w:val="nil"/>
              <w:bottom w:val="nil"/>
            </w:tcBorders>
            <w:noWrap/>
            <w:vAlign w:val="center"/>
            <w:hideMark/>
          </w:tcPr>
          <w:p w14:paraId="7D10BF68"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noWrap/>
            <w:vAlign w:val="center"/>
            <w:hideMark/>
          </w:tcPr>
          <w:p w14:paraId="068BF371"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Difference with baseline</w:t>
            </w:r>
          </w:p>
        </w:tc>
        <w:tc>
          <w:tcPr>
            <w:tcW w:w="450" w:type="pct"/>
            <w:noWrap/>
            <w:vAlign w:val="center"/>
            <w:hideMark/>
          </w:tcPr>
          <w:p w14:paraId="4206F6DD"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 </w:t>
            </w:r>
          </w:p>
        </w:tc>
        <w:tc>
          <w:tcPr>
            <w:tcW w:w="511" w:type="pct"/>
            <w:noWrap/>
            <w:vAlign w:val="center"/>
            <w:hideMark/>
          </w:tcPr>
          <w:p w14:paraId="20395AB2"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92</w:t>
            </w:r>
          </w:p>
        </w:tc>
        <w:tc>
          <w:tcPr>
            <w:tcW w:w="512" w:type="pct"/>
            <w:noWrap/>
            <w:vAlign w:val="center"/>
            <w:hideMark/>
          </w:tcPr>
          <w:p w14:paraId="53593368"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-18</w:t>
            </w:r>
          </w:p>
        </w:tc>
        <w:tc>
          <w:tcPr>
            <w:tcW w:w="512" w:type="pct"/>
            <w:noWrap/>
            <w:vAlign w:val="center"/>
            <w:hideMark/>
          </w:tcPr>
          <w:p w14:paraId="20160755"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55</w:t>
            </w:r>
          </w:p>
        </w:tc>
        <w:tc>
          <w:tcPr>
            <w:tcW w:w="511" w:type="pct"/>
            <w:noWrap/>
            <w:vAlign w:val="center"/>
            <w:hideMark/>
          </w:tcPr>
          <w:p w14:paraId="08240699"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-228</w:t>
            </w:r>
          </w:p>
        </w:tc>
        <w:tc>
          <w:tcPr>
            <w:tcW w:w="512" w:type="pct"/>
            <w:noWrap/>
            <w:vAlign w:val="center"/>
            <w:hideMark/>
          </w:tcPr>
          <w:p w14:paraId="691DD054"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-1 088</w:t>
            </w:r>
          </w:p>
        </w:tc>
        <w:tc>
          <w:tcPr>
            <w:tcW w:w="510" w:type="pct"/>
            <w:noWrap/>
            <w:vAlign w:val="center"/>
            <w:hideMark/>
          </w:tcPr>
          <w:p w14:paraId="37CE21EC"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-39</w:t>
            </w:r>
          </w:p>
        </w:tc>
      </w:tr>
      <w:tr w:rsidR="006B36E6" w:rsidRPr="00167A1B" w14:paraId="60096858" w14:textId="77777777" w:rsidTr="00BC7958">
        <w:trPr>
          <w:trHeight w:val="270"/>
        </w:trPr>
        <w:tc>
          <w:tcPr>
            <w:tcW w:w="701" w:type="pct"/>
            <w:tcBorders>
              <w:top w:val="nil"/>
            </w:tcBorders>
            <w:noWrap/>
            <w:vAlign w:val="center"/>
            <w:hideMark/>
          </w:tcPr>
          <w:p w14:paraId="42F45257"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 </w:t>
            </w:r>
          </w:p>
        </w:tc>
        <w:tc>
          <w:tcPr>
            <w:tcW w:w="781" w:type="pct"/>
            <w:noWrap/>
            <w:vAlign w:val="center"/>
            <w:hideMark/>
          </w:tcPr>
          <w:p w14:paraId="3207B04B" w14:textId="77777777" w:rsidR="006B36E6" w:rsidRPr="00167A1B" w:rsidRDefault="006B36E6" w:rsidP="009D260B">
            <w:pPr>
              <w:spacing w:after="0"/>
              <w:jc w:val="left"/>
              <w:rPr>
                <w:rFonts w:ascii="Trebuchet MS" w:hAnsi="Trebuchet MS"/>
                <w:sz w:val="16"/>
                <w:szCs w:val="16"/>
              </w:rPr>
            </w:pPr>
            <w:r w:rsidRPr="00167A1B">
              <w:rPr>
                <w:rFonts w:ascii="Trebuchet MS" w:hAnsi="Trebuchet MS"/>
                <w:sz w:val="16"/>
                <w:szCs w:val="16"/>
              </w:rPr>
              <w:t>As %</w:t>
            </w:r>
          </w:p>
        </w:tc>
        <w:tc>
          <w:tcPr>
            <w:tcW w:w="450" w:type="pct"/>
            <w:noWrap/>
            <w:vAlign w:val="center"/>
            <w:hideMark/>
          </w:tcPr>
          <w:p w14:paraId="6C02FB2B" w14:textId="77777777" w:rsidR="006B36E6" w:rsidRPr="00167A1B" w:rsidRDefault="006B36E6" w:rsidP="009D260B">
            <w:pPr>
              <w:spacing w:after="0"/>
              <w:jc w:val="right"/>
              <w:rPr>
                <w:rFonts w:ascii="Trebuchet MS" w:hAnsi="Trebuchet MS"/>
                <w:sz w:val="16"/>
                <w:szCs w:val="16"/>
              </w:rPr>
            </w:pPr>
            <w:r w:rsidRPr="00167A1B">
              <w:rPr>
                <w:rFonts w:ascii="Trebuchet MS" w:hAnsi="Trebuchet MS"/>
                <w:sz w:val="16"/>
                <w:szCs w:val="16"/>
              </w:rPr>
              <w:t> </w:t>
            </w:r>
          </w:p>
        </w:tc>
        <w:tc>
          <w:tcPr>
            <w:tcW w:w="511" w:type="pct"/>
            <w:noWrap/>
            <w:vAlign w:val="center"/>
            <w:hideMark/>
          </w:tcPr>
          <w:p w14:paraId="496A9D3A"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0.9%</w:t>
            </w:r>
          </w:p>
        </w:tc>
        <w:tc>
          <w:tcPr>
            <w:tcW w:w="512" w:type="pct"/>
            <w:noWrap/>
            <w:vAlign w:val="center"/>
            <w:hideMark/>
          </w:tcPr>
          <w:p w14:paraId="1A1E969C"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-0.2%</w:t>
            </w:r>
          </w:p>
        </w:tc>
        <w:tc>
          <w:tcPr>
            <w:tcW w:w="512" w:type="pct"/>
            <w:noWrap/>
            <w:vAlign w:val="center"/>
            <w:hideMark/>
          </w:tcPr>
          <w:p w14:paraId="22849EAA" w14:textId="77777777" w:rsidR="006B36E6" w:rsidRPr="00167A1B" w:rsidRDefault="006B36E6" w:rsidP="009D260B">
            <w:pPr>
              <w:spacing w:after="0"/>
              <w:jc w:val="right"/>
              <w:rPr>
                <w:rFonts w:ascii="Trebuchet MS" w:hAnsi="Trebuchet MS"/>
                <w:color w:val="9C0006"/>
                <w:sz w:val="16"/>
                <w:szCs w:val="16"/>
              </w:rPr>
            </w:pPr>
            <w:r w:rsidRPr="00167A1B">
              <w:rPr>
                <w:rFonts w:ascii="Trebuchet MS" w:hAnsi="Trebuchet MS"/>
                <w:color w:val="9C0006"/>
                <w:sz w:val="16"/>
                <w:szCs w:val="16"/>
              </w:rPr>
              <w:t>0.5%</w:t>
            </w:r>
          </w:p>
        </w:tc>
        <w:tc>
          <w:tcPr>
            <w:tcW w:w="511" w:type="pct"/>
            <w:noWrap/>
            <w:vAlign w:val="center"/>
            <w:hideMark/>
          </w:tcPr>
          <w:p w14:paraId="54C797E1"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-2.3%</w:t>
            </w:r>
          </w:p>
        </w:tc>
        <w:tc>
          <w:tcPr>
            <w:tcW w:w="512" w:type="pct"/>
            <w:noWrap/>
            <w:vAlign w:val="center"/>
            <w:hideMark/>
          </w:tcPr>
          <w:p w14:paraId="081A6E74"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-10.8%</w:t>
            </w:r>
          </w:p>
        </w:tc>
        <w:tc>
          <w:tcPr>
            <w:tcW w:w="510" w:type="pct"/>
            <w:noWrap/>
            <w:vAlign w:val="center"/>
            <w:hideMark/>
          </w:tcPr>
          <w:p w14:paraId="790C1833" w14:textId="77777777" w:rsidR="006B36E6" w:rsidRPr="00167A1B" w:rsidRDefault="006B36E6" w:rsidP="009D260B">
            <w:pPr>
              <w:spacing w:after="0"/>
              <w:jc w:val="right"/>
              <w:rPr>
                <w:rFonts w:ascii="Trebuchet MS" w:hAnsi="Trebuchet MS"/>
                <w:color w:val="006100"/>
                <w:sz w:val="16"/>
                <w:szCs w:val="16"/>
              </w:rPr>
            </w:pPr>
            <w:r w:rsidRPr="00167A1B">
              <w:rPr>
                <w:rFonts w:ascii="Trebuchet MS" w:hAnsi="Trebuchet MS"/>
                <w:color w:val="006100"/>
                <w:sz w:val="16"/>
                <w:szCs w:val="16"/>
              </w:rPr>
              <w:t>-0.4%</w:t>
            </w:r>
          </w:p>
        </w:tc>
      </w:tr>
    </w:tbl>
    <w:p w14:paraId="63F4CFB5" w14:textId="7E09B97E" w:rsidR="006B36E6" w:rsidRPr="00167A1B" w:rsidRDefault="00BC7958" w:rsidP="008C1CDE">
      <w:pPr>
        <w:pStyle w:val="04ABodyText"/>
        <w:numPr>
          <w:ilvl w:val="0"/>
          <w:numId w:val="0"/>
        </w:numPr>
        <w:spacing w:after="0" w:line="240" w:lineRule="auto"/>
        <w:rPr>
          <w:sz w:val="18"/>
          <w:szCs w:val="18"/>
        </w:rPr>
      </w:pPr>
      <w:r w:rsidRPr="00167A1B">
        <w:rPr>
          <w:b/>
          <w:sz w:val="18"/>
          <w:szCs w:val="18"/>
        </w:rPr>
        <w:t>Source:</w:t>
      </w:r>
      <w:r w:rsidRPr="00167A1B">
        <w:rPr>
          <w:sz w:val="18"/>
          <w:szCs w:val="18"/>
        </w:rPr>
        <w:t xml:space="preserve">  Own TRI-STOCK-CHARGER model </w:t>
      </w:r>
      <w:r w:rsidR="006B36E6" w:rsidRPr="00167A1B">
        <w:rPr>
          <w:sz w:val="18"/>
          <w:szCs w:val="18"/>
        </w:rPr>
        <w:t xml:space="preserve">calculations. </w:t>
      </w:r>
    </w:p>
    <w:p w14:paraId="41D1477E" w14:textId="77777777" w:rsidR="006B36E6" w:rsidRPr="00167A1B" w:rsidRDefault="006B36E6" w:rsidP="006B36E6">
      <w:pPr>
        <w:pStyle w:val="title3"/>
      </w:pPr>
      <w:r w:rsidRPr="00167A1B">
        <w:t>GHG emissions</w:t>
      </w:r>
    </w:p>
    <w:p w14:paraId="14B08677" w14:textId="4B9EEADA" w:rsidR="006B36E6" w:rsidRPr="00167A1B" w:rsidRDefault="006B36E6" w:rsidP="006B36E6">
      <w:pPr>
        <w:pStyle w:val="BodyText1"/>
        <w:rPr>
          <w:noProof w:val="0"/>
        </w:rPr>
      </w:pPr>
      <w:r w:rsidRPr="00167A1B">
        <w:rPr>
          <w:noProof w:val="0"/>
        </w:rPr>
        <w:t xml:space="preserve">The GHG emissions impacts of chargers result from the extraction of resources, manufacture, transport, use and disposal of the charger, i.e. the full life-cycle emissions of the charger. The volume of the effect is highly dependent on the weight of the charger. The main assumptions for chargers were </w:t>
      </w:r>
      <w:r w:rsidR="00167A1B" w:rsidRPr="00167A1B">
        <w:rPr>
          <w:noProof w:val="0"/>
        </w:rPr>
        <w:t>presented in</w:t>
      </w:r>
      <w:r w:rsidRPr="00167A1B">
        <w:rPr>
          <w:noProof w:val="0"/>
        </w:rPr>
        <w:t xml:space="preserve"> chapter 4 whilst more detailed assumptions per policy option are described in Annex G. The combination of these assumptions, applied to the annual additions to the charger stock are used to calculate the annual GHG emission impact of the options. These are summarised in </w:t>
      </w:r>
      <w:r w:rsidRPr="00167A1B">
        <w:rPr>
          <w:noProof w:val="0"/>
          <w:highlight w:val="yellow"/>
        </w:rPr>
        <w:fldChar w:fldCharType="begin"/>
      </w:r>
      <w:r w:rsidRPr="00167A1B">
        <w:rPr>
          <w:noProof w:val="0"/>
        </w:rPr>
        <w:instrText xml:space="preserve"> REF _Ref70088479 \h </w:instrText>
      </w:r>
      <w:r w:rsidRPr="00167A1B">
        <w:rPr>
          <w:noProof w:val="0"/>
          <w:highlight w:val="yellow"/>
        </w:rPr>
      </w:r>
      <w:r w:rsidRPr="00167A1B">
        <w:rPr>
          <w:noProof w:val="0"/>
          <w:highlight w:val="yellow"/>
        </w:rPr>
        <w:fldChar w:fldCharType="separate"/>
      </w:r>
      <w:r w:rsidRPr="00167A1B">
        <w:rPr>
          <w:noProof w:val="0"/>
        </w:rPr>
        <w:t>Figure 5</w:t>
      </w:r>
      <w:r w:rsidRPr="00167A1B">
        <w:rPr>
          <w:noProof w:val="0"/>
          <w:highlight w:val="yellow"/>
        </w:rPr>
        <w:fldChar w:fldCharType="end"/>
      </w:r>
      <w:r w:rsidRPr="00167A1B">
        <w:rPr>
          <w:noProof w:val="0"/>
        </w:rPr>
        <w:t xml:space="preserve"> below.</w:t>
      </w:r>
    </w:p>
    <w:p w14:paraId="532346F7" w14:textId="77777777" w:rsidR="006B36E6" w:rsidRPr="00167A1B" w:rsidRDefault="006B36E6" w:rsidP="006B36E6">
      <w:pPr>
        <w:pStyle w:val="Caption"/>
      </w:pPr>
      <w:bookmarkStart w:id="43" w:name="_Ref69913009"/>
      <w:bookmarkStart w:id="44" w:name="_Ref70088479"/>
      <w:bookmarkStart w:id="45" w:name="_Ref70088445"/>
      <w:r w:rsidRPr="00167A1B">
        <w:t xml:space="preserve">Figure </w:t>
      </w:r>
      <w:bookmarkEnd w:id="43"/>
      <w:r w:rsidRPr="00167A1B">
        <w:fldChar w:fldCharType="begin"/>
      </w:r>
      <w:r w:rsidRPr="00167A1B">
        <w:instrText xml:space="preserve"> SEQ Figure \* ARABIC \s 1 </w:instrText>
      </w:r>
      <w:r w:rsidRPr="00167A1B">
        <w:fldChar w:fldCharType="separate"/>
      </w:r>
      <w:r w:rsidRPr="00167A1B">
        <w:t>5</w:t>
      </w:r>
      <w:r w:rsidRPr="00167A1B">
        <w:fldChar w:fldCharType="end"/>
      </w:r>
      <w:bookmarkEnd w:id="44"/>
      <w:r w:rsidRPr="00167A1B">
        <w:t>. GHG emissions impact of the policy options 2017-2030, ktCO2e</w:t>
      </w:r>
      <w:bookmarkEnd w:id="45"/>
    </w:p>
    <w:p w14:paraId="0B66535E" w14:textId="77777777" w:rsidR="006B36E6" w:rsidRPr="00167A1B" w:rsidRDefault="006B36E6" w:rsidP="006B36E6">
      <w:pPr>
        <w:pStyle w:val="04ABodyText"/>
        <w:numPr>
          <w:ilvl w:val="0"/>
          <w:numId w:val="0"/>
        </w:numPr>
      </w:pPr>
      <w:r w:rsidRPr="00167A1B">
        <w:rPr>
          <w:noProof/>
        </w:rPr>
        <w:drawing>
          <wp:inline distT="0" distB="0" distL="0" distR="0" wp14:anchorId="1A87615B" wp14:editId="56AEA25E">
            <wp:extent cx="5688330" cy="2987748"/>
            <wp:effectExtent l="0" t="0" r="7620" b="3175"/>
            <wp:docPr id="23" name="Chart 23">
              <a:extLst xmlns:a="http://schemas.openxmlformats.org/drawingml/2006/main">
                <a:ext uri="{FF2B5EF4-FFF2-40B4-BE49-F238E27FC236}">
                  <a16:creationId xmlns:a16="http://schemas.microsoft.com/office/drawing/2014/main" id="{5790E963-4800-4114-947B-8BBC9C87A9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167A1B">
        <w:t xml:space="preserve"> </w:t>
      </w:r>
    </w:p>
    <w:p w14:paraId="5779B122" w14:textId="40AE37FA" w:rsidR="006B36E6" w:rsidRPr="00167A1B" w:rsidRDefault="00BC7958" w:rsidP="006B36E6">
      <w:pPr>
        <w:pStyle w:val="Subtitle10"/>
        <w:rPr>
          <w:noProof w:val="0"/>
        </w:rPr>
      </w:pPr>
      <w:r w:rsidRPr="00167A1B">
        <w:rPr>
          <w:b/>
          <w:noProof w:val="0"/>
          <w:sz w:val="18"/>
          <w:szCs w:val="18"/>
        </w:rPr>
        <w:lastRenderedPageBreak/>
        <w:t>Source:</w:t>
      </w:r>
      <w:r w:rsidRPr="00167A1B">
        <w:rPr>
          <w:noProof w:val="0"/>
          <w:sz w:val="18"/>
          <w:szCs w:val="18"/>
        </w:rPr>
        <w:t xml:space="preserve">  Own TRI-STOCK-CHARGER model calculations. </w:t>
      </w:r>
      <w:r w:rsidR="006B36E6" w:rsidRPr="00167A1B">
        <w:rPr>
          <w:noProof w:val="0"/>
        </w:rPr>
        <w:t>Baseline</w:t>
      </w:r>
    </w:p>
    <w:p w14:paraId="728D5A9D" w14:textId="77777777" w:rsidR="006B36E6" w:rsidRPr="00167A1B" w:rsidRDefault="006B36E6" w:rsidP="006B36E6">
      <w:pPr>
        <w:pStyle w:val="BodyText1"/>
        <w:rPr>
          <w:b/>
          <w:bCs/>
          <w:noProof w:val="0"/>
        </w:rPr>
      </w:pPr>
      <w:r w:rsidRPr="00167A1B">
        <w:rPr>
          <w:noProof w:val="0"/>
        </w:rPr>
        <w:t xml:space="preserve">In the baseline emissions increase between 2017-2023 despite the decline in the number of EPS and cables added to the stock of chargers each year as smartphone sales decline and unbundling increases. The increase in emissions is driven by the switch to faster, more powerful EPS and the move to USB Type-C cables, both of which are heavier than the previously more common low (&lt;7.5W) power EPS and USB Micro-B cables. The weighted average weight of an EPS + cable combination is modelled to increase by 70% from 57g to 97g between 2017 and 2023 due to these trends. This weight increase drives the observed increase in emissions. The trend in weight increase per charger combination stabilises from 2024 onwards and even declines a little as lighter EPS, e.g. using GaN, become more common. These effects, combined with a continued (small) decline in smartphone and standalone charger sales leads to the observed decline in baseline GHG emissions of 7% between 2023 and 2030. </w:t>
      </w:r>
    </w:p>
    <w:p w14:paraId="33DA1D24" w14:textId="4BEAF577" w:rsidR="006B36E6" w:rsidRPr="00167A1B" w:rsidRDefault="006B36E6" w:rsidP="006B36E6">
      <w:pPr>
        <w:pStyle w:val="BodyText1"/>
        <w:rPr>
          <w:b/>
          <w:bCs/>
          <w:noProof w:val="0"/>
        </w:rPr>
      </w:pPr>
      <w:r w:rsidRPr="00167A1B">
        <w:rPr>
          <w:noProof w:val="0"/>
        </w:rPr>
        <w:t>Baseline annual GHG emissions in 2023 of 1</w:t>
      </w:r>
      <w:r w:rsidR="000A6C9E" w:rsidRPr="00167A1B">
        <w:rPr>
          <w:noProof w:val="0"/>
        </w:rPr>
        <w:t>,</w:t>
      </w:r>
      <w:r w:rsidRPr="00167A1B">
        <w:rPr>
          <w:noProof w:val="0"/>
        </w:rPr>
        <w:t>142 ktCO</w:t>
      </w:r>
      <w:r w:rsidRPr="00167A1B">
        <w:rPr>
          <w:noProof w:val="0"/>
          <w:vertAlign w:val="subscript"/>
        </w:rPr>
        <w:t>2</w:t>
      </w:r>
      <w:r w:rsidRPr="00167A1B">
        <w:rPr>
          <w:noProof w:val="0"/>
        </w:rPr>
        <w:t xml:space="preserve">e represent approximately 0.03% of EU GHG emissions in 2018. </w:t>
      </w:r>
    </w:p>
    <w:p w14:paraId="519CBB54" w14:textId="77777777" w:rsidR="006B36E6" w:rsidRPr="00167A1B" w:rsidRDefault="006B36E6" w:rsidP="006B36E6">
      <w:pPr>
        <w:pStyle w:val="Subtitle10"/>
        <w:rPr>
          <w:noProof w:val="0"/>
        </w:rPr>
      </w:pPr>
      <w:r w:rsidRPr="00167A1B">
        <w:rPr>
          <w:noProof w:val="0"/>
        </w:rPr>
        <w:t>Option 1</w:t>
      </w:r>
    </w:p>
    <w:p w14:paraId="04CB69C6" w14:textId="77777777" w:rsidR="006B36E6" w:rsidRPr="00167A1B" w:rsidRDefault="006B36E6" w:rsidP="006B36E6">
      <w:pPr>
        <w:pStyle w:val="BodyText1"/>
        <w:tabs>
          <w:tab w:val="left" w:pos="6521"/>
        </w:tabs>
        <w:rPr>
          <w:noProof w:val="0"/>
        </w:rPr>
      </w:pPr>
      <w:r w:rsidRPr="00167A1B">
        <w:rPr>
          <w:noProof w:val="0"/>
        </w:rPr>
        <w:t>This option requires a change to smartphone connection ports, which leads to the elimination of USB Micro-B and Lightning connectors on new phones, and consequently the cables sold with these phones. Cables with USB Type-C connectors are heavier on average compared to their USB Micro B and Lightning equivalents, as it is estimated that the USB-C cables have 55% more copper content (see Annex G). The results show that this effect is greater than the impact of reduced standalone cable purchases resulting from the reduction in demand for Lightning cables (a 4.8% reduction in sales compared to the baseline is assumed, as detailed in Annex G). The net effect is a small increase in GHG emissions, with emissions 125 ktCO</w:t>
      </w:r>
      <w:r w:rsidRPr="00167A1B">
        <w:rPr>
          <w:noProof w:val="0"/>
          <w:vertAlign w:val="subscript"/>
        </w:rPr>
        <w:t>2</w:t>
      </w:r>
      <w:r w:rsidRPr="00167A1B">
        <w:rPr>
          <w:noProof w:val="0"/>
        </w:rPr>
        <w:t>e higher than the baseline total between 2024-2030, or around 18 ktCO</w:t>
      </w:r>
      <w:r w:rsidRPr="00167A1B">
        <w:rPr>
          <w:noProof w:val="0"/>
          <w:vertAlign w:val="subscript"/>
        </w:rPr>
        <w:t>2</w:t>
      </w:r>
      <w:r w:rsidRPr="00167A1B">
        <w:rPr>
          <w:noProof w:val="0"/>
        </w:rPr>
        <w:t xml:space="preserve">e per year. This represents a 1.6% increase compared to the baseline. </w:t>
      </w:r>
    </w:p>
    <w:p w14:paraId="0AA585C2" w14:textId="77777777" w:rsidR="006B36E6" w:rsidRPr="00167A1B" w:rsidRDefault="006B36E6" w:rsidP="006B36E6">
      <w:pPr>
        <w:pStyle w:val="Subtitle10"/>
        <w:rPr>
          <w:bCs/>
          <w:noProof w:val="0"/>
        </w:rPr>
      </w:pPr>
      <w:r w:rsidRPr="00167A1B">
        <w:rPr>
          <w:noProof w:val="0"/>
        </w:rPr>
        <w:t>Option 2</w:t>
      </w:r>
      <w:r w:rsidRPr="00167A1B">
        <w:rPr>
          <w:bCs/>
          <w:noProof w:val="0"/>
        </w:rPr>
        <w:t xml:space="preserve"> </w:t>
      </w:r>
    </w:p>
    <w:p w14:paraId="0B091921" w14:textId="77777777" w:rsidR="006B36E6" w:rsidRPr="00167A1B" w:rsidRDefault="006B36E6" w:rsidP="006B36E6">
      <w:pPr>
        <w:pStyle w:val="BodyText1"/>
        <w:rPr>
          <w:noProof w:val="0"/>
          <w:lang w:eastAsia="en-GB"/>
        </w:rPr>
      </w:pPr>
      <w:r w:rsidRPr="00167A1B">
        <w:rPr>
          <w:noProof w:val="0"/>
          <w:lang w:eastAsia="en-GB"/>
        </w:rPr>
        <w:t>This option leads to the elimination of USB Micro-B connections on new phones, and consequently the cables sold with these phones, as it is not possible to have USB PD compatibility with USB Micro-B. This includes a move away from low power EPS (&lt;7.5W) supplied with smartphones from 2024, with these reduced to zero, as manufacturers produce EPS in the 7.5W &lt;= EPS &lt;=27W category for USB PD compatibility. As for option 1, the switch to heavier USB Type-C connectors and cables leads to an increase in average cable weight and consequent increase in emissions. Similarly, the move to more powerful EPS also increases the weight-related emissions impact. However, in this case, the offsetting impact on standalone sales, through a modelled reduction in standalone charger purchases for the purpose of fast charging (5% reduction in the ratio of people assumed to purchase an EPS), is greater than the weight increase effect. Therefore, the net effect of this policy option is a small decrease in GHG emissions, with emissions 71 ktCO</w:t>
      </w:r>
      <w:r w:rsidRPr="00167A1B">
        <w:rPr>
          <w:noProof w:val="0"/>
          <w:vertAlign w:val="subscript"/>
          <w:lang w:eastAsia="en-GB"/>
        </w:rPr>
        <w:t>2</w:t>
      </w:r>
      <w:r w:rsidRPr="00167A1B">
        <w:rPr>
          <w:noProof w:val="0"/>
          <w:lang w:eastAsia="en-GB"/>
        </w:rPr>
        <w:t>e lower than the baseline total between 2024-2030, or around 10 ktCO</w:t>
      </w:r>
      <w:r w:rsidRPr="00167A1B">
        <w:rPr>
          <w:noProof w:val="0"/>
          <w:vertAlign w:val="subscript"/>
          <w:lang w:eastAsia="en-GB"/>
        </w:rPr>
        <w:t>2</w:t>
      </w:r>
      <w:r w:rsidRPr="00167A1B">
        <w:rPr>
          <w:noProof w:val="0"/>
          <w:lang w:eastAsia="en-GB"/>
        </w:rPr>
        <w:t xml:space="preserve">e per year. This represents a 0.9% decrease compared to the baseline. </w:t>
      </w:r>
    </w:p>
    <w:p w14:paraId="7715BC8F" w14:textId="77777777" w:rsidR="006B36E6" w:rsidRPr="00167A1B" w:rsidRDefault="006B36E6" w:rsidP="006B36E6">
      <w:pPr>
        <w:pStyle w:val="Subtitle10"/>
        <w:rPr>
          <w:noProof w:val="0"/>
        </w:rPr>
      </w:pPr>
      <w:r w:rsidRPr="00167A1B">
        <w:rPr>
          <w:noProof w:val="0"/>
        </w:rPr>
        <w:t>Option 3</w:t>
      </w:r>
    </w:p>
    <w:p w14:paraId="17EFB549" w14:textId="77777777" w:rsidR="006B36E6" w:rsidRPr="00167A1B" w:rsidRDefault="006B36E6" w:rsidP="006B36E6">
      <w:pPr>
        <w:pStyle w:val="BodyText1"/>
        <w:rPr>
          <w:noProof w:val="0"/>
        </w:rPr>
      </w:pPr>
      <w:r w:rsidRPr="00167A1B">
        <w:rPr>
          <w:noProof w:val="0"/>
        </w:rPr>
        <w:t xml:space="preserve">The requirement for compliance with IEC63002:2021 means that the SuperCharge EPS produced by Huawei and similar </w:t>
      </w:r>
      <w:proofErr w:type="gramStart"/>
      <w:r w:rsidRPr="00167A1B">
        <w:rPr>
          <w:noProof w:val="0"/>
        </w:rPr>
        <w:t>high power</w:t>
      </w:r>
      <w:proofErr w:type="gramEnd"/>
      <w:r w:rsidRPr="00167A1B">
        <w:rPr>
          <w:noProof w:val="0"/>
        </w:rPr>
        <w:t xml:space="preserve"> EPS of Oppo/OnePlus are eliminated. These EPS, based on a modified USB Type-A port to provide higher wattages, are modelled to switch to USB Type-C ports on the EPS and USB Type-C – Type-C cables. These changes both lead to heavier EPS and cables, increasing the </w:t>
      </w:r>
      <w:proofErr w:type="gramStart"/>
      <w:r w:rsidRPr="00167A1B">
        <w:rPr>
          <w:noProof w:val="0"/>
        </w:rPr>
        <w:t>weight-related</w:t>
      </w:r>
      <w:proofErr w:type="gramEnd"/>
      <w:r w:rsidRPr="00167A1B">
        <w:rPr>
          <w:noProof w:val="0"/>
        </w:rPr>
        <w:t xml:space="preserve"> GHG emissions of the option. </w:t>
      </w:r>
      <w:proofErr w:type="gramStart"/>
      <w:r w:rsidRPr="00167A1B">
        <w:rPr>
          <w:noProof w:val="0"/>
        </w:rPr>
        <w:t>Similar to</w:t>
      </w:r>
      <w:proofErr w:type="gramEnd"/>
      <w:r w:rsidRPr="00167A1B">
        <w:rPr>
          <w:noProof w:val="0"/>
        </w:rPr>
        <w:t xml:space="preserve"> Option 2 this option also eliminates EPS &lt;7.5W supplied with smartphones from 2024 as manufacturers produce EPS in the 7.5W&lt;=EPS&lt;=27W category for compatibility. Whilst there is also an offsetting reduction in standalone EPS sales for the purpose of fast charging this </w:t>
      </w:r>
      <w:r w:rsidRPr="00167A1B">
        <w:rPr>
          <w:noProof w:val="0"/>
        </w:rPr>
        <w:lastRenderedPageBreak/>
        <w:t xml:space="preserve">effect is not significant enough to fully offset the increased weight of the changes to EPS. The net effect is a small increase in GHG emissions, with emissions 106 ktCO2e higher than the baseline total between 2024-2030, or around 15 ktCO2e per year. This represents a 1.3% increase compared to the baseline. </w:t>
      </w:r>
    </w:p>
    <w:p w14:paraId="620A6465" w14:textId="77777777" w:rsidR="006B36E6" w:rsidRPr="00167A1B" w:rsidRDefault="006B36E6" w:rsidP="006B36E6">
      <w:pPr>
        <w:pStyle w:val="Subtitle10"/>
        <w:rPr>
          <w:noProof w:val="0"/>
        </w:rPr>
      </w:pPr>
      <w:r w:rsidRPr="00167A1B">
        <w:rPr>
          <w:noProof w:val="0"/>
        </w:rPr>
        <w:t xml:space="preserve">Option 4.a </w:t>
      </w:r>
    </w:p>
    <w:p w14:paraId="43BA5D58" w14:textId="77777777" w:rsidR="006B36E6" w:rsidRPr="00167A1B" w:rsidRDefault="006B36E6" w:rsidP="006B36E6">
      <w:pPr>
        <w:pStyle w:val="BodyText1"/>
        <w:rPr>
          <w:noProof w:val="0"/>
        </w:rPr>
      </w:pPr>
      <w:r w:rsidRPr="00167A1B">
        <w:rPr>
          <w:noProof w:val="0"/>
        </w:rPr>
        <w:t xml:space="preserve">This option leads to the elimination of EPS supplied with smartphones, with all EPS unbundled from 2024 onwards. Whilst a significant rebound in standalone EPS purchases is expected </w:t>
      </w:r>
      <w:r w:rsidRPr="00167A1B">
        <w:rPr>
          <w:rFonts w:cs="Arial"/>
          <w:noProof w:val="0"/>
        </w:rPr>
        <w:t>‒</w:t>
      </w:r>
      <w:r w:rsidRPr="00167A1B">
        <w:rPr>
          <w:noProof w:val="0"/>
        </w:rPr>
        <w:t>in the stock model, i.e. for every smartphone supplied without an EPS, 0.39 standalone EPS sales are added (as described in the Annex G-Baselines additions)</w:t>
      </w:r>
      <w:r w:rsidRPr="00167A1B">
        <w:rPr>
          <w:rFonts w:cs="Arial"/>
          <w:noProof w:val="0"/>
        </w:rPr>
        <w:t xml:space="preserve">‒, </w:t>
      </w:r>
      <w:r w:rsidRPr="00167A1B">
        <w:rPr>
          <w:noProof w:val="0"/>
        </w:rPr>
        <w:t>the net effect of this option is a significant decrease in EPS added to the stock compared to the baseline. The decrease totals around 250 million fewer EPS added to the stock between 2024 and 2030. The option does lead to an additional 80 million cables being added to the stock, as consumers purchasing standalone EPS as a result of this rebound effect, also in many cases purchase cables at the same time. Nevertheless, the net effect of this policy option is a significant decrease in GHG emissions, with emissions 699 ktCO</w:t>
      </w:r>
      <w:r w:rsidRPr="00167A1B">
        <w:rPr>
          <w:noProof w:val="0"/>
          <w:vertAlign w:val="subscript"/>
        </w:rPr>
        <w:t>2</w:t>
      </w:r>
      <w:r w:rsidRPr="00167A1B">
        <w:rPr>
          <w:noProof w:val="0"/>
        </w:rPr>
        <w:t>e lower than the baseline total between 2024-2030, or around 100 ktCO</w:t>
      </w:r>
      <w:r w:rsidRPr="00167A1B">
        <w:rPr>
          <w:noProof w:val="0"/>
          <w:vertAlign w:val="subscript"/>
        </w:rPr>
        <w:t>2</w:t>
      </w:r>
      <w:r w:rsidRPr="00167A1B">
        <w:rPr>
          <w:noProof w:val="0"/>
        </w:rPr>
        <w:t xml:space="preserve">e per year. This represents an 8.9% decrease compared to the baseline. </w:t>
      </w:r>
    </w:p>
    <w:p w14:paraId="5F9BCCF6" w14:textId="77777777" w:rsidR="006B36E6" w:rsidRPr="00167A1B" w:rsidRDefault="006B36E6" w:rsidP="006B36E6">
      <w:pPr>
        <w:pStyle w:val="Subtitle10"/>
        <w:rPr>
          <w:noProof w:val="0"/>
        </w:rPr>
      </w:pPr>
      <w:r w:rsidRPr="00167A1B">
        <w:rPr>
          <w:noProof w:val="0"/>
        </w:rPr>
        <w:t>Option 4.b</w:t>
      </w:r>
    </w:p>
    <w:p w14:paraId="7712EAF5" w14:textId="77777777" w:rsidR="006B36E6" w:rsidRPr="00167A1B" w:rsidRDefault="006B36E6" w:rsidP="006B36E6">
      <w:pPr>
        <w:pStyle w:val="BodyText1"/>
        <w:rPr>
          <w:noProof w:val="0"/>
        </w:rPr>
      </w:pPr>
      <w:r w:rsidRPr="00167A1B">
        <w:rPr>
          <w:noProof w:val="0"/>
        </w:rPr>
        <w:t xml:space="preserve">In addition to EPS as per option 4.a, this option also eliminates cables supplied with smartphones. The rebound effect for cables is significant too, with approximately 0.44 cables purchased standalone for every cable unbundled. This option has the same effect on EPS additions at option 4.a, and additionally leads to around 560 million fewer cables being added to the stock between 2024 and 2030 than in the baseline. As a </w:t>
      </w:r>
      <w:proofErr w:type="gramStart"/>
      <w:r w:rsidRPr="00167A1B">
        <w:rPr>
          <w:noProof w:val="0"/>
        </w:rPr>
        <w:t>result</w:t>
      </w:r>
      <w:proofErr w:type="gramEnd"/>
      <w:r w:rsidRPr="00167A1B">
        <w:rPr>
          <w:noProof w:val="0"/>
        </w:rPr>
        <w:t xml:space="preserve"> the net effect of this policy option is the most significant decrease in GHG emissions of all of the options, with emissions 1 567 ktCO</w:t>
      </w:r>
      <w:r w:rsidRPr="00167A1B">
        <w:rPr>
          <w:noProof w:val="0"/>
          <w:vertAlign w:val="subscript"/>
        </w:rPr>
        <w:t>2</w:t>
      </w:r>
      <w:r w:rsidRPr="00167A1B">
        <w:rPr>
          <w:noProof w:val="0"/>
        </w:rPr>
        <w:t>e lower than the baseline total between 2024-2030, or around 224 ktCO</w:t>
      </w:r>
      <w:r w:rsidRPr="00167A1B">
        <w:rPr>
          <w:noProof w:val="0"/>
          <w:vertAlign w:val="subscript"/>
        </w:rPr>
        <w:t>2</w:t>
      </w:r>
      <w:r w:rsidRPr="00167A1B">
        <w:rPr>
          <w:noProof w:val="0"/>
        </w:rPr>
        <w:t xml:space="preserve">e per year. This represents a 20% decrease compared to the baseline. </w:t>
      </w:r>
    </w:p>
    <w:p w14:paraId="2BCCA0EE" w14:textId="77777777" w:rsidR="006B36E6" w:rsidRPr="00167A1B" w:rsidRDefault="006B36E6" w:rsidP="006B36E6">
      <w:pPr>
        <w:pStyle w:val="BodyText1"/>
        <w:rPr>
          <w:noProof w:val="0"/>
        </w:rPr>
      </w:pPr>
      <w:r w:rsidRPr="00167A1B">
        <w:rPr>
          <w:noProof w:val="0"/>
        </w:rPr>
        <w:t>The impact of this option is proportionally higher than option 4.</w:t>
      </w:r>
      <w:proofErr w:type="spellStart"/>
      <w:r w:rsidRPr="00167A1B">
        <w:rPr>
          <w:noProof w:val="0"/>
        </w:rPr>
        <w:t>a</w:t>
      </w:r>
      <w:proofErr w:type="spellEnd"/>
      <w:r w:rsidRPr="00167A1B">
        <w:rPr>
          <w:noProof w:val="0"/>
        </w:rPr>
        <w:t xml:space="preserve"> even though cables are lighter and associated with fewer emissions than EPS. It is </w:t>
      </w:r>
      <w:proofErr w:type="gramStart"/>
      <w:r w:rsidRPr="00167A1B">
        <w:rPr>
          <w:noProof w:val="0"/>
        </w:rPr>
        <w:t>due to the fact that</w:t>
      </w:r>
      <w:proofErr w:type="gramEnd"/>
      <w:r w:rsidRPr="00167A1B">
        <w:rPr>
          <w:noProof w:val="0"/>
        </w:rPr>
        <w:t xml:space="preserve"> in the baseline no cables are unbundled, whilst for EPS more than half of EPS are already assumed to be unbundled in the baseline, reducing the savings possible for option 4.a. This effect applies to all environmental impacts.</w:t>
      </w:r>
    </w:p>
    <w:p w14:paraId="6446A1E6" w14:textId="77777777" w:rsidR="006B36E6" w:rsidRPr="00167A1B" w:rsidRDefault="006B36E6" w:rsidP="006B36E6">
      <w:pPr>
        <w:pStyle w:val="04ABodyText"/>
        <w:rPr>
          <w:b/>
          <w:bCs/>
        </w:rPr>
      </w:pPr>
      <w:r w:rsidRPr="00167A1B">
        <w:rPr>
          <w:rFonts w:cs="Times New Roman"/>
          <w:i/>
          <w:color w:val="0C4DA2" w:themeColor="text2"/>
          <w:sz w:val="24"/>
          <w:szCs w:val="24"/>
          <w:lang w:eastAsia="en-US"/>
        </w:rPr>
        <w:t>Option 5</w:t>
      </w:r>
    </w:p>
    <w:p w14:paraId="04BDF3C9" w14:textId="77777777" w:rsidR="006B36E6" w:rsidRPr="00167A1B" w:rsidRDefault="006B36E6" w:rsidP="006B36E6">
      <w:pPr>
        <w:pStyle w:val="BodyText1"/>
        <w:rPr>
          <w:noProof w:val="0"/>
        </w:rPr>
      </w:pPr>
      <w:r w:rsidRPr="00167A1B">
        <w:rPr>
          <w:noProof w:val="0"/>
        </w:rPr>
        <w:t xml:space="preserve">The actual impacts of this option are highly </w:t>
      </w:r>
      <w:proofErr w:type="gramStart"/>
      <w:r w:rsidRPr="00167A1B">
        <w:rPr>
          <w:noProof w:val="0"/>
        </w:rPr>
        <w:t>uncertain, but</w:t>
      </w:r>
      <w:proofErr w:type="gramEnd"/>
      <w:r w:rsidRPr="00167A1B">
        <w:rPr>
          <w:noProof w:val="0"/>
        </w:rPr>
        <w:t xml:space="preserve"> are modelled through an assumed reduction in standalone EPS purchases of 1% compared to the baseline as some consumers learn from the labelling and information that they do not need a new charger. This also leads to a small reduction in cable sales (cable sales are assumed to be 0.58% lower than the baseline), from those that would have purchased a cable together with an EPS. The net effect of this policy option is a small decrease in GHG emissions, with emissions 76 ktCO</w:t>
      </w:r>
      <w:r w:rsidRPr="00167A1B">
        <w:rPr>
          <w:noProof w:val="0"/>
          <w:vertAlign w:val="subscript"/>
        </w:rPr>
        <w:t>2</w:t>
      </w:r>
      <w:r w:rsidRPr="00167A1B">
        <w:rPr>
          <w:noProof w:val="0"/>
        </w:rPr>
        <w:t>e lower than the baseline total between 2024-2030, or around 11 ktCO</w:t>
      </w:r>
      <w:r w:rsidRPr="00167A1B">
        <w:rPr>
          <w:noProof w:val="0"/>
          <w:vertAlign w:val="subscript"/>
        </w:rPr>
        <w:t>2</w:t>
      </w:r>
      <w:r w:rsidRPr="00167A1B">
        <w:rPr>
          <w:noProof w:val="0"/>
        </w:rPr>
        <w:t xml:space="preserve">e per year. This represents a 1.0% decrease compared to the baseline. </w:t>
      </w:r>
    </w:p>
    <w:p w14:paraId="063E29D5" w14:textId="77777777" w:rsidR="006B36E6" w:rsidRPr="00167A1B" w:rsidRDefault="006B36E6" w:rsidP="006B36E6">
      <w:pPr>
        <w:pStyle w:val="Subtitle10"/>
        <w:rPr>
          <w:noProof w:val="0"/>
        </w:rPr>
      </w:pPr>
      <w:r w:rsidRPr="00167A1B">
        <w:rPr>
          <w:noProof w:val="0"/>
        </w:rPr>
        <w:t>Summary</w:t>
      </w:r>
    </w:p>
    <w:p w14:paraId="19D7929E" w14:textId="77777777" w:rsidR="006B36E6" w:rsidRPr="00167A1B" w:rsidRDefault="006B36E6" w:rsidP="006B36E6">
      <w:pPr>
        <w:pStyle w:val="BodyText1"/>
        <w:rPr>
          <w:noProof w:val="0"/>
        </w:rPr>
      </w:pPr>
      <w:r w:rsidRPr="00167A1B">
        <w:rPr>
          <w:noProof w:val="0"/>
        </w:rPr>
        <w:t xml:space="preserve">In summary, policy options 4.a and 4.b result in the most substantial reduction of GHG emissions due to the unbundling of EPS (4.a) and both EPS and cables (4.b) from smartphone sales. The unbundling impact is greater than the rebound effect related to the additional standalone EPS and cables </w:t>
      </w:r>
      <w:proofErr w:type="gramStart"/>
      <w:r w:rsidRPr="00167A1B">
        <w:rPr>
          <w:noProof w:val="0"/>
        </w:rPr>
        <w:t>sales, and</w:t>
      </w:r>
      <w:proofErr w:type="gramEnd"/>
      <w:r w:rsidRPr="00167A1B">
        <w:rPr>
          <w:noProof w:val="0"/>
        </w:rPr>
        <w:t xml:space="preserve"> is particularly significant for 4.b as no cables are expected to be unbundled in the baseline. In contrast, options 1 and 3 show a small increase in GHG emissions mainly due to the increase of cables with USB Type-C connectors, as these are heavier on average than the USB Micro B and Lightning alternatives they replace. </w:t>
      </w:r>
    </w:p>
    <w:p w14:paraId="7E2080C0" w14:textId="77777777" w:rsidR="006B36E6" w:rsidRPr="00167A1B" w:rsidRDefault="006B36E6" w:rsidP="006B36E6">
      <w:pPr>
        <w:pStyle w:val="04ABodyText"/>
        <w:numPr>
          <w:ilvl w:val="0"/>
          <w:numId w:val="0"/>
        </w:numPr>
      </w:pPr>
    </w:p>
    <w:p w14:paraId="3FF83F49" w14:textId="77777777" w:rsidR="006B36E6" w:rsidRPr="00167A1B" w:rsidRDefault="006B36E6" w:rsidP="006B36E6">
      <w:pPr>
        <w:pStyle w:val="title3"/>
      </w:pPr>
      <w:r w:rsidRPr="00167A1B">
        <w:t>Material use</w:t>
      </w:r>
    </w:p>
    <w:p w14:paraId="31A09EF9" w14:textId="77777777" w:rsidR="006B36E6" w:rsidRPr="00167A1B" w:rsidRDefault="006B36E6" w:rsidP="006B36E6">
      <w:pPr>
        <w:pStyle w:val="BodyText1"/>
        <w:rPr>
          <w:noProof w:val="0"/>
        </w:rPr>
      </w:pPr>
      <w:r w:rsidRPr="00167A1B">
        <w:rPr>
          <w:noProof w:val="0"/>
          <w:lang w:eastAsia="it-IT"/>
        </w:rPr>
        <w:t xml:space="preserve">As explained in chapter 4, understanding the material composition of both the EPS and cables is crucial to identifying the main environmental impacts associated with the use of raw materials. Therefore, the stock model predicts the material that is and will be used for the manufacturing of new EPS and cables based on their average composition, as explained in Chapter 4. </w:t>
      </w:r>
      <w:r w:rsidRPr="00167A1B">
        <w:rPr>
          <w:noProof w:val="0"/>
        </w:rPr>
        <w:t xml:space="preserve">The detailed assumptions related to material use are described in Annex G. The combination of these assumptions, applied to the additions to the charger stock modelled in the stock model are used to calculate the material use impact of each of the policy options. These are summarised in </w:t>
      </w:r>
      <w:r w:rsidRPr="00167A1B">
        <w:rPr>
          <w:noProof w:val="0"/>
          <w:highlight w:val="yellow"/>
        </w:rPr>
        <w:fldChar w:fldCharType="begin"/>
      </w:r>
      <w:r w:rsidRPr="00167A1B">
        <w:rPr>
          <w:noProof w:val="0"/>
        </w:rPr>
        <w:instrText xml:space="preserve"> REF _Ref70088562 \h </w:instrText>
      </w:r>
      <w:r w:rsidRPr="00167A1B">
        <w:rPr>
          <w:noProof w:val="0"/>
          <w:highlight w:val="yellow"/>
        </w:rPr>
      </w:r>
      <w:r w:rsidRPr="00167A1B">
        <w:rPr>
          <w:noProof w:val="0"/>
          <w:highlight w:val="yellow"/>
        </w:rPr>
        <w:fldChar w:fldCharType="separate"/>
      </w:r>
      <w:r w:rsidRPr="00167A1B">
        <w:rPr>
          <w:i/>
          <w:noProof w:val="0"/>
        </w:rPr>
        <w:t xml:space="preserve">Figure </w:t>
      </w:r>
      <w:r w:rsidRPr="00167A1B">
        <w:rPr>
          <w:noProof w:val="0"/>
        </w:rPr>
        <w:t>6</w:t>
      </w:r>
      <w:r w:rsidRPr="00167A1B">
        <w:rPr>
          <w:noProof w:val="0"/>
          <w:highlight w:val="yellow"/>
        </w:rPr>
        <w:fldChar w:fldCharType="end"/>
      </w:r>
      <w:r w:rsidRPr="00167A1B">
        <w:rPr>
          <w:noProof w:val="0"/>
        </w:rPr>
        <w:t xml:space="preserve"> below.</w:t>
      </w:r>
    </w:p>
    <w:p w14:paraId="79FF8CEC" w14:textId="77777777" w:rsidR="006B36E6" w:rsidRPr="00167A1B" w:rsidRDefault="006B36E6" w:rsidP="006B36E6">
      <w:pPr>
        <w:pStyle w:val="BodyText1"/>
        <w:rPr>
          <w:i/>
          <w:iCs/>
          <w:noProof w:val="0"/>
          <w:lang w:eastAsia="en-GB"/>
        </w:rPr>
      </w:pPr>
    </w:p>
    <w:p w14:paraId="5BCE2B19" w14:textId="77777777" w:rsidR="006B36E6" w:rsidRPr="00167A1B" w:rsidRDefault="006B36E6" w:rsidP="006B36E6">
      <w:pPr>
        <w:pStyle w:val="Caption"/>
      </w:pPr>
      <w:bookmarkStart w:id="46" w:name="_Ref69892519"/>
      <w:bookmarkStart w:id="47" w:name="_Ref70088562"/>
      <w:r w:rsidRPr="00167A1B">
        <w:t xml:space="preserve">Figure </w:t>
      </w:r>
      <w:bookmarkEnd w:id="46"/>
      <w:r w:rsidRPr="00167A1B">
        <w:fldChar w:fldCharType="begin"/>
      </w:r>
      <w:r w:rsidRPr="00167A1B">
        <w:instrText xml:space="preserve"> SEQ Figure \* ARABIC \s 1 </w:instrText>
      </w:r>
      <w:r w:rsidRPr="00167A1B">
        <w:fldChar w:fldCharType="separate"/>
      </w:r>
      <w:r w:rsidRPr="00167A1B">
        <w:t>6</w:t>
      </w:r>
      <w:r w:rsidRPr="00167A1B">
        <w:fldChar w:fldCharType="end"/>
      </w:r>
      <w:bookmarkEnd w:id="47"/>
      <w:r w:rsidRPr="00167A1B">
        <w:t>. Material use impact of the policy options 2017-2030, tonnes</w:t>
      </w:r>
    </w:p>
    <w:p w14:paraId="0F58578B" w14:textId="77777777" w:rsidR="006B36E6" w:rsidRPr="00167A1B" w:rsidRDefault="006B36E6" w:rsidP="006B36E6">
      <w:pPr>
        <w:pStyle w:val="04ABodyText"/>
        <w:numPr>
          <w:ilvl w:val="0"/>
          <w:numId w:val="0"/>
        </w:numPr>
      </w:pPr>
      <w:r w:rsidRPr="00167A1B">
        <w:rPr>
          <w:noProof/>
        </w:rPr>
        <w:drawing>
          <wp:inline distT="0" distB="0" distL="0" distR="0" wp14:anchorId="0497E6D7" wp14:editId="527F6ECA">
            <wp:extent cx="5150125" cy="31527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53876" cy="3155071"/>
                    </a:xfrm>
                    <a:prstGeom prst="rect">
                      <a:avLst/>
                    </a:prstGeom>
                    <a:noFill/>
                  </pic:spPr>
                </pic:pic>
              </a:graphicData>
            </a:graphic>
          </wp:inline>
        </w:drawing>
      </w:r>
    </w:p>
    <w:p w14:paraId="20883F08" w14:textId="2EB61B52" w:rsidR="006B36E6" w:rsidRPr="00167A1B" w:rsidRDefault="00BC7958" w:rsidP="006B36E6">
      <w:pPr>
        <w:pStyle w:val="Subtitle10"/>
        <w:rPr>
          <w:noProof w:val="0"/>
        </w:rPr>
      </w:pPr>
      <w:r w:rsidRPr="00167A1B">
        <w:rPr>
          <w:b/>
          <w:noProof w:val="0"/>
          <w:sz w:val="18"/>
          <w:szCs w:val="18"/>
        </w:rPr>
        <w:t>Source:</w:t>
      </w:r>
      <w:r w:rsidRPr="00167A1B">
        <w:rPr>
          <w:noProof w:val="0"/>
          <w:sz w:val="18"/>
          <w:szCs w:val="18"/>
        </w:rPr>
        <w:t xml:space="preserve">  Own TRI-STOCK-CHARGER model calculations. </w:t>
      </w:r>
      <w:r w:rsidR="006B36E6" w:rsidRPr="00167A1B">
        <w:rPr>
          <w:noProof w:val="0"/>
        </w:rPr>
        <w:t>Baseline</w:t>
      </w:r>
    </w:p>
    <w:p w14:paraId="25E6E8C7" w14:textId="45FBB64B" w:rsidR="006B36E6" w:rsidRPr="00167A1B" w:rsidRDefault="006B36E6" w:rsidP="006B36E6">
      <w:pPr>
        <w:pStyle w:val="BodyText1"/>
        <w:rPr>
          <w:rFonts w:eastAsiaTheme="minorHAnsi"/>
          <w:noProof w:val="0"/>
        </w:rPr>
      </w:pPr>
      <w:r w:rsidRPr="00167A1B">
        <w:rPr>
          <w:noProof w:val="0"/>
          <w:lang w:eastAsia="en-GB"/>
        </w:rPr>
        <w:t>In the baseline, material use increases from 14</w:t>
      </w:r>
      <w:r w:rsidR="000A6C9E" w:rsidRPr="00167A1B">
        <w:rPr>
          <w:noProof w:val="0"/>
          <w:lang w:eastAsia="en-GB"/>
        </w:rPr>
        <w:t>,</w:t>
      </w:r>
      <w:r w:rsidRPr="00167A1B">
        <w:rPr>
          <w:noProof w:val="0"/>
          <w:lang w:eastAsia="en-GB"/>
        </w:rPr>
        <w:t>584 tonnes in 2017 to 20</w:t>
      </w:r>
      <w:r w:rsidR="000A6C9E" w:rsidRPr="00167A1B">
        <w:rPr>
          <w:noProof w:val="0"/>
          <w:lang w:eastAsia="en-GB"/>
        </w:rPr>
        <w:t>,</w:t>
      </w:r>
      <w:r w:rsidRPr="00167A1B">
        <w:rPr>
          <w:noProof w:val="0"/>
          <w:lang w:eastAsia="en-GB"/>
        </w:rPr>
        <w:t xml:space="preserve">969 tonnes in 2030. From 2017-2024 there is a steady increase in the material used. The biggest annual increases are observed between 2019 and 2022 (an annual average of 8% increase in material use). This is driven by the switch to heavier EPS and cables, as described for the GHG impact. The increase in material use slows in 2023 and 2024 (4% and 2% increases, respectively). This is then followed by </w:t>
      </w:r>
      <w:proofErr w:type="spellStart"/>
      <w:proofErr w:type="gramStart"/>
      <w:r w:rsidRPr="00167A1B">
        <w:rPr>
          <w:noProof w:val="0"/>
          <w:lang w:eastAsia="en-GB"/>
        </w:rPr>
        <w:t>a</w:t>
      </w:r>
      <w:proofErr w:type="spellEnd"/>
      <w:proofErr w:type="gramEnd"/>
      <w:r w:rsidRPr="00167A1B">
        <w:rPr>
          <w:noProof w:val="0"/>
          <w:lang w:eastAsia="en-GB"/>
        </w:rPr>
        <w:t xml:space="preserve"> overall stabilisation of material use until 2026, after which there is an annual decline of 1-2%. This decline is driven by increased adoption of lighter and smaller EPS, for example using GaN, as well as the introduction of new components.</w:t>
      </w:r>
    </w:p>
    <w:p w14:paraId="267CF016" w14:textId="17F281E6" w:rsidR="006B36E6" w:rsidRPr="00167A1B" w:rsidRDefault="006B36E6" w:rsidP="006B36E6">
      <w:pPr>
        <w:pStyle w:val="BodyText1"/>
        <w:rPr>
          <w:b/>
          <w:bCs/>
          <w:noProof w:val="0"/>
          <w:lang w:eastAsia="en-GB"/>
        </w:rPr>
      </w:pPr>
      <w:r w:rsidRPr="00167A1B">
        <w:rPr>
          <w:rFonts w:eastAsiaTheme="minorHAnsi"/>
          <w:noProof w:val="0"/>
        </w:rPr>
        <w:t xml:space="preserve">For context, </w:t>
      </w:r>
      <w:r w:rsidRPr="00167A1B">
        <w:rPr>
          <w:noProof w:val="0"/>
          <w:lang w:eastAsia="en-GB"/>
        </w:rPr>
        <w:t>baseline annual material use (based on the 2024-2030 annual average) of 21</w:t>
      </w:r>
      <w:r w:rsidR="000A6C9E" w:rsidRPr="00167A1B">
        <w:rPr>
          <w:noProof w:val="0"/>
          <w:lang w:eastAsia="en-GB"/>
        </w:rPr>
        <w:t>,</w:t>
      </w:r>
      <w:r w:rsidRPr="00167A1B">
        <w:rPr>
          <w:noProof w:val="0"/>
          <w:lang w:eastAsia="en-GB"/>
        </w:rPr>
        <w:t>829 tonnes represents a negligible proportion (0.0005%) of the 4.5 million kilotonnes of total material used in the EU in 2018. Although it does equate to around 2.6% of the weight of small household appliances put on the market in the EU in 2018, and so within this category is a small but non-negligible contributor.</w:t>
      </w:r>
    </w:p>
    <w:p w14:paraId="22135502" w14:textId="77777777" w:rsidR="006B36E6" w:rsidRPr="00167A1B" w:rsidRDefault="006B36E6" w:rsidP="006B36E6">
      <w:pPr>
        <w:pStyle w:val="Subtitle10"/>
        <w:rPr>
          <w:noProof w:val="0"/>
        </w:rPr>
      </w:pPr>
      <w:r w:rsidRPr="00167A1B">
        <w:rPr>
          <w:noProof w:val="0"/>
        </w:rPr>
        <w:t>Option 1</w:t>
      </w:r>
    </w:p>
    <w:p w14:paraId="5AB0FF79" w14:textId="15169FF7" w:rsidR="006B36E6" w:rsidRPr="00167A1B" w:rsidRDefault="006B36E6" w:rsidP="006B36E6">
      <w:pPr>
        <w:pStyle w:val="BodyText1"/>
        <w:rPr>
          <w:noProof w:val="0"/>
        </w:rPr>
      </w:pPr>
      <w:r w:rsidRPr="00167A1B">
        <w:rPr>
          <w:noProof w:val="0"/>
        </w:rPr>
        <w:t xml:space="preserve">This option requires a change to smartphone connection ports, which leads to the elimination of USB Micro-B and Lightning connectors on new phones, and consequently the cables sold </w:t>
      </w:r>
      <w:r w:rsidRPr="00167A1B">
        <w:rPr>
          <w:noProof w:val="0"/>
        </w:rPr>
        <w:lastRenderedPageBreak/>
        <w:t xml:space="preserve">with these phones. This elimination is modelled by a reduction of the baseline share of EPS USB Type-A &lt;7.5W to zero, with this share being redistributed to the EPS USB Type-A 7.5W &lt;= EPS &lt;=27W category from 2024 onwards. Both USB micro-B and Lightning (all Type-C in the baseline from 2021) cables are modelled to be reduced to zero in 2024 on the introduction of the policy. In 2023 these cable types are already reduced by half compared to the baseline as manufacturers begin to adjust, as explained in Annex G. The effect of this elimination is observed after 2024. Before then, there is an annual average increase (4%) </w:t>
      </w:r>
      <w:proofErr w:type="gramStart"/>
      <w:r w:rsidRPr="00167A1B">
        <w:rPr>
          <w:noProof w:val="0"/>
        </w:rPr>
        <w:t>in  materials</w:t>
      </w:r>
      <w:proofErr w:type="gramEnd"/>
      <w:r w:rsidRPr="00167A1B">
        <w:rPr>
          <w:noProof w:val="0"/>
        </w:rPr>
        <w:t xml:space="preserve"> use, whereas from 2025 onwards, an average  annual decrease of 1% is observed. The net overall effect of these changes is a marginal increase of 2</w:t>
      </w:r>
      <w:r w:rsidR="000A6C9E" w:rsidRPr="00167A1B">
        <w:rPr>
          <w:noProof w:val="0"/>
        </w:rPr>
        <w:t>,</w:t>
      </w:r>
      <w:r w:rsidRPr="00167A1B">
        <w:rPr>
          <w:noProof w:val="0"/>
        </w:rPr>
        <w:t>304 additional tonnes of materials use, compared to the baseline total between 2024-2030. This is equivalent to around 329 tonnes of materials per year or a 1.5% increase compared to the baseline. For this policy option, only minimal changes between 2024-2030 per material type are observed compared to the baseline (2% additional decrease of both the amount of the copper and stainless steel used).</w:t>
      </w:r>
    </w:p>
    <w:p w14:paraId="5345A550" w14:textId="77777777" w:rsidR="006B36E6" w:rsidRPr="00167A1B" w:rsidRDefault="006B36E6" w:rsidP="006B36E6">
      <w:pPr>
        <w:pStyle w:val="Subtitle10"/>
        <w:rPr>
          <w:bCs/>
          <w:noProof w:val="0"/>
        </w:rPr>
      </w:pPr>
      <w:r w:rsidRPr="00167A1B">
        <w:rPr>
          <w:noProof w:val="0"/>
        </w:rPr>
        <w:t>Option 2</w:t>
      </w:r>
      <w:r w:rsidRPr="00167A1B">
        <w:rPr>
          <w:bCs/>
          <w:noProof w:val="0"/>
        </w:rPr>
        <w:t xml:space="preserve"> </w:t>
      </w:r>
    </w:p>
    <w:p w14:paraId="31E3DE88" w14:textId="4009B9B6" w:rsidR="006B36E6" w:rsidRPr="00167A1B" w:rsidRDefault="006B36E6" w:rsidP="006B36E6">
      <w:pPr>
        <w:pStyle w:val="BodyText1"/>
        <w:rPr>
          <w:noProof w:val="0"/>
          <w:lang w:eastAsia="en-GB"/>
        </w:rPr>
      </w:pPr>
      <w:r w:rsidRPr="00167A1B">
        <w:rPr>
          <w:noProof w:val="0"/>
          <w:lang w:eastAsia="en-GB"/>
        </w:rPr>
        <w:t>This option leads to the elimination (i.e. reduced to zero) of USB Micro-B connections on new phones from 2024 and consequently, the cables sold with these phones, as explained in detail in Annex G. As expected, the main changes in the trends related to the materials used are observed after 2024, when EPS &lt;7.5W supplied with smartphones are assumed to be eliminated. The same as for option 1, the switch to heavier USB Type-C connectors and cables, and more powerful EPS, leads to an increase in average cable and EPS weight and a consequent increase in material use. However, for this option, the offsetting impact of the option in reducing standalone sales is greater than the weight increase effect. Therefore, the net effect of this policy option is a small decrease in material use, with 1</w:t>
      </w:r>
      <w:r w:rsidR="000A6C9E" w:rsidRPr="00167A1B">
        <w:rPr>
          <w:noProof w:val="0"/>
          <w:lang w:eastAsia="en-GB"/>
        </w:rPr>
        <w:t>,</w:t>
      </w:r>
      <w:r w:rsidRPr="00167A1B">
        <w:rPr>
          <w:noProof w:val="0"/>
          <w:lang w:eastAsia="en-GB"/>
        </w:rPr>
        <w:t xml:space="preserve">209 fewer tonnes of material used compared to the baseline total between 2024-2030, equivalent to 173 tonnes per year. This represents a 0.8% decrease compared to the baseline. As for option 2, </w:t>
      </w:r>
      <w:r w:rsidRPr="00167A1B">
        <w:rPr>
          <w:noProof w:val="0"/>
        </w:rPr>
        <w:t>only minimal changes per material type are observed compared to the baseline.</w:t>
      </w:r>
    </w:p>
    <w:p w14:paraId="0DDCD389" w14:textId="77777777" w:rsidR="006B36E6" w:rsidRPr="00167A1B" w:rsidRDefault="006B36E6" w:rsidP="006B36E6">
      <w:pPr>
        <w:pStyle w:val="Subtitle10"/>
        <w:rPr>
          <w:noProof w:val="0"/>
        </w:rPr>
      </w:pPr>
      <w:r w:rsidRPr="00167A1B">
        <w:rPr>
          <w:noProof w:val="0"/>
        </w:rPr>
        <w:t>Option 3</w:t>
      </w:r>
    </w:p>
    <w:p w14:paraId="6BABF739" w14:textId="695F6F21" w:rsidR="006B36E6" w:rsidRPr="00167A1B" w:rsidRDefault="006B36E6" w:rsidP="006B36E6">
      <w:pPr>
        <w:pStyle w:val="BodyText1"/>
        <w:rPr>
          <w:noProof w:val="0"/>
        </w:rPr>
      </w:pPr>
      <w:r w:rsidRPr="00167A1B">
        <w:rPr>
          <w:noProof w:val="0"/>
        </w:rPr>
        <w:t>The requirement for compliance with IEC63002:2021 leads to a switch to USB Type-C ports on EPS and USB Type-C – Type-C cables. The model assumes that new &lt;7.5W EPS supplied with smartphones are removed from 2024, as well as USB Micro-B cables. Standalone &lt;7.5W EPS are assumed to see a faster reduction than baseline (reducing to 0.5% by 2030). These changes both lead to heavier EPS and cables, increasing the materials required. The reduction in standalone EPS sales for the purpose of fast charging does not have a significant effect and does not fully offset the increased weight of EPS and cables. As a result, the net effect is a small increase in material use, with 1</w:t>
      </w:r>
      <w:r w:rsidR="000A6C9E" w:rsidRPr="00167A1B">
        <w:rPr>
          <w:noProof w:val="0"/>
        </w:rPr>
        <w:t>,</w:t>
      </w:r>
      <w:r w:rsidRPr="00167A1B">
        <w:rPr>
          <w:noProof w:val="0"/>
        </w:rPr>
        <w:t>468 extra tonnes of materials required compared to the baseline total between 2024-2030, equivalent to around 210 tonnes of materials per year. This represents a 1.0% increase compared to the baseline. For this policy option, only minimal changes between 2024-2030 per material type are observed compared to the baseline.</w:t>
      </w:r>
    </w:p>
    <w:p w14:paraId="3F383859" w14:textId="77777777" w:rsidR="006B36E6" w:rsidRPr="00167A1B" w:rsidRDefault="006B36E6" w:rsidP="006B36E6">
      <w:pPr>
        <w:pStyle w:val="Subtitle10"/>
        <w:rPr>
          <w:noProof w:val="0"/>
        </w:rPr>
      </w:pPr>
      <w:r w:rsidRPr="00167A1B">
        <w:rPr>
          <w:noProof w:val="0"/>
        </w:rPr>
        <w:t xml:space="preserve">Option 4.a </w:t>
      </w:r>
    </w:p>
    <w:p w14:paraId="6AD684DF" w14:textId="4B2B9099" w:rsidR="006B36E6" w:rsidRPr="00167A1B" w:rsidRDefault="006B36E6" w:rsidP="006B36E6">
      <w:pPr>
        <w:pStyle w:val="BodyText1"/>
        <w:rPr>
          <w:noProof w:val="0"/>
        </w:rPr>
      </w:pPr>
      <w:r w:rsidRPr="00167A1B">
        <w:rPr>
          <w:noProof w:val="0"/>
        </w:rPr>
        <w:t>This option leads to the elimination (i.e. reduced to zero) of EPS supplied with smartphones from 2024 onwards. Whilst a significant rebound in standalone EPS purchases is expected, as in the stock model for every smartphone supplied without an EPS, 0.39 standalone EPS sales are added (as described in the Annex G baseline additions), the net effect of this option is a significant decrease in EPS added to the stock compared to the baseline. The decrease totals around 250 million fewer EPS added to the stock between 2024 and 2030. The option does lead to an additional 80 million cables being added to the stock, as consumers purchasing standalone EPS as a result of this rebound effect, also in many cases purchase cables at the same time. The net effect of this policy option is a decrease in the total materials required, with 9</w:t>
      </w:r>
      <w:r w:rsidR="000A6C9E" w:rsidRPr="00167A1B">
        <w:rPr>
          <w:noProof w:val="0"/>
        </w:rPr>
        <w:t>,</w:t>
      </w:r>
      <w:r w:rsidRPr="00167A1B">
        <w:rPr>
          <w:noProof w:val="0"/>
        </w:rPr>
        <w:t>096 tonnes fewer materials used compared to the baseline total between 2024-2030, or around 1</w:t>
      </w:r>
      <w:r w:rsidR="000A6C9E" w:rsidRPr="00167A1B">
        <w:rPr>
          <w:noProof w:val="0"/>
        </w:rPr>
        <w:t>,</w:t>
      </w:r>
      <w:r w:rsidRPr="00167A1B">
        <w:rPr>
          <w:noProof w:val="0"/>
        </w:rPr>
        <w:t xml:space="preserve">299 tonnes per year. This represents a 6% decrease compared to the baseline. </w:t>
      </w:r>
      <w:r w:rsidRPr="00167A1B">
        <w:rPr>
          <w:noProof w:val="0"/>
          <w:lang w:eastAsia="en-GB"/>
        </w:rPr>
        <w:lastRenderedPageBreak/>
        <w:t>Between 2024 and 2030, the most substantial changes are observed in ‘plastics’, ‘aluminium and ‘others (EPS)’.</w:t>
      </w:r>
    </w:p>
    <w:p w14:paraId="42B45759" w14:textId="77777777" w:rsidR="006B36E6" w:rsidRPr="00167A1B" w:rsidRDefault="006B36E6" w:rsidP="006B36E6">
      <w:pPr>
        <w:pStyle w:val="Subtitle10"/>
        <w:rPr>
          <w:noProof w:val="0"/>
        </w:rPr>
      </w:pPr>
      <w:r w:rsidRPr="00167A1B">
        <w:rPr>
          <w:noProof w:val="0"/>
        </w:rPr>
        <w:t>Option 4.b</w:t>
      </w:r>
    </w:p>
    <w:p w14:paraId="1B87C062" w14:textId="2154EA32" w:rsidR="006B36E6" w:rsidRPr="00167A1B" w:rsidRDefault="006B36E6" w:rsidP="006B36E6">
      <w:pPr>
        <w:pStyle w:val="BodyText1"/>
        <w:rPr>
          <w:noProof w:val="0"/>
        </w:rPr>
      </w:pPr>
      <w:r w:rsidRPr="00167A1B">
        <w:rPr>
          <w:noProof w:val="0"/>
        </w:rPr>
        <w:t xml:space="preserve">In addition to EPS as per option 4.a, this option also eliminates cables supplied with smartphones. Next to the effect on EPS additions as described for option 4.a, this option leads to many fewer cables being added to the stock between 2024 and 2030. As a result, the net effect of this policy option is the most significant decrease in materials used of </w:t>
      </w:r>
      <w:proofErr w:type="gramStart"/>
      <w:r w:rsidRPr="00167A1B">
        <w:rPr>
          <w:noProof w:val="0"/>
        </w:rPr>
        <w:t>all of</w:t>
      </w:r>
      <w:proofErr w:type="gramEnd"/>
      <w:r w:rsidRPr="00167A1B">
        <w:rPr>
          <w:noProof w:val="0"/>
        </w:rPr>
        <w:t xml:space="preserve"> the options, with 33</w:t>
      </w:r>
      <w:r w:rsidR="000A6C9E" w:rsidRPr="00167A1B">
        <w:rPr>
          <w:noProof w:val="0"/>
        </w:rPr>
        <w:t>,</w:t>
      </w:r>
      <w:r w:rsidRPr="00167A1B">
        <w:rPr>
          <w:noProof w:val="0"/>
        </w:rPr>
        <w:t>568 less tonnes of materials used compared to the baseline total between 2024-2030, which is equivalent to around 4</w:t>
      </w:r>
      <w:r w:rsidR="000A6C9E" w:rsidRPr="00167A1B">
        <w:rPr>
          <w:noProof w:val="0"/>
        </w:rPr>
        <w:t>,</w:t>
      </w:r>
      <w:r w:rsidRPr="00167A1B">
        <w:rPr>
          <w:noProof w:val="0"/>
        </w:rPr>
        <w:t>795</w:t>
      </w:r>
      <w:r w:rsidR="000A6C9E" w:rsidRPr="00167A1B">
        <w:rPr>
          <w:noProof w:val="0"/>
        </w:rPr>
        <w:t xml:space="preserve"> </w:t>
      </w:r>
      <w:r w:rsidRPr="00167A1B">
        <w:rPr>
          <w:noProof w:val="0"/>
        </w:rPr>
        <w:t>tonnes per year. This represents a 22% decrease compared to the baseline. Between 2024 and 2030, the most substantial changes are observed in ‘plastics’, ‘aluminium and ‘others (EPS)’.</w:t>
      </w:r>
    </w:p>
    <w:p w14:paraId="41EC3B48" w14:textId="77777777" w:rsidR="006B36E6" w:rsidRPr="00167A1B" w:rsidRDefault="006B36E6" w:rsidP="006B36E6">
      <w:pPr>
        <w:pStyle w:val="04ABodyText"/>
        <w:rPr>
          <w:b/>
          <w:bCs/>
        </w:rPr>
      </w:pPr>
      <w:r w:rsidRPr="00167A1B">
        <w:rPr>
          <w:rFonts w:cs="Times New Roman"/>
          <w:i/>
          <w:color w:val="0C4DA2" w:themeColor="text2"/>
          <w:sz w:val="24"/>
          <w:szCs w:val="24"/>
          <w:lang w:eastAsia="en-US"/>
        </w:rPr>
        <w:t>Option 5</w:t>
      </w:r>
    </w:p>
    <w:p w14:paraId="1EAAFE2B" w14:textId="63AA86B0" w:rsidR="006B36E6" w:rsidRPr="00167A1B" w:rsidRDefault="006B36E6" w:rsidP="006B36E6">
      <w:pPr>
        <w:pStyle w:val="BodyText1"/>
        <w:rPr>
          <w:noProof w:val="0"/>
        </w:rPr>
      </w:pPr>
      <w:r w:rsidRPr="00167A1B">
        <w:rPr>
          <w:noProof w:val="0"/>
        </w:rPr>
        <w:t>As detailed in the Annex, this option assumes a reduction in standalone EPS purchases (of 1% compared to the baseline) as a result of additional labelling and information. This also leads to a small reduction in cable sales (0.58% lower than the baseline). The net effect of this policy option is a small decrease in the materials used, 1</w:t>
      </w:r>
      <w:r w:rsidR="000A6C9E" w:rsidRPr="00167A1B">
        <w:rPr>
          <w:noProof w:val="0"/>
        </w:rPr>
        <w:t>,</w:t>
      </w:r>
      <w:r w:rsidRPr="00167A1B">
        <w:rPr>
          <w:noProof w:val="0"/>
        </w:rPr>
        <w:t>329 less tonnes compared to the baseline total between 2024-2030, or around 190 tonnes per year. This represents a 0.9% decrease compared to the baseline. For this policy option, only minimal changes between 2024-2030 per material type are observed compared to the baseline.</w:t>
      </w:r>
    </w:p>
    <w:p w14:paraId="20E57643" w14:textId="77777777" w:rsidR="006B36E6" w:rsidRPr="00167A1B" w:rsidRDefault="006B36E6" w:rsidP="006B36E6">
      <w:pPr>
        <w:pStyle w:val="Subtitle10"/>
        <w:rPr>
          <w:noProof w:val="0"/>
        </w:rPr>
      </w:pPr>
      <w:r w:rsidRPr="00167A1B">
        <w:rPr>
          <w:noProof w:val="0"/>
        </w:rPr>
        <w:t>Summary</w:t>
      </w:r>
    </w:p>
    <w:p w14:paraId="1DF6BC7D" w14:textId="77777777" w:rsidR="006B36E6" w:rsidRPr="00167A1B" w:rsidRDefault="006B36E6" w:rsidP="006B36E6">
      <w:pPr>
        <w:pStyle w:val="BodyText1"/>
        <w:rPr>
          <w:noProof w:val="0"/>
        </w:rPr>
      </w:pPr>
      <w:r w:rsidRPr="00167A1B">
        <w:rPr>
          <w:noProof w:val="0"/>
        </w:rPr>
        <w:t xml:space="preserve">In summary, policy options 4.a and 4.b result in the most substantial reduction of material use due to the unbundling of EPS and both EPS and cables, respectively. In both cases, the rebound effect of the materials required for the additional standalone and cables sales is lower than the materials savings from the unbundling of EPS and cables. Compared to the GHG impact, the difference between the effect of option 4.a and 4.b is bigger in the case of materials used because the life cycle emissions for cables and EPS are different per g of material used, not only the difference in weight. </w:t>
      </w:r>
    </w:p>
    <w:p w14:paraId="1DA9BA37" w14:textId="77777777" w:rsidR="006B36E6" w:rsidRPr="00167A1B" w:rsidRDefault="006B36E6" w:rsidP="006B36E6">
      <w:pPr>
        <w:pStyle w:val="BodyText1"/>
        <w:rPr>
          <w:noProof w:val="0"/>
        </w:rPr>
      </w:pPr>
      <w:r w:rsidRPr="00167A1B">
        <w:rPr>
          <w:noProof w:val="0"/>
        </w:rPr>
        <w:t xml:space="preserve">In contrast, option 1 shows the largest increase in materials used, although a relatively small increase of 1.5% annually. This is mainly due to the increase of cables with USB Type-C connectors that are heavier on average than the alternatives. </w:t>
      </w:r>
    </w:p>
    <w:p w14:paraId="1359894E" w14:textId="77777777" w:rsidR="006B36E6" w:rsidRPr="00167A1B" w:rsidRDefault="006B36E6" w:rsidP="006B36E6">
      <w:pPr>
        <w:pStyle w:val="BodyText1"/>
        <w:rPr>
          <w:noProof w:val="0"/>
        </w:rPr>
      </w:pPr>
    </w:p>
    <w:p w14:paraId="6CF52716" w14:textId="77777777" w:rsidR="006B36E6" w:rsidRPr="00167A1B" w:rsidRDefault="006B36E6" w:rsidP="006B36E6">
      <w:pPr>
        <w:pStyle w:val="title3"/>
      </w:pPr>
      <w:r w:rsidRPr="00167A1B">
        <w:t>E-waste, treatment and recycling</w:t>
      </w:r>
    </w:p>
    <w:p w14:paraId="13E96836" w14:textId="77777777" w:rsidR="006B36E6" w:rsidRPr="00167A1B" w:rsidRDefault="006B36E6" w:rsidP="006B36E6">
      <w:pPr>
        <w:pStyle w:val="BodyText1"/>
        <w:rPr>
          <w:noProof w:val="0"/>
        </w:rPr>
      </w:pPr>
      <w:r w:rsidRPr="00167A1B">
        <w:rPr>
          <w:noProof w:val="0"/>
        </w:rPr>
        <w:t xml:space="preserve">We estimated recycling volumes based on the recyclability of the materials found in chargers, the volume of chargers disposed of, the method of disposal, and how disposed chargers are treated. The main assumptions are presented in chapter 4 and the Annex. The combination of these assumptions, applied to the additions to the charger stock modelled in the stock model is used to calculate the e-waste impact of the options (in tonnes). These are summarised in </w:t>
      </w:r>
      <w:r w:rsidRPr="00167A1B">
        <w:rPr>
          <w:noProof w:val="0"/>
          <w:highlight w:val="yellow"/>
        </w:rPr>
        <w:fldChar w:fldCharType="begin"/>
      </w:r>
      <w:r w:rsidRPr="00167A1B">
        <w:rPr>
          <w:noProof w:val="0"/>
        </w:rPr>
        <w:instrText xml:space="preserve"> REF _Ref70088586 \h </w:instrText>
      </w:r>
      <w:r w:rsidRPr="00167A1B">
        <w:rPr>
          <w:noProof w:val="0"/>
          <w:highlight w:val="yellow"/>
        </w:rPr>
      </w:r>
      <w:r w:rsidRPr="00167A1B">
        <w:rPr>
          <w:noProof w:val="0"/>
          <w:highlight w:val="yellow"/>
        </w:rPr>
        <w:fldChar w:fldCharType="separate"/>
      </w:r>
      <w:r w:rsidRPr="00167A1B">
        <w:rPr>
          <w:noProof w:val="0"/>
        </w:rPr>
        <w:t>Figure 7</w:t>
      </w:r>
      <w:r w:rsidRPr="00167A1B">
        <w:rPr>
          <w:noProof w:val="0"/>
          <w:highlight w:val="yellow"/>
        </w:rPr>
        <w:fldChar w:fldCharType="end"/>
      </w:r>
      <w:r w:rsidRPr="00167A1B">
        <w:rPr>
          <w:noProof w:val="0"/>
        </w:rPr>
        <w:t xml:space="preserve"> below.</w:t>
      </w:r>
    </w:p>
    <w:p w14:paraId="7C4FA4C6" w14:textId="77777777" w:rsidR="006B36E6" w:rsidRPr="00167A1B" w:rsidRDefault="006B36E6" w:rsidP="006B36E6">
      <w:pPr>
        <w:pStyle w:val="Caption"/>
      </w:pPr>
      <w:bookmarkStart w:id="48" w:name="_Ref69906634"/>
      <w:bookmarkStart w:id="49" w:name="_Ref70088586"/>
      <w:r w:rsidRPr="00167A1B">
        <w:lastRenderedPageBreak/>
        <w:t xml:space="preserve">Figure </w:t>
      </w:r>
      <w:bookmarkEnd w:id="48"/>
      <w:r w:rsidRPr="00167A1B">
        <w:fldChar w:fldCharType="begin"/>
      </w:r>
      <w:r w:rsidRPr="00167A1B">
        <w:instrText xml:space="preserve"> SEQ Figure \* ARABIC \s 1 </w:instrText>
      </w:r>
      <w:r w:rsidRPr="00167A1B">
        <w:fldChar w:fldCharType="separate"/>
      </w:r>
      <w:r w:rsidRPr="00167A1B">
        <w:t>7</w:t>
      </w:r>
      <w:r w:rsidRPr="00167A1B">
        <w:fldChar w:fldCharType="end"/>
      </w:r>
      <w:bookmarkEnd w:id="49"/>
      <w:r w:rsidRPr="00167A1B">
        <w:t>. E-waste impact of the policy options 2017-2030, tonnes</w:t>
      </w:r>
    </w:p>
    <w:p w14:paraId="167132DF" w14:textId="77777777" w:rsidR="006B36E6" w:rsidRPr="00167A1B" w:rsidRDefault="006B36E6" w:rsidP="006B36E6">
      <w:pPr>
        <w:pStyle w:val="04ABodyText"/>
        <w:numPr>
          <w:ilvl w:val="0"/>
          <w:numId w:val="0"/>
        </w:numPr>
        <w:jc w:val="center"/>
      </w:pPr>
      <w:r w:rsidRPr="00167A1B">
        <w:rPr>
          <w:noProof/>
        </w:rPr>
        <w:drawing>
          <wp:inline distT="0" distB="0" distL="0" distR="0" wp14:anchorId="7DCA2D6C" wp14:editId="503D739B">
            <wp:extent cx="4772025" cy="292131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75011" cy="2923140"/>
                    </a:xfrm>
                    <a:prstGeom prst="rect">
                      <a:avLst/>
                    </a:prstGeom>
                    <a:noFill/>
                  </pic:spPr>
                </pic:pic>
              </a:graphicData>
            </a:graphic>
          </wp:inline>
        </w:drawing>
      </w:r>
    </w:p>
    <w:p w14:paraId="55CD8AA9" w14:textId="6641543F" w:rsidR="006B36E6" w:rsidRPr="00167A1B" w:rsidRDefault="00BC7958" w:rsidP="006B36E6">
      <w:pPr>
        <w:pStyle w:val="Subtitle10"/>
        <w:rPr>
          <w:noProof w:val="0"/>
        </w:rPr>
      </w:pPr>
      <w:r w:rsidRPr="00167A1B">
        <w:rPr>
          <w:b/>
          <w:noProof w:val="0"/>
          <w:sz w:val="18"/>
          <w:szCs w:val="18"/>
        </w:rPr>
        <w:t>Source:</w:t>
      </w:r>
      <w:r w:rsidRPr="00167A1B">
        <w:rPr>
          <w:noProof w:val="0"/>
          <w:sz w:val="18"/>
          <w:szCs w:val="18"/>
        </w:rPr>
        <w:t xml:space="preserve">  Own TRI-STOCK-CHARGER model calculations. </w:t>
      </w:r>
      <w:r w:rsidR="006B36E6" w:rsidRPr="00167A1B">
        <w:rPr>
          <w:noProof w:val="0"/>
        </w:rPr>
        <w:t>Baseline</w:t>
      </w:r>
    </w:p>
    <w:p w14:paraId="494D6C28" w14:textId="1F9270F6" w:rsidR="006B36E6" w:rsidRPr="00167A1B" w:rsidRDefault="006B36E6" w:rsidP="006B36E6">
      <w:pPr>
        <w:pStyle w:val="BodyText1"/>
        <w:rPr>
          <w:noProof w:val="0"/>
        </w:rPr>
      </w:pPr>
      <w:bookmarkStart w:id="50" w:name="_Hlk69892642"/>
      <w:r w:rsidRPr="00167A1B">
        <w:rPr>
          <w:noProof w:val="0"/>
        </w:rPr>
        <w:t>In the baseline, e-waste increases from 12</w:t>
      </w:r>
      <w:r w:rsidR="000A6C9E" w:rsidRPr="00167A1B">
        <w:rPr>
          <w:noProof w:val="0"/>
        </w:rPr>
        <w:t>,</w:t>
      </w:r>
      <w:r w:rsidRPr="00167A1B">
        <w:rPr>
          <w:noProof w:val="0"/>
        </w:rPr>
        <w:t>574 tonnes in 2018 to 20</w:t>
      </w:r>
      <w:r w:rsidR="000A6C9E" w:rsidRPr="00167A1B">
        <w:rPr>
          <w:noProof w:val="0"/>
        </w:rPr>
        <w:t>,</w:t>
      </w:r>
      <w:r w:rsidRPr="00167A1B">
        <w:rPr>
          <w:noProof w:val="0"/>
        </w:rPr>
        <w:t xml:space="preserve">177 tonnes in 2030 despite the decline in the number of EPS and cables added to the stock of chargers each year. </w:t>
      </w:r>
      <w:r w:rsidRPr="00167A1B">
        <w:rPr>
          <w:noProof w:val="0"/>
          <w:lang w:eastAsia="en-GB"/>
        </w:rPr>
        <w:t xml:space="preserve">From 2024 onwards, the annual increase in e-waste slows (4% increase until 2026, followed by an average 2% annual increase between 2027 and 2030). Compared to the GHG and materials use impacts, the amount of e-waste generated increases gradually every year, </w:t>
      </w:r>
      <w:r w:rsidRPr="00167A1B">
        <w:rPr>
          <w:noProof w:val="0"/>
        </w:rPr>
        <w:t xml:space="preserve">as changes in material use take longer to manifest as changes in e-waste, as disposals are spread over 10 years in the model. </w:t>
      </w:r>
    </w:p>
    <w:p w14:paraId="3A3B108D" w14:textId="0E9EF2F0" w:rsidR="006B36E6" w:rsidRPr="00167A1B" w:rsidRDefault="006B36E6" w:rsidP="006B36E6">
      <w:pPr>
        <w:pStyle w:val="BodyText1"/>
        <w:rPr>
          <w:noProof w:val="0"/>
        </w:rPr>
      </w:pPr>
      <w:r w:rsidRPr="00167A1B">
        <w:rPr>
          <w:noProof w:val="0"/>
        </w:rPr>
        <w:t>The baseline annual e-waste generated in 2023 of 16</w:t>
      </w:r>
      <w:r w:rsidR="000A6C9E" w:rsidRPr="00167A1B">
        <w:rPr>
          <w:noProof w:val="0"/>
        </w:rPr>
        <w:t>,</w:t>
      </w:r>
      <w:r w:rsidRPr="00167A1B">
        <w:rPr>
          <w:noProof w:val="0"/>
        </w:rPr>
        <w:t>616 tonnes represents approximately 5.4% of the 353</w:t>
      </w:r>
      <w:r w:rsidR="000A6C9E" w:rsidRPr="00167A1B">
        <w:rPr>
          <w:noProof w:val="0"/>
        </w:rPr>
        <w:t>,</w:t>
      </w:r>
      <w:r w:rsidRPr="00167A1B">
        <w:rPr>
          <w:noProof w:val="0"/>
        </w:rPr>
        <w:t>172</w:t>
      </w:r>
      <w:r w:rsidRPr="00167A1B">
        <w:rPr>
          <w:rStyle w:val="FootnoteReference"/>
          <w:noProof w:val="0"/>
        </w:rPr>
        <w:footnoteReference w:id="105"/>
      </w:r>
      <w:r w:rsidRPr="00167A1B">
        <w:rPr>
          <w:noProof w:val="0"/>
        </w:rPr>
        <w:t xml:space="preserve"> tonnes of total small household appliances collected from </w:t>
      </w:r>
      <w:proofErr w:type="gramStart"/>
      <w:r w:rsidRPr="00167A1B">
        <w:rPr>
          <w:noProof w:val="0"/>
        </w:rPr>
        <w:t>households</w:t>
      </w:r>
      <w:proofErr w:type="gramEnd"/>
      <w:r w:rsidRPr="00167A1B">
        <w:rPr>
          <w:noProof w:val="0"/>
        </w:rPr>
        <w:t xml:space="preserve"> equipment in 2017.</w:t>
      </w:r>
    </w:p>
    <w:p w14:paraId="06F6B8C8" w14:textId="77777777" w:rsidR="006B36E6" w:rsidRPr="00167A1B" w:rsidRDefault="006B36E6" w:rsidP="006B36E6">
      <w:pPr>
        <w:pStyle w:val="BodyText1"/>
        <w:rPr>
          <w:noProof w:val="0"/>
        </w:rPr>
      </w:pPr>
      <w:r w:rsidRPr="00167A1B">
        <w:rPr>
          <w:noProof w:val="0"/>
        </w:rPr>
        <w:t>As explained in section 4.1.2 and detail in Annex G, the model assumes an increase in the recycling rates and recovery rates from recycling of plastics and metals. The changes in these rates result in an increase of 31% in e-waste collected, and 43% in e-waste recovered for recycling between 2024 and 2030.</w:t>
      </w:r>
    </w:p>
    <w:bookmarkEnd w:id="50"/>
    <w:p w14:paraId="421B960A" w14:textId="77777777" w:rsidR="006B36E6" w:rsidRPr="00167A1B" w:rsidRDefault="006B36E6" w:rsidP="006B36E6">
      <w:pPr>
        <w:pStyle w:val="Subtitle10"/>
        <w:rPr>
          <w:noProof w:val="0"/>
        </w:rPr>
      </w:pPr>
      <w:r w:rsidRPr="00167A1B">
        <w:rPr>
          <w:noProof w:val="0"/>
        </w:rPr>
        <w:t>Option 1</w:t>
      </w:r>
    </w:p>
    <w:p w14:paraId="3757DF1E" w14:textId="4EDD23E1" w:rsidR="006B36E6" w:rsidRPr="00167A1B" w:rsidRDefault="006B36E6" w:rsidP="006B36E6">
      <w:pPr>
        <w:pStyle w:val="BodyText1"/>
        <w:rPr>
          <w:noProof w:val="0"/>
        </w:rPr>
      </w:pPr>
      <w:r w:rsidRPr="00167A1B">
        <w:rPr>
          <w:noProof w:val="0"/>
        </w:rPr>
        <w:t xml:space="preserve">As described above, this option leads to the elimination </w:t>
      </w:r>
      <w:r w:rsidRPr="00167A1B">
        <w:rPr>
          <w:noProof w:val="0"/>
          <w:lang w:eastAsia="en-GB"/>
        </w:rPr>
        <w:t xml:space="preserve">(i.e. reduced to </w:t>
      </w:r>
      <w:proofErr w:type="gramStart"/>
      <w:r w:rsidRPr="00167A1B">
        <w:rPr>
          <w:noProof w:val="0"/>
          <w:lang w:eastAsia="en-GB"/>
        </w:rPr>
        <w:t xml:space="preserve">zero) </w:t>
      </w:r>
      <w:r w:rsidRPr="00167A1B">
        <w:rPr>
          <w:noProof w:val="0"/>
        </w:rPr>
        <w:t xml:space="preserve"> of</w:t>
      </w:r>
      <w:proofErr w:type="gramEnd"/>
      <w:r w:rsidRPr="00167A1B">
        <w:rPr>
          <w:noProof w:val="0"/>
        </w:rPr>
        <w:t xml:space="preserve"> USB Micro-B and Lightning connectors on new phones, and consequently, the cables sold with these phones change from 2024. This change has only a small effect on the e-waste generated, with an additional 1</w:t>
      </w:r>
      <w:r w:rsidR="000A6C9E" w:rsidRPr="00167A1B">
        <w:rPr>
          <w:noProof w:val="0"/>
        </w:rPr>
        <w:t>,</w:t>
      </w:r>
      <w:r w:rsidRPr="00167A1B">
        <w:rPr>
          <w:noProof w:val="0"/>
        </w:rPr>
        <w:t>088</w:t>
      </w:r>
      <w:r w:rsidR="000A6C9E" w:rsidRPr="00167A1B">
        <w:rPr>
          <w:noProof w:val="0"/>
        </w:rPr>
        <w:t xml:space="preserve"> </w:t>
      </w:r>
      <w:r w:rsidRPr="00167A1B">
        <w:rPr>
          <w:noProof w:val="0"/>
        </w:rPr>
        <w:t xml:space="preserve">tonnes compared to the baseline total between 2024-2030, or around 155 tonnes per year. This represents a 0.8% increase compared to the baseline. The same trend is observed in the amount of untreated and recycled e-waste (0.8% and 0.9% increase compared to the baseline, respectively). </w:t>
      </w:r>
    </w:p>
    <w:p w14:paraId="41174170" w14:textId="77777777" w:rsidR="006B36E6" w:rsidRPr="00167A1B" w:rsidRDefault="006B36E6" w:rsidP="006B36E6">
      <w:pPr>
        <w:pStyle w:val="BodyText1"/>
        <w:rPr>
          <w:noProof w:val="0"/>
        </w:rPr>
      </w:pPr>
    </w:p>
    <w:p w14:paraId="343640BA" w14:textId="77777777" w:rsidR="006B36E6" w:rsidRPr="00167A1B" w:rsidRDefault="006B36E6" w:rsidP="006B36E6">
      <w:pPr>
        <w:pStyle w:val="04ABodyText"/>
        <w:numPr>
          <w:ilvl w:val="0"/>
          <w:numId w:val="0"/>
        </w:numPr>
        <w:rPr>
          <w:b/>
        </w:rPr>
      </w:pPr>
      <w:r w:rsidRPr="00167A1B">
        <w:rPr>
          <w:rFonts w:cs="Times New Roman"/>
          <w:i/>
          <w:color w:val="0C4DA2" w:themeColor="text2"/>
          <w:sz w:val="24"/>
          <w:szCs w:val="24"/>
          <w:lang w:eastAsia="en-US"/>
        </w:rPr>
        <w:t>Option 2</w:t>
      </w:r>
      <w:r w:rsidRPr="00167A1B">
        <w:rPr>
          <w:b/>
          <w:bCs/>
        </w:rPr>
        <w:t xml:space="preserve"> </w:t>
      </w:r>
    </w:p>
    <w:p w14:paraId="205DEDA6" w14:textId="77777777" w:rsidR="006B36E6" w:rsidRPr="00167A1B" w:rsidRDefault="006B36E6" w:rsidP="006B36E6">
      <w:pPr>
        <w:pStyle w:val="BodyText1"/>
        <w:rPr>
          <w:noProof w:val="0"/>
        </w:rPr>
      </w:pPr>
      <w:r w:rsidRPr="00167A1B">
        <w:rPr>
          <w:noProof w:val="0"/>
        </w:rPr>
        <w:t xml:space="preserve">As outlined in the previous sections, this option leads to the elimination (i.e. reduced to </w:t>
      </w:r>
      <w:proofErr w:type="gramStart"/>
      <w:r w:rsidRPr="00167A1B">
        <w:rPr>
          <w:noProof w:val="0"/>
        </w:rPr>
        <w:t>zero)  of</w:t>
      </w:r>
      <w:proofErr w:type="gramEnd"/>
      <w:r w:rsidRPr="00167A1B">
        <w:rPr>
          <w:noProof w:val="0"/>
        </w:rPr>
        <w:t xml:space="preserve"> USB Micro-B connections on new phones from 2024 and consequently, the cables sold with </w:t>
      </w:r>
      <w:r w:rsidRPr="00167A1B">
        <w:rPr>
          <w:noProof w:val="0"/>
        </w:rPr>
        <w:lastRenderedPageBreak/>
        <w:t xml:space="preserve">these phones, as explained in detail in Annex G. The effect of the switch to heavier USB Type-C connectors, cables and more powerful EPS on the e-waste generated is more than offset by the impact of reduced standalone sales. Therefore, the net effect of this policy option is negligible, only a very small decrease in the e-waste generated from 2023 onwards: 350 tonnes lower than the baseline total between 2024-2030, or around 50 tonnes per year. This represents a 0.3% decrease compared to the baseline. The same trend is observed in the amount of untreated and recycled e-waste (both with a 0.2% decrease compared to the baseline). </w:t>
      </w:r>
    </w:p>
    <w:p w14:paraId="4E72B71F" w14:textId="306BA806" w:rsidR="006B36E6" w:rsidRPr="00167A1B" w:rsidRDefault="006B36E6" w:rsidP="006B36E6">
      <w:pPr>
        <w:pStyle w:val="04ABodyText"/>
        <w:jc w:val="both"/>
        <w:rPr>
          <w:b/>
          <w:bCs/>
        </w:rPr>
      </w:pPr>
      <w:r w:rsidRPr="00167A1B">
        <w:rPr>
          <w:rFonts w:cs="Times New Roman"/>
          <w:i/>
          <w:color w:val="0C4DA2" w:themeColor="text2"/>
          <w:sz w:val="24"/>
          <w:szCs w:val="24"/>
          <w:lang w:eastAsia="en-US"/>
        </w:rPr>
        <w:t>Option 3</w:t>
      </w:r>
    </w:p>
    <w:p w14:paraId="21E7F47C" w14:textId="764A8794" w:rsidR="006B36E6" w:rsidRPr="00167A1B" w:rsidRDefault="006B36E6" w:rsidP="006B36E6">
      <w:pPr>
        <w:pStyle w:val="BodyText1"/>
        <w:rPr>
          <w:noProof w:val="0"/>
        </w:rPr>
      </w:pPr>
      <w:r w:rsidRPr="00167A1B">
        <w:rPr>
          <w:noProof w:val="0"/>
        </w:rPr>
        <w:t xml:space="preserve">The requirement for compliance with IEC63002:2021 leads to a switch to USB Type-C ports on EPS and USB Type-C – Type-C cables. The model assumes that new &lt;7.5W EPS supplied with smartphones are removed from 2024, as well as USB Micro-B cables. Standalone &lt;7.5W EPS are assumed to see a faster reduction than baseline (reducing to 0.5% by 2030). The net effect of these changes is a small increase in e-waste, with an additional 690 tonnes of e-waste </w:t>
      </w:r>
      <w:proofErr w:type="gramStart"/>
      <w:r w:rsidRPr="00167A1B">
        <w:rPr>
          <w:noProof w:val="0"/>
        </w:rPr>
        <w:t>generated  compared</w:t>
      </w:r>
      <w:proofErr w:type="gramEnd"/>
      <w:r w:rsidRPr="00167A1B">
        <w:rPr>
          <w:noProof w:val="0"/>
        </w:rPr>
        <w:t xml:space="preserve"> to the baseline total between 2024-2030, or around 99 tonnes per year. This represents a 0.5% increase compared to the baseline. The same trend is observed in the amount of untreated and recycled e-waste (both with a 0.5% increase compared to the baseline).</w:t>
      </w:r>
    </w:p>
    <w:p w14:paraId="5A9AF2D1" w14:textId="77777777" w:rsidR="006B36E6" w:rsidRPr="00167A1B" w:rsidRDefault="006B36E6" w:rsidP="006B36E6">
      <w:pPr>
        <w:pStyle w:val="04ABodyText"/>
        <w:rPr>
          <w:b/>
          <w:bCs/>
        </w:rPr>
      </w:pPr>
      <w:r w:rsidRPr="00167A1B">
        <w:rPr>
          <w:rFonts w:cs="Times New Roman"/>
          <w:i/>
          <w:color w:val="0C4DA2" w:themeColor="text2"/>
          <w:sz w:val="24"/>
          <w:szCs w:val="24"/>
          <w:lang w:eastAsia="en-US"/>
        </w:rPr>
        <w:t>Option 4.a</w:t>
      </w:r>
    </w:p>
    <w:p w14:paraId="0562177E" w14:textId="2E02DED9" w:rsidR="006B36E6" w:rsidRPr="00167A1B" w:rsidRDefault="006B36E6" w:rsidP="006B36E6">
      <w:pPr>
        <w:pStyle w:val="BodyText1"/>
        <w:rPr>
          <w:noProof w:val="0"/>
        </w:rPr>
      </w:pPr>
      <w:r w:rsidRPr="00167A1B">
        <w:rPr>
          <w:noProof w:val="0"/>
        </w:rPr>
        <w:t>As explained above, this option leads to the elimination (i.e. reduced to zero) of EPS supplied with smartphones from 2024 onwards. Whilst a significant rebound in standalone EPS purchases is expected, as in the stock model for every smartphone supplied without an EPS, 0.39 standalone EPS sales are added (as described in the Annex G-Baselines additions), the net effect of this option is a significant decrease in EPS added to the stock compared to the baseline. The net effect of this policy option is therefore a decrease in the e-waste generated, with 3</w:t>
      </w:r>
      <w:r w:rsidR="000A6C9E" w:rsidRPr="00167A1B">
        <w:rPr>
          <w:noProof w:val="0"/>
        </w:rPr>
        <w:t>,</w:t>
      </w:r>
      <w:r w:rsidRPr="00167A1B">
        <w:rPr>
          <w:noProof w:val="0"/>
        </w:rPr>
        <w:t>546 less tonnes of e-waste generated than the baseline total between 2024-2030, or around 507 tonnes per year. This represents a 2.7% decrease compared to the baseline. The same trend is observed in the amount of untreated and recycled e-waste (2.5% and 2.3% decrease compared to the baseline, respectively).</w:t>
      </w:r>
    </w:p>
    <w:p w14:paraId="1F2BEEE7" w14:textId="77777777" w:rsidR="006B36E6" w:rsidRPr="00167A1B" w:rsidRDefault="006B36E6" w:rsidP="006B36E6">
      <w:pPr>
        <w:pStyle w:val="04ABodyText"/>
        <w:rPr>
          <w:b/>
          <w:bCs/>
        </w:rPr>
      </w:pPr>
      <w:r w:rsidRPr="00167A1B">
        <w:rPr>
          <w:rFonts w:cs="Times New Roman"/>
          <w:i/>
          <w:color w:val="0C4DA2" w:themeColor="text2"/>
          <w:sz w:val="24"/>
          <w:szCs w:val="24"/>
          <w:lang w:eastAsia="en-US"/>
        </w:rPr>
        <w:t>Option 4.b</w:t>
      </w:r>
      <w:r w:rsidRPr="00167A1B">
        <w:rPr>
          <w:b/>
          <w:bCs/>
        </w:rPr>
        <w:t xml:space="preserve"> </w:t>
      </w:r>
    </w:p>
    <w:p w14:paraId="7378DB3F" w14:textId="1FB487F5" w:rsidR="006B36E6" w:rsidRPr="00167A1B" w:rsidRDefault="006B36E6" w:rsidP="006B36E6">
      <w:pPr>
        <w:pStyle w:val="BodyText1"/>
        <w:rPr>
          <w:noProof w:val="0"/>
        </w:rPr>
      </w:pPr>
      <w:r w:rsidRPr="00167A1B">
        <w:rPr>
          <w:noProof w:val="0"/>
        </w:rPr>
        <w:t xml:space="preserve">In addition to EPS as per option 4.a, this option also unbundles the cables supplied with smartphones. As explained above, this option leads to a decrease in EPS additions (as per option 4.a), and cables. The net effect of this policy option is the most significant decrease in e-waste of </w:t>
      </w:r>
      <w:proofErr w:type="gramStart"/>
      <w:r w:rsidRPr="00167A1B">
        <w:rPr>
          <w:noProof w:val="0"/>
        </w:rPr>
        <w:t>all of</w:t>
      </w:r>
      <w:proofErr w:type="gramEnd"/>
      <w:r w:rsidRPr="00167A1B">
        <w:rPr>
          <w:noProof w:val="0"/>
        </w:rPr>
        <w:t xml:space="preserve"> the options, with 13</w:t>
      </w:r>
      <w:r w:rsidR="000A6C9E" w:rsidRPr="00167A1B">
        <w:rPr>
          <w:noProof w:val="0"/>
        </w:rPr>
        <w:t>,</w:t>
      </w:r>
      <w:r w:rsidRPr="00167A1B">
        <w:rPr>
          <w:noProof w:val="0"/>
        </w:rPr>
        <w:t>409 less tonnes of e-waste generated than the baseline total between 2024-2030, or around 1</w:t>
      </w:r>
      <w:r w:rsidR="000A6C9E" w:rsidRPr="00167A1B">
        <w:rPr>
          <w:noProof w:val="0"/>
        </w:rPr>
        <w:t>,</w:t>
      </w:r>
      <w:r w:rsidRPr="00167A1B">
        <w:rPr>
          <w:noProof w:val="0"/>
        </w:rPr>
        <w:t>916 per year. This represents a 10.1% decrease compared to the baseline. The same trend is observed in the amount of untreated and recycled e-waste (9.4% and 10.8% decrease compared to the baseline, respectively).</w:t>
      </w:r>
    </w:p>
    <w:p w14:paraId="7E7FFD17" w14:textId="77777777" w:rsidR="006B36E6" w:rsidRPr="00167A1B" w:rsidRDefault="006B36E6" w:rsidP="006B36E6">
      <w:pPr>
        <w:pStyle w:val="04ABodyText"/>
        <w:jc w:val="both"/>
      </w:pPr>
      <w:r w:rsidRPr="00167A1B">
        <w:rPr>
          <w:rFonts w:cs="Times New Roman"/>
          <w:i/>
          <w:color w:val="0C4DA2" w:themeColor="text2"/>
          <w:sz w:val="24"/>
          <w:szCs w:val="24"/>
          <w:lang w:eastAsia="en-US"/>
        </w:rPr>
        <w:t>Option 5</w:t>
      </w:r>
      <w:r w:rsidRPr="00167A1B">
        <w:rPr>
          <w:b/>
          <w:bCs/>
        </w:rPr>
        <w:t xml:space="preserve"> </w:t>
      </w:r>
    </w:p>
    <w:p w14:paraId="0F1D4947" w14:textId="2F539139" w:rsidR="006B36E6" w:rsidRPr="00167A1B" w:rsidRDefault="006B36E6" w:rsidP="006B36E6">
      <w:pPr>
        <w:pStyle w:val="BodyText1"/>
        <w:rPr>
          <w:noProof w:val="0"/>
        </w:rPr>
      </w:pPr>
      <w:r w:rsidRPr="00167A1B">
        <w:rPr>
          <w:noProof w:val="0"/>
        </w:rPr>
        <w:t xml:space="preserve">This option assumes a small reduction in standalone EPS and cables purchases (of 1% and 0.58% respectively compared to the baseline). The net effect of this policy option is a small decrease in e-waste generated, with 515 </w:t>
      </w:r>
      <w:r w:rsidR="000A6C9E" w:rsidRPr="00167A1B">
        <w:rPr>
          <w:noProof w:val="0"/>
        </w:rPr>
        <w:t>fewer</w:t>
      </w:r>
      <w:r w:rsidRPr="00167A1B">
        <w:rPr>
          <w:noProof w:val="0"/>
        </w:rPr>
        <w:t xml:space="preserve"> tonnes of e-waste generated compared to the baseline total between 2024-2030, or around 74 tonnes per year. This represents a 0.4% decrease compared to the baseline. The same trend is observed in the amount of untreated and recycled e-waste (both 0.4% decrease compared to the baseline, respectively).</w:t>
      </w:r>
    </w:p>
    <w:p w14:paraId="7190EE40" w14:textId="77777777" w:rsidR="006B36E6" w:rsidRPr="00167A1B" w:rsidRDefault="006B36E6" w:rsidP="006B36E6">
      <w:pPr>
        <w:pStyle w:val="Subtitle10"/>
        <w:rPr>
          <w:noProof w:val="0"/>
        </w:rPr>
      </w:pPr>
      <w:r w:rsidRPr="00167A1B">
        <w:rPr>
          <w:noProof w:val="0"/>
        </w:rPr>
        <w:t>Summary</w:t>
      </w:r>
    </w:p>
    <w:p w14:paraId="6010F5B3" w14:textId="77777777" w:rsidR="006B36E6" w:rsidRPr="00167A1B" w:rsidRDefault="006B36E6" w:rsidP="006B36E6">
      <w:pPr>
        <w:pStyle w:val="BodyText1"/>
        <w:rPr>
          <w:noProof w:val="0"/>
        </w:rPr>
      </w:pPr>
      <w:r w:rsidRPr="00167A1B">
        <w:rPr>
          <w:noProof w:val="0"/>
        </w:rPr>
        <w:t xml:space="preserve">In summary, policy options 4.a and 4.b result in the most substantial reduction of e-waste generated due to the elimination of EPS and both EPS and cables, respectively. In both cases, the rebound effect of the e-waste generated due to the additional standalone and cables sales </w:t>
      </w:r>
      <w:r w:rsidRPr="00167A1B">
        <w:rPr>
          <w:noProof w:val="0"/>
        </w:rPr>
        <w:lastRenderedPageBreak/>
        <w:t xml:space="preserve">is lower compared to the impact of the e-waste avoided when EPS and cables are no longer supplied with the phones. In contrast, option 1 shows the largest increase in e-waste generated mainly due to the increase of cables with USB Type-C connectors that are heavier on average. </w:t>
      </w:r>
    </w:p>
    <w:p w14:paraId="05AEB5F6" w14:textId="77777777" w:rsidR="006B36E6" w:rsidRPr="00167A1B" w:rsidRDefault="006B36E6" w:rsidP="006B36E6">
      <w:pPr>
        <w:pStyle w:val="BodyText1"/>
        <w:rPr>
          <w:noProof w:val="0"/>
        </w:rPr>
      </w:pPr>
      <w:r w:rsidRPr="00167A1B">
        <w:rPr>
          <w:noProof w:val="0"/>
        </w:rPr>
        <w:t>Trends in treatment of waste and recycling follow the trend in e-waste closely, although the underlying improvement in waste collection and recycling common to all options reduces the proportion of untreated waste and increases recycling over time.</w:t>
      </w:r>
    </w:p>
    <w:p w14:paraId="22273DA9" w14:textId="49125EB6" w:rsidR="00F756E1" w:rsidRPr="00167A1B" w:rsidRDefault="00F756E1" w:rsidP="00F756E1">
      <w:pPr>
        <w:pStyle w:val="BodyText1"/>
        <w:rPr>
          <w:noProof w:val="0"/>
        </w:rPr>
      </w:pPr>
    </w:p>
    <w:p w14:paraId="60C844AE" w14:textId="77777777" w:rsidR="00FA3984" w:rsidRPr="00167A1B" w:rsidRDefault="00FA3984" w:rsidP="00F756E1">
      <w:pPr>
        <w:pStyle w:val="BodyText1"/>
        <w:rPr>
          <w:noProof w:val="0"/>
        </w:rPr>
      </w:pPr>
    </w:p>
    <w:p w14:paraId="59E75BAF" w14:textId="6A992572" w:rsidR="00D30D44" w:rsidRPr="00167A1B" w:rsidRDefault="00D30D44" w:rsidP="009C1705">
      <w:pPr>
        <w:pStyle w:val="Title2"/>
        <w:outlineLvl w:val="1"/>
      </w:pPr>
      <w:bookmarkStart w:id="51" w:name="_Toc74319757"/>
      <w:r w:rsidRPr="00167A1B">
        <w:t>Economic impacts</w:t>
      </w:r>
      <w:bookmarkEnd w:id="51"/>
      <w:r w:rsidRPr="00167A1B">
        <w:t xml:space="preserve"> </w:t>
      </w:r>
    </w:p>
    <w:p w14:paraId="263C2BAD" w14:textId="77777777" w:rsidR="00084C36" w:rsidRPr="00167A1B" w:rsidRDefault="00084C36" w:rsidP="00084C36">
      <w:pPr>
        <w:pStyle w:val="BodyText1"/>
        <w:rPr>
          <w:noProof w:val="0"/>
        </w:rPr>
      </w:pPr>
      <w:r w:rsidRPr="00167A1B">
        <w:rPr>
          <w:noProof w:val="0"/>
        </w:rPr>
        <w:t xml:space="preserve">This section provides an assessment of the economic impacts of the policy options compared to the baseline. The most relevant impacts (impacts on competitiveness of businesses and impacts on consumers) have been quantified through the stock model, following the methodology explained in section 4.2. Macroeconomic impacts on production and employment, including impacts on SMEs, have also been quantified. Other types of economic impacts are assessed qualitatively. </w:t>
      </w:r>
    </w:p>
    <w:p w14:paraId="6D644AC9" w14:textId="77777777" w:rsidR="00084C36" w:rsidRPr="00167A1B" w:rsidRDefault="00084C36" w:rsidP="00084C36">
      <w:pPr>
        <w:pStyle w:val="BodyText1"/>
        <w:rPr>
          <w:noProof w:val="0"/>
        </w:rPr>
      </w:pPr>
      <w:r w:rsidRPr="00167A1B">
        <w:rPr>
          <w:noProof w:val="0"/>
        </w:rPr>
        <w:t>The following table summarises the economic impacts of the options with a comparison to the baseline.</w:t>
      </w:r>
    </w:p>
    <w:p w14:paraId="3B95F10A" w14:textId="41BC4895" w:rsidR="00084C36" w:rsidRPr="00167A1B" w:rsidRDefault="00084C36" w:rsidP="00084C36">
      <w:pPr>
        <w:pStyle w:val="Caption"/>
      </w:pPr>
      <w:bookmarkStart w:id="52" w:name="_Ref71618964"/>
      <w:r w:rsidRPr="00167A1B">
        <w:t xml:space="preserve">Table </w:t>
      </w:r>
      <w:r w:rsidRPr="00167A1B">
        <w:fldChar w:fldCharType="begin"/>
      </w:r>
      <w:r w:rsidRPr="00167A1B">
        <w:instrText xml:space="preserve"> SEQ Table \* ARABIC </w:instrText>
      </w:r>
      <w:r w:rsidRPr="00167A1B">
        <w:fldChar w:fldCharType="separate"/>
      </w:r>
      <w:r w:rsidR="00953106" w:rsidRPr="00167A1B">
        <w:t>12</w:t>
      </w:r>
      <w:r w:rsidRPr="00167A1B">
        <w:fldChar w:fldCharType="end"/>
      </w:r>
      <w:bookmarkEnd w:id="52"/>
      <w:r w:rsidRPr="00167A1B">
        <w:t>. Summary of economic impacts</w:t>
      </w:r>
    </w:p>
    <w:tbl>
      <w:tblPr>
        <w:tblStyle w:val="TableGrid"/>
        <w:tblW w:w="0" w:type="auto"/>
        <w:tblLayout w:type="fixed"/>
        <w:tblCellMar>
          <w:left w:w="57" w:type="dxa"/>
          <w:right w:w="57" w:type="dxa"/>
        </w:tblCellMar>
        <w:tblLook w:val="04A0" w:firstRow="1" w:lastRow="0" w:firstColumn="1" w:lastColumn="0" w:noHBand="0" w:noVBand="1"/>
      </w:tblPr>
      <w:tblGrid>
        <w:gridCol w:w="1838"/>
        <w:gridCol w:w="1031"/>
        <w:gridCol w:w="1032"/>
        <w:gridCol w:w="1032"/>
        <w:gridCol w:w="1032"/>
        <w:gridCol w:w="1032"/>
        <w:gridCol w:w="1032"/>
        <w:gridCol w:w="1032"/>
      </w:tblGrid>
      <w:tr w:rsidR="001A56A9" w:rsidRPr="00167A1B" w14:paraId="47C882E9" w14:textId="77777777" w:rsidTr="00F770AB">
        <w:trPr>
          <w:cnfStyle w:val="100000000000" w:firstRow="1" w:lastRow="0" w:firstColumn="0" w:lastColumn="0" w:oddVBand="0" w:evenVBand="0" w:oddHBand="0" w:evenHBand="0" w:firstRowFirstColumn="0" w:firstRowLastColumn="0" w:lastRowFirstColumn="0" w:lastRowLastColumn="0"/>
          <w:trHeight w:val="270"/>
          <w:tblHeader/>
        </w:trPr>
        <w:tc>
          <w:tcPr>
            <w:tcW w:w="1838" w:type="dxa"/>
            <w:noWrap/>
            <w:hideMark/>
          </w:tcPr>
          <w:p w14:paraId="00D8142F" w14:textId="77777777" w:rsidR="00827359" w:rsidRPr="00167A1B" w:rsidRDefault="00827359" w:rsidP="00AA04BB">
            <w:pPr>
              <w:spacing w:after="0"/>
              <w:jc w:val="left"/>
              <w:rPr>
                <w:rFonts w:ascii="Arial" w:hAnsi="Arial" w:cs="Arial"/>
                <w:sz w:val="16"/>
                <w:szCs w:val="16"/>
                <w:lang w:eastAsia="en-GB"/>
              </w:rPr>
            </w:pPr>
            <w:r w:rsidRPr="00167A1B">
              <w:rPr>
                <w:rFonts w:ascii="Arial" w:hAnsi="Arial" w:cs="Arial"/>
                <w:sz w:val="16"/>
                <w:szCs w:val="16"/>
                <w:lang w:eastAsia="en-GB"/>
              </w:rPr>
              <w:t> </w:t>
            </w:r>
          </w:p>
        </w:tc>
        <w:tc>
          <w:tcPr>
            <w:tcW w:w="1031" w:type="dxa"/>
            <w:hideMark/>
          </w:tcPr>
          <w:p w14:paraId="7C8AF0F0" w14:textId="77777777" w:rsidR="00827359" w:rsidRPr="00167A1B" w:rsidRDefault="00827359" w:rsidP="00AA04BB">
            <w:pPr>
              <w:spacing w:after="0"/>
              <w:jc w:val="left"/>
              <w:rPr>
                <w:rFonts w:ascii="Trebuchet MS" w:hAnsi="Trebuchet MS"/>
                <w:b/>
                <w:bCs/>
                <w:sz w:val="16"/>
                <w:szCs w:val="16"/>
                <w:lang w:eastAsia="en-GB"/>
              </w:rPr>
            </w:pPr>
            <w:r w:rsidRPr="00167A1B">
              <w:rPr>
                <w:rFonts w:ascii="Trebuchet MS" w:hAnsi="Trebuchet MS"/>
                <w:b/>
                <w:bCs/>
                <w:sz w:val="16"/>
                <w:szCs w:val="16"/>
                <w:lang w:eastAsia="en-GB"/>
              </w:rPr>
              <w:t>Baseline</w:t>
            </w:r>
          </w:p>
        </w:tc>
        <w:tc>
          <w:tcPr>
            <w:tcW w:w="1032" w:type="dxa"/>
            <w:hideMark/>
          </w:tcPr>
          <w:p w14:paraId="794A2B49" w14:textId="77777777" w:rsidR="00827359" w:rsidRPr="00167A1B" w:rsidRDefault="00827359" w:rsidP="00AA04BB">
            <w:pPr>
              <w:spacing w:after="0"/>
              <w:jc w:val="left"/>
              <w:rPr>
                <w:rFonts w:ascii="Trebuchet MS" w:hAnsi="Trebuchet MS"/>
                <w:b/>
                <w:bCs/>
                <w:sz w:val="16"/>
                <w:szCs w:val="16"/>
                <w:lang w:eastAsia="en-GB"/>
              </w:rPr>
            </w:pPr>
            <w:r w:rsidRPr="00167A1B">
              <w:rPr>
                <w:rFonts w:ascii="Trebuchet MS" w:hAnsi="Trebuchet MS"/>
                <w:b/>
                <w:bCs/>
                <w:sz w:val="16"/>
                <w:szCs w:val="16"/>
                <w:lang w:eastAsia="en-GB"/>
              </w:rPr>
              <w:t>PO1</w:t>
            </w:r>
          </w:p>
        </w:tc>
        <w:tc>
          <w:tcPr>
            <w:tcW w:w="1032" w:type="dxa"/>
            <w:hideMark/>
          </w:tcPr>
          <w:p w14:paraId="2D6B7DE4" w14:textId="77777777" w:rsidR="00827359" w:rsidRPr="00167A1B" w:rsidRDefault="00827359" w:rsidP="00AA04BB">
            <w:pPr>
              <w:spacing w:after="0"/>
              <w:jc w:val="left"/>
              <w:rPr>
                <w:rFonts w:ascii="Trebuchet MS" w:hAnsi="Trebuchet MS"/>
                <w:b/>
                <w:bCs/>
                <w:sz w:val="16"/>
                <w:szCs w:val="16"/>
                <w:lang w:eastAsia="en-GB"/>
              </w:rPr>
            </w:pPr>
            <w:r w:rsidRPr="00167A1B">
              <w:rPr>
                <w:rFonts w:ascii="Trebuchet MS" w:hAnsi="Trebuchet MS"/>
                <w:b/>
                <w:bCs/>
                <w:sz w:val="16"/>
                <w:szCs w:val="16"/>
                <w:lang w:eastAsia="en-GB"/>
              </w:rPr>
              <w:t>PO2</w:t>
            </w:r>
          </w:p>
        </w:tc>
        <w:tc>
          <w:tcPr>
            <w:tcW w:w="1032" w:type="dxa"/>
            <w:hideMark/>
          </w:tcPr>
          <w:p w14:paraId="0FC95CBD" w14:textId="77777777" w:rsidR="00827359" w:rsidRPr="00167A1B" w:rsidRDefault="00827359" w:rsidP="00AA04BB">
            <w:pPr>
              <w:spacing w:after="0"/>
              <w:jc w:val="left"/>
              <w:rPr>
                <w:rFonts w:ascii="Trebuchet MS" w:hAnsi="Trebuchet MS"/>
                <w:b/>
                <w:bCs/>
                <w:sz w:val="16"/>
                <w:szCs w:val="16"/>
                <w:lang w:eastAsia="en-GB"/>
              </w:rPr>
            </w:pPr>
            <w:r w:rsidRPr="00167A1B">
              <w:rPr>
                <w:rFonts w:ascii="Trebuchet MS" w:hAnsi="Trebuchet MS"/>
                <w:b/>
                <w:bCs/>
                <w:sz w:val="16"/>
                <w:szCs w:val="16"/>
                <w:lang w:eastAsia="en-GB"/>
              </w:rPr>
              <w:t>PO3</w:t>
            </w:r>
          </w:p>
        </w:tc>
        <w:tc>
          <w:tcPr>
            <w:tcW w:w="1032" w:type="dxa"/>
            <w:hideMark/>
          </w:tcPr>
          <w:p w14:paraId="3AF76805" w14:textId="26B8C978" w:rsidR="00827359" w:rsidRPr="00167A1B" w:rsidRDefault="00827359" w:rsidP="00AA04BB">
            <w:pPr>
              <w:spacing w:after="0"/>
              <w:jc w:val="left"/>
              <w:rPr>
                <w:rFonts w:ascii="Trebuchet MS" w:hAnsi="Trebuchet MS"/>
                <w:b/>
                <w:bCs/>
                <w:sz w:val="16"/>
                <w:szCs w:val="16"/>
                <w:lang w:eastAsia="en-GB"/>
              </w:rPr>
            </w:pPr>
            <w:r w:rsidRPr="00167A1B">
              <w:rPr>
                <w:rFonts w:ascii="Trebuchet MS" w:hAnsi="Trebuchet MS"/>
                <w:b/>
                <w:bCs/>
                <w:sz w:val="16"/>
                <w:szCs w:val="16"/>
                <w:lang w:eastAsia="en-GB"/>
              </w:rPr>
              <w:t>PO</w:t>
            </w:r>
            <w:r w:rsidR="00CE7EDB" w:rsidRPr="00167A1B">
              <w:rPr>
                <w:rFonts w:ascii="Trebuchet MS" w:hAnsi="Trebuchet MS"/>
                <w:b/>
                <w:bCs/>
                <w:sz w:val="16"/>
                <w:szCs w:val="16"/>
                <w:lang w:eastAsia="en-GB"/>
              </w:rPr>
              <w:t>4.a</w:t>
            </w:r>
          </w:p>
        </w:tc>
        <w:tc>
          <w:tcPr>
            <w:tcW w:w="1032" w:type="dxa"/>
            <w:hideMark/>
          </w:tcPr>
          <w:p w14:paraId="405E6BD9" w14:textId="68FE47CE" w:rsidR="00827359" w:rsidRPr="00167A1B" w:rsidRDefault="00827359" w:rsidP="00AA04BB">
            <w:pPr>
              <w:spacing w:after="0"/>
              <w:jc w:val="left"/>
              <w:rPr>
                <w:rFonts w:ascii="Trebuchet MS" w:hAnsi="Trebuchet MS"/>
                <w:b/>
                <w:bCs/>
                <w:sz w:val="16"/>
                <w:szCs w:val="16"/>
                <w:lang w:eastAsia="en-GB"/>
              </w:rPr>
            </w:pPr>
            <w:r w:rsidRPr="00167A1B">
              <w:rPr>
                <w:rFonts w:ascii="Trebuchet MS" w:hAnsi="Trebuchet MS"/>
                <w:b/>
                <w:bCs/>
                <w:sz w:val="16"/>
                <w:szCs w:val="16"/>
                <w:lang w:eastAsia="en-GB"/>
              </w:rPr>
              <w:t>PO</w:t>
            </w:r>
            <w:r w:rsidR="00CE7EDB" w:rsidRPr="00167A1B">
              <w:rPr>
                <w:rFonts w:ascii="Trebuchet MS" w:hAnsi="Trebuchet MS"/>
                <w:b/>
                <w:bCs/>
                <w:sz w:val="16"/>
                <w:szCs w:val="16"/>
                <w:lang w:eastAsia="en-GB"/>
              </w:rPr>
              <w:t>4.b</w:t>
            </w:r>
          </w:p>
        </w:tc>
        <w:tc>
          <w:tcPr>
            <w:tcW w:w="1032" w:type="dxa"/>
            <w:hideMark/>
          </w:tcPr>
          <w:p w14:paraId="015C2A1E" w14:textId="77777777" w:rsidR="00827359" w:rsidRPr="00167A1B" w:rsidRDefault="00827359" w:rsidP="00AA04BB">
            <w:pPr>
              <w:spacing w:after="0"/>
              <w:jc w:val="left"/>
              <w:rPr>
                <w:rFonts w:ascii="Trebuchet MS" w:hAnsi="Trebuchet MS"/>
                <w:b/>
                <w:bCs/>
                <w:sz w:val="16"/>
                <w:szCs w:val="16"/>
                <w:lang w:eastAsia="en-GB"/>
              </w:rPr>
            </w:pPr>
            <w:r w:rsidRPr="00167A1B">
              <w:rPr>
                <w:rFonts w:ascii="Trebuchet MS" w:hAnsi="Trebuchet MS"/>
                <w:b/>
                <w:bCs/>
                <w:sz w:val="16"/>
                <w:szCs w:val="16"/>
                <w:lang w:eastAsia="en-GB"/>
              </w:rPr>
              <w:t>PO5</w:t>
            </w:r>
          </w:p>
        </w:tc>
      </w:tr>
      <w:tr w:rsidR="001A56A9" w:rsidRPr="00167A1B" w14:paraId="398DB7EC" w14:textId="77777777" w:rsidTr="00F770AB">
        <w:trPr>
          <w:trHeight w:val="270"/>
        </w:trPr>
        <w:tc>
          <w:tcPr>
            <w:tcW w:w="1838" w:type="dxa"/>
            <w:noWrap/>
          </w:tcPr>
          <w:p w14:paraId="7252FF75" w14:textId="77777777" w:rsidR="00827359" w:rsidRPr="00167A1B" w:rsidRDefault="00827359" w:rsidP="00AA04BB">
            <w:pPr>
              <w:spacing w:after="0"/>
              <w:jc w:val="left"/>
              <w:rPr>
                <w:rFonts w:ascii="Arial" w:hAnsi="Arial" w:cs="Arial"/>
                <w:sz w:val="16"/>
                <w:szCs w:val="16"/>
                <w:lang w:eastAsia="en-GB"/>
              </w:rPr>
            </w:pPr>
          </w:p>
        </w:tc>
        <w:tc>
          <w:tcPr>
            <w:tcW w:w="1031" w:type="dxa"/>
          </w:tcPr>
          <w:p w14:paraId="751F1680" w14:textId="77777777" w:rsidR="00827359" w:rsidRPr="00167A1B" w:rsidRDefault="00827359" w:rsidP="00AA04BB">
            <w:pPr>
              <w:spacing w:after="0"/>
              <w:jc w:val="left"/>
              <w:rPr>
                <w:rFonts w:ascii="Trebuchet MS" w:hAnsi="Trebuchet MS"/>
                <w:b/>
                <w:bCs/>
                <w:sz w:val="16"/>
                <w:szCs w:val="16"/>
                <w:lang w:eastAsia="en-GB"/>
              </w:rPr>
            </w:pPr>
          </w:p>
        </w:tc>
        <w:tc>
          <w:tcPr>
            <w:tcW w:w="1032" w:type="dxa"/>
            <w:tcBorders>
              <w:top w:val="single" w:sz="4" w:space="0" w:color="FFFFFF"/>
              <w:left w:val="single" w:sz="4" w:space="0" w:color="FFFFFF"/>
              <w:bottom w:val="single" w:sz="4" w:space="0" w:color="438EF1" w:themeColor="text2" w:themeTint="99"/>
              <w:right w:val="single" w:sz="4" w:space="0" w:color="FFFFFF"/>
            </w:tcBorders>
          </w:tcPr>
          <w:p w14:paraId="44AF1506" w14:textId="77777777" w:rsidR="00827359" w:rsidRPr="00167A1B" w:rsidRDefault="00827359" w:rsidP="00AA04BB">
            <w:pPr>
              <w:spacing w:after="0"/>
              <w:jc w:val="left"/>
              <w:rPr>
                <w:rFonts w:ascii="Trebuchet MS" w:hAnsi="Trebuchet MS"/>
                <w:b/>
                <w:bCs/>
                <w:sz w:val="16"/>
                <w:szCs w:val="16"/>
                <w:lang w:eastAsia="en-GB"/>
              </w:rPr>
            </w:pPr>
            <w:r w:rsidRPr="00167A1B">
              <w:rPr>
                <w:rFonts w:ascii="Trebuchet MS" w:hAnsi="Trebuchet MS"/>
                <w:b/>
                <w:sz w:val="16"/>
                <w:szCs w:val="16"/>
              </w:rPr>
              <w:t>Harmonise device-end connectors</w:t>
            </w:r>
          </w:p>
        </w:tc>
        <w:tc>
          <w:tcPr>
            <w:tcW w:w="1032" w:type="dxa"/>
            <w:tcBorders>
              <w:top w:val="single" w:sz="4" w:space="0" w:color="FFFFFF"/>
              <w:left w:val="single" w:sz="4" w:space="0" w:color="FFFFFF"/>
              <w:bottom w:val="single" w:sz="4" w:space="0" w:color="438EF1" w:themeColor="text2" w:themeTint="99"/>
              <w:right w:val="single" w:sz="4" w:space="0" w:color="FFFFFF"/>
            </w:tcBorders>
          </w:tcPr>
          <w:p w14:paraId="0BC67002" w14:textId="77777777" w:rsidR="00827359" w:rsidRPr="00167A1B" w:rsidRDefault="00827359" w:rsidP="00AA04BB">
            <w:pPr>
              <w:spacing w:after="0"/>
              <w:jc w:val="left"/>
              <w:rPr>
                <w:rFonts w:ascii="Trebuchet MS" w:hAnsi="Trebuchet MS"/>
                <w:b/>
                <w:bCs/>
                <w:sz w:val="16"/>
                <w:szCs w:val="16"/>
                <w:lang w:eastAsia="en-GB"/>
              </w:rPr>
            </w:pPr>
            <w:r w:rsidRPr="00167A1B">
              <w:rPr>
                <w:rFonts w:ascii="Trebuchet MS" w:hAnsi="Trebuchet MS"/>
                <w:b/>
                <w:sz w:val="16"/>
                <w:szCs w:val="16"/>
              </w:rPr>
              <w:t>Require mobile phones to be compatible with USB PD</w:t>
            </w:r>
          </w:p>
        </w:tc>
        <w:tc>
          <w:tcPr>
            <w:tcW w:w="1032" w:type="dxa"/>
            <w:tcBorders>
              <w:top w:val="single" w:sz="4" w:space="0" w:color="FFFFFF"/>
              <w:left w:val="single" w:sz="4" w:space="0" w:color="FFFFFF"/>
              <w:bottom w:val="single" w:sz="4" w:space="0" w:color="438EF1" w:themeColor="text2" w:themeTint="99"/>
              <w:right w:val="single" w:sz="4" w:space="0" w:color="FFFFFF"/>
            </w:tcBorders>
          </w:tcPr>
          <w:p w14:paraId="56C3B49F" w14:textId="77777777" w:rsidR="00827359" w:rsidRPr="00167A1B" w:rsidRDefault="00827359" w:rsidP="00AA04BB">
            <w:pPr>
              <w:spacing w:after="0"/>
              <w:jc w:val="left"/>
              <w:rPr>
                <w:rFonts w:ascii="Trebuchet MS" w:hAnsi="Trebuchet MS"/>
                <w:b/>
                <w:bCs/>
                <w:sz w:val="16"/>
                <w:szCs w:val="16"/>
                <w:lang w:eastAsia="en-GB"/>
              </w:rPr>
            </w:pPr>
            <w:r w:rsidRPr="00167A1B">
              <w:rPr>
                <w:rFonts w:ascii="Trebuchet MS" w:hAnsi="Trebuchet MS"/>
                <w:b/>
                <w:sz w:val="16"/>
                <w:szCs w:val="16"/>
              </w:rPr>
              <w:t>"Common" EPS for mobile phones</w:t>
            </w:r>
          </w:p>
        </w:tc>
        <w:tc>
          <w:tcPr>
            <w:tcW w:w="1032" w:type="dxa"/>
            <w:tcBorders>
              <w:top w:val="single" w:sz="4" w:space="0" w:color="FFFFFF"/>
              <w:left w:val="single" w:sz="4" w:space="0" w:color="FFFFFF"/>
              <w:bottom w:val="single" w:sz="4" w:space="0" w:color="438EF1" w:themeColor="text2" w:themeTint="99"/>
              <w:right w:val="single" w:sz="4" w:space="0" w:color="FFFFFF"/>
            </w:tcBorders>
          </w:tcPr>
          <w:p w14:paraId="2CF524EF" w14:textId="77777777" w:rsidR="00827359" w:rsidRPr="00167A1B" w:rsidRDefault="00827359" w:rsidP="00AA04BB">
            <w:pPr>
              <w:spacing w:after="0"/>
              <w:jc w:val="left"/>
              <w:rPr>
                <w:rFonts w:ascii="Trebuchet MS" w:hAnsi="Trebuchet MS"/>
                <w:b/>
                <w:bCs/>
                <w:sz w:val="16"/>
                <w:szCs w:val="16"/>
                <w:lang w:eastAsia="en-GB"/>
              </w:rPr>
            </w:pPr>
            <w:r w:rsidRPr="00167A1B">
              <w:rPr>
                <w:rFonts w:ascii="Trebuchet MS" w:hAnsi="Trebuchet MS"/>
                <w:b/>
                <w:sz w:val="16"/>
                <w:szCs w:val="16"/>
              </w:rPr>
              <w:t>Mandatory unbundling of EPS</w:t>
            </w:r>
          </w:p>
        </w:tc>
        <w:tc>
          <w:tcPr>
            <w:tcW w:w="1032" w:type="dxa"/>
            <w:tcBorders>
              <w:top w:val="single" w:sz="4" w:space="0" w:color="FFFFFF"/>
              <w:left w:val="single" w:sz="4" w:space="0" w:color="FFFFFF"/>
              <w:bottom w:val="single" w:sz="4" w:space="0" w:color="438EF1" w:themeColor="text2" w:themeTint="99"/>
              <w:right w:val="single" w:sz="4" w:space="0" w:color="FFFFFF"/>
            </w:tcBorders>
          </w:tcPr>
          <w:p w14:paraId="5396B140" w14:textId="77777777" w:rsidR="00827359" w:rsidRPr="00167A1B" w:rsidRDefault="00827359" w:rsidP="00AA04BB">
            <w:pPr>
              <w:spacing w:after="0"/>
              <w:jc w:val="left"/>
              <w:rPr>
                <w:rFonts w:ascii="Trebuchet MS" w:hAnsi="Trebuchet MS"/>
                <w:b/>
                <w:bCs/>
                <w:sz w:val="16"/>
                <w:szCs w:val="16"/>
                <w:lang w:eastAsia="en-GB"/>
              </w:rPr>
            </w:pPr>
            <w:r w:rsidRPr="00167A1B">
              <w:rPr>
                <w:rFonts w:ascii="Trebuchet MS" w:hAnsi="Trebuchet MS"/>
                <w:b/>
                <w:sz w:val="16"/>
                <w:szCs w:val="16"/>
              </w:rPr>
              <w:t>Mandatory unbundling of EPS and Cable</w:t>
            </w:r>
          </w:p>
        </w:tc>
        <w:tc>
          <w:tcPr>
            <w:tcW w:w="1032" w:type="dxa"/>
            <w:tcBorders>
              <w:top w:val="single" w:sz="4" w:space="0" w:color="FFFFFF"/>
              <w:left w:val="single" w:sz="4" w:space="0" w:color="FFFFFF"/>
              <w:bottom w:val="single" w:sz="4" w:space="0" w:color="438EF1" w:themeColor="text2" w:themeTint="99"/>
              <w:right w:val="single" w:sz="4" w:space="0" w:color="FFFFFF"/>
            </w:tcBorders>
          </w:tcPr>
          <w:p w14:paraId="571AC894" w14:textId="77777777" w:rsidR="00827359" w:rsidRPr="00167A1B" w:rsidRDefault="00827359" w:rsidP="00AA04BB">
            <w:pPr>
              <w:spacing w:after="0"/>
              <w:jc w:val="left"/>
              <w:rPr>
                <w:rFonts w:ascii="Trebuchet MS" w:hAnsi="Trebuchet MS"/>
                <w:b/>
                <w:bCs/>
                <w:sz w:val="16"/>
                <w:szCs w:val="16"/>
                <w:lang w:eastAsia="en-GB"/>
              </w:rPr>
            </w:pPr>
            <w:r w:rsidRPr="00167A1B">
              <w:rPr>
                <w:rFonts w:ascii="Trebuchet MS" w:hAnsi="Trebuchet MS"/>
                <w:b/>
                <w:sz w:val="16"/>
                <w:szCs w:val="16"/>
              </w:rPr>
              <w:t>Interoperability labelling / information scheme</w:t>
            </w:r>
          </w:p>
        </w:tc>
      </w:tr>
      <w:tr w:rsidR="00827359" w:rsidRPr="00167A1B" w14:paraId="7CE5C66F" w14:textId="77777777" w:rsidTr="00F770AB">
        <w:trPr>
          <w:trHeight w:val="270"/>
        </w:trPr>
        <w:tc>
          <w:tcPr>
            <w:tcW w:w="9061" w:type="dxa"/>
            <w:gridSpan w:val="8"/>
            <w:shd w:val="clear" w:color="auto" w:fill="00B0F0"/>
            <w:noWrap/>
          </w:tcPr>
          <w:p w14:paraId="0CD5B0A1" w14:textId="77777777" w:rsidR="00827359" w:rsidRPr="00167A1B" w:rsidRDefault="00827359" w:rsidP="00AA04BB">
            <w:pPr>
              <w:spacing w:after="0"/>
              <w:jc w:val="left"/>
              <w:rPr>
                <w:rFonts w:ascii="Trebuchet MS" w:hAnsi="Trebuchet MS"/>
                <w:b/>
                <w:bCs/>
                <w:color w:val="FFFFFF" w:themeColor="background1"/>
                <w:sz w:val="16"/>
                <w:szCs w:val="16"/>
                <w:lang w:eastAsia="en-GB"/>
              </w:rPr>
            </w:pPr>
            <w:r w:rsidRPr="00167A1B">
              <w:rPr>
                <w:rFonts w:ascii="Trebuchet MS" w:hAnsi="Trebuchet MS"/>
                <w:b/>
                <w:bCs/>
                <w:color w:val="FFFFFF" w:themeColor="background1"/>
                <w:sz w:val="16"/>
                <w:szCs w:val="16"/>
                <w:lang w:eastAsia="en-GB"/>
              </w:rPr>
              <w:t>Cost to consumers (NPV million EUR)</w:t>
            </w:r>
          </w:p>
        </w:tc>
      </w:tr>
      <w:tr w:rsidR="001A56A9" w:rsidRPr="00167A1B" w14:paraId="53321EC9" w14:textId="77777777" w:rsidTr="00F770AB">
        <w:trPr>
          <w:trHeight w:val="270"/>
        </w:trPr>
        <w:tc>
          <w:tcPr>
            <w:tcW w:w="1838" w:type="dxa"/>
            <w:noWrap/>
            <w:hideMark/>
          </w:tcPr>
          <w:p w14:paraId="15FA8823" w14:textId="77777777" w:rsidR="00827359" w:rsidRPr="00167A1B" w:rsidRDefault="00827359" w:rsidP="00AA04BB">
            <w:pPr>
              <w:spacing w:after="0"/>
              <w:jc w:val="left"/>
              <w:rPr>
                <w:rFonts w:ascii="Trebuchet MS" w:hAnsi="Trebuchet MS"/>
                <w:sz w:val="16"/>
                <w:szCs w:val="16"/>
                <w:lang w:eastAsia="en-GB"/>
              </w:rPr>
            </w:pPr>
            <w:r w:rsidRPr="00167A1B">
              <w:rPr>
                <w:rFonts w:ascii="Trebuchet MS" w:hAnsi="Trebuchet MS"/>
                <w:sz w:val="16"/>
                <w:szCs w:val="16"/>
                <w:lang w:eastAsia="en-GB"/>
              </w:rPr>
              <w:t>Total 2024-2030</w:t>
            </w:r>
          </w:p>
        </w:tc>
        <w:tc>
          <w:tcPr>
            <w:tcW w:w="1031" w:type="dxa"/>
            <w:noWrap/>
            <w:hideMark/>
          </w:tcPr>
          <w:p w14:paraId="47456B46" w14:textId="77777777" w:rsidR="00827359" w:rsidRPr="00167A1B" w:rsidRDefault="00827359" w:rsidP="00AA04BB">
            <w:pPr>
              <w:spacing w:after="0"/>
              <w:jc w:val="right"/>
              <w:rPr>
                <w:rFonts w:ascii="Trebuchet MS" w:hAnsi="Trebuchet MS"/>
                <w:b/>
                <w:bCs/>
                <w:sz w:val="16"/>
                <w:szCs w:val="16"/>
                <w:lang w:eastAsia="en-GB"/>
              </w:rPr>
            </w:pPr>
            <w:r w:rsidRPr="00167A1B">
              <w:rPr>
                <w:rFonts w:ascii="Trebuchet MS" w:hAnsi="Trebuchet MS"/>
                <w:b/>
                <w:bCs/>
                <w:sz w:val="16"/>
                <w:szCs w:val="16"/>
                <w:lang w:eastAsia="en-GB"/>
              </w:rPr>
              <w:t>45,982</w:t>
            </w:r>
          </w:p>
        </w:tc>
        <w:tc>
          <w:tcPr>
            <w:tcW w:w="1032" w:type="dxa"/>
            <w:noWrap/>
            <w:hideMark/>
          </w:tcPr>
          <w:p w14:paraId="4D313DFC" w14:textId="77777777" w:rsidR="00827359" w:rsidRPr="00167A1B" w:rsidRDefault="00827359" w:rsidP="00AA04BB">
            <w:pPr>
              <w:spacing w:after="0"/>
              <w:jc w:val="right"/>
              <w:rPr>
                <w:rFonts w:ascii="Trebuchet MS" w:hAnsi="Trebuchet MS"/>
                <w:b/>
                <w:bCs/>
                <w:sz w:val="16"/>
                <w:szCs w:val="16"/>
                <w:lang w:eastAsia="en-GB"/>
              </w:rPr>
            </w:pPr>
            <w:r w:rsidRPr="00167A1B">
              <w:rPr>
                <w:rFonts w:ascii="Trebuchet MS" w:hAnsi="Trebuchet MS"/>
                <w:b/>
                <w:bCs/>
                <w:sz w:val="16"/>
                <w:szCs w:val="16"/>
                <w:lang w:eastAsia="en-GB"/>
              </w:rPr>
              <w:t>42,143</w:t>
            </w:r>
          </w:p>
        </w:tc>
        <w:tc>
          <w:tcPr>
            <w:tcW w:w="1032" w:type="dxa"/>
            <w:noWrap/>
            <w:hideMark/>
          </w:tcPr>
          <w:p w14:paraId="7523D96A" w14:textId="77777777" w:rsidR="00827359" w:rsidRPr="00167A1B" w:rsidRDefault="00827359" w:rsidP="00AA04BB">
            <w:pPr>
              <w:spacing w:after="0"/>
              <w:jc w:val="right"/>
              <w:rPr>
                <w:rFonts w:ascii="Trebuchet MS" w:hAnsi="Trebuchet MS"/>
                <w:b/>
                <w:bCs/>
                <w:sz w:val="16"/>
                <w:szCs w:val="16"/>
                <w:lang w:eastAsia="en-GB"/>
              </w:rPr>
            </w:pPr>
            <w:r w:rsidRPr="00167A1B">
              <w:rPr>
                <w:rFonts w:ascii="Trebuchet MS" w:hAnsi="Trebuchet MS"/>
                <w:b/>
                <w:bCs/>
                <w:sz w:val="16"/>
                <w:szCs w:val="16"/>
                <w:lang w:eastAsia="en-GB"/>
              </w:rPr>
              <w:t>44,807</w:t>
            </w:r>
          </w:p>
        </w:tc>
        <w:tc>
          <w:tcPr>
            <w:tcW w:w="1032" w:type="dxa"/>
            <w:noWrap/>
            <w:hideMark/>
          </w:tcPr>
          <w:p w14:paraId="7B58B4C9" w14:textId="77777777" w:rsidR="00827359" w:rsidRPr="00167A1B" w:rsidRDefault="00827359" w:rsidP="00AA04BB">
            <w:pPr>
              <w:spacing w:after="0"/>
              <w:jc w:val="right"/>
              <w:rPr>
                <w:rFonts w:ascii="Trebuchet MS" w:hAnsi="Trebuchet MS"/>
                <w:b/>
                <w:bCs/>
                <w:sz w:val="16"/>
                <w:szCs w:val="16"/>
                <w:lang w:eastAsia="en-GB"/>
              </w:rPr>
            </w:pPr>
            <w:r w:rsidRPr="00167A1B">
              <w:rPr>
                <w:rFonts w:ascii="Trebuchet MS" w:hAnsi="Trebuchet MS"/>
                <w:b/>
                <w:bCs/>
                <w:sz w:val="16"/>
                <w:szCs w:val="16"/>
                <w:lang w:eastAsia="en-GB"/>
              </w:rPr>
              <w:t>44,912</w:t>
            </w:r>
          </w:p>
        </w:tc>
        <w:tc>
          <w:tcPr>
            <w:tcW w:w="1032" w:type="dxa"/>
            <w:noWrap/>
            <w:hideMark/>
          </w:tcPr>
          <w:p w14:paraId="151C77D6" w14:textId="77777777" w:rsidR="00827359" w:rsidRPr="00167A1B" w:rsidRDefault="00827359" w:rsidP="00AA04BB">
            <w:pPr>
              <w:spacing w:after="0"/>
              <w:jc w:val="right"/>
              <w:rPr>
                <w:rFonts w:ascii="Trebuchet MS" w:hAnsi="Trebuchet MS"/>
                <w:b/>
                <w:bCs/>
                <w:sz w:val="16"/>
                <w:szCs w:val="16"/>
                <w:lang w:eastAsia="en-GB"/>
              </w:rPr>
            </w:pPr>
            <w:r w:rsidRPr="00167A1B">
              <w:rPr>
                <w:rFonts w:ascii="Trebuchet MS" w:hAnsi="Trebuchet MS"/>
                <w:b/>
                <w:bCs/>
                <w:sz w:val="16"/>
                <w:szCs w:val="16"/>
                <w:lang w:eastAsia="en-GB"/>
              </w:rPr>
              <w:t>48,019</w:t>
            </w:r>
          </w:p>
        </w:tc>
        <w:tc>
          <w:tcPr>
            <w:tcW w:w="1032" w:type="dxa"/>
            <w:noWrap/>
            <w:hideMark/>
          </w:tcPr>
          <w:p w14:paraId="002E071E" w14:textId="77777777" w:rsidR="00827359" w:rsidRPr="00167A1B" w:rsidRDefault="00827359" w:rsidP="00AA04BB">
            <w:pPr>
              <w:spacing w:after="0"/>
              <w:jc w:val="right"/>
              <w:rPr>
                <w:rFonts w:ascii="Trebuchet MS" w:hAnsi="Trebuchet MS"/>
                <w:b/>
                <w:bCs/>
                <w:sz w:val="16"/>
                <w:szCs w:val="16"/>
                <w:lang w:eastAsia="en-GB"/>
              </w:rPr>
            </w:pPr>
            <w:r w:rsidRPr="00167A1B">
              <w:rPr>
                <w:rFonts w:ascii="Trebuchet MS" w:hAnsi="Trebuchet MS"/>
                <w:b/>
                <w:bCs/>
                <w:sz w:val="16"/>
                <w:szCs w:val="16"/>
                <w:lang w:eastAsia="en-GB"/>
              </w:rPr>
              <w:t>46,991</w:t>
            </w:r>
          </w:p>
        </w:tc>
        <w:tc>
          <w:tcPr>
            <w:tcW w:w="1032" w:type="dxa"/>
            <w:noWrap/>
            <w:hideMark/>
          </w:tcPr>
          <w:p w14:paraId="00D3AA1F" w14:textId="77777777" w:rsidR="00827359" w:rsidRPr="00167A1B" w:rsidRDefault="00827359" w:rsidP="00AA04BB">
            <w:pPr>
              <w:spacing w:after="0"/>
              <w:jc w:val="right"/>
              <w:rPr>
                <w:rFonts w:ascii="Trebuchet MS" w:hAnsi="Trebuchet MS"/>
                <w:b/>
                <w:bCs/>
                <w:sz w:val="16"/>
                <w:szCs w:val="16"/>
                <w:lang w:eastAsia="en-GB"/>
              </w:rPr>
            </w:pPr>
            <w:r w:rsidRPr="00167A1B">
              <w:rPr>
                <w:rFonts w:ascii="Trebuchet MS" w:hAnsi="Trebuchet MS"/>
                <w:b/>
                <w:bCs/>
                <w:sz w:val="16"/>
                <w:szCs w:val="16"/>
                <w:lang w:eastAsia="en-GB"/>
              </w:rPr>
              <w:t>45,458</w:t>
            </w:r>
          </w:p>
        </w:tc>
      </w:tr>
      <w:tr w:rsidR="001A56A9" w:rsidRPr="00167A1B" w14:paraId="3D01DF9E" w14:textId="77777777" w:rsidTr="00F770AB">
        <w:trPr>
          <w:trHeight w:val="270"/>
        </w:trPr>
        <w:tc>
          <w:tcPr>
            <w:tcW w:w="1838" w:type="dxa"/>
            <w:noWrap/>
            <w:hideMark/>
          </w:tcPr>
          <w:p w14:paraId="44D3DDB9" w14:textId="77777777" w:rsidR="00827359" w:rsidRPr="00167A1B" w:rsidRDefault="00827359" w:rsidP="00AA04BB">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31" w:type="dxa"/>
            <w:noWrap/>
            <w:hideMark/>
          </w:tcPr>
          <w:p w14:paraId="0EEDD30F" w14:textId="77777777" w:rsidR="00827359" w:rsidRPr="00167A1B" w:rsidRDefault="00827359" w:rsidP="00AA04BB">
            <w:pPr>
              <w:spacing w:after="0"/>
              <w:jc w:val="left"/>
              <w:rPr>
                <w:rFonts w:ascii="Trebuchet MS" w:hAnsi="Trebuchet MS"/>
                <w:sz w:val="16"/>
                <w:szCs w:val="16"/>
                <w:lang w:eastAsia="en-GB"/>
              </w:rPr>
            </w:pPr>
            <w:r w:rsidRPr="00167A1B">
              <w:rPr>
                <w:rFonts w:ascii="Trebuchet MS" w:hAnsi="Trebuchet MS"/>
                <w:sz w:val="16"/>
                <w:szCs w:val="16"/>
                <w:lang w:eastAsia="en-GB"/>
              </w:rPr>
              <w:t> </w:t>
            </w:r>
          </w:p>
        </w:tc>
        <w:tc>
          <w:tcPr>
            <w:tcW w:w="1032" w:type="dxa"/>
            <w:noWrap/>
            <w:hideMark/>
          </w:tcPr>
          <w:p w14:paraId="54C6998D" w14:textId="77777777" w:rsidR="00827359" w:rsidRPr="00167A1B" w:rsidRDefault="00827359" w:rsidP="00AA04BB">
            <w:pPr>
              <w:spacing w:after="0"/>
              <w:jc w:val="right"/>
              <w:rPr>
                <w:rFonts w:ascii="Trebuchet MS" w:hAnsi="Trebuchet MS"/>
                <w:color w:val="006100"/>
                <w:sz w:val="16"/>
                <w:szCs w:val="16"/>
                <w:lang w:eastAsia="en-GB"/>
              </w:rPr>
            </w:pPr>
            <w:r w:rsidRPr="00167A1B">
              <w:rPr>
                <w:rFonts w:ascii="Trebuchet MS" w:hAnsi="Trebuchet MS"/>
                <w:color w:val="006100"/>
                <w:sz w:val="16"/>
                <w:szCs w:val="16"/>
                <w:lang w:eastAsia="en-GB"/>
              </w:rPr>
              <w:t>-3,840</w:t>
            </w:r>
          </w:p>
        </w:tc>
        <w:tc>
          <w:tcPr>
            <w:tcW w:w="1032" w:type="dxa"/>
            <w:noWrap/>
            <w:hideMark/>
          </w:tcPr>
          <w:p w14:paraId="61FD8B6A" w14:textId="77777777" w:rsidR="00827359" w:rsidRPr="00167A1B" w:rsidRDefault="00827359" w:rsidP="00AA04BB">
            <w:pPr>
              <w:spacing w:after="0"/>
              <w:jc w:val="right"/>
              <w:rPr>
                <w:rFonts w:ascii="Trebuchet MS" w:hAnsi="Trebuchet MS"/>
                <w:color w:val="006100"/>
                <w:sz w:val="16"/>
                <w:szCs w:val="16"/>
                <w:lang w:eastAsia="en-GB"/>
              </w:rPr>
            </w:pPr>
            <w:r w:rsidRPr="00167A1B">
              <w:rPr>
                <w:rFonts w:ascii="Trebuchet MS" w:hAnsi="Trebuchet MS"/>
                <w:color w:val="006100"/>
                <w:sz w:val="16"/>
                <w:szCs w:val="16"/>
                <w:lang w:eastAsia="en-GB"/>
              </w:rPr>
              <w:t>-1,175</w:t>
            </w:r>
          </w:p>
        </w:tc>
        <w:tc>
          <w:tcPr>
            <w:tcW w:w="1032" w:type="dxa"/>
            <w:noWrap/>
            <w:hideMark/>
          </w:tcPr>
          <w:p w14:paraId="56DA4F80" w14:textId="77777777" w:rsidR="00827359" w:rsidRPr="00167A1B" w:rsidRDefault="00827359" w:rsidP="00AA04BB">
            <w:pPr>
              <w:spacing w:after="0"/>
              <w:jc w:val="right"/>
              <w:rPr>
                <w:rFonts w:ascii="Trebuchet MS" w:hAnsi="Trebuchet MS"/>
                <w:color w:val="006100"/>
                <w:sz w:val="16"/>
                <w:szCs w:val="16"/>
                <w:lang w:eastAsia="en-GB"/>
              </w:rPr>
            </w:pPr>
            <w:r w:rsidRPr="00167A1B">
              <w:rPr>
                <w:rFonts w:ascii="Trebuchet MS" w:hAnsi="Trebuchet MS"/>
                <w:color w:val="006100"/>
                <w:sz w:val="16"/>
                <w:szCs w:val="16"/>
                <w:lang w:eastAsia="en-GB"/>
              </w:rPr>
              <w:t>-1,071</w:t>
            </w:r>
          </w:p>
        </w:tc>
        <w:tc>
          <w:tcPr>
            <w:tcW w:w="1032" w:type="dxa"/>
            <w:noWrap/>
            <w:hideMark/>
          </w:tcPr>
          <w:p w14:paraId="1028D438" w14:textId="77777777" w:rsidR="00827359" w:rsidRPr="00167A1B" w:rsidRDefault="00827359" w:rsidP="00AA04BB">
            <w:pPr>
              <w:spacing w:after="0"/>
              <w:jc w:val="right"/>
              <w:rPr>
                <w:rFonts w:ascii="Trebuchet MS" w:hAnsi="Trebuchet MS"/>
                <w:color w:val="9C0006"/>
                <w:sz w:val="16"/>
                <w:szCs w:val="16"/>
                <w:lang w:eastAsia="en-GB"/>
              </w:rPr>
            </w:pPr>
            <w:r w:rsidRPr="00167A1B">
              <w:rPr>
                <w:rFonts w:ascii="Trebuchet MS" w:hAnsi="Trebuchet MS"/>
                <w:color w:val="9C0006"/>
                <w:sz w:val="16"/>
                <w:szCs w:val="16"/>
                <w:lang w:eastAsia="en-GB"/>
              </w:rPr>
              <w:t>2,036</w:t>
            </w:r>
          </w:p>
        </w:tc>
        <w:tc>
          <w:tcPr>
            <w:tcW w:w="1032" w:type="dxa"/>
            <w:noWrap/>
            <w:hideMark/>
          </w:tcPr>
          <w:p w14:paraId="09621F58" w14:textId="77777777" w:rsidR="00827359" w:rsidRPr="00167A1B" w:rsidRDefault="00827359" w:rsidP="00AA04BB">
            <w:pPr>
              <w:spacing w:after="0"/>
              <w:jc w:val="right"/>
              <w:rPr>
                <w:rFonts w:ascii="Trebuchet MS" w:hAnsi="Trebuchet MS"/>
                <w:color w:val="9C0006"/>
                <w:sz w:val="16"/>
                <w:szCs w:val="16"/>
                <w:lang w:eastAsia="en-GB"/>
              </w:rPr>
            </w:pPr>
            <w:r w:rsidRPr="00167A1B">
              <w:rPr>
                <w:rFonts w:ascii="Trebuchet MS" w:hAnsi="Trebuchet MS"/>
                <w:color w:val="9C0006"/>
                <w:sz w:val="16"/>
                <w:szCs w:val="16"/>
                <w:lang w:eastAsia="en-GB"/>
              </w:rPr>
              <w:t>1,008</w:t>
            </w:r>
          </w:p>
        </w:tc>
        <w:tc>
          <w:tcPr>
            <w:tcW w:w="1032" w:type="dxa"/>
            <w:noWrap/>
            <w:hideMark/>
          </w:tcPr>
          <w:p w14:paraId="145932E3" w14:textId="77777777" w:rsidR="00827359" w:rsidRPr="00167A1B" w:rsidRDefault="00827359" w:rsidP="00AA04BB">
            <w:pPr>
              <w:spacing w:after="0"/>
              <w:jc w:val="right"/>
              <w:rPr>
                <w:rFonts w:ascii="Trebuchet MS" w:hAnsi="Trebuchet MS"/>
                <w:color w:val="006100"/>
                <w:sz w:val="16"/>
                <w:szCs w:val="16"/>
                <w:lang w:eastAsia="en-GB"/>
              </w:rPr>
            </w:pPr>
            <w:r w:rsidRPr="00167A1B">
              <w:rPr>
                <w:rFonts w:ascii="Trebuchet MS" w:hAnsi="Trebuchet MS"/>
                <w:color w:val="006100"/>
                <w:sz w:val="16"/>
                <w:szCs w:val="16"/>
                <w:lang w:eastAsia="en-GB"/>
              </w:rPr>
              <w:t>-524</w:t>
            </w:r>
          </w:p>
        </w:tc>
      </w:tr>
      <w:tr w:rsidR="001A56A9" w:rsidRPr="00167A1B" w14:paraId="11ADFC9E" w14:textId="77777777" w:rsidTr="00F770AB">
        <w:trPr>
          <w:trHeight w:val="270"/>
        </w:trPr>
        <w:tc>
          <w:tcPr>
            <w:tcW w:w="1838" w:type="dxa"/>
            <w:noWrap/>
            <w:hideMark/>
          </w:tcPr>
          <w:p w14:paraId="0BEC903C" w14:textId="77777777" w:rsidR="00827359" w:rsidRPr="00167A1B" w:rsidRDefault="00827359" w:rsidP="00AA04BB">
            <w:pPr>
              <w:spacing w:after="0"/>
              <w:jc w:val="left"/>
              <w:rPr>
                <w:rFonts w:ascii="Trebuchet MS" w:hAnsi="Trebuchet MS"/>
                <w:sz w:val="16"/>
                <w:szCs w:val="16"/>
                <w:lang w:eastAsia="en-GB"/>
              </w:rPr>
            </w:pPr>
            <w:r w:rsidRPr="00167A1B">
              <w:rPr>
                <w:rFonts w:ascii="Trebuchet MS" w:hAnsi="Trebuchet MS"/>
                <w:sz w:val="16"/>
                <w:szCs w:val="16"/>
                <w:lang w:eastAsia="en-GB"/>
              </w:rPr>
              <w:t>Annual average</w:t>
            </w:r>
          </w:p>
        </w:tc>
        <w:tc>
          <w:tcPr>
            <w:tcW w:w="1031" w:type="dxa"/>
            <w:noWrap/>
            <w:hideMark/>
          </w:tcPr>
          <w:p w14:paraId="0D660D7D" w14:textId="77777777" w:rsidR="00827359" w:rsidRPr="00167A1B" w:rsidRDefault="00827359" w:rsidP="00AA04BB">
            <w:pPr>
              <w:spacing w:after="0"/>
              <w:jc w:val="right"/>
              <w:rPr>
                <w:rFonts w:ascii="Trebuchet MS" w:hAnsi="Trebuchet MS"/>
                <w:sz w:val="16"/>
                <w:szCs w:val="16"/>
                <w:lang w:eastAsia="en-GB"/>
              </w:rPr>
            </w:pPr>
            <w:r w:rsidRPr="00167A1B">
              <w:rPr>
                <w:rFonts w:ascii="Trebuchet MS" w:hAnsi="Trebuchet MS"/>
                <w:sz w:val="16"/>
                <w:szCs w:val="16"/>
                <w:lang w:eastAsia="en-GB"/>
              </w:rPr>
              <w:t>6,569</w:t>
            </w:r>
          </w:p>
        </w:tc>
        <w:tc>
          <w:tcPr>
            <w:tcW w:w="1032" w:type="dxa"/>
            <w:noWrap/>
            <w:hideMark/>
          </w:tcPr>
          <w:p w14:paraId="1F203706" w14:textId="77777777" w:rsidR="00827359" w:rsidRPr="00167A1B" w:rsidRDefault="00827359" w:rsidP="00AA04BB">
            <w:pPr>
              <w:spacing w:after="0"/>
              <w:jc w:val="right"/>
              <w:rPr>
                <w:rFonts w:ascii="Trebuchet MS" w:hAnsi="Trebuchet MS"/>
                <w:sz w:val="16"/>
                <w:szCs w:val="16"/>
                <w:lang w:eastAsia="en-GB"/>
              </w:rPr>
            </w:pPr>
            <w:r w:rsidRPr="00167A1B">
              <w:rPr>
                <w:rFonts w:ascii="Trebuchet MS" w:hAnsi="Trebuchet MS"/>
                <w:sz w:val="16"/>
                <w:szCs w:val="16"/>
                <w:lang w:eastAsia="en-GB"/>
              </w:rPr>
              <w:t>6,020</w:t>
            </w:r>
          </w:p>
        </w:tc>
        <w:tc>
          <w:tcPr>
            <w:tcW w:w="1032" w:type="dxa"/>
            <w:noWrap/>
            <w:hideMark/>
          </w:tcPr>
          <w:p w14:paraId="31EBA704" w14:textId="77777777" w:rsidR="00827359" w:rsidRPr="00167A1B" w:rsidRDefault="00827359" w:rsidP="00AA04BB">
            <w:pPr>
              <w:spacing w:after="0"/>
              <w:jc w:val="right"/>
              <w:rPr>
                <w:rFonts w:ascii="Trebuchet MS" w:hAnsi="Trebuchet MS"/>
                <w:sz w:val="16"/>
                <w:szCs w:val="16"/>
                <w:lang w:eastAsia="en-GB"/>
              </w:rPr>
            </w:pPr>
            <w:r w:rsidRPr="00167A1B">
              <w:rPr>
                <w:rFonts w:ascii="Trebuchet MS" w:hAnsi="Trebuchet MS"/>
                <w:sz w:val="16"/>
                <w:szCs w:val="16"/>
                <w:lang w:eastAsia="en-GB"/>
              </w:rPr>
              <w:t>6,401</w:t>
            </w:r>
          </w:p>
        </w:tc>
        <w:tc>
          <w:tcPr>
            <w:tcW w:w="1032" w:type="dxa"/>
            <w:noWrap/>
            <w:hideMark/>
          </w:tcPr>
          <w:p w14:paraId="38730305" w14:textId="77777777" w:rsidR="00827359" w:rsidRPr="00167A1B" w:rsidRDefault="00827359" w:rsidP="00AA04BB">
            <w:pPr>
              <w:spacing w:after="0"/>
              <w:jc w:val="right"/>
              <w:rPr>
                <w:rFonts w:ascii="Trebuchet MS" w:hAnsi="Trebuchet MS"/>
                <w:sz w:val="16"/>
                <w:szCs w:val="16"/>
                <w:lang w:eastAsia="en-GB"/>
              </w:rPr>
            </w:pPr>
            <w:r w:rsidRPr="00167A1B">
              <w:rPr>
                <w:rFonts w:ascii="Trebuchet MS" w:hAnsi="Trebuchet MS"/>
                <w:sz w:val="16"/>
                <w:szCs w:val="16"/>
                <w:lang w:eastAsia="en-GB"/>
              </w:rPr>
              <w:t>6,416</w:t>
            </w:r>
          </w:p>
        </w:tc>
        <w:tc>
          <w:tcPr>
            <w:tcW w:w="1032" w:type="dxa"/>
            <w:noWrap/>
            <w:hideMark/>
          </w:tcPr>
          <w:p w14:paraId="2F47A3FE" w14:textId="77777777" w:rsidR="00827359" w:rsidRPr="00167A1B" w:rsidRDefault="00827359" w:rsidP="00AA04BB">
            <w:pPr>
              <w:spacing w:after="0"/>
              <w:jc w:val="right"/>
              <w:rPr>
                <w:rFonts w:ascii="Trebuchet MS" w:hAnsi="Trebuchet MS"/>
                <w:sz w:val="16"/>
                <w:szCs w:val="16"/>
                <w:lang w:eastAsia="en-GB"/>
              </w:rPr>
            </w:pPr>
            <w:r w:rsidRPr="00167A1B">
              <w:rPr>
                <w:rFonts w:ascii="Trebuchet MS" w:hAnsi="Trebuchet MS"/>
                <w:sz w:val="16"/>
                <w:szCs w:val="16"/>
                <w:lang w:eastAsia="en-GB"/>
              </w:rPr>
              <w:t>6,860</w:t>
            </w:r>
          </w:p>
        </w:tc>
        <w:tc>
          <w:tcPr>
            <w:tcW w:w="1032" w:type="dxa"/>
            <w:noWrap/>
            <w:hideMark/>
          </w:tcPr>
          <w:p w14:paraId="6A6B248F" w14:textId="77777777" w:rsidR="00827359" w:rsidRPr="00167A1B" w:rsidRDefault="00827359" w:rsidP="00AA04BB">
            <w:pPr>
              <w:spacing w:after="0"/>
              <w:jc w:val="right"/>
              <w:rPr>
                <w:rFonts w:ascii="Trebuchet MS" w:hAnsi="Trebuchet MS"/>
                <w:sz w:val="16"/>
                <w:szCs w:val="16"/>
                <w:lang w:eastAsia="en-GB"/>
              </w:rPr>
            </w:pPr>
            <w:r w:rsidRPr="00167A1B">
              <w:rPr>
                <w:rFonts w:ascii="Trebuchet MS" w:hAnsi="Trebuchet MS"/>
                <w:sz w:val="16"/>
                <w:szCs w:val="16"/>
                <w:lang w:eastAsia="en-GB"/>
              </w:rPr>
              <w:t>6,713</w:t>
            </w:r>
          </w:p>
        </w:tc>
        <w:tc>
          <w:tcPr>
            <w:tcW w:w="1032" w:type="dxa"/>
            <w:noWrap/>
            <w:hideMark/>
          </w:tcPr>
          <w:p w14:paraId="2B666142" w14:textId="77777777" w:rsidR="00827359" w:rsidRPr="00167A1B" w:rsidRDefault="00827359" w:rsidP="00AA04BB">
            <w:pPr>
              <w:spacing w:after="0"/>
              <w:jc w:val="right"/>
              <w:rPr>
                <w:rFonts w:ascii="Trebuchet MS" w:hAnsi="Trebuchet MS"/>
                <w:sz w:val="16"/>
                <w:szCs w:val="16"/>
                <w:lang w:eastAsia="en-GB"/>
              </w:rPr>
            </w:pPr>
            <w:r w:rsidRPr="00167A1B">
              <w:rPr>
                <w:rFonts w:ascii="Trebuchet MS" w:hAnsi="Trebuchet MS"/>
                <w:sz w:val="16"/>
                <w:szCs w:val="16"/>
                <w:lang w:eastAsia="en-GB"/>
              </w:rPr>
              <w:t>6,494</w:t>
            </w:r>
          </w:p>
        </w:tc>
      </w:tr>
      <w:tr w:rsidR="001A56A9" w:rsidRPr="00167A1B" w14:paraId="6CF4E781" w14:textId="77777777" w:rsidTr="00F770AB">
        <w:trPr>
          <w:trHeight w:val="270"/>
        </w:trPr>
        <w:tc>
          <w:tcPr>
            <w:tcW w:w="1838" w:type="dxa"/>
            <w:noWrap/>
            <w:hideMark/>
          </w:tcPr>
          <w:p w14:paraId="5AC0F27E" w14:textId="77777777" w:rsidR="00827359" w:rsidRPr="00167A1B" w:rsidRDefault="00827359" w:rsidP="00AA04BB">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31" w:type="dxa"/>
            <w:noWrap/>
            <w:hideMark/>
          </w:tcPr>
          <w:p w14:paraId="3723B559" w14:textId="77777777" w:rsidR="00827359" w:rsidRPr="00167A1B" w:rsidRDefault="00827359" w:rsidP="00AA04BB">
            <w:pPr>
              <w:spacing w:after="0"/>
              <w:jc w:val="left"/>
              <w:rPr>
                <w:rFonts w:ascii="Trebuchet MS" w:hAnsi="Trebuchet MS"/>
                <w:sz w:val="16"/>
                <w:szCs w:val="16"/>
                <w:lang w:eastAsia="en-GB"/>
              </w:rPr>
            </w:pPr>
            <w:r w:rsidRPr="00167A1B">
              <w:rPr>
                <w:rFonts w:ascii="Trebuchet MS" w:hAnsi="Trebuchet MS"/>
                <w:sz w:val="16"/>
                <w:szCs w:val="16"/>
                <w:lang w:eastAsia="en-GB"/>
              </w:rPr>
              <w:t> </w:t>
            </w:r>
          </w:p>
        </w:tc>
        <w:tc>
          <w:tcPr>
            <w:tcW w:w="1032" w:type="dxa"/>
            <w:noWrap/>
            <w:hideMark/>
          </w:tcPr>
          <w:p w14:paraId="6FF0EE8C" w14:textId="77777777" w:rsidR="00827359" w:rsidRPr="00167A1B" w:rsidRDefault="00827359" w:rsidP="00AA04BB">
            <w:pPr>
              <w:spacing w:after="0"/>
              <w:jc w:val="right"/>
              <w:rPr>
                <w:rFonts w:ascii="Trebuchet MS" w:hAnsi="Trebuchet MS"/>
                <w:color w:val="006100"/>
                <w:sz w:val="16"/>
                <w:szCs w:val="16"/>
                <w:lang w:eastAsia="en-GB"/>
              </w:rPr>
            </w:pPr>
            <w:r w:rsidRPr="00167A1B">
              <w:rPr>
                <w:rFonts w:ascii="Trebuchet MS" w:hAnsi="Trebuchet MS"/>
                <w:color w:val="006100"/>
                <w:sz w:val="16"/>
                <w:szCs w:val="16"/>
                <w:lang w:eastAsia="en-GB"/>
              </w:rPr>
              <w:t>-549</w:t>
            </w:r>
          </w:p>
        </w:tc>
        <w:tc>
          <w:tcPr>
            <w:tcW w:w="1032" w:type="dxa"/>
            <w:noWrap/>
            <w:hideMark/>
          </w:tcPr>
          <w:p w14:paraId="08FC5B30" w14:textId="77777777" w:rsidR="00827359" w:rsidRPr="00167A1B" w:rsidRDefault="00827359" w:rsidP="00AA04BB">
            <w:pPr>
              <w:spacing w:after="0"/>
              <w:jc w:val="right"/>
              <w:rPr>
                <w:rFonts w:ascii="Trebuchet MS" w:hAnsi="Trebuchet MS"/>
                <w:color w:val="006100"/>
                <w:sz w:val="16"/>
                <w:szCs w:val="16"/>
                <w:lang w:eastAsia="en-GB"/>
              </w:rPr>
            </w:pPr>
            <w:r w:rsidRPr="00167A1B">
              <w:rPr>
                <w:rFonts w:ascii="Trebuchet MS" w:hAnsi="Trebuchet MS"/>
                <w:color w:val="006100"/>
                <w:sz w:val="16"/>
                <w:szCs w:val="16"/>
                <w:lang w:eastAsia="en-GB"/>
              </w:rPr>
              <w:t>-168</w:t>
            </w:r>
          </w:p>
        </w:tc>
        <w:tc>
          <w:tcPr>
            <w:tcW w:w="1032" w:type="dxa"/>
            <w:noWrap/>
            <w:hideMark/>
          </w:tcPr>
          <w:p w14:paraId="5442EA52" w14:textId="77777777" w:rsidR="00827359" w:rsidRPr="00167A1B" w:rsidRDefault="00827359" w:rsidP="00AA04BB">
            <w:pPr>
              <w:spacing w:after="0"/>
              <w:jc w:val="right"/>
              <w:rPr>
                <w:rFonts w:ascii="Trebuchet MS" w:hAnsi="Trebuchet MS"/>
                <w:color w:val="006100"/>
                <w:sz w:val="16"/>
                <w:szCs w:val="16"/>
                <w:lang w:eastAsia="en-GB"/>
              </w:rPr>
            </w:pPr>
            <w:r w:rsidRPr="00167A1B">
              <w:rPr>
                <w:rFonts w:ascii="Trebuchet MS" w:hAnsi="Trebuchet MS"/>
                <w:color w:val="006100"/>
                <w:sz w:val="16"/>
                <w:szCs w:val="16"/>
                <w:lang w:eastAsia="en-GB"/>
              </w:rPr>
              <w:t>-153</w:t>
            </w:r>
          </w:p>
        </w:tc>
        <w:tc>
          <w:tcPr>
            <w:tcW w:w="1032" w:type="dxa"/>
            <w:noWrap/>
            <w:hideMark/>
          </w:tcPr>
          <w:p w14:paraId="26243A3C" w14:textId="77777777" w:rsidR="00827359" w:rsidRPr="00167A1B" w:rsidRDefault="00827359" w:rsidP="00AA04BB">
            <w:pPr>
              <w:spacing w:after="0"/>
              <w:jc w:val="right"/>
              <w:rPr>
                <w:rFonts w:ascii="Trebuchet MS" w:hAnsi="Trebuchet MS"/>
                <w:color w:val="9C0006"/>
                <w:sz w:val="16"/>
                <w:szCs w:val="16"/>
                <w:lang w:eastAsia="en-GB"/>
              </w:rPr>
            </w:pPr>
            <w:r w:rsidRPr="00167A1B">
              <w:rPr>
                <w:rFonts w:ascii="Trebuchet MS" w:hAnsi="Trebuchet MS"/>
                <w:color w:val="9C0006"/>
                <w:sz w:val="16"/>
                <w:szCs w:val="16"/>
                <w:lang w:eastAsia="en-GB"/>
              </w:rPr>
              <w:t>291</w:t>
            </w:r>
          </w:p>
        </w:tc>
        <w:tc>
          <w:tcPr>
            <w:tcW w:w="1032" w:type="dxa"/>
            <w:noWrap/>
            <w:hideMark/>
          </w:tcPr>
          <w:p w14:paraId="56DADF98" w14:textId="77777777" w:rsidR="00827359" w:rsidRPr="00167A1B" w:rsidRDefault="00827359" w:rsidP="00AA04BB">
            <w:pPr>
              <w:spacing w:after="0"/>
              <w:jc w:val="right"/>
              <w:rPr>
                <w:rFonts w:ascii="Trebuchet MS" w:hAnsi="Trebuchet MS"/>
                <w:color w:val="9C0006"/>
                <w:sz w:val="16"/>
                <w:szCs w:val="16"/>
                <w:lang w:eastAsia="en-GB"/>
              </w:rPr>
            </w:pPr>
            <w:r w:rsidRPr="00167A1B">
              <w:rPr>
                <w:rFonts w:ascii="Trebuchet MS" w:hAnsi="Trebuchet MS"/>
                <w:color w:val="9C0006"/>
                <w:sz w:val="16"/>
                <w:szCs w:val="16"/>
                <w:lang w:eastAsia="en-GB"/>
              </w:rPr>
              <w:t>144</w:t>
            </w:r>
          </w:p>
        </w:tc>
        <w:tc>
          <w:tcPr>
            <w:tcW w:w="1032" w:type="dxa"/>
            <w:noWrap/>
            <w:hideMark/>
          </w:tcPr>
          <w:p w14:paraId="25C0B538" w14:textId="77777777" w:rsidR="00827359" w:rsidRPr="00167A1B" w:rsidRDefault="00827359" w:rsidP="00AA04BB">
            <w:pPr>
              <w:spacing w:after="0"/>
              <w:jc w:val="right"/>
              <w:rPr>
                <w:rFonts w:ascii="Trebuchet MS" w:hAnsi="Trebuchet MS"/>
                <w:color w:val="006100"/>
                <w:sz w:val="16"/>
                <w:szCs w:val="16"/>
                <w:lang w:eastAsia="en-GB"/>
              </w:rPr>
            </w:pPr>
            <w:r w:rsidRPr="00167A1B">
              <w:rPr>
                <w:rFonts w:ascii="Trebuchet MS" w:hAnsi="Trebuchet MS"/>
                <w:color w:val="006100"/>
                <w:sz w:val="16"/>
                <w:szCs w:val="16"/>
                <w:lang w:eastAsia="en-GB"/>
              </w:rPr>
              <w:t>-75</w:t>
            </w:r>
          </w:p>
        </w:tc>
      </w:tr>
      <w:tr w:rsidR="001A56A9" w:rsidRPr="00167A1B" w14:paraId="0E235022" w14:textId="77777777" w:rsidTr="00F770AB">
        <w:trPr>
          <w:trHeight w:val="270"/>
        </w:trPr>
        <w:tc>
          <w:tcPr>
            <w:tcW w:w="1838" w:type="dxa"/>
            <w:noWrap/>
            <w:hideMark/>
          </w:tcPr>
          <w:p w14:paraId="0A62289E" w14:textId="77777777" w:rsidR="00827359" w:rsidRPr="00167A1B" w:rsidRDefault="00827359" w:rsidP="00AA04BB">
            <w:pPr>
              <w:spacing w:after="0"/>
              <w:jc w:val="left"/>
              <w:rPr>
                <w:rFonts w:ascii="Trebuchet MS" w:hAnsi="Trebuchet MS"/>
                <w:sz w:val="16"/>
                <w:szCs w:val="16"/>
                <w:lang w:eastAsia="en-GB"/>
              </w:rPr>
            </w:pPr>
            <w:r w:rsidRPr="00167A1B">
              <w:rPr>
                <w:rFonts w:ascii="Trebuchet MS" w:hAnsi="Trebuchet MS"/>
                <w:sz w:val="16"/>
                <w:szCs w:val="16"/>
                <w:lang w:eastAsia="en-GB"/>
              </w:rPr>
              <w:t>As %</w:t>
            </w:r>
          </w:p>
        </w:tc>
        <w:tc>
          <w:tcPr>
            <w:tcW w:w="1031" w:type="dxa"/>
            <w:noWrap/>
            <w:hideMark/>
          </w:tcPr>
          <w:p w14:paraId="72BCE679" w14:textId="77777777" w:rsidR="00827359" w:rsidRPr="00167A1B" w:rsidRDefault="00827359" w:rsidP="00AA04BB">
            <w:pPr>
              <w:spacing w:after="0"/>
              <w:jc w:val="left"/>
              <w:rPr>
                <w:rFonts w:ascii="Trebuchet MS" w:hAnsi="Trebuchet MS"/>
                <w:sz w:val="16"/>
                <w:szCs w:val="16"/>
                <w:lang w:eastAsia="en-GB"/>
              </w:rPr>
            </w:pPr>
            <w:r w:rsidRPr="00167A1B">
              <w:rPr>
                <w:rFonts w:ascii="Trebuchet MS" w:hAnsi="Trebuchet MS"/>
                <w:sz w:val="16"/>
                <w:szCs w:val="16"/>
                <w:lang w:eastAsia="en-GB"/>
              </w:rPr>
              <w:t> </w:t>
            </w:r>
          </w:p>
        </w:tc>
        <w:tc>
          <w:tcPr>
            <w:tcW w:w="1032" w:type="dxa"/>
            <w:noWrap/>
            <w:hideMark/>
          </w:tcPr>
          <w:p w14:paraId="53E2AF2F" w14:textId="77777777" w:rsidR="00827359" w:rsidRPr="00167A1B" w:rsidRDefault="00827359" w:rsidP="00AA04BB">
            <w:pPr>
              <w:spacing w:after="0"/>
              <w:jc w:val="right"/>
              <w:rPr>
                <w:rFonts w:ascii="Trebuchet MS" w:hAnsi="Trebuchet MS"/>
                <w:color w:val="006100"/>
                <w:sz w:val="16"/>
                <w:szCs w:val="16"/>
                <w:lang w:eastAsia="en-GB"/>
              </w:rPr>
            </w:pPr>
            <w:r w:rsidRPr="00167A1B">
              <w:rPr>
                <w:rFonts w:ascii="Trebuchet MS" w:hAnsi="Trebuchet MS"/>
                <w:color w:val="006100"/>
                <w:sz w:val="16"/>
                <w:szCs w:val="16"/>
                <w:lang w:eastAsia="en-GB"/>
              </w:rPr>
              <w:t>-8.4%</w:t>
            </w:r>
          </w:p>
        </w:tc>
        <w:tc>
          <w:tcPr>
            <w:tcW w:w="1032" w:type="dxa"/>
            <w:noWrap/>
            <w:hideMark/>
          </w:tcPr>
          <w:p w14:paraId="3A678866" w14:textId="77777777" w:rsidR="00827359" w:rsidRPr="00167A1B" w:rsidRDefault="00827359" w:rsidP="00AA04BB">
            <w:pPr>
              <w:spacing w:after="0"/>
              <w:jc w:val="right"/>
              <w:rPr>
                <w:rFonts w:ascii="Trebuchet MS" w:hAnsi="Trebuchet MS"/>
                <w:color w:val="006100"/>
                <w:sz w:val="16"/>
                <w:szCs w:val="16"/>
                <w:lang w:eastAsia="en-GB"/>
              </w:rPr>
            </w:pPr>
            <w:r w:rsidRPr="00167A1B">
              <w:rPr>
                <w:rFonts w:ascii="Trebuchet MS" w:hAnsi="Trebuchet MS"/>
                <w:color w:val="006100"/>
                <w:sz w:val="16"/>
                <w:szCs w:val="16"/>
                <w:lang w:eastAsia="en-GB"/>
              </w:rPr>
              <w:t>-2.6%</w:t>
            </w:r>
          </w:p>
        </w:tc>
        <w:tc>
          <w:tcPr>
            <w:tcW w:w="1032" w:type="dxa"/>
            <w:noWrap/>
            <w:hideMark/>
          </w:tcPr>
          <w:p w14:paraId="30E8813B" w14:textId="77777777" w:rsidR="00827359" w:rsidRPr="00167A1B" w:rsidRDefault="00827359" w:rsidP="00AA04BB">
            <w:pPr>
              <w:spacing w:after="0"/>
              <w:jc w:val="right"/>
              <w:rPr>
                <w:rFonts w:ascii="Trebuchet MS" w:hAnsi="Trebuchet MS"/>
                <w:color w:val="006100"/>
                <w:sz w:val="16"/>
                <w:szCs w:val="16"/>
                <w:lang w:eastAsia="en-GB"/>
              </w:rPr>
            </w:pPr>
            <w:r w:rsidRPr="00167A1B">
              <w:rPr>
                <w:rFonts w:ascii="Trebuchet MS" w:hAnsi="Trebuchet MS"/>
                <w:color w:val="006100"/>
                <w:sz w:val="16"/>
                <w:szCs w:val="16"/>
                <w:lang w:eastAsia="en-GB"/>
              </w:rPr>
              <w:t>-2.3%</w:t>
            </w:r>
          </w:p>
        </w:tc>
        <w:tc>
          <w:tcPr>
            <w:tcW w:w="1032" w:type="dxa"/>
            <w:noWrap/>
            <w:hideMark/>
          </w:tcPr>
          <w:p w14:paraId="62B2758B" w14:textId="77777777" w:rsidR="00827359" w:rsidRPr="00167A1B" w:rsidRDefault="00827359" w:rsidP="00AA04BB">
            <w:pPr>
              <w:spacing w:after="0"/>
              <w:jc w:val="right"/>
              <w:rPr>
                <w:rFonts w:ascii="Trebuchet MS" w:hAnsi="Trebuchet MS"/>
                <w:color w:val="9C0006"/>
                <w:sz w:val="16"/>
                <w:szCs w:val="16"/>
                <w:lang w:eastAsia="en-GB"/>
              </w:rPr>
            </w:pPr>
            <w:r w:rsidRPr="00167A1B">
              <w:rPr>
                <w:rFonts w:ascii="Trebuchet MS" w:hAnsi="Trebuchet MS"/>
                <w:color w:val="9C0006"/>
                <w:sz w:val="16"/>
                <w:szCs w:val="16"/>
                <w:lang w:eastAsia="en-GB"/>
              </w:rPr>
              <w:t>4.4%</w:t>
            </w:r>
          </w:p>
        </w:tc>
        <w:tc>
          <w:tcPr>
            <w:tcW w:w="1032" w:type="dxa"/>
            <w:noWrap/>
            <w:hideMark/>
          </w:tcPr>
          <w:p w14:paraId="73544FC7" w14:textId="77777777" w:rsidR="00827359" w:rsidRPr="00167A1B" w:rsidRDefault="00827359" w:rsidP="00AA04BB">
            <w:pPr>
              <w:spacing w:after="0"/>
              <w:jc w:val="right"/>
              <w:rPr>
                <w:rFonts w:ascii="Trebuchet MS" w:hAnsi="Trebuchet MS"/>
                <w:color w:val="9C0006"/>
                <w:sz w:val="16"/>
                <w:szCs w:val="16"/>
                <w:lang w:eastAsia="en-GB"/>
              </w:rPr>
            </w:pPr>
            <w:r w:rsidRPr="00167A1B">
              <w:rPr>
                <w:rFonts w:ascii="Trebuchet MS" w:hAnsi="Trebuchet MS"/>
                <w:color w:val="9C0006"/>
                <w:sz w:val="16"/>
                <w:szCs w:val="16"/>
                <w:lang w:eastAsia="en-GB"/>
              </w:rPr>
              <w:t>2.2%</w:t>
            </w:r>
          </w:p>
        </w:tc>
        <w:tc>
          <w:tcPr>
            <w:tcW w:w="1032" w:type="dxa"/>
            <w:noWrap/>
            <w:hideMark/>
          </w:tcPr>
          <w:p w14:paraId="04856FEB" w14:textId="77777777" w:rsidR="00827359" w:rsidRPr="00167A1B" w:rsidRDefault="00827359" w:rsidP="00AA04BB">
            <w:pPr>
              <w:spacing w:after="0"/>
              <w:jc w:val="right"/>
              <w:rPr>
                <w:rFonts w:ascii="Trebuchet MS" w:hAnsi="Trebuchet MS"/>
                <w:color w:val="006100"/>
                <w:sz w:val="16"/>
                <w:szCs w:val="16"/>
                <w:lang w:eastAsia="en-GB"/>
              </w:rPr>
            </w:pPr>
            <w:r w:rsidRPr="00167A1B">
              <w:rPr>
                <w:rFonts w:ascii="Trebuchet MS" w:hAnsi="Trebuchet MS"/>
                <w:color w:val="006100"/>
                <w:sz w:val="16"/>
                <w:szCs w:val="16"/>
                <w:lang w:eastAsia="en-GB"/>
              </w:rPr>
              <w:t>-1.1%</w:t>
            </w:r>
          </w:p>
        </w:tc>
      </w:tr>
      <w:tr w:rsidR="00827359" w:rsidRPr="00167A1B" w14:paraId="712D3E92" w14:textId="77777777" w:rsidTr="00F770AB">
        <w:trPr>
          <w:trHeight w:val="270"/>
        </w:trPr>
        <w:tc>
          <w:tcPr>
            <w:tcW w:w="9061" w:type="dxa"/>
            <w:gridSpan w:val="8"/>
            <w:shd w:val="clear" w:color="auto" w:fill="00B0F0"/>
            <w:noWrap/>
          </w:tcPr>
          <w:p w14:paraId="7BC5DFF2" w14:textId="3B1939B1" w:rsidR="00827359" w:rsidRPr="00167A1B" w:rsidRDefault="000D29BA" w:rsidP="00AA04BB">
            <w:pPr>
              <w:spacing w:after="0"/>
              <w:jc w:val="left"/>
              <w:rPr>
                <w:rFonts w:ascii="Trebuchet MS" w:hAnsi="Trebuchet MS"/>
                <w:b/>
                <w:bCs/>
                <w:color w:val="FFFFFF" w:themeColor="background1"/>
                <w:sz w:val="16"/>
                <w:szCs w:val="16"/>
                <w:lang w:eastAsia="en-GB"/>
              </w:rPr>
            </w:pPr>
            <w:r w:rsidRPr="00167A1B">
              <w:rPr>
                <w:rFonts w:ascii="Trebuchet MS" w:hAnsi="Trebuchet MS"/>
                <w:b/>
                <w:bCs/>
                <w:color w:val="FFFFFF" w:themeColor="background1"/>
                <w:sz w:val="16"/>
                <w:szCs w:val="16"/>
                <w:lang w:eastAsia="en-GB"/>
              </w:rPr>
              <w:t>Economic costs for the industry</w:t>
            </w:r>
          </w:p>
        </w:tc>
      </w:tr>
      <w:tr w:rsidR="00827359" w:rsidRPr="00167A1B" w14:paraId="29EC41D7" w14:textId="77777777" w:rsidTr="00F770AB">
        <w:trPr>
          <w:trHeight w:val="270"/>
        </w:trPr>
        <w:tc>
          <w:tcPr>
            <w:tcW w:w="9061" w:type="dxa"/>
            <w:gridSpan w:val="8"/>
            <w:noWrap/>
          </w:tcPr>
          <w:p w14:paraId="6FC66A63" w14:textId="5DA55632" w:rsidR="00827359" w:rsidRPr="00167A1B" w:rsidRDefault="00B93B3D" w:rsidP="00AA04BB">
            <w:pPr>
              <w:spacing w:after="0"/>
              <w:jc w:val="left"/>
              <w:rPr>
                <w:rFonts w:ascii="Trebuchet MS" w:hAnsi="Trebuchet MS"/>
                <w:b/>
                <w:bCs/>
                <w:color w:val="006100"/>
                <w:sz w:val="16"/>
                <w:szCs w:val="16"/>
                <w:lang w:eastAsia="en-GB"/>
              </w:rPr>
            </w:pPr>
            <w:r w:rsidRPr="00167A1B">
              <w:rPr>
                <w:rFonts w:ascii="Trebuchet MS" w:hAnsi="Trebuchet MS"/>
                <w:b/>
                <w:bCs/>
                <w:sz w:val="16"/>
                <w:szCs w:val="16"/>
                <w:lang w:eastAsia="en-GB"/>
              </w:rPr>
              <w:t xml:space="preserve">Gross profit </w:t>
            </w:r>
            <w:r w:rsidR="00827359" w:rsidRPr="00167A1B">
              <w:rPr>
                <w:rFonts w:ascii="Trebuchet MS" w:hAnsi="Trebuchet MS"/>
                <w:b/>
                <w:bCs/>
                <w:sz w:val="16"/>
                <w:szCs w:val="16"/>
                <w:lang w:eastAsia="en-GB"/>
              </w:rPr>
              <w:t>for</w:t>
            </w:r>
            <w:r w:rsidR="001A56A9" w:rsidRPr="00167A1B">
              <w:rPr>
                <w:rFonts w:ascii="Trebuchet MS" w:hAnsi="Trebuchet MS"/>
                <w:b/>
                <w:bCs/>
                <w:sz w:val="16"/>
                <w:szCs w:val="16"/>
                <w:lang w:eastAsia="en-GB"/>
              </w:rPr>
              <w:t xml:space="preserve"> manufacturers of chargers and wholesalers </w:t>
            </w:r>
            <w:r w:rsidR="00827359" w:rsidRPr="00167A1B">
              <w:rPr>
                <w:rFonts w:ascii="Trebuchet MS" w:hAnsi="Trebuchet MS"/>
                <w:b/>
                <w:bCs/>
                <w:sz w:val="16"/>
                <w:szCs w:val="16"/>
                <w:lang w:eastAsia="en-GB"/>
              </w:rPr>
              <w:t>(NPV million EUR)</w:t>
            </w:r>
          </w:p>
        </w:tc>
      </w:tr>
      <w:tr w:rsidR="006156D5" w:rsidRPr="00167A1B" w14:paraId="1ADF0CB5" w14:textId="77777777" w:rsidTr="00F770AB">
        <w:trPr>
          <w:trHeight w:val="270"/>
        </w:trPr>
        <w:tc>
          <w:tcPr>
            <w:tcW w:w="1838" w:type="dxa"/>
            <w:noWrap/>
            <w:hideMark/>
          </w:tcPr>
          <w:p w14:paraId="67A6A1E8" w14:textId="77777777" w:rsidR="006156D5" w:rsidRPr="00167A1B" w:rsidRDefault="006156D5" w:rsidP="006156D5">
            <w:pPr>
              <w:spacing w:after="0"/>
              <w:jc w:val="left"/>
              <w:rPr>
                <w:rFonts w:ascii="Trebuchet MS" w:hAnsi="Trebuchet MS"/>
                <w:sz w:val="16"/>
                <w:szCs w:val="16"/>
                <w:lang w:eastAsia="en-GB"/>
              </w:rPr>
            </w:pPr>
            <w:r w:rsidRPr="00167A1B">
              <w:rPr>
                <w:rFonts w:ascii="Trebuchet MS" w:hAnsi="Trebuchet MS"/>
                <w:sz w:val="16"/>
                <w:szCs w:val="16"/>
                <w:lang w:eastAsia="en-GB"/>
              </w:rPr>
              <w:t>Total 2024-2030</w:t>
            </w:r>
          </w:p>
        </w:tc>
        <w:tc>
          <w:tcPr>
            <w:tcW w:w="1031" w:type="dxa"/>
            <w:noWrap/>
            <w:vAlign w:val="bottom"/>
            <w:hideMark/>
          </w:tcPr>
          <w:p w14:paraId="7E9E2216" w14:textId="01DBE33D" w:rsidR="006156D5" w:rsidRPr="00167A1B" w:rsidRDefault="006156D5" w:rsidP="006156D5">
            <w:pPr>
              <w:spacing w:after="0"/>
              <w:jc w:val="right"/>
              <w:rPr>
                <w:rFonts w:ascii="Trebuchet MS" w:hAnsi="Trebuchet MS"/>
                <w:b/>
                <w:bCs/>
                <w:sz w:val="16"/>
                <w:szCs w:val="16"/>
                <w:lang w:eastAsia="en-GB"/>
              </w:rPr>
            </w:pPr>
            <w:r w:rsidRPr="00167A1B">
              <w:rPr>
                <w:rFonts w:ascii="Trebuchet MS" w:hAnsi="Trebuchet MS"/>
                <w:b/>
                <w:bCs/>
                <w:sz w:val="16"/>
                <w:szCs w:val="16"/>
              </w:rPr>
              <w:t>11,903</w:t>
            </w:r>
          </w:p>
        </w:tc>
        <w:tc>
          <w:tcPr>
            <w:tcW w:w="1032" w:type="dxa"/>
            <w:noWrap/>
            <w:vAlign w:val="bottom"/>
            <w:hideMark/>
          </w:tcPr>
          <w:p w14:paraId="138E99E9" w14:textId="5AD2C286" w:rsidR="006156D5" w:rsidRPr="00167A1B" w:rsidRDefault="006156D5" w:rsidP="006156D5">
            <w:pPr>
              <w:spacing w:after="0"/>
              <w:jc w:val="right"/>
              <w:rPr>
                <w:rFonts w:ascii="Trebuchet MS" w:hAnsi="Trebuchet MS"/>
                <w:b/>
                <w:bCs/>
                <w:sz w:val="16"/>
                <w:szCs w:val="16"/>
                <w:lang w:eastAsia="en-GB"/>
              </w:rPr>
            </w:pPr>
            <w:r w:rsidRPr="00167A1B">
              <w:rPr>
                <w:rFonts w:ascii="Trebuchet MS" w:hAnsi="Trebuchet MS"/>
                <w:b/>
                <w:bCs/>
                <w:sz w:val="16"/>
                <w:szCs w:val="16"/>
              </w:rPr>
              <w:t>10,932</w:t>
            </w:r>
          </w:p>
        </w:tc>
        <w:tc>
          <w:tcPr>
            <w:tcW w:w="1032" w:type="dxa"/>
            <w:noWrap/>
            <w:vAlign w:val="bottom"/>
            <w:hideMark/>
          </w:tcPr>
          <w:p w14:paraId="60B3331E" w14:textId="020DF1C0" w:rsidR="006156D5" w:rsidRPr="00167A1B" w:rsidRDefault="006156D5" w:rsidP="006156D5">
            <w:pPr>
              <w:spacing w:after="0"/>
              <w:jc w:val="right"/>
              <w:rPr>
                <w:rFonts w:ascii="Trebuchet MS" w:hAnsi="Trebuchet MS"/>
                <w:b/>
                <w:bCs/>
                <w:sz w:val="16"/>
                <w:szCs w:val="16"/>
                <w:lang w:eastAsia="en-GB"/>
              </w:rPr>
            </w:pPr>
            <w:r w:rsidRPr="00167A1B">
              <w:rPr>
                <w:rFonts w:ascii="Trebuchet MS" w:hAnsi="Trebuchet MS"/>
                <w:b/>
                <w:bCs/>
                <w:sz w:val="16"/>
                <w:szCs w:val="16"/>
              </w:rPr>
              <w:t>11,682</w:t>
            </w:r>
          </w:p>
        </w:tc>
        <w:tc>
          <w:tcPr>
            <w:tcW w:w="1032" w:type="dxa"/>
            <w:noWrap/>
            <w:vAlign w:val="bottom"/>
            <w:hideMark/>
          </w:tcPr>
          <w:p w14:paraId="55BCFDEF" w14:textId="552D1113" w:rsidR="006156D5" w:rsidRPr="00167A1B" w:rsidRDefault="006156D5" w:rsidP="006156D5">
            <w:pPr>
              <w:spacing w:after="0"/>
              <w:jc w:val="right"/>
              <w:rPr>
                <w:rFonts w:ascii="Trebuchet MS" w:hAnsi="Trebuchet MS"/>
                <w:b/>
                <w:bCs/>
                <w:sz w:val="16"/>
                <w:szCs w:val="16"/>
                <w:lang w:eastAsia="en-GB"/>
              </w:rPr>
            </w:pPr>
            <w:r w:rsidRPr="00167A1B">
              <w:rPr>
                <w:rFonts w:ascii="Trebuchet MS" w:hAnsi="Trebuchet MS"/>
                <w:b/>
                <w:bCs/>
                <w:sz w:val="16"/>
                <w:szCs w:val="16"/>
              </w:rPr>
              <w:t>11,741</w:t>
            </w:r>
          </w:p>
        </w:tc>
        <w:tc>
          <w:tcPr>
            <w:tcW w:w="1032" w:type="dxa"/>
            <w:noWrap/>
            <w:vAlign w:val="bottom"/>
            <w:hideMark/>
          </w:tcPr>
          <w:p w14:paraId="4E669337" w14:textId="1BC7B036" w:rsidR="006156D5" w:rsidRPr="00167A1B" w:rsidRDefault="006156D5" w:rsidP="006156D5">
            <w:pPr>
              <w:spacing w:after="0"/>
              <w:jc w:val="right"/>
              <w:rPr>
                <w:rFonts w:ascii="Trebuchet MS" w:hAnsi="Trebuchet MS"/>
                <w:b/>
                <w:bCs/>
                <w:sz w:val="16"/>
                <w:szCs w:val="16"/>
                <w:lang w:eastAsia="en-GB"/>
              </w:rPr>
            </w:pPr>
            <w:r w:rsidRPr="00167A1B">
              <w:rPr>
                <w:rFonts w:ascii="Trebuchet MS" w:hAnsi="Trebuchet MS"/>
                <w:b/>
                <w:bCs/>
                <w:sz w:val="16"/>
                <w:szCs w:val="16"/>
              </w:rPr>
              <w:t>11,110</w:t>
            </w:r>
          </w:p>
        </w:tc>
        <w:tc>
          <w:tcPr>
            <w:tcW w:w="1032" w:type="dxa"/>
            <w:noWrap/>
            <w:vAlign w:val="bottom"/>
            <w:hideMark/>
          </w:tcPr>
          <w:p w14:paraId="502A7334" w14:textId="1753788B" w:rsidR="006156D5" w:rsidRPr="00167A1B" w:rsidRDefault="006156D5" w:rsidP="006156D5">
            <w:pPr>
              <w:spacing w:after="0"/>
              <w:jc w:val="right"/>
              <w:rPr>
                <w:rFonts w:ascii="Trebuchet MS" w:hAnsi="Trebuchet MS"/>
                <w:b/>
                <w:bCs/>
                <w:sz w:val="16"/>
                <w:szCs w:val="16"/>
                <w:lang w:eastAsia="en-GB"/>
              </w:rPr>
            </w:pPr>
            <w:r w:rsidRPr="00167A1B">
              <w:rPr>
                <w:rFonts w:ascii="Trebuchet MS" w:hAnsi="Trebuchet MS"/>
                <w:b/>
                <w:bCs/>
                <w:sz w:val="16"/>
                <w:szCs w:val="16"/>
              </w:rPr>
              <w:t>9,398</w:t>
            </w:r>
          </w:p>
        </w:tc>
        <w:tc>
          <w:tcPr>
            <w:tcW w:w="1032" w:type="dxa"/>
            <w:noWrap/>
            <w:vAlign w:val="bottom"/>
            <w:hideMark/>
          </w:tcPr>
          <w:p w14:paraId="07928403" w14:textId="6C963692" w:rsidR="006156D5" w:rsidRPr="00167A1B" w:rsidRDefault="006156D5" w:rsidP="006156D5">
            <w:pPr>
              <w:spacing w:after="0"/>
              <w:jc w:val="right"/>
              <w:rPr>
                <w:rFonts w:ascii="Trebuchet MS" w:hAnsi="Trebuchet MS"/>
                <w:b/>
                <w:bCs/>
                <w:sz w:val="16"/>
                <w:szCs w:val="16"/>
                <w:lang w:eastAsia="en-GB"/>
              </w:rPr>
            </w:pPr>
            <w:r w:rsidRPr="00167A1B">
              <w:rPr>
                <w:rFonts w:ascii="Trebuchet MS" w:hAnsi="Trebuchet MS"/>
                <w:b/>
                <w:bCs/>
                <w:sz w:val="16"/>
                <w:szCs w:val="16"/>
              </w:rPr>
              <w:t>11,798</w:t>
            </w:r>
          </w:p>
        </w:tc>
      </w:tr>
      <w:tr w:rsidR="006156D5" w:rsidRPr="00167A1B" w14:paraId="423D3022" w14:textId="77777777" w:rsidTr="00F770AB">
        <w:trPr>
          <w:trHeight w:val="270"/>
        </w:trPr>
        <w:tc>
          <w:tcPr>
            <w:tcW w:w="1838" w:type="dxa"/>
            <w:noWrap/>
            <w:hideMark/>
          </w:tcPr>
          <w:p w14:paraId="79F73645" w14:textId="77777777" w:rsidR="006156D5" w:rsidRPr="00167A1B" w:rsidRDefault="006156D5" w:rsidP="006156D5">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31" w:type="dxa"/>
            <w:noWrap/>
            <w:vAlign w:val="bottom"/>
            <w:hideMark/>
          </w:tcPr>
          <w:p w14:paraId="1BE9EFF4" w14:textId="120DEC47" w:rsidR="006156D5" w:rsidRPr="00167A1B" w:rsidRDefault="006156D5" w:rsidP="006156D5">
            <w:pPr>
              <w:spacing w:after="0"/>
              <w:jc w:val="left"/>
              <w:rPr>
                <w:rFonts w:ascii="Trebuchet MS" w:hAnsi="Trebuchet MS"/>
                <w:sz w:val="16"/>
                <w:szCs w:val="16"/>
                <w:lang w:eastAsia="en-GB"/>
              </w:rPr>
            </w:pPr>
            <w:r w:rsidRPr="00167A1B">
              <w:rPr>
                <w:rFonts w:ascii="Trebuchet MS" w:hAnsi="Trebuchet MS"/>
                <w:sz w:val="16"/>
                <w:szCs w:val="16"/>
              </w:rPr>
              <w:t> </w:t>
            </w:r>
          </w:p>
        </w:tc>
        <w:tc>
          <w:tcPr>
            <w:tcW w:w="1032" w:type="dxa"/>
            <w:noWrap/>
            <w:vAlign w:val="bottom"/>
            <w:hideMark/>
          </w:tcPr>
          <w:p w14:paraId="78A712EB" w14:textId="74D38B23" w:rsidR="006156D5" w:rsidRPr="00167A1B" w:rsidRDefault="006156D5" w:rsidP="006156D5">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-970</w:t>
            </w:r>
          </w:p>
        </w:tc>
        <w:tc>
          <w:tcPr>
            <w:tcW w:w="1032" w:type="dxa"/>
            <w:noWrap/>
            <w:vAlign w:val="bottom"/>
            <w:hideMark/>
          </w:tcPr>
          <w:p w14:paraId="3C8DB2D0" w14:textId="405D2D55" w:rsidR="006156D5" w:rsidRPr="00167A1B" w:rsidRDefault="006156D5" w:rsidP="006156D5">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-221</w:t>
            </w:r>
          </w:p>
        </w:tc>
        <w:tc>
          <w:tcPr>
            <w:tcW w:w="1032" w:type="dxa"/>
            <w:noWrap/>
            <w:vAlign w:val="bottom"/>
            <w:hideMark/>
          </w:tcPr>
          <w:p w14:paraId="2311AFB4" w14:textId="241F4E47" w:rsidR="006156D5" w:rsidRPr="00167A1B" w:rsidRDefault="006156D5" w:rsidP="006156D5">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-161</w:t>
            </w:r>
          </w:p>
        </w:tc>
        <w:tc>
          <w:tcPr>
            <w:tcW w:w="1032" w:type="dxa"/>
            <w:noWrap/>
            <w:vAlign w:val="bottom"/>
            <w:hideMark/>
          </w:tcPr>
          <w:p w14:paraId="788E5392" w14:textId="19CA8682" w:rsidR="006156D5" w:rsidRPr="00167A1B" w:rsidRDefault="006156D5" w:rsidP="006156D5">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-793</w:t>
            </w:r>
          </w:p>
        </w:tc>
        <w:tc>
          <w:tcPr>
            <w:tcW w:w="1032" w:type="dxa"/>
            <w:noWrap/>
            <w:vAlign w:val="bottom"/>
            <w:hideMark/>
          </w:tcPr>
          <w:p w14:paraId="0728F750" w14:textId="002702D2" w:rsidR="006156D5" w:rsidRPr="00167A1B" w:rsidRDefault="006156D5" w:rsidP="006156D5">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-2,505</w:t>
            </w:r>
          </w:p>
        </w:tc>
        <w:tc>
          <w:tcPr>
            <w:tcW w:w="1032" w:type="dxa"/>
            <w:noWrap/>
            <w:vAlign w:val="bottom"/>
            <w:hideMark/>
          </w:tcPr>
          <w:p w14:paraId="49A4617F" w14:textId="6F56BD08" w:rsidR="006156D5" w:rsidRPr="00167A1B" w:rsidRDefault="006156D5" w:rsidP="006156D5">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-105</w:t>
            </w:r>
          </w:p>
        </w:tc>
      </w:tr>
      <w:tr w:rsidR="006156D5" w:rsidRPr="00167A1B" w14:paraId="1E36CD9E" w14:textId="77777777" w:rsidTr="00F770AB">
        <w:trPr>
          <w:trHeight w:val="270"/>
        </w:trPr>
        <w:tc>
          <w:tcPr>
            <w:tcW w:w="1838" w:type="dxa"/>
            <w:noWrap/>
            <w:hideMark/>
          </w:tcPr>
          <w:p w14:paraId="406C70E0" w14:textId="77777777" w:rsidR="006156D5" w:rsidRPr="00167A1B" w:rsidRDefault="006156D5" w:rsidP="006156D5">
            <w:pPr>
              <w:spacing w:after="0"/>
              <w:jc w:val="left"/>
              <w:rPr>
                <w:rFonts w:ascii="Trebuchet MS" w:hAnsi="Trebuchet MS"/>
                <w:sz w:val="16"/>
                <w:szCs w:val="16"/>
                <w:lang w:eastAsia="en-GB"/>
              </w:rPr>
            </w:pPr>
            <w:r w:rsidRPr="00167A1B">
              <w:rPr>
                <w:rFonts w:ascii="Trebuchet MS" w:hAnsi="Trebuchet MS"/>
                <w:sz w:val="16"/>
                <w:szCs w:val="16"/>
                <w:lang w:eastAsia="en-GB"/>
              </w:rPr>
              <w:t>Annual average</w:t>
            </w:r>
          </w:p>
        </w:tc>
        <w:tc>
          <w:tcPr>
            <w:tcW w:w="1031" w:type="dxa"/>
            <w:noWrap/>
            <w:vAlign w:val="bottom"/>
            <w:hideMark/>
          </w:tcPr>
          <w:p w14:paraId="1B332A21" w14:textId="01FBF519" w:rsidR="006156D5" w:rsidRPr="00167A1B" w:rsidRDefault="006156D5" w:rsidP="006156D5">
            <w:pPr>
              <w:spacing w:after="0"/>
              <w:jc w:val="right"/>
              <w:rPr>
                <w:rFonts w:ascii="Trebuchet MS" w:hAnsi="Trebuchet MS"/>
                <w:sz w:val="16"/>
                <w:szCs w:val="16"/>
                <w:lang w:eastAsia="en-GB"/>
              </w:rPr>
            </w:pPr>
            <w:r w:rsidRPr="00167A1B">
              <w:rPr>
                <w:rFonts w:ascii="Trebuchet MS" w:hAnsi="Trebuchet MS"/>
                <w:sz w:val="16"/>
                <w:szCs w:val="16"/>
              </w:rPr>
              <w:t>1,700</w:t>
            </w:r>
          </w:p>
        </w:tc>
        <w:tc>
          <w:tcPr>
            <w:tcW w:w="1032" w:type="dxa"/>
            <w:noWrap/>
            <w:vAlign w:val="bottom"/>
            <w:hideMark/>
          </w:tcPr>
          <w:p w14:paraId="14E3E4EB" w14:textId="3BAE29CD" w:rsidR="006156D5" w:rsidRPr="00167A1B" w:rsidRDefault="006156D5" w:rsidP="006156D5">
            <w:pPr>
              <w:spacing w:after="0"/>
              <w:jc w:val="right"/>
              <w:rPr>
                <w:rFonts w:ascii="Trebuchet MS" w:hAnsi="Trebuchet MS"/>
                <w:sz w:val="16"/>
                <w:szCs w:val="16"/>
                <w:lang w:eastAsia="en-GB"/>
              </w:rPr>
            </w:pPr>
            <w:r w:rsidRPr="00167A1B">
              <w:rPr>
                <w:rFonts w:ascii="Trebuchet MS" w:hAnsi="Trebuchet MS"/>
                <w:sz w:val="16"/>
                <w:szCs w:val="16"/>
              </w:rPr>
              <w:t>1,562</w:t>
            </w:r>
          </w:p>
        </w:tc>
        <w:tc>
          <w:tcPr>
            <w:tcW w:w="1032" w:type="dxa"/>
            <w:noWrap/>
            <w:vAlign w:val="bottom"/>
            <w:hideMark/>
          </w:tcPr>
          <w:p w14:paraId="05D1D64E" w14:textId="777F7689" w:rsidR="006156D5" w:rsidRPr="00167A1B" w:rsidRDefault="006156D5" w:rsidP="006156D5">
            <w:pPr>
              <w:spacing w:after="0"/>
              <w:jc w:val="right"/>
              <w:rPr>
                <w:rFonts w:ascii="Trebuchet MS" w:hAnsi="Trebuchet MS"/>
                <w:sz w:val="16"/>
                <w:szCs w:val="16"/>
                <w:lang w:eastAsia="en-GB"/>
              </w:rPr>
            </w:pPr>
            <w:r w:rsidRPr="00167A1B">
              <w:rPr>
                <w:rFonts w:ascii="Trebuchet MS" w:hAnsi="Trebuchet MS"/>
                <w:sz w:val="16"/>
                <w:szCs w:val="16"/>
              </w:rPr>
              <w:t>1,669</w:t>
            </w:r>
          </w:p>
        </w:tc>
        <w:tc>
          <w:tcPr>
            <w:tcW w:w="1032" w:type="dxa"/>
            <w:noWrap/>
            <w:vAlign w:val="bottom"/>
            <w:hideMark/>
          </w:tcPr>
          <w:p w14:paraId="5E171406" w14:textId="65710C3D" w:rsidR="006156D5" w:rsidRPr="00167A1B" w:rsidRDefault="006156D5" w:rsidP="006156D5">
            <w:pPr>
              <w:spacing w:after="0"/>
              <w:jc w:val="right"/>
              <w:rPr>
                <w:rFonts w:ascii="Trebuchet MS" w:hAnsi="Trebuchet MS"/>
                <w:sz w:val="16"/>
                <w:szCs w:val="16"/>
                <w:lang w:eastAsia="en-GB"/>
              </w:rPr>
            </w:pPr>
            <w:r w:rsidRPr="00167A1B">
              <w:rPr>
                <w:rFonts w:ascii="Trebuchet MS" w:hAnsi="Trebuchet MS"/>
                <w:sz w:val="16"/>
                <w:szCs w:val="16"/>
              </w:rPr>
              <w:t>1,677</w:t>
            </w:r>
          </w:p>
        </w:tc>
        <w:tc>
          <w:tcPr>
            <w:tcW w:w="1032" w:type="dxa"/>
            <w:noWrap/>
            <w:vAlign w:val="bottom"/>
            <w:hideMark/>
          </w:tcPr>
          <w:p w14:paraId="36681208" w14:textId="45DAFDFB" w:rsidR="006156D5" w:rsidRPr="00167A1B" w:rsidRDefault="006156D5" w:rsidP="006156D5">
            <w:pPr>
              <w:spacing w:after="0"/>
              <w:jc w:val="right"/>
              <w:rPr>
                <w:rFonts w:ascii="Trebuchet MS" w:hAnsi="Trebuchet MS"/>
                <w:sz w:val="16"/>
                <w:szCs w:val="16"/>
                <w:lang w:eastAsia="en-GB"/>
              </w:rPr>
            </w:pPr>
            <w:r w:rsidRPr="00167A1B">
              <w:rPr>
                <w:rFonts w:ascii="Trebuchet MS" w:hAnsi="Trebuchet MS"/>
                <w:sz w:val="16"/>
                <w:szCs w:val="16"/>
              </w:rPr>
              <w:t>1,587</w:t>
            </w:r>
          </w:p>
        </w:tc>
        <w:tc>
          <w:tcPr>
            <w:tcW w:w="1032" w:type="dxa"/>
            <w:noWrap/>
            <w:vAlign w:val="bottom"/>
            <w:hideMark/>
          </w:tcPr>
          <w:p w14:paraId="51888D4E" w14:textId="4447C686" w:rsidR="006156D5" w:rsidRPr="00167A1B" w:rsidRDefault="006156D5" w:rsidP="006156D5">
            <w:pPr>
              <w:spacing w:after="0"/>
              <w:jc w:val="right"/>
              <w:rPr>
                <w:rFonts w:ascii="Trebuchet MS" w:hAnsi="Trebuchet MS"/>
                <w:sz w:val="16"/>
                <w:szCs w:val="16"/>
                <w:lang w:eastAsia="en-GB"/>
              </w:rPr>
            </w:pPr>
            <w:r w:rsidRPr="00167A1B">
              <w:rPr>
                <w:rFonts w:ascii="Trebuchet MS" w:hAnsi="Trebuchet MS"/>
                <w:sz w:val="16"/>
                <w:szCs w:val="16"/>
              </w:rPr>
              <w:t>1,343</w:t>
            </w:r>
          </w:p>
        </w:tc>
        <w:tc>
          <w:tcPr>
            <w:tcW w:w="1032" w:type="dxa"/>
            <w:noWrap/>
            <w:vAlign w:val="bottom"/>
            <w:hideMark/>
          </w:tcPr>
          <w:p w14:paraId="7EA1BF5A" w14:textId="2A9DC6E4" w:rsidR="006156D5" w:rsidRPr="00167A1B" w:rsidRDefault="006156D5" w:rsidP="006156D5">
            <w:pPr>
              <w:spacing w:after="0"/>
              <w:jc w:val="right"/>
              <w:rPr>
                <w:rFonts w:ascii="Trebuchet MS" w:hAnsi="Trebuchet MS"/>
                <w:sz w:val="16"/>
                <w:szCs w:val="16"/>
                <w:lang w:eastAsia="en-GB"/>
              </w:rPr>
            </w:pPr>
            <w:r w:rsidRPr="00167A1B">
              <w:rPr>
                <w:rFonts w:ascii="Trebuchet MS" w:hAnsi="Trebuchet MS"/>
                <w:sz w:val="16"/>
                <w:szCs w:val="16"/>
              </w:rPr>
              <w:t>1,685</w:t>
            </w:r>
          </w:p>
        </w:tc>
      </w:tr>
      <w:tr w:rsidR="006156D5" w:rsidRPr="00167A1B" w14:paraId="22FC8010" w14:textId="77777777" w:rsidTr="00F770AB">
        <w:trPr>
          <w:trHeight w:val="270"/>
        </w:trPr>
        <w:tc>
          <w:tcPr>
            <w:tcW w:w="1838" w:type="dxa"/>
            <w:noWrap/>
            <w:hideMark/>
          </w:tcPr>
          <w:p w14:paraId="377AEBDC" w14:textId="77777777" w:rsidR="006156D5" w:rsidRPr="00167A1B" w:rsidRDefault="006156D5" w:rsidP="006156D5">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31" w:type="dxa"/>
            <w:noWrap/>
            <w:vAlign w:val="bottom"/>
            <w:hideMark/>
          </w:tcPr>
          <w:p w14:paraId="01B71903" w14:textId="1D0A4806" w:rsidR="006156D5" w:rsidRPr="00167A1B" w:rsidRDefault="006156D5" w:rsidP="006156D5">
            <w:pPr>
              <w:spacing w:after="0"/>
              <w:jc w:val="left"/>
              <w:rPr>
                <w:rFonts w:ascii="Trebuchet MS" w:hAnsi="Trebuchet MS"/>
                <w:sz w:val="16"/>
                <w:szCs w:val="16"/>
                <w:lang w:eastAsia="en-GB"/>
              </w:rPr>
            </w:pPr>
            <w:r w:rsidRPr="00167A1B">
              <w:rPr>
                <w:rFonts w:ascii="Trebuchet MS" w:hAnsi="Trebuchet MS"/>
                <w:sz w:val="16"/>
                <w:szCs w:val="16"/>
              </w:rPr>
              <w:t> </w:t>
            </w:r>
          </w:p>
        </w:tc>
        <w:tc>
          <w:tcPr>
            <w:tcW w:w="1032" w:type="dxa"/>
            <w:noWrap/>
            <w:vAlign w:val="bottom"/>
            <w:hideMark/>
          </w:tcPr>
          <w:p w14:paraId="68474381" w14:textId="1434829A" w:rsidR="006156D5" w:rsidRPr="00167A1B" w:rsidRDefault="006156D5" w:rsidP="006156D5">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-139</w:t>
            </w:r>
          </w:p>
        </w:tc>
        <w:tc>
          <w:tcPr>
            <w:tcW w:w="1032" w:type="dxa"/>
            <w:noWrap/>
            <w:vAlign w:val="bottom"/>
            <w:hideMark/>
          </w:tcPr>
          <w:p w14:paraId="10F5ADA5" w14:textId="64A6CBBE" w:rsidR="006156D5" w:rsidRPr="00167A1B" w:rsidRDefault="006156D5" w:rsidP="006156D5">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-32</w:t>
            </w:r>
          </w:p>
        </w:tc>
        <w:tc>
          <w:tcPr>
            <w:tcW w:w="1032" w:type="dxa"/>
            <w:noWrap/>
            <w:vAlign w:val="bottom"/>
            <w:hideMark/>
          </w:tcPr>
          <w:p w14:paraId="3C134E23" w14:textId="3DF71D04" w:rsidR="006156D5" w:rsidRPr="00167A1B" w:rsidRDefault="006156D5" w:rsidP="006156D5">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-23</w:t>
            </w:r>
          </w:p>
        </w:tc>
        <w:tc>
          <w:tcPr>
            <w:tcW w:w="1032" w:type="dxa"/>
            <w:noWrap/>
            <w:vAlign w:val="bottom"/>
            <w:hideMark/>
          </w:tcPr>
          <w:p w14:paraId="4BA95B39" w14:textId="255C7EDF" w:rsidR="006156D5" w:rsidRPr="00167A1B" w:rsidRDefault="006156D5" w:rsidP="006156D5">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-113</w:t>
            </w:r>
          </w:p>
        </w:tc>
        <w:tc>
          <w:tcPr>
            <w:tcW w:w="1032" w:type="dxa"/>
            <w:noWrap/>
            <w:vAlign w:val="bottom"/>
            <w:hideMark/>
          </w:tcPr>
          <w:p w14:paraId="3B1D70A0" w14:textId="78DEA8B1" w:rsidR="006156D5" w:rsidRPr="00167A1B" w:rsidRDefault="006156D5" w:rsidP="006156D5">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-358</w:t>
            </w:r>
          </w:p>
        </w:tc>
        <w:tc>
          <w:tcPr>
            <w:tcW w:w="1032" w:type="dxa"/>
            <w:noWrap/>
            <w:vAlign w:val="bottom"/>
            <w:hideMark/>
          </w:tcPr>
          <w:p w14:paraId="73767892" w14:textId="7819F285" w:rsidR="006156D5" w:rsidRPr="00167A1B" w:rsidRDefault="006156D5" w:rsidP="006156D5">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-15</w:t>
            </w:r>
          </w:p>
        </w:tc>
      </w:tr>
      <w:tr w:rsidR="006156D5" w:rsidRPr="00167A1B" w14:paraId="0D6AB2AE" w14:textId="77777777" w:rsidTr="00F770AB">
        <w:trPr>
          <w:trHeight w:val="270"/>
        </w:trPr>
        <w:tc>
          <w:tcPr>
            <w:tcW w:w="1838" w:type="dxa"/>
            <w:noWrap/>
            <w:hideMark/>
          </w:tcPr>
          <w:p w14:paraId="4BC9A593" w14:textId="77777777" w:rsidR="006156D5" w:rsidRPr="00167A1B" w:rsidRDefault="006156D5" w:rsidP="006156D5">
            <w:pPr>
              <w:spacing w:after="0"/>
              <w:jc w:val="left"/>
              <w:rPr>
                <w:rFonts w:ascii="Trebuchet MS" w:hAnsi="Trebuchet MS"/>
                <w:sz w:val="16"/>
                <w:szCs w:val="16"/>
                <w:lang w:eastAsia="en-GB"/>
              </w:rPr>
            </w:pPr>
            <w:r w:rsidRPr="00167A1B">
              <w:rPr>
                <w:rFonts w:ascii="Trebuchet MS" w:hAnsi="Trebuchet MS"/>
                <w:sz w:val="16"/>
                <w:szCs w:val="16"/>
                <w:lang w:eastAsia="en-GB"/>
              </w:rPr>
              <w:t>As %</w:t>
            </w:r>
          </w:p>
        </w:tc>
        <w:tc>
          <w:tcPr>
            <w:tcW w:w="1031" w:type="dxa"/>
            <w:noWrap/>
            <w:vAlign w:val="bottom"/>
            <w:hideMark/>
          </w:tcPr>
          <w:p w14:paraId="11E1E859" w14:textId="5A40A5D3" w:rsidR="006156D5" w:rsidRPr="00167A1B" w:rsidRDefault="006156D5" w:rsidP="006156D5">
            <w:pPr>
              <w:spacing w:after="0"/>
              <w:jc w:val="left"/>
              <w:rPr>
                <w:rFonts w:ascii="Trebuchet MS" w:hAnsi="Trebuchet MS"/>
                <w:sz w:val="16"/>
                <w:szCs w:val="16"/>
                <w:lang w:eastAsia="en-GB"/>
              </w:rPr>
            </w:pPr>
            <w:r w:rsidRPr="00167A1B">
              <w:rPr>
                <w:rFonts w:ascii="Trebuchet MS" w:hAnsi="Trebuchet MS"/>
                <w:sz w:val="16"/>
                <w:szCs w:val="16"/>
              </w:rPr>
              <w:t> </w:t>
            </w:r>
          </w:p>
        </w:tc>
        <w:tc>
          <w:tcPr>
            <w:tcW w:w="1032" w:type="dxa"/>
            <w:noWrap/>
            <w:vAlign w:val="bottom"/>
            <w:hideMark/>
          </w:tcPr>
          <w:p w14:paraId="229B600C" w14:textId="486FD880" w:rsidR="006156D5" w:rsidRPr="00167A1B" w:rsidRDefault="006156D5" w:rsidP="006156D5">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-8.2%</w:t>
            </w:r>
          </w:p>
        </w:tc>
        <w:tc>
          <w:tcPr>
            <w:tcW w:w="1032" w:type="dxa"/>
            <w:noWrap/>
            <w:vAlign w:val="bottom"/>
            <w:hideMark/>
          </w:tcPr>
          <w:p w14:paraId="3DC06B4D" w14:textId="53D5FD04" w:rsidR="006156D5" w:rsidRPr="00167A1B" w:rsidRDefault="006156D5" w:rsidP="006156D5">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-1.9%</w:t>
            </w:r>
          </w:p>
        </w:tc>
        <w:tc>
          <w:tcPr>
            <w:tcW w:w="1032" w:type="dxa"/>
            <w:noWrap/>
            <w:vAlign w:val="bottom"/>
            <w:hideMark/>
          </w:tcPr>
          <w:p w14:paraId="19E132A1" w14:textId="7EFF04BE" w:rsidR="006156D5" w:rsidRPr="00167A1B" w:rsidRDefault="006156D5" w:rsidP="006156D5">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-1.4%</w:t>
            </w:r>
          </w:p>
        </w:tc>
        <w:tc>
          <w:tcPr>
            <w:tcW w:w="1032" w:type="dxa"/>
            <w:noWrap/>
            <w:vAlign w:val="bottom"/>
            <w:hideMark/>
          </w:tcPr>
          <w:p w14:paraId="6F60132B" w14:textId="1A2AD1BB" w:rsidR="006156D5" w:rsidRPr="00167A1B" w:rsidRDefault="006156D5" w:rsidP="006156D5">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-6.7%</w:t>
            </w:r>
          </w:p>
        </w:tc>
        <w:tc>
          <w:tcPr>
            <w:tcW w:w="1032" w:type="dxa"/>
            <w:noWrap/>
            <w:vAlign w:val="bottom"/>
            <w:hideMark/>
          </w:tcPr>
          <w:p w14:paraId="53CC39CD" w14:textId="1FD50771" w:rsidR="006156D5" w:rsidRPr="00167A1B" w:rsidRDefault="006156D5" w:rsidP="006156D5">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-21.0%</w:t>
            </w:r>
          </w:p>
        </w:tc>
        <w:tc>
          <w:tcPr>
            <w:tcW w:w="1032" w:type="dxa"/>
            <w:noWrap/>
            <w:vAlign w:val="bottom"/>
            <w:hideMark/>
          </w:tcPr>
          <w:p w14:paraId="5CD25DF0" w14:textId="5B2745A4" w:rsidR="006156D5" w:rsidRPr="00167A1B" w:rsidRDefault="006156D5" w:rsidP="006156D5">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-0.9%</w:t>
            </w:r>
          </w:p>
        </w:tc>
      </w:tr>
      <w:tr w:rsidR="00F975FD" w:rsidRPr="00167A1B" w14:paraId="0C50B691" w14:textId="77777777" w:rsidTr="00F770AB">
        <w:trPr>
          <w:trHeight w:val="270"/>
        </w:trPr>
        <w:tc>
          <w:tcPr>
            <w:tcW w:w="9061" w:type="dxa"/>
            <w:gridSpan w:val="8"/>
            <w:noWrap/>
          </w:tcPr>
          <w:p w14:paraId="7AC901A3" w14:textId="2AE8B0D4" w:rsidR="00F975FD" w:rsidRPr="00167A1B" w:rsidRDefault="00F975FD" w:rsidP="001E4FCA">
            <w:pPr>
              <w:spacing w:after="0"/>
              <w:jc w:val="left"/>
              <w:rPr>
                <w:rFonts w:ascii="Trebuchet MS" w:hAnsi="Trebuchet MS"/>
                <w:b/>
                <w:bCs/>
                <w:i/>
                <w:iCs/>
                <w:color w:val="006100"/>
                <w:sz w:val="16"/>
                <w:szCs w:val="16"/>
                <w:lang w:eastAsia="en-GB"/>
              </w:rPr>
            </w:pPr>
            <w:r w:rsidRPr="00167A1B">
              <w:rPr>
                <w:rFonts w:ascii="Trebuchet MS" w:hAnsi="Trebuchet MS"/>
                <w:b/>
                <w:bCs/>
                <w:i/>
                <w:iCs/>
                <w:sz w:val="16"/>
                <w:szCs w:val="16"/>
                <w:lang w:eastAsia="en-GB"/>
              </w:rPr>
              <w:t xml:space="preserve">Of which </w:t>
            </w:r>
            <w:r w:rsidR="00B93B3D" w:rsidRPr="00167A1B">
              <w:rPr>
                <w:rFonts w:ascii="Trebuchet MS" w:hAnsi="Trebuchet MS"/>
                <w:b/>
                <w:bCs/>
                <w:i/>
                <w:iCs/>
                <w:sz w:val="16"/>
                <w:szCs w:val="16"/>
                <w:lang w:eastAsia="en-GB"/>
              </w:rPr>
              <w:t xml:space="preserve">profit </w:t>
            </w:r>
            <w:r w:rsidRPr="00167A1B">
              <w:rPr>
                <w:rFonts w:ascii="Trebuchet MS" w:hAnsi="Trebuchet MS"/>
                <w:b/>
                <w:bCs/>
                <w:i/>
                <w:iCs/>
                <w:sz w:val="16"/>
                <w:szCs w:val="16"/>
                <w:lang w:eastAsia="en-GB"/>
              </w:rPr>
              <w:t>for EU manufacturers of chargers (NPV million EUR)</w:t>
            </w:r>
          </w:p>
        </w:tc>
      </w:tr>
      <w:tr w:rsidR="00F975FD" w:rsidRPr="00167A1B" w14:paraId="6E59A850" w14:textId="77777777" w:rsidTr="00F770AB">
        <w:trPr>
          <w:trHeight w:val="270"/>
        </w:trPr>
        <w:tc>
          <w:tcPr>
            <w:tcW w:w="1838" w:type="dxa"/>
            <w:noWrap/>
            <w:hideMark/>
          </w:tcPr>
          <w:p w14:paraId="0F787EF8" w14:textId="77777777" w:rsidR="00F975FD" w:rsidRPr="00167A1B" w:rsidRDefault="00F975FD" w:rsidP="00F975FD">
            <w:pPr>
              <w:spacing w:after="0"/>
              <w:jc w:val="left"/>
              <w:rPr>
                <w:rFonts w:ascii="Trebuchet MS" w:hAnsi="Trebuchet MS"/>
                <w:sz w:val="16"/>
                <w:szCs w:val="16"/>
                <w:lang w:eastAsia="en-GB"/>
              </w:rPr>
            </w:pPr>
            <w:r w:rsidRPr="00167A1B">
              <w:rPr>
                <w:rFonts w:ascii="Trebuchet MS" w:hAnsi="Trebuchet MS"/>
                <w:sz w:val="16"/>
                <w:szCs w:val="16"/>
                <w:lang w:eastAsia="en-GB"/>
              </w:rPr>
              <w:t>Total 2024-2030</w:t>
            </w:r>
          </w:p>
        </w:tc>
        <w:tc>
          <w:tcPr>
            <w:tcW w:w="1031" w:type="dxa"/>
            <w:noWrap/>
            <w:vAlign w:val="bottom"/>
            <w:hideMark/>
          </w:tcPr>
          <w:p w14:paraId="1CAB9C9B" w14:textId="64CE1900" w:rsidR="00F975FD" w:rsidRPr="00167A1B" w:rsidRDefault="00F975FD" w:rsidP="00F975FD">
            <w:pPr>
              <w:spacing w:after="0"/>
              <w:jc w:val="right"/>
              <w:rPr>
                <w:rFonts w:ascii="Trebuchet MS" w:hAnsi="Trebuchet MS"/>
                <w:b/>
                <w:bCs/>
                <w:sz w:val="16"/>
                <w:szCs w:val="16"/>
                <w:lang w:eastAsia="en-GB"/>
              </w:rPr>
            </w:pPr>
            <w:r w:rsidRPr="00167A1B">
              <w:rPr>
                <w:rFonts w:ascii="Trebuchet MS" w:hAnsi="Trebuchet MS"/>
                <w:b/>
                <w:bCs/>
                <w:sz w:val="16"/>
                <w:szCs w:val="16"/>
              </w:rPr>
              <w:t>1,519</w:t>
            </w:r>
          </w:p>
        </w:tc>
        <w:tc>
          <w:tcPr>
            <w:tcW w:w="1032" w:type="dxa"/>
            <w:noWrap/>
            <w:vAlign w:val="bottom"/>
            <w:hideMark/>
          </w:tcPr>
          <w:p w14:paraId="7EA395BC" w14:textId="4D4BC01E" w:rsidR="00F975FD" w:rsidRPr="00167A1B" w:rsidRDefault="00F975FD" w:rsidP="00F975FD">
            <w:pPr>
              <w:spacing w:after="0"/>
              <w:jc w:val="right"/>
              <w:rPr>
                <w:rFonts w:ascii="Trebuchet MS" w:hAnsi="Trebuchet MS"/>
                <w:b/>
                <w:bCs/>
                <w:sz w:val="16"/>
                <w:szCs w:val="16"/>
                <w:lang w:eastAsia="en-GB"/>
              </w:rPr>
            </w:pPr>
            <w:r w:rsidRPr="00167A1B">
              <w:rPr>
                <w:rFonts w:ascii="Trebuchet MS" w:hAnsi="Trebuchet MS"/>
                <w:b/>
                <w:bCs/>
                <w:sz w:val="16"/>
                <w:szCs w:val="16"/>
              </w:rPr>
              <w:t>1,389</w:t>
            </w:r>
          </w:p>
        </w:tc>
        <w:tc>
          <w:tcPr>
            <w:tcW w:w="1032" w:type="dxa"/>
            <w:noWrap/>
            <w:vAlign w:val="bottom"/>
            <w:hideMark/>
          </w:tcPr>
          <w:p w14:paraId="64B44CAC" w14:textId="63DC1882" w:rsidR="00F975FD" w:rsidRPr="00167A1B" w:rsidRDefault="00F975FD" w:rsidP="00F975FD">
            <w:pPr>
              <w:spacing w:after="0"/>
              <w:jc w:val="right"/>
              <w:rPr>
                <w:rFonts w:ascii="Trebuchet MS" w:hAnsi="Trebuchet MS"/>
                <w:b/>
                <w:bCs/>
                <w:sz w:val="16"/>
                <w:szCs w:val="16"/>
                <w:lang w:eastAsia="en-GB"/>
              </w:rPr>
            </w:pPr>
            <w:r w:rsidRPr="00167A1B">
              <w:rPr>
                <w:rFonts w:ascii="Trebuchet MS" w:hAnsi="Trebuchet MS"/>
                <w:b/>
                <w:bCs/>
                <w:sz w:val="16"/>
                <w:szCs w:val="16"/>
              </w:rPr>
              <w:t>1,471</w:t>
            </w:r>
          </w:p>
        </w:tc>
        <w:tc>
          <w:tcPr>
            <w:tcW w:w="1032" w:type="dxa"/>
            <w:noWrap/>
            <w:vAlign w:val="bottom"/>
            <w:hideMark/>
          </w:tcPr>
          <w:p w14:paraId="73EE5A97" w14:textId="114C0755" w:rsidR="00F975FD" w:rsidRPr="00167A1B" w:rsidRDefault="00F975FD" w:rsidP="00F975FD">
            <w:pPr>
              <w:spacing w:after="0"/>
              <w:jc w:val="right"/>
              <w:rPr>
                <w:rFonts w:ascii="Trebuchet MS" w:hAnsi="Trebuchet MS"/>
                <w:b/>
                <w:bCs/>
                <w:sz w:val="16"/>
                <w:szCs w:val="16"/>
                <w:lang w:eastAsia="en-GB"/>
              </w:rPr>
            </w:pPr>
            <w:r w:rsidRPr="00167A1B">
              <w:rPr>
                <w:rFonts w:ascii="Trebuchet MS" w:hAnsi="Trebuchet MS"/>
                <w:b/>
                <w:bCs/>
                <w:sz w:val="16"/>
                <w:szCs w:val="16"/>
              </w:rPr>
              <w:t>1,471</w:t>
            </w:r>
          </w:p>
        </w:tc>
        <w:tc>
          <w:tcPr>
            <w:tcW w:w="1032" w:type="dxa"/>
            <w:noWrap/>
            <w:vAlign w:val="bottom"/>
            <w:hideMark/>
          </w:tcPr>
          <w:p w14:paraId="1A165994" w14:textId="29645D44" w:rsidR="00F975FD" w:rsidRPr="00167A1B" w:rsidRDefault="00F975FD" w:rsidP="00F975FD">
            <w:pPr>
              <w:spacing w:after="0"/>
              <w:jc w:val="right"/>
              <w:rPr>
                <w:rFonts w:ascii="Trebuchet MS" w:hAnsi="Trebuchet MS"/>
                <w:b/>
                <w:bCs/>
                <w:sz w:val="16"/>
                <w:szCs w:val="16"/>
                <w:lang w:eastAsia="en-GB"/>
              </w:rPr>
            </w:pPr>
            <w:r w:rsidRPr="00167A1B">
              <w:rPr>
                <w:rFonts w:ascii="Trebuchet MS" w:hAnsi="Trebuchet MS"/>
                <w:b/>
                <w:bCs/>
                <w:sz w:val="16"/>
                <w:szCs w:val="16"/>
              </w:rPr>
              <w:t>1,725</w:t>
            </w:r>
          </w:p>
        </w:tc>
        <w:tc>
          <w:tcPr>
            <w:tcW w:w="1032" w:type="dxa"/>
            <w:noWrap/>
            <w:vAlign w:val="bottom"/>
            <w:hideMark/>
          </w:tcPr>
          <w:p w14:paraId="66774D04" w14:textId="573EE684" w:rsidR="00F975FD" w:rsidRPr="00167A1B" w:rsidRDefault="00F975FD" w:rsidP="00F975FD">
            <w:pPr>
              <w:spacing w:after="0"/>
              <w:jc w:val="right"/>
              <w:rPr>
                <w:rFonts w:ascii="Trebuchet MS" w:hAnsi="Trebuchet MS"/>
                <w:b/>
                <w:bCs/>
                <w:sz w:val="16"/>
                <w:szCs w:val="16"/>
                <w:lang w:eastAsia="en-GB"/>
              </w:rPr>
            </w:pPr>
            <w:r w:rsidRPr="00167A1B">
              <w:rPr>
                <w:rFonts w:ascii="Trebuchet MS" w:hAnsi="Trebuchet MS"/>
                <w:b/>
                <w:bCs/>
                <w:sz w:val="16"/>
                <w:szCs w:val="16"/>
              </w:rPr>
              <w:t>1,844</w:t>
            </w:r>
          </w:p>
        </w:tc>
        <w:tc>
          <w:tcPr>
            <w:tcW w:w="1032" w:type="dxa"/>
            <w:noWrap/>
            <w:vAlign w:val="bottom"/>
            <w:hideMark/>
          </w:tcPr>
          <w:p w14:paraId="09D292E2" w14:textId="585B8D92" w:rsidR="00F975FD" w:rsidRPr="00167A1B" w:rsidRDefault="00F975FD" w:rsidP="00F975FD">
            <w:pPr>
              <w:spacing w:after="0"/>
              <w:jc w:val="right"/>
              <w:rPr>
                <w:rFonts w:ascii="Trebuchet MS" w:hAnsi="Trebuchet MS"/>
                <w:b/>
                <w:bCs/>
                <w:sz w:val="16"/>
                <w:szCs w:val="16"/>
                <w:lang w:eastAsia="en-GB"/>
              </w:rPr>
            </w:pPr>
            <w:r w:rsidRPr="00167A1B">
              <w:rPr>
                <w:rFonts w:ascii="Trebuchet MS" w:hAnsi="Trebuchet MS"/>
                <w:b/>
                <w:bCs/>
                <w:sz w:val="16"/>
                <w:szCs w:val="16"/>
              </w:rPr>
              <w:t>1,498</w:t>
            </w:r>
          </w:p>
        </w:tc>
      </w:tr>
      <w:tr w:rsidR="00F975FD" w:rsidRPr="00167A1B" w14:paraId="2BAEF173" w14:textId="77777777" w:rsidTr="00F770AB">
        <w:trPr>
          <w:trHeight w:val="270"/>
        </w:trPr>
        <w:tc>
          <w:tcPr>
            <w:tcW w:w="1838" w:type="dxa"/>
            <w:noWrap/>
            <w:hideMark/>
          </w:tcPr>
          <w:p w14:paraId="009AF875" w14:textId="77777777" w:rsidR="00F975FD" w:rsidRPr="00167A1B" w:rsidRDefault="00F975FD" w:rsidP="00F975FD">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31" w:type="dxa"/>
            <w:noWrap/>
            <w:vAlign w:val="bottom"/>
            <w:hideMark/>
          </w:tcPr>
          <w:p w14:paraId="543A497D" w14:textId="4BFAA707" w:rsidR="00F975FD" w:rsidRPr="00167A1B" w:rsidRDefault="00F975FD" w:rsidP="00F975FD">
            <w:pPr>
              <w:spacing w:after="0"/>
              <w:jc w:val="left"/>
              <w:rPr>
                <w:rFonts w:ascii="Trebuchet MS" w:hAnsi="Trebuchet MS"/>
                <w:sz w:val="16"/>
                <w:szCs w:val="16"/>
                <w:lang w:eastAsia="en-GB"/>
              </w:rPr>
            </w:pPr>
            <w:r w:rsidRPr="00167A1B">
              <w:rPr>
                <w:rFonts w:ascii="Trebuchet MS" w:hAnsi="Trebuchet MS"/>
                <w:sz w:val="16"/>
                <w:szCs w:val="16"/>
              </w:rPr>
              <w:t> </w:t>
            </w:r>
          </w:p>
        </w:tc>
        <w:tc>
          <w:tcPr>
            <w:tcW w:w="1032" w:type="dxa"/>
            <w:noWrap/>
            <w:vAlign w:val="bottom"/>
            <w:hideMark/>
          </w:tcPr>
          <w:p w14:paraId="5B2227F6" w14:textId="4B2B07E1" w:rsidR="00F975FD" w:rsidRPr="00167A1B" w:rsidRDefault="00F975FD" w:rsidP="00F975FD">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-129</w:t>
            </w:r>
          </w:p>
        </w:tc>
        <w:tc>
          <w:tcPr>
            <w:tcW w:w="1032" w:type="dxa"/>
            <w:noWrap/>
            <w:vAlign w:val="bottom"/>
            <w:hideMark/>
          </w:tcPr>
          <w:p w14:paraId="4863EEB8" w14:textId="68029A5D" w:rsidR="00F975FD" w:rsidRPr="00167A1B" w:rsidRDefault="00F975FD" w:rsidP="00F975FD">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-48</w:t>
            </w:r>
          </w:p>
        </w:tc>
        <w:tc>
          <w:tcPr>
            <w:tcW w:w="1032" w:type="dxa"/>
            <w:noWrap/>
            <w:vAlign w:val="bottom"/>
            <w:hideMark/>
          </w:tcPr>
          <w:p w14:paraId="3CC9E754" w14:textId="6E18C541" w:rsidR="00F975FD" w:rsidRPr="00167A1B" w:rsidRDefault="00F975FD" w:rsidP="00F975FD">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-48</w:t>
            </w:r>
          </w:p>
        </w:tc>
        <w:tc>
          <w:tcPr>
            <w:tcW w:w="1032" w:type="dxa"/>
            <w:noWrap/>
            <w:vAlign w:val="bottom"/>
            <w:hideMark/>
          </w:tcPr>
          <w:p w14:paraId="28BC5D3B" w14:textId="059799C0" w:rsidR="00F975FD" w:rsidRPr="00167A1B" w:rsidRDefault="00F975FD" w:rsidP="00F975FD">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207</w:t>
            </w:r>
          </w:p>
        </w:tc>
        <w:tc>
          <w:tcPr>
            <w:tcW w:w="1032" w:type="dxa"/>
            <w:noWrap/>
            <w:vAlign w:val="bottom"/>
            <w:hideMark/>
          </w:tcPr>
          <w:p w14:paraId="5D51607F" w14:textId="1701C54A" w:rsidR="00F975FD" w:rsidRPr="00167A1B" w:rsidRDefault="00F975FD" w:rsidP="00F975FD">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326</w:t>
            </w:r>
          </w:p>
        </w:tc>
        <w:tc>
          <w:tcPr>
            <w:tcW w:w="1032" w:type="dxa"/>
            <w:noWrap/>
            <w:vAlign w:val="bottom"/>
            <w:hideMark/>
          </w:tcPr>
          <w:p w14:paraId="15EFCD98" w14:textId="56E86F10" w:rsidR="00F975FD" w:rsidRPr="00167A1B" w:rsidRDefault="00F975FD" w:rsidP="00F975FD">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-21</w:t>
            </w:r>
          </w:p>
        </w:tc>
      </w:tr>
      <w:tr w:rsidR="00F975FD" w:rsidRPr="00167A1B" w14:paraId="0AB5CC7D" w14:textId="77777777" w:rsidTr="00F770AB">
        <w:trPr>
          <w:trHeight w:val="270"/>
        </w:trPr>
        <w:tc>
          <w:tcPr>
            <w:tcW w:w="1838" w:type="dxa"/>
            <w:noWrap/>
            <w:hideMark/>
          </w:tcPr>
          <w:p w14:paraId="71718937" w14:textId="77777777" w:rsidR="00F975FD" w:rsidRPr="00167A1B" w:rsidRDefault="00F975FD" w:rsidP="00F975FD">
            <w:pPr>
              <w:spacing w:after="0"/>
              <w:jc w:val="left"/>
              <w:rPr>
                <w:rFonts w:ascii="Trebuchet MS" w:hAnsi="Trebuchet MS"/>
                <w:sz w:val="16"/>
                <w:szCs w:val="16"/>
                <w:lang w:eastAsia="en-GB"/>
              </w:rPr>
            </w:pPr>
            <w:r w:rsidRPr="00167A1B">
              <w:rPr>
                <w:rFonts w:ascii="Trebuchet MS" w:hAnsi="Trebuchet MS"/>
                <w:sz w:val="16"/>
                <w:szCs w:val="16"/>
                <w:lang w:eastAsia="en-GB"/>
              </w:rPr>
              <w:t>Annual average</w:t>
            </w:r>
          </w:p>
        </w:tc>
        <w:tc>
          <w:tcPr>
            <w:tcW w:w="1031" w:type="dxa"/>
            <w:noWrap/>
            <w:vAlign w:val="bottom"/>
            <w:hideMark/>
          </w:tcPr>
          <w:p w14:paraId="2BA9E4EA" w14:textId="5D925EC6" w:rsidR="00F975FD" w:rsidRPr="00167A1B" w:rsidRDefault="00F975FD" w:rsidP="00F975FD">
            <w:pPr>
              <w:spacing w:after="0"/>
              <w:jc w:val="right"/>
              <w:rPr>
                <w:rFonts w:ascii="Trebuchet MS" w:hAnsi="Trebuchet MS"/>
                <w:sz w:val="16"/>
                <w:szCs w:val="16"/>
                <w:lang w:eastAsia="en-GB"/>
              </w:rPr>
            </w:pPr>
            <w:r w:rsidRPr="00167A1B">
              <w:rPr>
                <w:rFonts w:ascii="Trebuchet MS" w:hAnsi="Trebuchet MS"/>
                <w:sz w:val="16"/>
                <w:szCs w:val="16"/>
              </w:rPr>
              <w:t>217</w:t>
            </w:r>
          </w:p>
        </w:tc>
        <w:tc>
          <w:tcPr>
            <w:tcW w:w="1032" w:type="dxa"/>
            <w:noWrap/>
            <w:vAlign w:val="bottom"/>
            <w:hideMark/>
          </w:tcPr>
          <w:p w14:paraId="2FBFA812" w14:textId="753EB89F" w:rsidR="00F975FD" w:rsidRPr="00167A1B" w:rsidRDefault="00F975FD" w:rsidP="00F975FD">
            <w:pPr>
              <w:spacing w:after="0"/>
              <w:jc w:val="right"/>
              <w:rPr>
                <w:rFonts w:ascii="Trebuchet MS" w:hAnsi="Trebuchet MS"/>
                <w:sz w:val="16"/>
                <w:szCs w:val="16"/>
                <w:lang w:eastAsia="en-GB"/>
              </w:rPr>
            </w:pPr>
            <w:r w:rsidRPr="00167A1B">
              <w:rPr>
                <w:rFonts w:ascii="Trebuchet MS" w:hAnsi="Trebuchet MS"/>
                <w:sz w:val="16"/>
                <w:szCs w:val="16"/>
              </w:rPr>
              <w:t>198</w:t>
            </w:r>
          </w:p>
        </w:tc>
        <w:tc>
          <w:tcPr>
            <w:tcW w:w="1032" w:type="dxa"/>
            <w:noWrap/>
            <w:vAlign w:val="bottom"/>
            <w:hideMark/>
          </w:tcPr>
          <w:p w14:paraId="669F83D1" w14:textId="0F773D09" w:rsidR="00F975FD" w:rsidRPr="00167A1B" w:rsidRDefault="00F975FD" w:rsidP="00F975FD">
            <w:pPr>
              <w:spacing w:after="0"/>
              <w:jc w:val="right"/>
              <w:rPr>
                <w:rFonts w:ascii="Trebuchet MS" w:hAnsi="Trebuchet MS"/>
                <w:sz w:val="16"/>
                <w:szCs w:val="16"/>
                <w:lang w:eastAsia="en-GB"/>
              </w:rPr>
            </w:pPr>
            <w:r w:rsidRPr="00167A1B">
              <w:rPr>
                <w:rFonts w:ascii="Trebuchet MS" w:hAnsi="Trebuchet MS"/>
                <w:sz w:val="16"/>
                <w:szCs w:val="16"/>
              </w:rPr>
              <w:t>210</w:t>
            </w:r>
          </w:p>
        </w:tc>
        <w:tc>
          <w:tcPr>
            <w:tcW w:w="1032" w:type="dxa"/>
            <w:noWrap/>
            <w:vAlign w:val="bottom"/>
            <w:hideMark/>
          </w:tcPr>
          <w:p w14:paraId="1090DB7F" w14:textId="348E6ABE" w:rsidR="00F975FD" w:rsidRPr="00167A1B" w:rsidRDefault="00F975FD" w:rsidP="00F975FD">
            <w:pPr>
              <w:spacing w:after="0"/>
              <w:jc w:val="right"/>
              <w:rPr>
                <w:rFonts w:ascii="Trebuchet MS" w:hAnsi="Trebuchet MS"/>
                <w:sz w:val="16"/>
                <w:szCs w:val="16"/>
                <w:lang w:eastAsia="en-GB"/>
              </w:rPr>
            </w:pPr>
            <w:r w:rsidRPr="00167A1B">
              <w:rPr>
                <w:rFonts w:ascii="Trebuchet MS" w:hAnsi="Trebuchet MS"/>
                <w:sz w:val="16"/>
                <w:szCs w:val="16"/>
              </w:rPr>
              <w:t>210</w:t>
            </w:r>
          </w:p>
        </w:tc>
        <w:tc>
          <w:tcPr>
            <w:tcW w:w="1032" w:type="dxa"/>
            <w:noWrap/>
            <w:vAlign w:val="bottom"/>
            <w:hideMark/>
          </w:tcPr>
          <w:p w14:paraId="20414033" w14:textId="1A4A6A21" w:rsidR="00F975FD" w:rsidRPr="00167A1B" w:rsidRDefault="00F975FD" w:rsidP="00F975FD">
            <w:pPr>
              <w:spacing w:after="0"/>
              <w:jc w:val="right"/>
              <w:rPr>
                <w:rFonts w:ascii="Trebuchet MS" w:hAnsi="Trebuchet MS"/>
                <w:sz w:val="16"/>
                <w:szCs w:val="16"/>
                <w:lang w:eastAsia="en-GB"/>
              </w:rPr>
            </w:pPr>
            <w:r w:rsidRPr="00167A1B">
              <w:rPr>
                <w:rFonts w:ascii="Trebuchet MS" w:hAnsi="Trebuchet MS"/>
                <w:sz w:val="16"/>
                <w:szCs w:val="16"/>
              </w:rPr>
              <w:t>246</w:t>
            </w:r>
          </w:p>
        </w:tc>
        <w:tc>
          <w:tcPr>
            <w:tcW w:w="1032" w:type="dxa"/>
            <w:noWrap/>
            <w:vAlign w:val="bottom"/>
            <w:hideMark/>
          </w:tcPr>
          <w:p w14:paraId="0248ACB0" w14:textId="3E71DB54" w:rsidR="00F975FD" w:rsidRPr="00167A1B" w:rsidRDefault="00F975FD" w:rsidP="00F975FD">
            <w:pPr>
              <w:spacing w:after="0"/>
              <w:jc w:val="right"/>
              <w:rPr>
                <w:rFonts w:ascii="Trebuchet MS" w:hAnsi="Trebuchet MS"/>
                <w:sz w:val="16"/>
                <w:szCs w:val="16"/>
                <w:lang w:eastAsia="en-GB"/>
              </w:rPr>
            </w:pPr>
            <w:r w:rsidRPr="00167A1B">
              <w:rPr>
                <w:rFonts w:ascii="Trebuchet MS" w:hAnsi="Trebuchet MS"/>
                <w:sz w:val="16"/>
                <w:szCs w:val="16"/>
              </w:rPr>
              <w:t>263</w:t>
            </w:r>
          </w:p>
        </w:tc>
        <w:tc>
          <w:tcPr>
            <w:tcW w:w="1032" w:type="dxa"/>
            <w:noWrap/>
            <w:vAlign w:val="bottom"/>
            <w:hideMark/>
          </w:tcPr>
          <w:p w14:paraId="39158C58" w14:textId="33122E7E" w:rsidR="00F975FD" w:rsidRPr="00167A1B" w:rsidRDefault="00F975FD" w:rsidP="00F975FD">
            <w:pPr>
              <w:spacing w:after="0"/>
              <w:jc w:val="right"/>
              <w:rPr>
                <w:rFonts w:ascii="Trebuchet MS" w:hAnsi="Trebuchet MS"/>
                <w:sz w:val="16"/>
                <w:szCs w:val="16"/>
                <w:lang w:eastAsia="en-GB"/>
              </w:rPr>
            </w:pPr>
            <w:r w:rsidRPr="00167A1B">
              <w:rPr>
                <w:rFonts w:ascii="Trebuchet MS" w:hAnsi="Trebuchet MS"/>
                <w:sz w:val="16"/>
                <w:szCs w:val="16"/>
              </w:rPr>
              <w:t>214</w:t>
            </w:r>
          </w:p>
        </w:tc>
      </w:tr>
      <w:tr w:rsidR="00F975FD" w:rsidRPr="00167A1B" w14:paraId="594AD149" w14:textId="77777777" w:rsidTr="00F770AB">
        <w:trPr>
          <w:trHeight w:val="270"/>
        </w:trPr>
        <w:tc>
          <w:tcPr>
            <w:tcW w:w="1838" w:type="dxa"/>
            <w:noWrap/>
            <w:hideMark/>
          </w:tcPr>
          <w:p w14:paraId="7B728A95" w14:textId="77777777" w:rsidR="00F975FD" w:rsidRPr="00167A1B" w:rsidRDefault="00F975FD" w:rsidP="00F975FD">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31" w:type="dxa"/>
            <w:noWrap/>
            <w:vAlign w:val="bottom"/>
            <w:hideMark/>
          </w:tcPr>
          <w:p w14:paraId="743B78A7" w14:textId="020E2CB2" w:rsidR="00F975FD" w:rsidRPr="00167A1B" w:rsidRDefault="00F975FD" w:rsidP="00F975FD">
            <w:pPr>
              <w:spacing w:after="0"/>
              <w:jc w:val="left"/>
              <w:rPr>
                <w:rFonts w:ascii="Trebuchet MS" w:hAnsi="Trebuchet MS"/>
                <w:sz w:val="16"/>
                <w:szCs w:val="16"/>
                <w:lang w:eastAsia="en-GB"/>
              </w:rPr>
            </w:pPr>
            <w:r w:rsidRPr="00167A1B">
              <w:rPr>
                <w:rFonts w:ascii="Trebuchet MS" w:hAnsi="Trebuchet MS"/>
                <w:sz w:val="16"/>
                <w:szCs w:val="16"/>
              </w:rPr>
              <w:t> </w:t>
            </w:r>
          </w:p>
        </w:tc>
        <w:tc>
          <w:tcPr>
            <w:tcW w:w="1032" w:type="dxa"/>
            <w:noWrap/>
            <w:vAlign w:val="bottom"/>
            <w:hideMark/>
          </w:tcPr>
          <w:p w14:paraId="289088B1" w14:textId="370630B8" w:rsidR="00F975FD" w:rsidRPr="00167A1B" w:rsidRDefault="00F975FD" w:rsidP="00F975FD">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-18</w:t>
            </w:r>
          </w:p>
        </w:tc>
        <w:tc>
          <w:tcPr>
            <w:tcW w:w="1032" w:type="dxa"/>
            <w:noWrap/>
            <w:vAlign w:val="bottom"/>
            <w:hideMark/>
          </w:tcPr>
          <w:p w14:paraId="4BD8C90A" w14:textId="0F43AA93" w:rsidR="00F975FD" w:rsidRPr="00167A1B" w:rsidRDefault="00F975FD" w:rsidP="00F975FD">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-7</w:t>
            </w:r>
          </w:p>
        </w:tc>
        <w:tc>
          <w:tcPr>
            <w:tcW w:w="1032" w:type="dxa"/>
            <w:noWrap/>
            <w:vAlign w:val="bottom"/>
            <w:hideMark/>
          </w:tcPr>
          <w:p w14:paraId="56A55D32" w14:textId="67B0F6E3" w:rsidR="00F975FD" w:rsidRPr="00167A1B" w:rsidRDefault="00F975FD" w:rsidP="00F975FD">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-7</w:t>
            </w:r>
          </w:p>
        </w:tc>
        <w:tc>
          <w:tcPr>
            <w:tcW w:w="1032" w:type="dxa"/>
            <w:noWrap/>
            <w:vAlign w:val="bottom"/>
            <w:hideMark/>
          </w:tcPr>
          <w:p w14:paraId="20F53BD4" w14:textId="0D4B63DA" w:rsidR="00F975FD" w:rsidRPr="00167A1B" w:rsidRDefault="00F975FD" w:rsidP="00F975FD">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30</w:t>
            </w:r>
          </w:p>
        </w:tc>
        <w:tc>
          <w:tcPr>
            <w:tcW w:w="1032" w:type="dxa"/>
            <w:noWrap/>
            <w:vAlign w:val="bottom"/>
            <w:hideMark/>
          </w:tcPr>
          <w:p w14:paraId="7B0506BC" w14:textId="2BAF7B3A" w:rsidR="00F975FD" w:rsidRPr="00167A1B" w:rsidRDefault="00F975FD" w:rsidP="00F975FD">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47</w:t>
            </w:r>
          </w:p>
        </w:tc>
        <w:tc>
          <w:tcPr>
            <w:tcW w:w="1032" w:type="dxa"/>
            <w:noWrap/>
            <w:vAlign w:val="bottom"/>
            <w:hideMark/>
          </w:tcPr>
          <w:p w14:paraId="0AE04885" w14:textId="426644B7" w:rsidR="00F975FD" w:rsidRPr="00167A1B" w:rsidRDefault="00F975FD" w:rsidP="00F975FD">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-3</w:t>
            </w:r>
          </w:p>
        </w:tc>
      </w:tr>
      <w:tr w:rsidR="00F975FD" w:rsidRPr="00167A1B" w14:paraId="568EAE3A" w14:textId="77777777" w:rsidTr="00F770AB">
        <w:trPr>
          <w:trHeight w:val="270"/>
        </w:trPr>
        <w:tc>
          <w:tcPr>
            <w:tcW w:w="1838" w:type="dxa"/>
            <w:noWrap/>
            <w:hideMark/>
          </w:tcPr>
          <w:p w14:paraId="264BB57D" w14:textId="77777777" w:rsidR="00F975FD" w:rsidRPr="00167A1B" w:rsidRDefault="00F975FD" w:rsidP="00F975FD">
            <w:pPr>
              <w:spacing w:after="0"/>
              <w:jc w:val="left"/>
              <w:rPr>
                <w:rFonts w:ascii="Trebuchet MS" w:hAnsi="Trebuchet MS"/>
                <w:sz w:val="16"/>
                <w:szCs w:val="16"/>
                <w:lang w:eastAsia="en-GB"/>
              </w:rPr>
            </w:pPr>
            <w:r w:rsidRPr="00167A1B">
              <w:rPr>
                <w:rFonts w:ascii="Trebuchet MS" w:hAnsi="Trebuchet MS"/>
                <w:sz w:val="16"/>
                <w:szCs w:val="16"/>
                <w:lang w:eastAsia="en-GB"/>
              </w:rPr>
              <w:t>As %</w:t>
            </w:r>
          </w:p>
        </w:tc>
        <w:tc>
          <w:tcPr>
            <w:tcW w:w="1031" w:type="dxa"/>
            <w:noWrap/>
            <w:vAlign w:val="bottom"/>
            <w:hideMark/>
          </w:tcPr>
          <w:p w14:paraId="417E3954" w14:textId="523366BC" w:rsidR="00F975FD" w:rsidRPr="00167A1B" w:rsidRDefault="00F975FD" w:rsidP="00F975FD">
            <w:pPr>
              <w:spacing w:after="0"/>
              <w:jc w:val="left"/>
              <w:rPr>
                <w:rFonts w:ascii="Trebuchet MS" w:hAnsi="Trebuchet MS"/>
                <w:sz w:val="16"/>
                <w:szCs w:val="16"/>
                <w:lang w:eastAsia="en-GB"/>
              </w:rPr>
            </w:pPr>
            <w:r w:rsidRPr="00167A1B">
              <w:rPr>
                <w:rFonts w:ascii="Trebuchet MS" w:hAnsi="Trebuchet MS"/>
                <w:sz w:val="16"/>
                <w:szCs w:val="16"/>
              </w:rPr>
              <w:t> </w:t>
            </w:r>
          </w:p>
        </w:tc>
        <w:tc>
          <w:tcPr>
            <w:tcW w:w="1032" w:type="dxa"/>
            <w:noWrap/>
            <w:vAlign w:val="bottom"/>
            <w:hideMark/>
          </w:tcPr>
          <w:p w14:paraId="226A18D8" w14:textId="28D679BF" w:rsidR="00F975FD" w:rsidRPr="00167A1B" w:rsidRDefault="00F975FD" w:rsidP="00F975FD">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-8.5%</w:t>
            </w:r>
          </w:p>
        </w:tc>
        <w:tc>
          <w:tcPr>
            <w:tcW w:w="1032" w:type="dxa"/>
            <w:noWrap/>
            <w:vAlign w:val="bottom"/>
            <w:hideMark/>
          </w:tcPr>
          <w:p w14:paraId="5B47DB54" w14:textId="4F07820E" w:rsidR="00F975FD" w:rsidRPr="00167A1B" w:rsidRDefault="00F975FD" w:rsidP="00F975FD">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-3.1%</w:t>
            </w:r>
          </w:p>
        </w:tc>
        <w:tc>
          <w:tcPr>
            <w:tcW w:w="1032" w:type="dxa"/>
            <w:noWrap/>
            <w:vAlign w:val="bottom"/>
            <w:hideMark/>
          </w:tcPr>
          <w:p w14:paraId="6EB5FC94" w14:textId="3BD12422" w:rsidR="00F975FD" w:rsidRPr="00167A1B" w:rsidRDefault="00F975FD" w:rsidP="00F975FD">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-3.1%</w:t>
            </w:r>
          </w:p>
        </w:tc>
        <w:tc>
          <w:tcPr>
            <w:tcW w:w="1032" w:type="dxa"/>
            <w:noWrap/>
            <w:vAlign w:val="bottom"/>
            <w:hideMark/>
          </w:tcPr>
          <w:p w14:paraId="56A7BC84" w14:textId="56B2C76F" w:rsidR="00F975FD" w:rsidRPr="00167A1B" w:rsidRDefault="00F975FD" w:rsidP="00F975FD">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13.6%</w:t>
            </w:r>
          </w:p>
        </w:tc>
        <w:tc>
          <w:tcPr>
            <w:tcW w:w="1032" w:type="dxa"/>
            <w:noWrap/>
            <w:vAlign w:val="bottom"/>
            <w:hideMark/>
          </w:tcPr>
          <w:p w14:paraId="7BF7EC71" w14:textId="61517BB3" w:rsidR="00F975FD" w:rsidRPr="00167A1B" w:rsidRDefault="00F975FD" w:rsidP="00F975FD">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21.4%</w:t>
            </w:r>
          </w:p>
        </w:tc>
        <w:tc>
          <w:tcPr>
            <w:tcW w:w="1032" w:type="dxa"/>
            <w:noWrap/>
            <w:vAlign w:val="bottom"/>
            <w:hideMark/>
          </w:tcPr>
          <w:p w14:paraId="713698BE" w14:textId="335814C5" w:rsidR="00F975FD" w:rsidRPr="00167A1B" w:rsidRDefault="00F975FD" w:rsidP="00F975FD">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-1.4%</w:t>
            </w:r>
          </w:p>
        </w:tc>
      </w:tr>
      <w:tr w:rsidR="001A56A9" w:rsidRPr="00167A1B" w14:paraId="0D99008A" w14:textId="77777777" w:rsidTr="00F770AB">
        <w:trPr>
          <w:trHeight w:val="270"/>
        </w:trPr>
        <w:tc>
          <w:tcPr>
            <w:tcW w:w="9061" w:type="dxa"/>
            <w:gridSpan w:val="8"/>
            <w:noWrap/>
          </w:tcPr>
          <w:p w14:paraId="434372D4" w14:textId="3BD487BD" w:rsidR="001A56A9" w:rsidRPr="00167A1B" w:rsidRDefault="00B93B3D" w:rsidP="001A56A9">
            <w:pPr>
              <w:spacing w:after="0"/>
              <w:jc w:val="left"/>
              <w:rPr>
                <w:rFonts w:ascii="Trebuchet MS" w:hAnsi="Trebuchet MS"/>
                <w:b/>
                <w:bCs/>
                <w:color w:val="9C0006"/>
                <w:sz w:val="16"/>
                <w:szCs w:val="16"/>
              </w:rPr>
            </w:pPr>
            <w:r w:rsidRPr="00167A1B">
              <w:rPr>
                <w:rFonts w:ascii="Trebuchet MS" w:hAnsi="Trebuchet MS"/>
                <w:b/>
                <w:bCs/>
                <w:sz w:val="16"/>
                <w:szCs w:val="16"/>
                <w:lang w:eastAsia="en-GB"/>
              </w:rPr>
              <w:t xml:space="preserve">Gross profit </w:t>
            </w:r>
            <w:r w:rsidR="001A56A9" w:rsidRPr="00167A1B">
              <w:rPr>
                <w:rFonts w:ascii="Trebuchet MS" w:hAnsi="Trebuchet MS"/>
                <w:b/>
                <w:bCs/>
                <w:sz w:val="16"/>
                <w:szCs w:val="16"/>
                <w:lang w:eastAsia="en-GB"/>
              </w:rPr>
              <w:t>for distributors and retailers until point of sale [NPV million EUR]</w:t>
            </w:r>
          </w:p>
        </w:tc>
      </w:tr>
      <w:tr w:rsidR="006156D5" w:rsidRPr="00167A1B" w14:paraId="2ACCE283" w14:textId="77777777" w:rsidTr="00F770AB">
        <w:trPr>
          <w:trHeight w:val="270"/>
        </w:trPr>
        <w:tc>
          <w:tcPr>
            <w:tcW w:w="1838" w:type="dxa"/>
            <w:noWrap/>
          </w:tcPr>
          <w:p w14:paraId="53DB4EBC" w14:textId="2ECBE240" w:rsidR="006156D5" w:rsidRPr="00167A1B" w:rsidRDefault="006156D5" w:rsidP="006156D5">
            <w:pPr>
              <w:spacing w:after="0"/>
              <w:jc w:val="left"/>
              <w:rPr>
                <w:rFonts w:ascii="Trebuchet MS" w:hAnsi="Trebuchet MS"/>
                <w:sz w:val="16"/>
                <w:szCs w:val="16"/>
                <w:lang w:eastAsia="en-GB"/>
              </w:rPr>
            </w:pPr>
            <w:r w:rsidRPr="00167A1B">
              <w:rPr>
                <w:rFonts w:ascii="Trebuchet MS" w:hAnsi="Trebuchet MS"/>
                <w:sz w:val="16"/>
                <w:szCs w:val="16"/>
                <w:lang w:eastAsia="en-GB"/>
              </w:rPr>
              <w:t>Total 2024-2030</w:t>
            </w:r>
          </w:p>
        </w:tc>
        <w:tc>
          <w:tcPr>
            <w:tcW w:w="1031" w:type="dxa"/>
            <w:noWrap/>
            <w:vAlign w:val="bottom"/>
          </w:tcPr>
          <w:p w14:paraId="1F68679A" w14:textId="055E23B2" w:rsidR="006156D5" w:rsidRPr="00167A1B" w:rsidRDefault="006156D5" w:rsidP="006156D5">
            <w:pPr>
              <w:spacing w:after="0"/>
              <w:jc w:val="left"/>
              <w:rPr>
                <w:rFonts w:ascii="Trebuchet MS" w:hAnsi="Trebuchet MS"/>
                <w:sz w:val="16"/>
                <w:szCs w:val="16"/>
              </w:rPr>
            </w:pPr>
            <w:r w:rsidRPr="00167A1B">
              <w:rPr>
                <w:rFonts w:ascii="Trebuchet MS" w:hAnsi="Trebuchet MS"/>
                <w:b/>
                <w:bCs/>
                <w:sz w:val="16"/>
                <w:szCs w:val="16"/>
              </w:rPr>
              <w:t>22,177</w:t>
            </w:r>
          </w:p>
        </w:tc>
        <w:tc>
          <w:tcPr>
            <w:tcW w:w="1032" w:type="dxa"/>
            <w:noWrap/>
            <w:vAlign w:val="bottom"/>
          </w:tcPr>
          <w:p w14:paraId="035B489B" w14:textId="22C5843F"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b/>
                <w:bCs/>
                <w:sz w:val="16"/>
                <w:szCs w:val="16"/>
              </w:rPr>
              <w:t>20,278</w:t>
            </w:r>
          </w:p>
        </w:tc>
        <w:tc>
          <w:tcPr>
            <w:tcW w:w="1032" w:type="dxa"/>
            <w:noWrap/>
            <w:vAlign w:val="bottom"/>
          </w:tcPr>
          <w:p w14:paraId="5FFD04A0" w14:textId="5909024E"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b/>
                <w:bCs/>
                <w:sz w:val="16"/>
                <w:szCs w:val="16"/>
              </w:rPr>
              <w:t>21,444</w:t>
            </w:r>
          </w:p>
        </w:tc>
        <w:tc>
          <w:tcPr>
            <w:tcW w:w="1032" w:type="dxa"/>
            <w:noWrap/>
            <w:vAlign w:val="bottom"/>
          </w:tcPr>
          <w:p w14:paraId="08A74F50" w14:textId="286471B7"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b/>
                <w:bCs/>
                <w:sz w:val="16"/>
                <w:szCs w:val="16"/>
              </w:rPr>
              <w:t>21,429</w:t>
            </w:r>
          </w:p>
        </w:tc>
        <w:tc>
          <w:tcPr>
            <w:tcW w:w="1032" w:type="dxa"/>
            <w:noWrap/>
            <w:vAlign w:val="bottom"/>
          </w:tcPr>
          <w:p w14:paraId="159A53BB" w14:textId="1BD0975C" w:rsidR="006156D5" w:rsidRPr="00167A1B" w:rsidRDefault="006156D5" w:rsidP="006156D5">
            <w:pPr>
              <w:spacing w:after="0"/>
              <w:jc w:val="right"/>
              <w:rPr>
                <w:rFonts w:ascii="Trebuchet MS" w:hAnsi="Trebuchet MS"/>
                <w:color w:val="006100"/>
                <w:sz w:val="16"/>
                <w:szCs w:val="16"/>
              </w:rPr>
            </w:pPr>
            <w:r w:rsidRPr="00167A1B">
              <w:rPr>
                <w:rFonts w:ascii="Trebuchet MS" w:hAnsi="Trebuchet MS"/>
                <w:b/>
                <w:bCs/>
                <w:sz w:val="16"/>
                <w:szCs w:val="16"/>
              </w:rPr>
              <w:t>25,799</w:t>
            </w:r>
          </w:p>
        </w:tc>
        <w:tc>
          <w:tcPr>
            <w:tcW w:w="1032" w:type="dxa"/>
            <w:noWrap/>
            <w:vAlign w:val="bottom"/>
          </w:tcPr>
          <w:p w14:paraId="5C8AF217" w14:textId="6107C945" w:rsidR="006156D5" w:rsidRPr="00167A1B" w:rsidRDefault="006156D5" w:rsidP="006156D5">
            <w:pPr>
              <w:spacing w:after="0"/>
              <w:jc w:val="right"/>
              <w:rPr>
                <w:rFonts w:ascii="Trebuchet MS" w:hAnsi="Trebuchet MS"/>
                <w:color w:val="006100"/>
                <w:sz w:val="16"/>
                <w:szCs w:val="16"/>
              </w:rPr>
            </w:pPr>
            <w:r w:rsidRPr="00167A1B">
              <w:rPr>
                <w:rFonts w:ascii="Trebuchet MS" w:hAnsi="Trebuchet MS"/>
                <w:b/>
                <w:bCs/>
                <w:sz w:val="16"/>
                <w:szCs w:val="16"/>
              </w:rPr>
              <w:t>28,194</w:t>
            </w:r>
          </w:p>
        </w:tc>
        <w:tc>
          <w:tcPr>
            <w:tcW w:w="1032" w:type="dxa"/>
            <w:noWrap/>
            <w:vAlign w:val="bottom"/>
          </w:tcPr>
          <w:p w14:paraId="59764F4B" w14:textId="4A436B2F"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b/>
                <w:bCs/>
                <w:sz w:val="16"/>
                <w:szCs w:val="16"/>
              </w:rPr>
              <w:t>21,863</w:t>
            </w:r>
          </w:p>
        </w:tc>
      </w:tr>
      <w:tr w:rsidR="006156D5" w:rsidRPr="00167A1B" w14:paraId="046B3DB7" w14:textId="77777777" w:rsidTr="00F770AB">
        <w:trPr>
          <w:trHeight w:val="270"/>
        </w:trPr>
        <w:tc>
          <w:tcPr>
            <w:tcW w:w="1838" w:type="dxa"/>
            <w:noWrap/>
          </w:tcPr>
          <w:p w14:paraId="7D2BE9F8" w14:textId="5EB36C5E" w:rsidR="006156D5" w:rsidRPr="00167A1B" w:rsidRDefault="006156D5" w:rsidP="006156D5">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31" w:type="dxa"/>
            <w:noWrap/>
            <w:vAlign w:val="bottom"/>
          </w:tcPr>
          <w:p w14:paraId="18BBCF00" w14:textId="50692296" w:rsidR="006156D5" w:rsidRPr="00167A1B" w:rsidRDefault="006156D5" w:rsidP="006156D5">
            <w:pPr>
              <w:spacing w:after="0"/>
              <w:jc w:val="left"/>
              <w:rPr>
                <w:rFonts w:ascii="Trebuchet MS" w:hAnsi="Trebuchet MS"/>
                <w:sz w:val="16"/>
                <w:szCs w:val="16"/>
              </w:rPr>
            </w:pPr>
            <w:r w:rsidRPr="00167A1B">
              <w:rPr>
                <w:rFonts w:ascii="Trebuchet MS" w:hAnsi="Trebuchet MS"/>
                <w:sz w:val="16"/>
                <w:szCs w:val="16"/>
              </w:rPr>
              <w:t> </w:t>
            </w:r>
          </w:p>
        </w:tc>
        <w:tc>
          <w:tcPr>
            <w:tcW w:w="1032" w:type="dxa"/>
            <w:noWrap/>
            <w:vAlign w:val="bottom"/>
          </w:tcPr>
          <w:p w14:paraId="7800E8DF" w14:textId="544C01B4"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color w:val="9C0006"/>
                <w:sz w:val="16"/>
                <w:szCs w:val="16"/>
              </w:rPr>
              <w:t>-1,899</w:t>
            </w:r>
          </w:p>
        </w:tc>
        <w:tc>
          <w:tcPr>
            <w:tcW w:w="1032" w:type="dxa"/>
            <w:noWrap/>
            <w:vAlign w:val="bottom"/>
          </w:tcPr>
          <w:p w14:paraId="55F2A3DA" w14:textId="70E0EFB8"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color w:val="9C0006"/>
                <w:sz w:val="16"/>
                <w:szCs w:val="16"/>
              </w:rPr>
              <w:t>-733</w:t>
            </w:r>
          </w:p>
        </w:tc>
        <w:tc>
          <w:tcPr>
            <w:tcW w:w="1032" w:type="dxa"/>
            <w:noWrap/>
            <w:vAlign w:val="bottom"/>
          </w:tcPr>
          <w:p w14:paraId="5884D150" w14:textId="7E739CA3"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color w:val="9C0006"/>
                <w:sz w:val="16"/>
                <w:szCs w:val="16"/>
              </w:rPr>
              <w:t>-748</w:t>
            </w:r>
          </w:p>
        </w:tc>
        <w:tc>
          <w:tcPr>
            <w:tcW w:w="1032" w:type="dxa"/>
            <w:noWrap/>
            <w:vAlign w:val="bottom"/>
          </w:tcPr>
          <w:p w14:paraId="7A5ED236" w14:textId="0CF49C83" w:rsidR="006156D5" w:rsidRPr="00167A1B" w:rsidRDefault="006156D5" w:rsidP="006156D5">
            <w:pPr>
              <w:spacing w:after="0"/>
              <w:jc w:val="right"/>
              <w:rPr>
                <w:rFonts w:ascii="Trebuchet MS" w:hAnsi="Trebuchet MS"/>
                <w:color w:val="006100"/>
                <w:sz w:val="16"/>
                <w:szCs w:val="16"/>
              </w:rPr>
            </w:pPr>
            <w:r w:rsidRPr="00167A1B">
              <w:rPr>
                <w:rFonts w:ascii="Trebuchet MS" w:hAnsi="Trebuchet MS"/>
                <w:color w:val="006100"/>
                <w:sz w:val="16"/>
                <w:szCs w:val="16"/>
              </w:rPr>
              <w:t>3,621</w:t>
            </w:r>
          </w:p>
        </w:tc>
        <w:tc>
          <w:tcPr>
            <w:tcW w:w="1032" w:type="dxa"/>
            <w:noWrap/>
            <w:vAlign w:val="bottom"/>
          </w:tcPr>
          <w:p w14:paraId="22B34DE4" w14:textId="67D22FED" w:rsidR="006156D5" w:rsidRPr="00167A1B" w:rsidRDefault="006156D5" w:rsidP="006156D5">
            <w:pPr>
              <w:spacing w:after="0"/>
              <w:jc w:val="right"/>
              <w:rPr>
                <w:rFonts w:ascii="Trebuchet MS" w:hAnsi="Trebuchet MS"/>
                <w:color w:val="006100"/>
                <w:sz w:val="16"/>
                <w:szCs w:val="16"/>
              </w:rPr>
            </w:pPr>
            <w:r w:rsidRPr="00167A1B">
              <w:rPr>
                <w:rFonts w:ascii="Trebuchet MS" w:hAnsi="Trebuchet MS"/>
                <w:color w:val="006100"/>
                <w:sz w:val="16"/>
                <w:szCs w:val="16"/>
              </w:rPr>
              <w:t>6,017</w:t>
            </w:r>
          </w:p>
        </w:tc>
        <w:tc>
          <w:tcPr>
            <w:tcW w:w="1032" w:type="dxa"/>
            <w:noWrap/>
            <w:vAlign w:val="bottom"/>
          </w:tcPr>
          <w:p w14:paraId="53BFE970" w14:textId="6E2777E1"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color w:val="9C0006"/>
                <w:sz w:val="16"/>
                <w:szCs w:val="16"/>
              </w:rPr>
              <w:t>-315</w:t>
            </w:r>
          </w:p>
        </w:tc>
      </w:tr>
      <w:tr w:rsidR="006156D5" w:rsidRPr="00167A1B" w14:paraId="7B590258" w14:textId="77777777" w:rsidTr="00F770AB">
        <w:trPr>
          <w:trHeight w:val="270"/>
        </w:trPr>
        <w:tc>
          <w:tcPr>
            <w:tcW w:w="1838" w:type="dxa"/>
            <w:noWrap/>
          </w:tcPr>
          <w:p w14:paraId="372C101D" w14:textId="2451380E" w:rsidR="006156D5" w:rsidRPr="00167A1B" w:rsidRDefault="006156D5" w:rsidP="006156D5">
            <w:pPr>
              <w:spacing w:after="0"/>
              <w:jc w:val="left"/>
              <w:rPr>
                <w:rFonts w:ascii="Trebuchet MS" w:hAnsi="Trebuchet MS"/>
                <w:sz w:val="16"/>
                <w:szCs w:val="16"/>
                <w:lang w:eastAsia="en-GB"/>
              </w:rPr>
            </w:pPr>
            <w:r w:rsidRPr="00167A1B">
              <w:rPr>
                <w:rFonts w:ascii="Trebuchet MS" w:hAnsi="Trebuchet MS"/>
                <w:sz w:val="16"/>
                <w:szCs w:val="16"/>
                <w:lang w:eastAsia="en-GB"/>
              </w:rPr>
              <w:t>Annual average</w:t>
            </w:r>
          </w:p>
        </w:tc>
        <w:tc>
          <w:tcPr>
            <w:tcW w:w="1031" w:type="dxa"/>
            <w:noWrap/>
            <w:vAlign w:val="bottom"/>
          </w:tcPr>
          <w:p w14:paraId="3072E8FA" w14:textId="50D7D3FE" w:rsidR="006156D5" w:rsidRPr="00167A1B" w:rsidRDefault="006156D5" w:rsidP="006156D5">
            <w:pPr>
              <w:spacing w:after="0"/>
              <w:jc w:val="left"/>
              <w:rPr>
                <w:rFonts w:ascii="Trebuchet MS" w:hAnsi="Trebuchet MS"/>
                <w:sz w:val="16"/>
                <w:szCs w:val="16"/>
              </w:rPr>
            </w:pPr>
            <w:r w:rsidRPr="00167A1B">
              <w:rPr>
                <w:rFonts w:ascii="Trebuchet MS" w:hAnsi="Trebuchet MS"/>
                <w:sz w:val="16"/>
                <w:szCs w:val="16"/>
              </w:rPr>
              <w:t>3,168</w:t>
            </w:r>
          </w:p>
        </w:tc>
        <w:tc>
          <w:tcPr>
            <w:tcW w:w="1032" w:type="dxa"/>
            <w:noWrap/>
            <w:vAlign w:val="bottom"/>
          </w:tcPr>
          <w:p w14:paraId="43607A63" w14:textId="49D54834"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sz w:val="16"/>
                <w:szCs w:val="16"/>
              </w:rPr>
              <w:t>2,897</w:t>
            </w:r>
          </w:p>
        </w:tc>
        <w:tc>
          <w:tcPr>
            <w:tcW w:w="1032" w:type="dxa"/>
            <w:noWrap/>
            <w:vAlign w:val="bottom"/>
          </w:tcPr>
          <w:p w14:paraId="67441150" w14:textId="2BA627B1"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sz w:val="16"/>
                <w:szCs w:val="16"/>
              </w:rPr>
              <w:t>3,063</w:t>
            </w:r>
          </w:p>
        </w:tc>
        <w:tc>
          <w:tcPr>
            <w:tcW w:w="1032" w:type="dxa"/>
            <w:noWrap/>
            <w:vAlign w:val="bottom"/>
          </w:tcPr>
          <w:p w14:paraId="395912BD" w14:textId="586CE66F"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sz w:val="16"/>
                <w:szCs w:val="16"/>
              </w:rPr>
              <w:t>3,061</w:t>
            </w:r>
          </w:p>
        </w:tc>
        <w:tc>
          <w:tcPr>
            <w:tcW w:w="1032" w:type="dxa"/>
            <w:noWrap/>
            <w:vAlign w:val="bottom"/>
          </w:tcPr>
          <w:p w14:paraId="2930ACFC" w14:textId="419CA926" w:rsidR="006156D5" w:rsidRPr="00167A1B" w:rsidRDefault="006156D5" w:rsidP="006156D5">
            <w:pPr>
              <w:spacing w:after="0"/>
              <w:jc w:val="right"/>
              <w:rPr>
                <w:rFonts w:ascii="Trebuchet MS" w:hAnsi="Trebuchet MS"/>
                <w:color w:val="006100"/>
                <w:sz w:val="16"/>
                <w:szCs w:val="16"/>
              </w:rPr>
            </w:pPr>
            <w:r w:rsidRPr="00167A1B">
              <w:rPr>
                <w:rFonts w:ascii="Trebuchet MS" w:hAnsi="Trebuchet MS"/>
                <w:sz w:val="16"/>
                <w:szCs w:val="16"/>
              </w:rPr>
              <w:t>3,686</w:t>
            </w:r>
          </w:p>
        </w:tc>
        <w:tc>
          <w:tcPr>
            <w:tcW w:w="1032" w:type="dxa"/>
            <w:noWrap/>
            <w:vAlign w:val="bottom"/>
          </w:tcPr>
          <w:p w14:paraId="4B690E99" w14:textId="72447E66" w:rsidR="006156D5" w:rsidRPr="00167A1B" w:rsidRDefault="006156D5" w:rsidP="006156D5">
            <w:pPr>
              <w:spacing w:after="0"/>
              <w:jc w:val="right"/>
              <w:rPr>
                <w:rFonts w:ascii="Trebuchet MS" w:hAnsi="Trebuchet MS"/>
                <w:color w:val="006100"/>
                <w:sz w:val="16"/>
                <w:szCs w:val="16"/>
              </w:rPr>
            </w:pPr>
            <w:r w:rsidRPr="00167A1B">
              <w:rPr>
                <w:rFonts w:ascii="Trebuchet MS" w:hAnsi="Trebuchet MS"/>
                <w:sz w:val="16"/>
                <w:szCs w:val="16"/>
              </w:rPr>
              <w:t>4,028</w:t>
            </w:r>
          </w:p>
        </w:tc>
        <w:tc>
          <w:tcPr>
            <w:tcW w:w="1032" w:type="dxa"/>
            <w:noWrap/>
            <w:vAlign w:val="bottom"/>
          </w:tcPr>
          <w:p w14:paraId="1861CF43" w14:textId="71569047"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sz w:val="16"/>
                <w:szCs w:val="16"/>
              </w:rPr>
              <w:t>3,123</w:t>
            </w:r>
          </w:p>
        </w:tc>
      </w:tr>
      <w:tr w:rsidR="006156D5" w:rsidRPr="00167A1B" w14:paraId="2DC81312" w14:textId="77777777" w:rsidTr="00F770AB">
        <w:trPr>
          <w:trHeight w:val="270"/>
        </w:trPr>
        <w:tc>
          <w:tcPr>
            <w:tcW w:w="1838" w:type="dxa"/>
            <w:noWrap/>
          </w:tcPr>
          <w:p w14:paraId="7AE5E175" w14:textId="5AE025C2" w:rsidR="006156D5" w:rsidRPr="00167A1B" w:rsidRDefault="006156D5" w:rsidP="006156D5">
            <w:pPr>
              <w:spacing w:after="0"/>
              <w:jc w:val="left"/>
              <w:rPr>
                <w:rFonts w:ascii="Trebuchet MS" w:hAnsi="Trebuchet MS"/>
                <w:sz w:val="16"/>
                <w:szCs w:val="16"/>
                <w:lang w:eastAsia="en-GB"/>
              </w:rPr>
            </w:pPr>
            <w:r w:rsidRPr="00167A1B">
              <w:rPr>
                <w:rFonts w:ascii="Trebuchet MS" w:hAnsi="Trebuchet MS"/>
                <w:sz w:val="16"/>
                <w:szCs w:val="16"/>
                <w:lang w:eastAsia="en-GB"/>
              </w:rPr>
              <w:lastRenderedPageBreak/>
              <w:t>Difference with baseline</w:t>
            </w:r>
          </w:p>
        </w:tc>
        <w:tc>
          <w:tcPr>
            <w:tcW w:w="1031" w:type="dxa"/>
            <w:noWrap/>
            <w:vAlign w:val="bottom"/>
          </w:tcPr>
          <w:p w14:paraId="60073F69" w14:textId="46629C13" w:rsidR="006156D5" w:rsidRPr="00167A1B" w:rsidRDefault="006156D5" w:rsidP="006156D5">
            <w:pPr>
              <w:spacing w:after="0"/>
              <w:jc w:val="left"/>
              <w:rPr>
                <w:rFonts w:ascii="Trebuchet MS" w:hAnsi="Trebuchet MS"/>
                <w:sz w:val="16"/>
                <w:szCs w:val="16"/>
              </w:rPr>
            </w:pPr>
            <w:r w:rsidRPr="00167A1B">
              <w:rPr>
                <w:rFonts w:ascii="Trebuchet MS" w:hAnsi="Trebuchet MS"/>
                <w:sz w:val="16"/>
                <w:szCs w:val="16"/>
              </w:rPr>
              <w:t> </w:t>
            </w:r>
          </w:p>
        </w:tc>
        <w:tc>
          <w:tcPr>
            <w:tcW w:w="1032" w:type="dxa"/>
            <w:noWrap/>
            <w:vAlign w:val="bottom"/>
          </w:tcPr>
          <w:p w14:paraId="11188D5E" w14:textId="3B3FF568"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color w:val="9C0006"/>
                <w:sz w:val="16"/>
                <w:szCs w:val="16"/>
              </w:rPr>
              <w:t>-271</w:t>
            </w:r>
          </w:p>
        </w:tc>
        <w:tc>
          <w:tcPr>
            <w:tcW w:w="1032" w:type="dxa"/>
            <w:noWrap/>
            <w:vAlign w:val="bottom"/>
          </w:tcPr>
          <w:p w14:paraId="75F40A0A" w14:textId="36E5A018"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color w:val="9C0006"/>
                <w:sz w:val="16"/>
                <w:szCs w:val="16"/>
              </w:rPr>
              <w:t>-105</w:t>
            </w:r>
          </w:p>
        </w:tc>
        <w:tc>
          <w:tcPr>
            <w:tcW w:w="1032" w:type="dxa"/>
            <w:noWrap/>
            <w:vAlign w:val="bottom"/>
          </w:tcPr>
          <w:p w14:paraId="2E3218FF" w14:textId="63F65829"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color w:val="9C0006"/>
                <w:sz w:val="16"/>
                <w:szCs w:val="16"/>
              </w:rPr>
              <w:t>-107</w:t>
            </w:r>
          </w:p>
        </w:tc>
        <w:tc>
          <w:tcPr>
            <w:tcW w:w="1032" w:type="dxa"/>
            <w:noWrap/>
            <w:vAlign w:val="bottom"/>
          </w:tcPr>
          <w:p w14:paraId="52F5AFC0" w14:textId="48F21BC4" w:rsidR="006156D5" w:rsidRPr="00167A1B" w:rsidRDefault="006156D5" w:rsidP="006156D5">
            <w:pPr>
              <w:spacing w:after="0"/>
              <w:jc w:val="right"/>
              <w:rPr>
                <w:rFonts w:ascii="Trebuchet MS" w:hAnsi="Trebuchet MS"/>
                <w:color w:val="006100"/>
                <w:sz w:val="16"/>
                <w:szCs w:val="16"/>
              </w:rPr>
            </w:pPr>
            <w:r w:rsidRPr="00167A1B">
              <w:rPr>
                <w:rFonts w:ascii="Trebuchet MS" w:hAnsi="Trebuchet MS"/>
                <w:color w:val="006100"/>
                <w:sz w:val="16"/>
                <w:szCs w:val="16"/>
              </w:rPr>
              <w:t>517</w:t>
            </w:r>
          </w:p>
        </w:tc>
        <w:tc>
          <w:tcPr>
            <w:tcW w:w="1032" w:type="dxa"/>
            <w:noWrap/>
            <w:vAlign w:val="bottom"/>
          </w:tcPr>
          <w:p w14:paraId="36642CAC" w14:textId="6845CFA1" w:rsidR="006156D5" w:rsidRPr="00167A1B" w:rsidRDefault="006156D5" w:rsidP="006156D5">
            <w:pPr>
              <w:spacing w:after="0"/>
              <w:jc w:val="right"/>
              <w:rPr>
                <w:rFonts w:ascii="Trebuchet MS" w:hAnsi="Trebuchet MS"/>
                <w:color w:val="006100"/>
                <w:sz w:val="16"/>
                <w:szCs w:val="16"/>
              </w:rPr>
            </w:pPr>
            <w:r w:rsidRPr="00167A1B">
              <w:rPr>
                <w:rFonts w:ascii="Trebuchet MS" w:hAnsi="Trebuchet MS"/>
                <w:color w:val="006100"/>
                <w:sz w:val="16"/>
                <w:szCs w:val="16"/>
              </w:rPr>
              <w:t>860</w:t>
            </w:r>
          </w:p>
        </w:tc>
        <w:tc>
          <w:tcPr>
            <w:tcW w:w="1032" w:type="dxa"/>
            <w:noWrap/>
            <w:vAlign w:val="bottom"/>
          </w:tcPr>
          <w:p w14:paraId="3C1286BF" w14:textId="521DD4F5"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color w:val="9C0006"/>
                <w:sz w:val="16"/>
                <w:szCs w:val="16"/>
              </w:rPr>
              <w:t>-45</w:t>
            </w:r>
          </w:p>
        </w:tc>
      </w:tr>
      <w:tr w:rsidR="006156D5" w:rsidRPr="00167A1B" w14:paraId="03DDC101" w14:textId="77777777" w:rsidTr="00F770AB">
        <w:trPr>
          <w:trHeight w:val="270"/>
        </w:trPr>
        <w:tc>
          <w:tcPr>
            <w:tcW w:w="1838" w:type="dxa"/>
            <w:noWrap/>
          </w:tcPr>
          <w:p w14:paraId="02162BA5" w14:textId="641577EA" w:rsidR="006156D5" w:rsidRPr="00167A1B" w:rsidRDefault="006156D5" w:rsidP="006156D5">
            <w:pPr>
              <w:spacing w:after="0"/>
              <w:jc w:val="left"/>
              <w:rPr>
                <w:rFonts w:ascii="Trebuchet MS" w:hAnsi="Trebuchet MS"/>
                <w:sz w:val="16"/>
                <w:szCs w:val="16"/>
                <w:lang w:eastAsia="en-GB"/>
              </w:rPr>
            </w:pPr>
            <w:r w:rsidRPr="00167A1B">
              <w:rPr>
                <w:rFonts w:ascii="Trebuchet MS" w:hAnsi="Trebuchet MS"/>
                <w:sz w:val="16"/>
                <w:szCs w:val="16"/>
                <w:lang w:eastAsia="en-GB"/>
              </w:rPr>
              <w:t>As %</w:t>
            </w:r>
          </w:p>
        </w:tc>
        <w:tc>
          <w:tcPr>
            <w:tcW w:w="1031" w:type="dxa"/>
            <w:noWrap/>
            <w:vAlign w:val="bottom"/>
          </w:tcPr>
          <w:p w14:paraId="279514A9" w14:textId="03EDE397" w:rsidR="006156D5" w:rsidRPr="00167A1B" w:rsidRDefault="006156D5" w:rsidP="006156D5">
            <w:pPr>
              <w:spacing w:after="0"/>
              <w:jc w:val="left"/>
              <w:rPr>
                <w:rFonts w:ascii="Trebuchet MS" w:hAnsi="Trebuchet MS"/>
                <w:sz w:val="16"/>
                <w:szCs w:val="16"/>
              </w:rPr>
            </w:pPr>
            <w:r w:rsidRPr="00167A1B">
              <w:rPr>
                <w:rFonts w:ascii="Trebuchet MS" w:hAnsi="Trebuchet MS"/>
                <w:sz w:val="16"/>
                <w:szCs w:val="16"/>
              </w:rPr>
              <w:t> </w:t>
            </w:r>
          </w:p>
        </w:tc>
        <w:tc>
          <w:tcPr>
            <w:tcW w:w="1032" w:type="dxa"/>
            <w:noWrap/>
            <w:vAlign w:val="bottom"/>
          </w:tcPr>
          <w:p w14:paraId="1D466852" w14:textId="4A23FDC6"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color w:val="9C0006"/>
                <w:sz w:val="16"/>
                <w:szCs w:val="16"/>
              </w:rPr>
              <w:t>-9%</w:t>
            </w:r>
          </w:p>
        </w:tc>
        <w:tc>
          <w:tcPr>
            <w:tcW w:w="1032" w:type="dxa"/>
            <w:noWrap/>
            <w:vAlign w:val="bottom"/>
          </w:tcPr>
          <w:p w14:paraId="311CE2DD" w14:textId="53B8D4FF"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color w:val="9C0006"/>
                <w:sz w:val="16"/>
                <w:szCs w:val="16"/>
              </w:rPr>
              <w:t>-3%</w:t>
            </w:r>
          </w:p>
        </w:tc>
        <w:tc>
          <w:tcPr>
            <w:tcW w:w="1032" w:type="dxa"/>
            <w:noWrap/>
            <w:vAlign w:val="bottom"/>
          </w:tcPr>
          <w:p w14:paraId="3C38004B" w14:textId="702C8147"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color w:val="9C0006"/>
                <w:sz w:val="16"/>
                <w:szCs w:val="16"/>
              </w:rPr>
              <w:t>-3%</w:t>
            </w:r>
          </w:p>
        </w:tc>
        <w:tc>
          <w:tcPr>
            <w:tcW w:w="1032" w:type="dxa"/>
            <w:noWrap/>
            <w:vAlign w:val="bottom"/>
          </w:tcPr>
          <w:p w14:paraId="4B700613" w14:textId="22F87F13" w:rsidR="006156D5" w:rsidRPr="00167A1B" w:rsidRDefault="006156D5" w:rsidP="006156D5">
            <w:pPr>
              <w:spacing w:after="0"/>
              <w:jc w:val="right"/>
              <w:rPr>
                <w:rFonts w:ascii="Trebuchet MS" w:hAnsi="Trebuchet MS"/>
                <w:color w:val="006100"/>
                <w:sz w:val="16"/>
                <w:szCs w:val="16"/>
              </w:rPr>
            </w:pPr>
            <w:r w:rsidRPr="00167A1B">
              <w:rPr>
                <w:rFonts w:ascii="Trebuchet MS" w:hAnsi="Trebuchet MS"/>
                <w:color w:val="006100"/>
                <w:sz w:val="16"/>
                <w:szCs w:val="16"/>
              </w:rPr>
              <w:t>16%</w:t>
            </w:r>
          </w:p>
        </w:tc>
        <w:tc>
          <w:tcPr>
            <w:tcW w:w="1032" w:type="dxa"/>
            <w:noWrap/>
            <w:vAlign w:val="bottom"/>
          </w:tcPr>
          <w:p w14:paraId="23A5F606" w14:textId="6CEBD0F0" w:rsidR="006156D5" w:rsidRPr="00167A1B" w:rsidRDefault="006156D5" w:rsidP="006156D5">
            <w:pPr>
              <w:spacing w:after="0"/>
              <w:jc w:val="right"/>
              <w:rPr>
                <w:rFonts w:ascii="Trebuchet MS" w:hAnsi="Trebuchet MS"/>
                <w:color w:val="006100"/>
                <w:sz w:val="16"/>
                <w:szCs w:val="16"/>
              </w:rPr>
            </w:pPr>
            <w:r w:rsidRPr="00167A1B">
              <w:rPr>
                <w:rFonts w:ascii="Trebuchet MS" w:hAnsi="Trebuchet MS"/>
                <w:color w:val="006100"/>
                <w:sz w:val="16"/>
                <w:szCs w:val="16"/>
              </w:rPr>
              <w:t>27%</w:t>
            </w:r>
          </w:p>
        </w:tc>
        <w:tc>
          <w:tcPr>
            <w:tcW w:w="1032" w:type="dxa"/>
            <w:noWrap/>
            <w:vAlign w:val="bottom"/>
          </w:tcPr>
          <w:p w14:paraId="30DC05F8" w14:textId="0DD89DFE" w:rsidR="006156D5" w:rsidRPr="00167A1B" w:rsidRDefault="006156D5" w:rsidP="006156D5">
            <w:pPr>
              <w:spacing w:after="0"/>
              <w:jc w:val="right"/>
              <w:rPr>
                <w:rFonts w:ascii="Trebuchet MS" w:hAnsi="Trebuchet MS"/>
                <w:color w:val="9C0006"/>
                <w:sz w:val="16"/>
                <w:szCs w:val="16"/>
              </w:rPr>
            </w:pPr>
            <w:r w:rsidRPr="00167A1B">
              <w:rPr>
                <w:rFonts w:ascii="Trebuchet MS" w:hAnsi="Trebuchet MS"/>
                <w:color w:val="9C0006"/>
                <w:sz w:val="16"/>
                <w:szCs w:val="16"/>
              </w:rPr>
              <w:t>-1%</w:t>
            </w:r>
          </w:p>
        </w:tc>
      </w:tr>
      <w:tr w:rsidR="001A56A9" w:rsidRPr="00167A1B" w14:paraId="47BD0B0B" w14:textId="77777777" w:rsidTr="00F770AB">
        <w:trPr>
          <w:trHeight w:val="270"/>
        </w:trPr>
        <w:tc>
          <w:tcPr>
            <w:tcW w:w="1838" w:type="dxa"/>
            <w:noWrap/>
          </w:tcPr>
          <w:p w14:paraId="08735AA0" w14:textId="77777777" w:rsidR="001A56A9" w:rsidRPr="00167A1B" w:rsidRDefault="001A56A9" w:rsidP="001A56A9">
            <w:pPr>
              <w:spacing w:after="0"/>
              <w:jc w:val="left"/>
              <w:rPr>
                <w:rFonts w:ascii="Trebuchet MS" w:hAnsi="Trebuchet MS"/>
                <w:b/>
                <w:bCs/>
                <w:sz w:val="16"/>
                <w:szCs w:val="16"/>
                <w:lang w:eastAsia="en-GB"/>
              </w:rPr>
            </w:pPr>
            <w:r w:rsidRPr="00167A1B">
              <w:rPr>
                <w:rFonts w:ascii="Trebuchet MS" w:hAnsi="Trebuchet MS"/>
                <w:b/>
                <w:bCs/>
                <w:sz w:val="16"/>
                <w:szCs w:val="16"/>
                <w:lang w:eastAsia="en-GB"/>
              </w:rPr>
              <w:t>Impacts on changes in competitive landscape [world / EU]</w:t>
            </w:r>
          </w:p>
        </w:tc>
        <w:tc>
          <w:tcPr>
            <w:tcW w:w="1031" w:type="dxa"/>
            <w:noWrap/>
          </w:tcPr>
          <w:p w14:paraId="4C686F2F" w14:textId="77777777" w:rsidR="001A56A9" w:rsidRPr="00167A1B" w:rsidRDefault="001A56A9" w:rsidP="001A56A9">
            <w:pPr>
              <w:pStyle w:val="ListParagraph"/>
              <w:spacing w:after="0"/>
              <w:ind w:left="122"/>
              <w:rPr>
                <w:rFonts w:ascii="Trebuchet MS" w:hAnsi="Trebuchet MS"/>
                <w:sz w:val="16"/>
                <w:szCs w:val="16"/>
                <w:lang w:eastAsia="en-GB"/>
              </w:rPr>
            </w:pPr>
          </w:p>
        </w:tc>
        <w:tc>
          <w:tcPr>
            <w:tcW w:w="1032" w:type="dxa"/>
            <w:noWrap/>
          </w:tcPr>
          <w:p w14:paraId="5D7E4DB7" w14:textId="77777777" w:rsidR="001A56A9" w:rsidRPr="00167A1B" w:rsidRDefault="001A56A9" w:rsidP="001A56A9">
            <w:pPr>
              <w:spacing w:after="0"/>
              <w:jc w:val="center"/>
              <w:rPr>
                <w:rFonts w:ascii="Trebuchet MS" w:hAnsi="Trebuchet MS"/>
                <w:color w:val="9C0006"/>
                <w:sz w:val="16"/>
                <w:szCs w:val="16"/>
                <w:lang w:eastAsia="en-GB"/>
              </w:rPr>
            </w:pPr>
            <w:r w:rsidRPr="00167A1B">
              <w:rPr>
                <w:rFonts w:ascii="Trebuchet MS" w:hAnsi="Trebuchet MS"/>
                <w:sz w:val="16"/>
                <w:szCs w:val="16"/>
                <w:lang w:eastAsia="en-GB"/>
              </w:rPr>
              <w:t>-/0</w:t>
            </w:r>
          </w:p>
        </w:tc>
        <w:tc>
          <w:tcPr>
            <w:tcW w:w="1032" w:type="dxa"/>
            <w:noWrap/>
          </w:tcPr>
          <w:p w14:paraId="5178580C"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0/0</w:t>
            </w:r>
          </w:p>
        </w:tc>
        <w:tc>
          <w:tcPr>
            <w:tcW w:w="1032" w:type="dxa"/>
            <w:noWrap/>
          </w:tcPr>
          <w:p w14:paraId="10D693C9"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noWrap/>
          </w:tcPr>
          <w:p w14:paraId="12F04E2E"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noWrap/>
          </w:tcPr>
          <w:p w14:paraId="27F3EB1E"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noWrap/>
          </w:tcPr>
          <w:p w14:paraId="538F9E69"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r>
      <w:tr w:rsidR="001A56A9" w:rsidRPr="00167A1B" w14:paraId="7F6A8A47" w14:textId="77777777" w:rsidTr="00F770AB">
        <w:trPr>
          <w:trHeight w:val="270"/>
        </w:trPr>
        <w:tc>
          <w:tcPr>
            <w:tcW w:w="1838" w:type="dxa"/>
            <w:noWrap/>
          </w:tcPr>
          <w:p w14:paraId="3A5D8A3A" w14:textId="77777777" w:rsidR="001A56A9" w:rsidRPr="00167A1B" w:rsidRDefault="001A56A9" w:rsidP="001A56A9">
            <w:pPr>
              <w:spacing w:after="0"/>
              <w:jc w:val="left"/>
              <w:rPr>
                <w:rFonts w:ascii="Trebuchet MS" w:hAnsi="Trebuchet MS"/>
                <w:b/>
                <w:bCs/>
                <w:sz w:val="16"/>
                <w:szCs w:val="16"/>
                <w:lang w:eastAsia="en-GB"/>
              </w:rPr>
            </w:pPr>
            <w:r w:rsidRPr="00167A1B">
              <w:rPr>
                <w:rFonts w:ascii="Trebuchet MS" w:hAnsi="Trebuchet MS"/>
                <w:b/>
                <w:bCs/>
                <w:sz w:val="16"/>
                <w:szCs w:val="16"/>
                <w:lang w:eastAsia="en-GB"/>
              </w:rPr>
              <w:t>Impacts on variations in income from royalties [world / EU]</w:t>
            </w:r>
          </w:p>
        </w:tc>
        <w:tc>
          <w:tcPr>
            <w:tcW w:w="1031" w:type="dxa"/>
            <w:noWrap/>
          </w:tcPr>
          <w:p w14:paraId="318C95C2" w14:textId="77777777" w:rsidR="001A56A9" w:rsidRPr="00167A1B" w:rsidRDefault="001A56A9" w:rsidP="001A56A9">
            <w:pPr>
              <w:spacing w:after="0"/>
              <w:jc w:val="center"/>
              <w:rPr>
                <w:rFonts w:ascii="Trebuchet MS" w:hAnsi="Trebuchet MS"/>
                <w:sz w:val="16"/>
                <w:szCs w:val="16"/>
                <w:lang w:eastAsia="en-GB"/>
              </w:rPr>
            </w:pPr>
          </w:p>
        </w:tc>
        <w:tc>
          <w:tcPr>
            <w:tcW w:w="1032" w:type="dxa"/>
            <w:noWrap/>
          </w:tcPr>
          <w:p w14:paraId="795A0046" w14:textId="77777777" w:rsidR="001A56A9" w:rsidRPr="00167A1B" w:rsidRDefault="001A56A9" w:rsidP="001A56A9">
            <w:pPr>
              <w:spacing w:after="0"/>
              <w:jc w:val="center"/>
              <w:rPr>
                <w:rFonts w:ascii="Trebuchet MS" w:hAnsi="Trebuchet MS"/>
                <w:color w:val="9C0006"/>
                <w:sz w:val="16"/>
                <w:szCs w:val="16"/>
                <w:lang w:eastAsia="en-GB"/>
              </w:rPr>
            </w:pPr>
            <w:r w:rsidRPr="00167A1B">
              <w:rPr>
                <w:rFonts w:ascii="Trebuchet MS" w:hAnsi="Trebuchet MS"/>
                <w:sz w:val="16"/>
                <w:szCs w:val="16"/>
                <w:lang w:eastAsia="en-GB"/>
              </w:rPr>
              <w:t>-/0</w:t>
            </w:r>
          </w:p>
        </w:tc>
        <w:tc>
          <w:tcPr>
            <w:tcW w:w="1032" w:type="dxa"/>
            <w:noWrap/>
          </w:tcPr>
          <w:p w14:paraId="0CC9849B"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0/0</w:t>
            </w:r>
          </w:p>
        </w:tc>
        <w:tc>
          <w:tcPr>
            <w:tcW w:w="1032" w:type="dxa"/>
            <w:noWrap/>
          </w:tcPr>
          <w:p w14:paraId="29F0D57F"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0/0</w:t>
            </w:r>
          </w:p>
        </w:tc>
        <w:tc>
          <w:tcPr>
            <w:tcW w:w="1032" w:type="dxa"/>
            <w:noWrap/>
          </w:tcPr>
          <w:p w14:paraId="173B42E7"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noWrap/>
          </w:tcPr>
          <w:p w14:paraId="5782629F"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noWrap/>
          </w:tcPr>
          <w:p w14:paraId="400E4B46"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r>
      <w:tr w:rsidR="001A56A9" w:rsidRPr="00167A1B" w14:paraId="60D93A25" w14:textId="77777777" w:rsidTr="00F770AB">
        <w:trPr>
          <w:trHeight w:val="270"/>
        </w:trPr>
        <w:tc>
          <w:tcPr>
            <w:tcW w:w="1838" w:type="dxa"/>
            <w:noWrap/>
          </w:tcPr>
          <w:p w14:paraId="3547BB6E" w14:textId="77777777" w:rsidR="001A56A9" w:rsidRPr="00167A1B" w:rsidRDefault="001A56A9" w:rsidP="001A56A9">
            <w:pPr>
              <w:spacing w:after="0"/>
              <w:jc w:val="left"/>
              <w:rPr>
                <w:rFonts w:ascii="Trebuchet MS" w:hAnsi="Trebuchet MS"/>
                <w:b/>
                <w:bCs/>
                <w:sz w:val="16"/>
                <w:szCs w:val="16"/>
                <w:lang w:eastAsia="en-GB"/>
              </w:rPr>
            </w:pPr>
            <w:r w:rsidRPr="00167A1B">
              <w:rPr>
                <w:rFonts w:ascii="Trebuchet MS" w:hAnsi="Trebuchet MS"/>
                <w:b/>
                <w:bCs/>
                <w:sz w:val="16"/>
                <w:szCs w:val="16"/>
                <w:lang w:eastAsia="en-GB"/>
              </w:rPr>
              <w:t>Impacts on innovation [world / EU]</w:t>
            </w:r>
          </w:p>
        </w:tc>
        <w:tc>
          <w:tcPr>
            <w:tcW w:w="1031" w:type="dxa"/>
            <w:noWrap/>
          </w:tcPr>
          <w:p w14:paraId="1BEE4BB2" w14:textId="77777777" w:rsidR="001A56A9" w:rsidRPr="00167A1B" w:rsidRDefault="001A56A9" w:rsidP="001A56A9">
            <w:pPr>
              <w:spacing w:after="0"/>
              <w:jc w:val="center"/>
              <w:rPr>
                <w:rFonts w:ascii="Trebuchet MS" w:hAnsi="Trebuchet MS"/>
                <w:sz w:val="16"/>
                <w:szCs w:val="16"/>
                <w:lang w:eastAsia="en-GB"/>
              </w:rPr>
            </w:pPr>
          </w:p>
        </w:tc>
        <w:tc>
          <w:tcPr>
            <w:tcW w:w="1032" w:type="dxa"/>
            <w:noWrap/>
          </w:tcPr>
          <w:p w14:paraId="1FDAB240" w14:textId="77777777" w:rsidR="001A56A9" w:rsidRPr="00167A1B" w:rsidRDefault="001A56A9" w:rsidP="001A56A9">
            <w:pPr>
              <w:spacing w:after="0"/>
              <w:jc w:val="center"/>
              <w:rPr>
                <w:rFonts w:ascii="Trebuchet MS" w:hAnsi="Trebuchet MS"/>
                <w:color w:val="9C0006"/>
                <w:sz w:val="16"/>
                <w:szCs w:val="16"/>
                <w:lang w:eastAsia="en-GB"/>
              </w:rPr>
            </w:pPr>
            <w:r w:rsidRPr="00167A1B">
              <w:rPr>
                <w:rFonts w:ascii="Trebuchet MS" w:hAnsi="Trebuchet MS"/>
                <w:sz w:val="16"/>
                <w:szCs w:val="16"/>
                <w:lang w:eastAsia="en-GB"/>
              </w:rPr>
              <w:t>-/0</w:t>
            </w:r>
          </w:p>
        </w:tc>
        <w:tc>
          <w:tcPr>
            <w:tcW w:w="1032" w:type="dxa"/>
            <w:noWrap/>
          </w:tcPr>
          <w:p w14:paraId="23F4F8C6"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0/0</w:t>
            </w:r>
          </w:p>
        </w:tc>
        <w:tc>
          <w:tcPr>
            <w:tcW w:w="1032" w:type="dxa"/>
            <w:noWrap/>
          </w:tcPr>
          <w:p w14:paraId="07F88E43"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noWrap/>
          </w:tcPr>
          <w:p w14:paraId="65765B02"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noWrap/>
          </w:tcPr>
          <w:p w14:paraId="088E3E30"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noWrap/>
          </w:tcPr>
          <w:p w14:paraId="53F45E79"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r>
      <w:tr w:rsidR="001A56A9" w:rsidRPr="00167A1B" w14:paraId="60DC2082" w14:textId="77777777" w:rsidTr="00F770AB">
        <w:trPr>
          <w:trHeight w:val="270"/>
        </w:trPr>
        <w:tc>
          <w:tcPr>
            <w:tcW w:w="9061" w:type="dxa"/>
            <w:gridSpan w:val="8"/>
            <w:shd w:val="clear" w:color="auto" w:fill="00B0F0"/>
            <w:noWrap/>
          </w:tcPr>
          <w:p w14:paraId="089896C1" w14:textId="63682584" w:rsidR="001A56A9" w:rsidRPr="00167A1B" w:rsidRDefault="00267046" w:rsidP="001A56A9">
            <w:pPr>
              <w:spacing w:after="0"/>
              <w:jc w:val="left"/>
              <w:rPr>
                <w:rFonts w:ascii="Trebuchet MS" w:hAnsi="Trebuchet MS"/>
                <w:sz w:val="16"/>
                <w:szCs w:val="16"/>
                <w:lang w:eastAsia="en-GB"/>
              </w:rPr>
            </w:pPr>
            <w:r w:rsidRPr="00167A1B">
              <w:rPr>
                <w:rFonts w:ascii="Trebuchet MS" w:hAnsi="Trebuchet MS"/>
                <w:b/>
                <w:bCs/>
                <w:color w:val="FFFFFF" w:themeColor="background1"/>
                <w:sz w:val="16"/>
                <w:szCs w:val="16"/>
                <w:lang w:eastAsia="en-GB"/>
              </w:rPr>
              <w:t>Other economic costs</w:t>
            </w:r>
          </w:p>
        </w:tc>
      </w:tr>
      <w:tr w:rsidR="001A56A9" w:rsidRPr="00167A1B" w14:paraId="3AAFE627" w14:textId="77777777" w:rsidTr="00F770AB">
        <w:trPr>
          <w:trHeight w:val="270"/>
        </w:trPr>
        <w:tc>
          <w:tcPr>
            <w:tcW w:w="1838" w:type="dxa"/>
            <w:shd w:val="clear" w:color="auto" w:fill="F2F2F2" w:themeFill="background1" w:themeFillShade="F2"/>
            <w:noWrap/>
          </w:tcPr>
          <w:p w14:paraId="77D8167B" w14:textId="77777777" w:rsidR="001A56A9" w:rsidRPr="00167A1B" w:rsidRDefault="001A56A9" w:rsidP="001A56A9">
            <w:pPr>
              <w:spacing w:after="0"/>
              <w:jc w:val="left"/>
              <w:rPr>
                <w:rFonts w:ascii="Trebuchet MS" w:hAnsi="Trebuchet MS"/>
                <w:sz w:val="16"/>
                <w:szCs w:val="16"/>
                <w:lang w:eastAsia="en-GB"/>
              </w:rPr>
            </w:pPr>
            <w:r w:rsidRPr="00167A1B">
              <w:rPr>
                <w:rFonts w:ascii="Trebuchet MS" w:hAnsi="Trebuchet MS"/>
                <w:sz w:val="16"/>
                <w:szCs w:val="16"/>
                <w:lang w:eastAsia="en-GB"/>
              </w:rPr>
              <w:t xml:space="preserve">Operating </w:t>
            </w:r>
            <w:proofErr w:type="gramStart"/>
            <w:r w:rsidRPr="00167A1B">
              <w:rPr>
                <w:rFonts w:ascii="Trebuchet MS" w:hAnsi="Trebuchet MS"/>
                <w:sz w:val="16"/>
                <w:szCs w:val="16"/>
                <w:lang w:eastAsia="en-GB"/>
              </w:rPr>
              <w:t>costs  [</w:t>
            </w:r>
            <w:proofErr w:type="gramEnd"/>
            <w:r w:rsidRPr="00167A1B">
              <w:rPr>
                <w:rFonts w:ascii="Trebuchet MS" w:hAnsi="Trebuchet MS"/>
                <w:sz w:val="16"/>
                <w:szCs w:val="16"/>
                <w:lang w:eastAsia="en-GB"/>
              </w:rPr>
              <w:t>world / EU]</w:t>
            </w:r>
          </w:p>
        </w:tc>
        <w:tc>
          <w:tcPr>
            <w:tcW w:w="1031" w:type="dxa"/>
            <w:noWrap/>
          </w:tcPr>
          <w:p w14:paraId="37E3652B" w14:textId="77777777" w:rsidR="001A56A9" w:rsidRPr="00167A1B" w:rsidRDefault="001A56A9" w:rsidP="001A56A9">
            <w:pPr>
              <w:spacing w:after="0"/>
              <w:jc w:val="center"/>
              <w:rPr>
                <w:rFonts w:ascii="Trebuchet MS" w:hAnsi="Trebuchet MS"/>
                <w:sz w:val="16"/>
                <w:szCs w:val="16"/>
                <w:lang w:eastAsia="en-GB"/>
              </w:rPr>
            </w:pPr>
          </w:p>
        </w:tc>
        <w:tc>
          <w:tcPr>
            <w:tcW w:w="1032" w:type="dxa"/>
            <w:noWrap/>
          </w:tcPr>
          <w:p w14:paraId="29ACFF75"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noWrap/>
          </w:tcPr>
          <w:p w14:paraId="6CD1075D"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w:t>
            </w:r>
          </w:p>
        </w:tc>
        <w:tc>
          <w:tcPr>
            <w:tcW w:w="1032" w:type="dxa"/>
            <w:noWrap/>
          </w:tcPr>
          <w:p w14:paraId="2A146F27"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noWrap/>
          </w:tcPr>
          <w:p w14:paraId="6CF8E217"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w:t>
            </w:r>
          </w:p>
        </w:tc>
        <w:tc>
          <w:tcPr>
            <w:tcW w:w="1032" w:type="dxa"/>
            <w:noWrap/>
          </w:tcPr>
          <w:p w14:paraId="23066BAB"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w:t>
            </w:r>
          </w:p>
        </w:tc>
        <w:tc>
          <w:tcPr>
            <w:tcW w:w="1032" w:type="dxa"/>
            <w:noWrap/>
          </w:tcPr>
          <w:p w14:paraId="485D3465"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w:t>
            </w:r>
          </w:p>
        </w:tc>
      </w:tr>
      <w:tr w:rsidR="001A56A9" w:rsidRPr="00167A1B" w14:paraId="188C9EE4" w14:textId="77777777" w:rsidTr="00F770AB">
        <w:trPr>
          <w:trHeight w:val="270"/>
        </w:trPr>
        <w:tc>
          <w:tcPr>
            <w:tcW w:w="1838" w:type="dxa"/>
            <w:shd w:val="clear" w:color="auto" w:fill="F2F2F2" w:themeFill="background1" w:themeFillShade="F2"/>
            <w:noWrap/>
          </w:tcPr>
          <w:p w14:paraId="091D2962" w14:textId="77777777" w:rsidR="001A56A9" w:rsidRPr="00167A1B" w:rsidRDefault="001A56A9" w:rsidP="001A56A9">
            <w:pPr>
              <w:spacing w:after="0"/>
              <w:jc w:val="left"/>
              <w:rPr>
                <w:rFonts w:ascii="Trebuchet MS" w:hAnsi="Trebuchet MS"/>
                <w:sz w:val="16"/>
                <w:szCs w:val="16"/>
                <w:lang w:eastAsia="en-GB"/>
              </w:rPr>
            </w:pPr>
            <w:r w:rsidRPr="00167A1B">
              <w:rPr>
                <w:rFonts w:ascii="Trebuchet MS" w:hAnsi="Trebuchet MS"/>
                <w:sz w:val="16"/>
                <w:szCs w:val="16"/>
                <w:lang w:eastAsia="en-GB"/>
              </w:rPr>
              <w:t xml:space="preserve">Compliance </w:t>
            </w:r>
            <w:proofErr w:type="gramStart"/>
            <w:r w:rsidRPr="00167A1B">
              <w:rPr>
                <w:rFonts w:ascii="Trebuchet MS" w:hAnsi="Trebuchet MS"/>
                <w:sz w:val="16"/>
                <w:szCs w:val="16"/>
                <w:lang w:eastAsia="en-GB"/>
              </w:rPr>
              <w:t>costs  [</w:t>
            </w:r>
            <w:proofErr w:type="gramEnd"/>
            <w:r w:rsidRPr="00167A1B">
              <w:rPr>
                <w:rFonts w:ascii="Trebuchet MS" w:hAnsi="Trebuchet MS"/>
                <w:sz w:val="16"/>
                <w:szCs w:val="16"/>
                <w:lang w:eastAsia="en-GB"/>
              </w:rPr>
              <w:t>world / EU]</w:t>
            </w:r>
          </w:p>
        </w:tc>
        <w:tc>
          <w:tcPr>
            <w:tcW w:w="1031" w:type="dxa"/>
            <w:noWrap/>
          </w:tcPr>
          <w:p w14:paraId="3EC94575" w14:textId="77777777" w:rsidR="001A56A9" w:rsidRPr="00167A1B" w:rsidRDefault="001A56A9" w:rsidP="001A56A9">
            <w:pPr>
              <w:spacing w:after="0"/>
              <w:jc w:val="center"/>
              <w:rPr>
                <w:rFonts w:ascii="Trebuchet MS" w:hAnsi="Trebuchet MS"/>
                <w:sz w:val="16"/>
                <w:szCs w:val="16"/>
                <w:lang w:eastAsia="en-GB"/>
              </w:rPr>
            </w:pPr>
          </w:p>
        </w:tc>
        <w:tc>
          <w:tcPr>
            <w:tcW w:w="1032" w:type="dxa"/>
            <w:noWrap/>
          </w:tcPr>
          <w:p w14:paraId="4A7A5D77"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0/0</w:t>
            </w:r>
          </w:p>
        </w:tc>
        <w:tc>
          <w:tcPr>
            <w:tcW w:w="1032" w:type="dxa"/>
            <w:noWrap/>
          </w:tcPr>
          <w:p w14:paraId="53606E67"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0/0</w:t>
            </w:r>
          </w:p>
        </w:tc>
        <w:tc>
          <w:tcPr>
            <w:tcW w:w="1032" w:type="dxa"/>
            <w:noWrap/>
          </w:tcPr>
          <w:p w14:paraId="35784CE5"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w:t>
            </w:r>
          </w:p>
        </w:tc>
        <w:tc>
          <w:tcPr>
            <w:tcW w:w="1032" w:type="dxa"/>
            <w:noWrap/>
          </w:tcPr>
          <w:p w14:paraId="632AC11C"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0/0</w:t>
            </w:r>
          </w:p>
        </w:tc>
        <w:tc>
          <w:tcPr>
            <w:tcW w:w="1032" w:type="dxa"/>
            <w:noWrap/>
          </w:tcPr>
          <w:p w14:paraId="7A3F39CB"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0/0</w:t>
            </w:r>
          </w:p>
        </w:tc>
        <w:tc>
          <w:tcPr>
            <w:tcW w:w="1032" w:type="dxa"/>
            <w:noWrap/>
          </w:tcPr>
          <w:p w14:paraId="66990CCA"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0/0</w:t>
            </w:r>
          </w:p>
        </w:tc>
      </w:tr>
      <w:tr w:rsidR="00F770AB" w:rsidRPr="00167A1B" w14:paraId="1249D3CD" w14:textId="77777777" w:rsidTr="00F770AB">
        <w:trPr>
          <w:trHeight w:val="270"/>
        </w:trPr>
        <w:tc>
          <w:tcPr>
            <w:tcW w:w="1838" w:type="dxa"/>
            <w:shd w:val="clear" w:color="auto" w:fill="F2F2F2" w:themeFill="background1" w:themeFillShade="F2"/>
            <w:noWrap/>
          </w:tcPr>
          <w:p w14:paraId="6F104C3A" w14:textId="77777777" w:rsidR="001A56A9" w:rsidRPr="00167A1B" w:rsidRDefault="001A56A9" w:rsidP="001A56A9">
            <w:pPr>
              <w:spacing w:after="0"/>
              <w:jc w:val="left"/>
              <w:rPr>
                <w:rFonts w:ascii="Trebuchet MS" w:hAnsi="Trebuchet MS"/>
                <w:sz w:val="16"/>
                <w:szCs w:val="16"/>
                <w:lang w:eastAsia="en-GB"/>
              </w:rPr>
            </w:pPr>
            <w:r w:rsidRPr="00167A1B">
              <w:rPr>
                <w:rFonts w:ascii="Trebuchet MS" w:hAnsi="Trebuchet MS"/>
                <w:sz w:val="16"/>
                <w:szCs w:val="16"/>
                <w:lang w:eastAsia="en-GB"/>
              </w:rPr>
              <w:t>Costs to public authorities</w:t>
            </w:r>
          </w:p>
        </w:tc>
        <w:tc>
          <w:tcPr>
            <w:tcW w:w="1031" w:type="dxa"/>
            <w:shd w:val="clear" w:color="auto" w:fill="F2F2F2" w:themeFill="background1" w:themeFillShade="F2"/>
            <w:noWrap/>
          </w:tcPr>
          <w:p w14:paraId="5F494AE0" w14:textId="77777777" w:rsidR="001A56A9" w:rsidRPr="00167A1B" w:rsidRDefault="001A56A9" w:rsidP="001A56A9">
            <w:pPr>
              <w:spacing w:after="0"/>
              <w:jc w:val="center"/>
              <w:rPr>
                <w:rFonts w:ascii="Trebuchet MS" w:hAnsi="Trebuchet MS"/>
                <w:sz w:val="16"/>
                <w:szCs w:val="16"/>
                <w:lang w:eastAsia="en-GB"/>
              </w:rPr>
            </w:pPr>
          </w:p>
        </w:tc>
        <w:tc>
          <w:tcPr>
            <w:tcW w:w="1032" w:type="dxa"/>
            <w:shd w:val="clear" w:color="auto" w:fill="F2F2F2" w:themeFill="background1" w:themeFillShade="F2"/>
            <w:noWrap/>
          </w:tcPr>
          <w:p w14:paraId="19CA4C51"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shd w:val="clear" w:color="auto" w:fill="F2F2F2" w:themeFill="background1" w:themeFillShade="F2"/>
            <w:noWrap/>
          </w:tcPr>
          <w:p w14:paraId="00DE8A35"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shd w:val="clear" w:color="auto" w:fill="F2F2F2" w:themeFill="background1" w:themeFillShade="F2"/>
            <w:noWrap/>
          </w:tcPr>
          <w:p w14:paraId="7468D15E"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shd w:val="clear" w:color="auto" w:fill="F2F2F2" w:themeFill="background1" w:themeFillShade="F2"/>
            <w:noWrap/>
          </w:tcPr>
          <w:p w14:paraId="7434F33D"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shd w:val="clear" w:color="auto" w:fill="F2F2F2" w:themeFill="background1" w:themeFillShade="F2"/>
            <w:noWrap/>
          </w:tcPr>
          <w:p w14:paraId="2E646CB6"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shd w:val="clear" w:color="auto" w:fill="F2F2F2" w:themeFill="background1" w:themeFillShade="F2"/>
            <w:noWrap/>
          </w:tcPr>
          <w:p w14:paraId="5DAB5E34" w14:textId="77777777" w:rsidR="001A56A9" w:rsidRPr="00167A1B" w:rsidRDefault="001A56A9"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w:t>
            </w:r>
          </w:p>
        </w:tc>
      </w:tr>
      <w:tr w:rsidR="00267046" w:rsidRPr="00167A1B" w14:paraId="2539C8C3" w14:textId="77777777" w:rsidTr="00F770AB">
        <w:trPr>
          <w:trHeight w:val="270"/>
        </w:trPr>
        <w:tc>
          <w:tcPr>
            <w:tcW w:w="1838" w:type="dxa"/>
            <w:shd w:val="clear" w:color="auto" w:fill="F2F2F2" w:themeFill="background1" w:themeFillShade="F2"/>
            <w:noWrap/>
          </w:tcPr>
          <w:p w14:paraId="4631E8B8" w14:textId="68F6F3C8" w:rsidR="00267046" w:rsidRPr="00167A1B" w:rsidRDefault="00267046" w:rsidP="001A56A9">
            <w:pPr>
              <w:spacing w:after="0"/>
              <w:jc w:val="left"/>
              <w:rPr>
                <w:rFonts w:ascii="Trebuchet MS" w:hAnsi="Trebuchet MS"/>
                <w:sz w:val="16"/>
                <w:szCs w:val="16"/>
                <w:lang w:eastAsia="en-GB"/>
              </w:rPr>
            </w:pPr>
            <w:r w:rsidRPr="00167A1B">
              <w:rPr>
                <w:rFonts w:ascii="Trebuchet MS" w:hAnsi="Trebuchet MS"/>
                <w:sz w:val="16"/>
                <w:szCs w:val="16"/>
                <w:lang w:eastAsia="en-GB"/>
              </w:rPr>
              <w:t>Impacts for SMEs</w:t>
            </w:r>
          </w:p>
        </w:tc>
        <w:tc>
          <w:tcPr>
            <w:tcW w:w="1031" w:type="dxa"/>
            <w:shd w:val="clear" w:color="auto" w:fill="F2F2F2" w:themeFill="background1" w:themeFillShade="F2"/>
            <w:noWrap/>
          </w:tcPr>
          <w:p w14:paraId="03B9B5A9" w14:textId="4F7792B5" w:rsidR="00267046" w:rsidRPr="00167A1B" w:rsidRDefault="00267046" w:rsidP="001A56A9">
            <w:pPr>
              <w:spacing w:after="0"/>
              <w:jc w:val="center"/>
              <w:rPr>
                <w:rFonts w:ascii="Trebuchet MS" w:hAnsi="Trebuchet MS"/>
                <w:sz w:val="16"/>
                <w:szCs w:val="16"/>
                <w:lang w:eastAsia="en-GB"/>
              </w:rPr>
            </w:pPr>
          </w:p>
        </w:tc>
        <w:tc>
          <w:tcPr>
            <w:tcW w:w="1032" w:type="dxa"/>
            <w:shd w:val="clear" w:color="auto" w:fill="F2F2F2" w:themeFill="background1" w:themeFillShade="F2"/>
            <w:noWrap/>
          </w:tcPr>
          <w:p w14:paraId="067ACD92" w14:textId="2E2CC105" w:rsidR="00267046" w:rsidRPr="00167A1B" w:rsidRDefault="00267046"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w:t>
            </w:r>
          </w:p>
        </w:tc>
        <w:tc>
          <w:tcPr>
            <w:tcW w:w="1032" w:type="dxa"/>
            <w:shd w:val="clear" w:color="auto" w:fill="F2F2F2" w:themeFill="background1" w:themeFillShade="F2"/>
            <w:noWrap/>
          </w:tcPr>
          <w:p w14:paraId="302CFDDB" w14:textId="3D3C6A6A" w:rsidR="00267046" w:rsidRPr="00167A1B" w:rsidRDefault="00267046"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w:t>
            </w:r>
          </w:p>
        </w:tc>
        <w:tc>
          <w:tcPr>
            <w:tcW w:w="1032" w:type="dxa"/>
            <w:shd w:val="clear" w:color="auto" w:fill="F2F2F2" w:themeFill="background1" w:themeFillShade="F2"/>
            <w:noWrap/>
          </w:tcPr>
          <w:p w14:paraId="49138DA7" w14:textId="26A78555" w:rsidR="00267046" w:rsidRPr="00167A1B" w:rsidRDefault="00A6138C"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shd w:val="clear" w:color="auto" w:fill="F2F2F2" w:themeFill="background1" w:themeFillShade="F2"/>
            <w:noWrap/>
          </w:tcPr>
          <w:p w14:paraId="0E2E2A5F" w14:textId="79C7B5CF" w:rsidR="00267046" w:rsidRPr="00167A1B" w:rsidRDefault="00A6138C"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shd w:val="clear" w:color="auto" w:fill="F2F2F2" w:themeFill="background1" w:themeFillShade="F2"/>
            <w:noWrap/>
          </w:tcPr>
          <w:p w14:paraId="1C1C24CD" w14:textId="7D96AFEB" w:rsidR="00267046" w:rsidRPr="00167A1B" w:rsidRDefault="00A6138C"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c>
          <w:tcPr>
            <w:tcW w:w="1032" w:type="dxa"/>
            <w:shd w:val="clear" w:color="auto" w:fill="F2F2F2" w:themeFill="background1" w:themeFillShade="F2"/>
            <w:noWrap/>
          </w:tcPr>
          <w:p w14:paraId="7EBC9F57" w14:textId="18E7D5F7" w:rsidR="00267046" w:rsidRPr="00167A1B" w:rsidRDefault="00A6138C" w:rsidP="001A56A9">
            <w:pPr>
              <w:spacing w:after="0"/>
              <w:jc w:val="center"/>
              <w:rPr>
                <w:rFonts w:ascii="Trebuchet MS" w:hAnsi="Trebuchet MS"/>
                <w:sz w:val="16"/>
                <w:szCs w:val="16"/>
                <w:lang w:eastAsia="en-GB"/>
              </w:rPr>
            </w:pPr>
            <w:r w:rsidRPr="00167A1B">
              <w:rPr>
                <w:rFonts w:ascii="Trebuchet MS" w:hAnsi="Trebuchet MS"/>
                <w:sz w:val="16"/>
                <w:szCs w:val="16"/>
                <w:lang w:eastAsia="en-GB"/>
              </w:rPr>
              <w:t>0</w:t>
            </w:r>
          </w:p>
        </w:tc>
      </w:tr>
    </w:tbl>
    <w:p w14:paraId="672A1683" w14:textId="0F7A559E" w:rsidR="00084C36" w:rsidRPr="00167A1B" w:rsidRDefault="00BC7958" w:rsidP="00084C36">
      <w:pPr>
        <w:pStyle w:val="BodyText1"/>
        <w:rPr>
          <w:noProof w:val="0"/>
        </w:rPr>
      </w:pPr>
      <w:r w:rsidRPr="00167A1B">
        <w:rPr>
          <w:b/>
          <w:noProof w:val="0"/>
          <w:sz w:val="18"/>
          <w:szCs w:val="18"/>
        </w:rPr>
        <w:t>Source:</w:t>
      </w:r>
      <w:r w:rsidRPr="00167A1B">
        <w:rPr>
          <w:noProof w:val="0"/>
          <w:sz w:val="18"/>
          <w:szCs w:val="18"/>
        </w:rPr>
        <w:t xml:space="preserve">  Own TRI-STOCK-CHARGER model calculations.</w:t>
      </w:r>
    </w:p>
    <w:p w14:paraId="54AE898A" w14:textId="77777777" w:rsidR="00084C36" w:rsidRPr="00167A1B" w:rsidRDefault="00084C36" w:rsidP="00FA3984">
      <w:pPr>
        <w:pStyle w:val="title3"/>
      </w:pPr>
      <w:bookmarkStart w:id="53" w:name="_Toc69284675"/>
      <w:r w:rsidRPr="00167A1B">
        <w:rPr>
          <w:rStyle w:val="03ASubheading2ndlevelTOCChar"/>
          <w:rFonts w:cs="Times New Roman"/>
          <w:color w:val="325BAA"/>
          <w:sz w:val="28"/>
          <w:lang w:eastAsia="en-US"/>
        </w:rPr>
        <w:t>Competitiveness of businesses (including innovation and research) and costs for consumers</w:t>
      </w:r>
      <w:bookmarkEnd w:id="53"/>
    </w:p>
    <w:p w14:paraId="46DF46D4" w14:textId="77777777" w:rsidR="00084C36" w:rsidRPr="00167A1B" w:rsidRDefault="00084C36" w:rsidP="00084C36">
      <w:pPr>
        <w:pStyle w:val="BodyText1"/>
        <w:rPr>
          <w:noProof w:val="0"/>
        </w:rPr>
      </w:pPr>
      <w:r w:rsidRPr="00167A1B">
        <w:rPr>
          <w:noProof w:val="0"/>
        </w:rPr>
        <w:t>In the baseline, convergence to standards USB PD and USB Type-C is happening naturally, facilitated by the competitive landscape in the industry: first, in high-end devices, for those consumers who can afford and prefer to pay a premium to obtain better charging characteristics, and subsequently cascading to medium and lower-end phones. Since Apple started unbundling their phones in 2020, three other companies have also announced unbundling in some of the product portfolio and/or markets, and more companies are expected to follow suit.</w:t>
      </w:r>
    </w:p>
    <w:p w14:paraId="7EAD08BB" w14:textId="77777777" w:rsidR="00084C36" w:rsidRPr="00167A1B" w:rsidRDefault="00084C36" w:rsidP="00084C36">
      <w:pPr>
        <w:pStyle w:val="BodyText1"/>
        <w:rPr>
          <w:noProof w:val="0"/>
        </w:rPr>
      </w:pPr>
      <w:r w:rsidRPr="00167A1B">
        <w:rPr>
          <w:noProof w:val="0"/>
        </w:rPr>
        <w:t>In the baseline, companies are converging towards USB PD while maintaining their proprietary charging technologies. Some firms are launching new products with higher and higher wattage, indicating they are investing in R&amp;D in charging solutions.</w:t>
      </w:r>
    </w:p>
    <w:p w14:paraId="4F34E658" w14:textId="77777777" w:rsidR="00084C36" w:rsidRPr="00167A1B" w:rsidRDefault="00084C36" w:rsidP="00084C36">
      <w:pPr>
        <w:pStyle w:val="BodyText1"/>
        <w:rPr>
          <w:noProof w:val="0"/>
        </w:rPr>
      </w:pPr>
      <w:r w:rsidRPr="00167A1B">
        <w:rPr>
          <w:noProof w:val="0"/>
        </w:rPr>
        <w:t>The remainder of this section provides a description of the likely effects of the policy options on the competitiveness of businesses, mainly:</w:t>
      </w:r>
    </w:p>
    <w:p w14:paraId="3B7593E9" w14:textId="77777777" w:rsidR="00084C36" w:rsidRPr="00167A1B" w:rsidRDefault="00084C36" w:rsidP="00084C36">
      <w:pPr>
        <w:pStyle w:val="bullet1"/>
        <w:rPr>
          <w:noProof w:val="0"/>
        </w:rPr>
      </w:pPr>
      <w:r w:rsidRPr="00167A1B">
        <w:rPr>
          <w:noProof w:val="0"/>
        </w:rPr>
        <w:t>Costs for consumers;</w:t>
      </w:r>
    </w:p>
    <w:p w14:paraId="28B83899" w14:textId="2D741A36" w:rsidR="00084C36" w:rsidRPr="00167A1B" w:rsidRDefault="00727C21" w:rsidP="00084C36">
      <w:pPr>
        <w:pStyle w:val="bullet1"/>
        <w:rPr>
          <w:noProof w:val="0"/>
        </w:rPr>
      </w:pPr>
      <w:r w:rsidRPr="00167A1B">
        <w:rPr>
          <w:noProof w:val="0"/>
        </w:rPr>
        <w:t xml:space="preserve">Gross profit </w:t>
      </w:r>
      <w:r w:rsidR="00084C36" w:rsidRPr="00167A1B">
        <w:rPr>
          <w:noProof w:val="0"/>
        </w:rPr>
        <w:t>for producers;</w:t>
      </w:r>
    </w:p>
    <w:p w14:paraId="3E600F16" w14:textId="77777777" w:rsidR="00084C36" w:rsidRPr="00167A1B" w:rsidRDefault="00084C36" w:rsidP="00084C36">
      <w:pPr>
        <w:pStyle w:val="bullet1"/>
        <w:rPr>
          <w:noProof w:val="0"/>
        </w:rPr>
      </w:pPr>
      <w:r w:rsidRPr="00167A1B">
        <w:rPr>
          <w:noProof w:val="0"/>
        </w:rPr>
        <w:t>Changes in the competitive landscape;</w:t>
      </w:r>
    </w:p>
    <w:p w14:paraId="062FA01A" w14:textId="77777777" w:rsidR="00084C36" w:rsidRPr="00167A1B" w:rsidRDefault="00084C36" w:rsidP="00084C36">
      <w:pPr>
        <w:pStyle w:val="bullet1"/>
        <w:rPr>
          <w:noProof w:val="0"/>
        </w:rPr>
      </w:pPr>
      <w:r w:rsidRPr="00167A1B">
        <w:rPr>
          <w:noProof w:val="0"/>
        </w:rPr>
        <w:t>Variations in income from royalties; and</w:t>
      </w:r>
    </w:p>
    <w:p w14:paraId="6C1DC881" w14:textId="77777777" w:rsidR="00084C36" w:rsidRPr="00167A1B" w:rsidRDefault="00084C36" w:rsidP="00084C36">
      <w:pPr>
        <w:pStyle w:val="bullet1"/>
        <w:rPr>
          <w:noProof w:val="0"/>
        </w:rPr>
      </w:pPr>
      <w:r w:rsidRPr="00167A1B">
        <w:rPr>
          <w:noProof w:val="0"/>
        </w:rPr>
        <w:t>Impacts on innovation.</w:t>
      </w:r>
    </w:p>
    <w:p w14:paraId="4DA1EC82" w14:textId="77777777" w:rsidR="00084C36" w:rsidRPr="00167A1B" w:rsidRDefault="00084C36" w:rsidP="00084C36">
      <w:pPr>
        <w:pStyle w:val="04ABodyText"/>
        <w:numPr>
          <w:ilvl w:val="0"/>
          <w:numId w:val="0"/>
        </w:numPr>
      </w:pPr>
    </w:p>
    <w:p w14:paraId="57FB0394" w14:textId="1B18E3A1" w:rsidR="00084C36" w:rsidRPr="00167A1B" w:rsidRDefault="00084C36" w:rsidP="00084C36">
      <w:pPr>
        <w:pStyle w:val="Subtitle10"/>
        <w:rPr>
          <w:noProof w:val="0"/>
        </w:rPr>
      </w:pPr>
      <w:r w:rsidRPr="00167A1B">
        <w:rPr>
          <w:noProof w:val="0"/>
        </w:rPr>
        <w:t>Option 1</w:t>
      </w:r>
      <w:r w:rsidR="00136AB3" w:rsidRPr="00167A1B">
        <w:rPr>
          <w:noProof w:val="0"/>
        </w:rPr>
        <w:t>: Harmonise connectors on mobile phones</w:t>
      </w:r>
    </w:p>
    <w:p w14:paraId="047ED68E" w14:textId="60456B82" w:rsidR="00272D69" w:rsidRPr="00167A1B" w:rsidRDefault="00272D69" w:rsidP="00084C36">
      <w:pPr>
        <w:pStyle w:val="BodyText1"/>
        <w:rPr>
          <w:b/>
          <w:bCs/>
          <w:noProof w:val="0"/>
        </w:rPr>
      </w:pPr>
      <w:r w:rsidRPr="00167A1B">
        <w:rPr>
          <w:b/>
          <w:bCs/>
          <w:noProof w:val="0"/>
        </w:rPr>
        <w:t>Costs for consumers</w:t>
      </w:r>
    </w:p>
    <w:p w14:paraId="53C52220" w14:textId="2A0E5FD2" w:rsidR="00084C36" w:rsidRPr="00167A1B" w:rsidRDefault="00084C36" w:rsidP="00084C36">
      <w:pPr>
        <w:pStyle w:val="BodyText1"/>
        <w:rPr>
          <w:noProof w:val="0"/>
        </w:rPr>
      </w:pPr>
      <w:r w:rsidRPr="00167A1B">
        <w:rPr>
          <w:noProof w:val="0"/>
        </w:rPr>
        <w:t>Under option 1, the price that consumers pay for the charger they acquire decreases</w:t>
      </w:r>
      <w:r w:rsidR="00B13042" w:rsidRPr="00167A1B">
        <w:rPr>
          <w:noProof w:val="0"/>
        </w:rPr>
        <w:t xml:space="preserve"> by 8.4% (see </w:t>
      </w:r>
      <w:r w:rsidR="00B13042" w:rsidRPr="00167A1B">
        <w:rPr>
          <w:noProof w:val="0"/>
        </w:rPr>
        <w:fldChar w:fldCharType="begin"/>
      </w:r>
      <w:r w:rsidR="00B13042" w:rsidRPr="00167A1B">
        <w:rPr>
          <w:noProof w:val="0"/>
        </w:rPr>
        <w:instrText xml:space="preserve"> REF _Ref71618964 \h </w:instrText>
      </w:r>
      <w:r w:rsidR="00B13042" w:rsidRPr="00167A1B">
        <w:rPr>
          <w:noProof w:val="0"/>
        </w:rPr>
      </w:r>
      <w:r w:rsidR="00B13042" w:rsidRPr="00167A1B">
        <w:rPr>
          <w:noProof w:val="0"/>
        </w:rPr>
        <w:fldChar w:fldCharType="separate"/>
      </w:r>
      <w:r w:rsidR="00B13042" w:rsidRPr="00167A1B">
        <w:rPr>
          <w:noProof w:val="0"/>
        </w:rPr>
        <w:t>Table 10</w:t>
      </w:r>
      <w:r w:rsidR="00B13042" w:rsidRPr="00167A1B">
        <w:rPr>
          <w:noProof w:val="0"/>
        </w:rPr>
        <w:fldChar w:fldCharType="end"/>
      </w:r>
      <w:r w:rsidR="00B13042" w:rsidRPr="00167A1B">
        <w:rPr>
          <w:noProof w:val="0"/>
        </w:rPr>
        <w:t>)</w:t>
      </w:r>
      <w:r w:rsidRPr="00167A1B">
        <w:rPr>
          <w:noProof w:val="0"/>
        </w:rPr>
        <w:t>. This is the product of the following effects:</w:t>
      </w:r>
    </w:p>
    <w:p w14:paraId="4CBB0BE7" w14:textId="04619B82" w:rsidR="00084C36" w:rsidRPr="00167A1B" w:rsidRDefault="00084C36" w:rsidP="00827359">
      <w:pPr>
        <w:pStyle w:val="BodyText1"/>
        <w:numPr>
          <w:ilvl w:val="0"/>
          <w:numId w:val="41"/>
        </w:numPr>
        <w:rPr>
          <w:noProof w:val="0"/>
        </w:rPr>
      </w:pPr>
      <w:r w:rsidRPr="00167A1B">
        <w:rPr>
          <w:noProof w:val="0"/>
        </w:rPr>
        <w:t xml:space="preserve">All mobile phones would have USB Type-C connectors, and therefore the cables sold in the box would also have a USB Type-C connector at the device end. This option would rule out Lightning connectors (more expensive than USB Type-C) and USB micro-B (cheaper than USB Type-C). Removing Lightning cables gives a substantive </w:t>
      </w:r>
      <w:r w:rsidRPr="00167A1B">
        <w:rPr>
          <w:noProof w:val="0"/>
        </w:rPr>
        <w:lastRenderedPageBreak/>
        <w:t xml:space="preserve">economic gain to consumers. USB micro-B, on the other hand, is being </w:t>
      </w:r>
      <w:r w:rsidR="00167A1B" w:rsidRPr="00167A1B">
        <w:rPr>
          <w:noProof w:val="0"/>
        </w:rPr>
        <w:t>superseded</w:t>
      </w:r>
      <w:r w:rsidRPr="00167A1B">
        <w:rPr>
          <w:noProof w:val="0"/>
        </w:rPr>
        <w:t xml:space="preserve"> in the baseline by USB Type-C, and therefore the increase in cost of this effect is minor.</w:t>
      </w:r>
    </w:p>
    <w:p w14:paraId="3EC4746F" w14:textId="5A1E5A9D" w:rsidR="00084C36" w:rsidRPr="00167A1B" w:rsidRDefault="00084C36" w:rsidP="00827359">
      <w:pPr>
        <w:pStyle w:val="BodyText1"/>
        <w:numPr>
          <w:ilvl w:val="0"/>
          <w:numId w:val="41"/>
        </w:numPr>
        <w:rPr>
          <w:noProof w:val="0"/>
        </w:rPr>
      </w:pPr>
      <w:r w:rsidRPr="00167A1B">
        <w:rPr>
          <w:bCs/>
          <w:noProof w:val="0"/>
        </w:rPr>
        <w:t>Reduction in number of chargers sold</w:t>
      </w:r>
      <w:r w:rsidRPr="00167A1B">
        <w:rPr>
          <w:b/>
          <w:noProof w:val="0"/>
        </w:rPr>
        <w:t xml:space="preserve">: </w:t>
      </w:r>
      <w:r w:rsidRPr="00167A1B">
        <w:rPr>
          <w:noProof w:val="0"/>
        </w:rPr>
        <w:t>According to the data from the consumer survey, Lightning cables break more frequently than standard USB cables, and consumers buy, on average, more stand-alone Lightning cables than USB cables.</w:t>
      </w:r>
      <w:r w:rsidRPr="00167A1B">
        <w:rPr>
          <w:rStyle w:val="FootnoteReference"/>
          <w:bCs/>
          <w:noProof w:val="0"/>
        </w:rPr>
        <w:footnoteReference w:id="106"/>
      </w:r>
      <w:r w:rsidRPr="00167A1B">
        <w:rPr>
          <w:noProof w:val="0"/>
        </w:rPr>
        <w:t xml:space="preserve"> The harmonisation towards USB Type-C can therefore be expected to generate a (small) reduction in the number of stand-alone cables bought, which in turn lead</w:t>
      </w:r>
      <w:r w:rsidR="00727C21" w:rsidRPr="00167A1B">
        <w:rPr>
          <w:noProof w:val="0"/>
        </w:rPr>
        <w:t>s</w:t>
      </w:r>
      <w:r w:rsidRPr="00167A1B">
        <w:rPr>
          <w:noProof w:val="0"/>
        </w:rPr>
        <w:t xml:space="preserve"> to savings for consumers.</w:t>
      </w:r>
      <w:r w:rsidR="00B13042" w:rsidRPr="00167A1B">
        <w:rPr>
          <w:rStyle w:val="FootnoteReference"/>
          <w:noProof w:val="0"/>
        </w:rPr>
        <w:footnoteReference w:id="107"/>
      </w:r>
      <w:r w:rsidRPr="00167A1B">
        <w:rPr>
          <w:noProof w:val="0"/>
        </w:rPr>
        <w:t xml:space="preserve"> </w:t>
      </w:r>
    </w:p>
    <w:p w14:paraId="6DD26302" w14:textId="2A925292" w:rsidR="00272D69" w:rsidRPr="00167A1B" w:rsidRDefault="00272D69" w:rsidP="00084C36">
      <w:pPr>
        <w:pStyle w:val="BodyText1"/>
        <w:rPr>
          <w:b/>
          <w:bCs/>
          <w:noProof w:val="0"/>
        </w:rPr>
      </w:pPr>
      <w:r w:rsidRPr="00167A1B">
        <w:rPr>
          <w:b/>
          <w:bCs/>
          <w:noProof w:val="0"/>
        </w:rPr>
        <w:t xml:space="preserve">Impacts on </w:t>
      </w:r>
      <w:r w:rsidR="000F5CDF" w:rsidRPr="00167A1B">
        <w:rPr>
          <w:b/>
          <w:bCs/>
          <w:noProof w:val="0"/>
        </w:rPr>
        <w:t>competitiveness</w:t>
      </w:r>
    </w:p>
    <w:p w14:paraId="4CE8F223" w14:textId="7376E124" w:rsidR="00A6473B" w:rsidRPr="00167A1B" w:rsidRDefault="00511437" w:rsidP="00084C36">
      <w:pPr>
        <w:pStyle w:val="BodyText1"/>
        <w:rPr>
          <w:noProof w:val="0"/>
        </w:rPr>
      </w:pPr>
      <w:r w:rsidRPr="00167A1B">
        <w:rPr>
          <w:noProof w:val="0"/>
        </w:rPr>
        <w:t xml:space="preserve">In this option, consumers pay less for the chargers they acquire, which means the profits for manufacturers decrease. The </w:t>
      </w:r>
      <w:r w:rsidRPr="00167A1B">
        <w:rPr>
          <w:b/>
          <w:bCs/>
          <w:noProof w:val="0"/>
        </w:rPr>
        <w:t>most affected manufacturers</w:t>
      </w:r>
      <w:r w:rsidRPr="00167A1B">
        <w:rPr>
          <w:noProof w:val="0"/>
        </w:rPr>
        <w:t xml:space="preserve"> are Apple and their supply chain. </w:t>
      </w:r>
      <w:r w:rsidR="00A6473B" w:rsidRPr="00167A1B">
        <w:rPr>
          <w:noProof w:val="0"/>
        </w:rPr>
        <w:t>The table below summarises the impacts on competitiveness of Policy Option 1 per type of stakeholder.</w:t>
      </w:r>
    </w:p>
    <w:p w14:paraId="37974CD6" w14:textId="5F7C6E0E" w:rsidR="00A6473B" w:rsidRPr="00167A1B" w:rsidRDefault="00A6473B" w:rsidP="00303E27">
      <w:pPr>
        <w:pStyle w:val="Caption"/>
      </w:pPr>
      <w:r w:rsidRPr="00167A1B">
        <w:t xml:space="preserve">Table </w:t>
      </w:r>
      <w:r w:rsidRPr="00167A1B">
        <w:fldChar w:fldCharType="begin"/>
      </w:r>
      <w:r w:rsidRPr="00167A1B">
        <w:instrText xml:space="preserve"> SEQ Table \* ARABIC </w:instrText>
      </w:r>
      <w:r w:rsidRPr="00167A1B">
        <w:fldChar w:fldCharType="separate"/>
      </w:r>
      <w:r w:rsidR="00953106" w:rsidRPr="00167A1B">
        <w:t>13</w:t>
      </w:r>
      <w:r w:rsidRPr="00167A1B">
        <w:fldChar w:fldCharType="end"/>
      </w:r>
      <w:r w:rsidRPr="00167A1B">
        <w:t xml:space="preserve">: Impacts on </w:t>
      </w:r>
      <w:r w:rsidR="00167A1B" w:rsidRPr="00167A1B">
        <w:t>competitiveness</w:t>
      </w:r>
      <w:r w:rsidRPr="00167A1B">
        <w:t xml:space="preserve"> of policy option 1 per type of stakeholder</w:t>
      </w:r>
    </w:p>
    <w:tbl>
      <w:tblPr>
        <w:tblStyle w:val="TableGrid"/>
        <w:tblW w:w="0" w:type="auto"/>
        <w:tblCellMar>
          <w:top w:w="57" w:type="dxa"/>
          <w:bottom w:w="57" w:type="dxa"/>
        </w:tblCellMar>
        <w:tblLook w:val="04A0" w:firstRow="1" w:lastRow="0" w:firstColumn="1" w:lastColumn="0" w:noHBand="0" w:noVBand="1"/>
      </w:tblPr>
      <w:tblGrid>
        <w:gridCol w:w="1707"/>
        <w:gridCol w:w="2120"/>
        <w:gridCol w:w="2519"/>
        <w:gridCol w:w="2715"/>
      </w:tblGrid>
      <w:tr w:rsidR="000A718B" w:rsidRPr="00167A1B" w14:paraId="4E3B1E46" w14:textId="4AB4EB7D" w:rsidTr="00860C7C">
        <w:trPr>
          <w:cnfStyle w:val="100000000000" w:firstRow="1" w:lastRow="0" w:firstColumn="0" w:lastColumn="0" w:oddVBand="0" w:evenVBand="0" w:oddHBand="0" w:evenHBand="0" w:firstRowFirstColumn="0" w:firstRowLastColumn="0" w:lastRowFirstColumn="0" w:lastRowLastColumn="0"/>
          <w:trHeight w:val="675"/>
          <w:tblHeader/>
        </w:trPr>
        <w:tc>
          <w:tcPr>
            <w:tcW w:w="0" w:type="auto"/>
            <w:shd w:val="clear" w:color="auto" w:fill="0C4DA2" w:themeFill="text2"/>
          </w:tcPr>
          <w:p w14:paraId="0390C629" w14:textId="77777777" w:rsidR="00A6473B" w:rsidRPr="00167A1B" w:rsidRDefault="00A6473B" w:rsidP="00A6473B">
            <w:pPr>
              <w:pStyle w:val="Body"/>
              <w:numPr>
                <w:ilvl w:val="0"/>
                <w:numId w:val="0"/>
              </w:numPr>
              <w:jc w:val="left"/>
              <w:rPr>
                <w:rFonts w:asciiTheme="majorHAnsi" w:hAnsiTheme="majorHAnsi" w:cstheme="majorHAnsi"/>
                <w:b/>
                <w:lang w:val="en-GB"/>
              </w:rPr>
            </w:pPr>
            <w:r w:rsidRPr="00167A1B">
              <w:rPr>
                <w:rFonts w:asciiTheme="majorHAnsi" w:hAnsiTheme="majorHAnsi" w:cstheme="majorHAnsi"/>
                <w:b/>
                <w:lang w:val="en-GB"/>
              </w:rPr>
              <w:t>Stakeholder</w:t>
            </w:r>
          </w:p>
        </w:tc>
        <w:tc>
          <w:tcPr>
            <w:tcW w:w="2120" w:type="dxa"/>
            <w:shd w:val="clear" w:color="auto" w:fill="0C4DA2" w:themeFill="text2"/>
          </w:tcPr>
          <w:p w14:paraId="640ECF82" w14:textId="2FF435A4" w:rsidR="00A6473B" w:rsidRPr="00167A1B" w:rsidRDefault="00727C21" w:rsidP="00A6473B">
            <w:pPr>
              <w:pStyle w:val="Body"/>
              <w:numPr>
                <w:ilvl w:val="0"/>
                <w:numId w:val="0"/>
              </w:numPr>
              <w:jc w:val="left"/>
              <w:rPr>
                <w:rFonts w:asciiTheme="majorHAnsi" w:hAnsiTheme="majorHAnsi" w:cstheme="majorHAnsi"/>
                <w:b/>
                <w:lang w:val="en-GB"/>
              </w:rPr>
            </w:pPr>
            <w:r w:rsidRPr="00167A1B">
              <w:rPr>
                <w:rFonts w:asciiTheme="majorHAnsi" w:hAnsiTheme="majorHAnsi" w:cstheme="majorHAnsi"/>
                <w:b/>
                <w:lang w:val="en-GB"/>
              </w:rPr>
              <w:t>Gross profit</w:t>
            </w:r>
          </w:p>
        </w:tc>
        <w:tc>
          <w:tcPr>
            <w:tcW w:w="2519" w:type="dxa"/>
            <w:shd w:val="clear" w:color="auto" w:fill="0C4DA2" w:themeFill="text2"/>
          </w:tcPr>
          <w:p w14:paraId="3751E720" w14:textId="7823F3CA" w:rsidR="00A6473B" w:rsidRPr="00167A1B" w:rsidRDefault="00A6473B" w:rsidP="00A6473B">
            <w:pPr>
              <w:pStyle w:val="Body"/>
              <w:numPr>
                <w:ilvl w:val="0"/>
                <w:numId w:val="0"/>
              </w:numPr>
              <w:jc w:val="left"/>
              <w:rPr>
                <w:rFonts w:asciiTheme="majorHAnsi" w:hAnsiTheme="majorHAnsi" w:cstheme="majorHAnsi"/>
                <w:b/>
                <w:lang w:val="en-GB"/>
              </w:rPr>
            </w:pPr>
            <w:r w:rsidRPr="00167A1B">
              <w:rPr>
                <w:rFonts w:asciiTheme="majorHAnsi" w:hAnsiTheme="majorHAnsi" w:cstheme="majorHAnsi"/>
                <w:b/>
                <w:lang w:val="en-GB"/>
              </w:rPr>
              <w:t>Changes in competitive landscape</w:t>
            </w:r>
          </w:p>
        </w:tc>
        <w:tc>
          <w:tcPr>
            <w:tcW w:w="0" w:type="auto"/>
            <w:shd w:val="clear" w:color="auto" w:fill="0C4DA2" w:themeFill="text2"/>
          </w:tcPr>
          <w:p w14:paraId="5C1C8C31" w14:textId="77777777" w:rsidR="00A6473B" w:rsidRPr="00167A1B" w:rsidRDefault="00A6473B" w:rsidP="00A6473B">
            <w:pPr>
              <w:pStyle w:val="Body"/>
              <w:numPr>
                <w:ilvl w:val="0"/>
                <w:numId w:val="0"/>
              </w:numPr>
              <w:jc w:val="left"/>
              <w:rPr>
                <w:rFonts w:asciiTheme="majorHAnsi" w:hAnsiTheme="majorHAnsi" w:cstheme="majorHAnsi"/>
                <w:b/>
                <w:lang w:val="en-GB"/>
              </w:rPr>
            </w:pPr>
            <w:r w:rsidRPr="00167A1B">
              <w:rPr>
                <w:rFonts w:asciiTheme="majorHAnsi" w:hAnsiTheme="majorHAnsi" w:cstheme="majorHAnsi"/>
                <w:b/>
                <w:lang w:val="en-GB"/>
              </w:rPr>
              <w:t>Variations in income from royalties</w:t>
            </w:r>
          </w:p>
        </w:tc>
      </w:tr>
      <w:tr w:rsidR="000A718B" w:rsidRPr="00167A1B" w14:paraId="4CDF3F8D" w14:textId="34054F40" w:rsidTr="00860C7C">
        <w:trPr>
          <w:trHeight w:val="780"/>
        </w:trPr>
        <w:tc>
          <w:tcPr>
            <w:tcW w:w="0" w:type="auto"/>
          </w:tcPr>
          <w:p w14:paraId="4D05418A" w14:textId="77777777" w:rsidR="00A6473B" w:rsidRPr="00167A1B" w:rsidRDefault="00A6473B" w:rsidP="00A6473B">
            <w:pPr>
              <w:pStyle w:val="Body"/>
              <w:numPr>
                <w:ilvl w:val="0"/>
                <w:numId w:val="0"/>
              </w:numPr>
              <w:jc w:val="left"/>
              <w:rPr>
                <w:rFonts w:asciiTheme="majorHAnsi" w:hAnsiTheme="majorHAnsi" w:cstheme="majorHAnsi"/>
                <w:bCs/>
                <w:lang w:val="en-GB"/>
              </w:rPr>
            </w:pPr>
            <w:r w:rsidRPr="00167A1B">
              <w:rPr>
                <w:rFonts w:asciiTheme="majorHAnsi" w:hAnsiTheme="majorHAnsi" w:cstheme="majorHAnsi"/>
                <w:bCs/>
                <w:lang w:val="en-GB"/>
              </w:rPr>
              <w:t>Manufacturers of System on a Chip (SoC)</w:t>
            </w:r>
          </w:p>
        </w:tc>
        <w:tc>
          <w:tcPr>
            <w:tcW w:w="2120" w:type="dxa"/>
          </w:tcPr>
          <w:p w14:paraId="5DB02A5D" w14:textId="2EF704CC" w:rsidR="00A6473B" w:rsidRPr="00167A1B" w:rsidRDefault="00A6473B" w:rsidP="00A6473B">
            <w:pPr>
              <w:pStyle w:val="Body"/>
              <w:numPr>
                <w:ilvl w:val="0"/>
                <w:numId w:val="0"/>
              </w:numPr>
              <w:jc w:val="left"/>
              <w:rPr>
                <w:rFonts w:asciiTheme="majorHAnsi" w:hAnsiTheme="majorHAnsi" w:cstheme="majorHAnsi"/>
                <w:lang w:val="en-GB"/>
              </w:rPr>
            </w:pPr>
            <w:r w:rsidRPr="00167A1B">
              <w:rPr>
                <w:rFonts w:asciiTheme="majorHAnsi" w:hAnsiTheme="majorHAnsi" w:cstheme="majorHAnsi"/>
                <w:lang w:val="en-GB"/>
              </w:rPr>
              <w:t>No impact</w:t>
            </w:r>
          </w:p>
        </w:tc>
        <w:tc>
          <w:tcPr>
            <w:tcW w:w="2519" w:type="dxa"/>
          </w:tcPr>
          <w:p w14:paraId="67023181" w14:textId="13026EF3" w:rsidR="00A6473B" w:rsidRPr="00167A1B" w:rsidRDefault="00A6473B" w:rsidP="00A6473B">
            <w:pPr>
              <w:pStyle w:val="Body"/>
              <w:numPr>
                <w:ilvl w:val="0"/>
                <w:numId w:val="0"/>
              </w:numPr>
              <w:jc w:val="left"/>
              <w:rPr>
                <w:rFonts w:asciiTheme="majorHAnsi" w:hAnsiTheme="majorHAnsi" w:cstheme="majorHAnsi"/>
                <w:lang w:val="en-GB"/>
              </w:rPr>
            </w:pPr>
            <w:r w:rsidRPr="00167A1B">
              <w:rPr>
                <w:rFonts w:asciiTheme="majorHAnsi" w:hAnsiTheme="majorHAnsi" w:cstheme="majorHAnsi"/>
                <w:lang w:val="en-GB"/>
              </w:rPr>
              <w:t>No impact</w:t>
            </w:r>
          </w:p>
        </w:tc>
        <w:tc>
          <w:tcPr>
            <w:tcW w:w="0" w:type="auto"/>
          </w:tcPr>
          <w:p w14:paraId="5A320B10" w14:textId="0FA74DB6" w:rsidR="00A6473B" w:rsidRPr="00167A1B" w:rsidRDefault="00A6473B" w:rsidP="00A6473B">
            <w:pPr>
              <w:pStyle w:val="Body"/>
              <w:numPr>
                <w:ilvl w:val="0"/>
                <w:numId w:val="0"/>
              </w:numPr>
              <w:jc w:val="left"/>
              <w:rPr>
                <w:rFonts w:asciiTheme="majorHAnsi" w:hAnsiTheme="majorHAnsi" w:cstheme="majorHAnsi"/>
                <w:lang w:val="en-GB"/>
              </w:rPr>
            </w:pPr>
            <w:r w:rsidRPr="00167A1B">
              <w:rPr>
                <w:rFonts w:asciiTheme="majorHAnsi" w:hAnsiTheme="majorHAnsi" w:cstheme="majorHAnsi"/>
                <w:lang w:val="en-GB"/>
              </w:rPr>
              <w:t>No impact</w:t>
            </w:r>
          </w:p>
        </w:tc>
      </w:tr>
      <w:tr w:rsidR="000A718B" w:rsidRPr="00167A1B" w14:paraId="48B7D906" w14:textId="7B085D32" w:rsidTr="00860C7C">
        <w:trPr>
          <w:trHeight w:val="450"/>
        </w:trPr>
        <w:tc>
          <w:tcPr>
            <w:tcW w:w="0" w:type="auto"/>
          </w:tcPr>
          <w:p w14:paraId="2B95DCCA" w14:textId="3476EC2E" w:rsidR="00A6473B" w:rsidRPr="00167A1B" w:rsidRDefault="00A6473B" w:rsidP="00A6473B">
            <w:pPr>
              <w:pStyle w:val="Body"/>
              <w:numPr>
                <w:ilvl w:val="0"/>
                <w:numId w:val="0"/>
              </w:numPr>
              <w:jc w:val="left"/>
              <w:rPr>
                <w:rFonts w:asciiTheme="majorHAnsi" w:hAnsiTheme="majorHAnsi" w:cstheme="majorHAnsi"/>
                <w:bCs/>
                <w:lang w:val="en-GB"/>
              </w:rPr>
            </w:pPr>
            <w:r w:rsidRPr="00167A1B">
              <w:rPr>
                <w:rFonts w:asciiTheme="majorHAnsi" w:hAnsiTheme="majorHAnsi" w:cstheme="majorHAnsi"/>
                <w:bCs/>
                <w:lang w:val="en-GB"/>
              </w:rPr>
              <w:t xml:space="preserve">Manufacturers of mobile phones </w:t>
            </w:r>
          </w:p>
        </w:tc>
        <w:tc>
          <w:tcPr>
            <w:tcW w:w="2120" w:type="dxa"/>
          </w:tcPr>
          <w:p w14:paraId="359A670E" w14:textId="77777777" w:rsidR="00A6473B" w:rsidRPr="00167A1B" w:rsidRDefault="00511437" w:rsidP="00A6473B">
            <w:pPr>
              <w:pStyle w:val="Body"/>
              <w:numPr>
                <w:ilvl w:val="0"/>
                <w:numId w:val="0"/>
              </w:numPr>
              <w:jc w:val="left"/>
              <w:rPr>
                <w:rFonts w:asciiTheme="majorHAnsi" w:hAnsiTheme="majorHAnsi" w:cstheme="majorHAnsi"/>
                <w:lang w:val="en-GB"/>
              </w:rPr>
            </w:pPr>
            <w:r w:rsidRPr="00167A1B">
              <w:rPr>
                <w:rFonts w:asciiTheme="majorHAnsi" w:hAnsiTheme="majorHAnsi" w:cstheme="majorHAnsi"/>
                <w:lang w:val="en-GB"/>
              </w:rPr>
              <w:t xml:space="preserve">This option generates a small reduction </w:t>
            </w:r>
            <w:r w:rsidR="009E1829" w:rsidRPr="00167A1B">
              <w:rPr>
                <w:rFonts w:asciiTheme="majorHAnsi" w:hAnsiTheme="majorHAnsi" w:cstheme="majorHAnsi"/>
                <w:lang w:val="en-GB"/>
              </w:rPr>
              <w:t xml:space="preserve">in </w:t>
            </w:r>
            <w:r w:rsidRPr="00167A1B">
              <w:rPr>
                <w:rFonts w:asciiTheme="majorHAnsi" w:hAnsiTheme="majorHAnsi" w:cstheme="majorHAnsi"/>
                <w:lang w:val="en-GB"/>
              </w:rPr>
              <w:t xml:space="preserve">benefits for </w:t>
            </w:r>
            <w:r w:rsidR="000D47D8" w:rsidRPr="00167A1B">
              <w:rPr>
                <w:rFonts w:asciiTheme="majorHAnsi" w:hAnsiTheme="majorHAnsi" w:cstheme="majorHAnsi"/>
                <w:lang w:val="en-GB"/>
              </w:rPr>
              <w:t>Apple due to loss of income from royalties (see column on the right in this table)</w:t>
            </w:r>
            <w:r w:rsidR="002C65E4" w:rsidRPr="00167A1B">
              <w:rPr>
                <w:rFonts w:asciiTheme="majorHAnsi" w:hAnsiTheme="majorHAnsi" w:cstheme="majorHAnsi"/>
                <w:lang w:val="en-GB"/>
              </w:rPr>
              <w:t>.</w:t>
            </w:r>
          </w:p>
          <w:p w14:paraId="2F43FFAF" w14:textId="2858750C" w:rsidR="002C65E4" w:rsidRPr="00167A1B" w:rsidRDefault="002C65E4" w:rsidP="00A6473B">
            <w:pPr>
              <w:pStyle w:val="Body"/>
              <w:numPr>
                <w:ilvl w:val="0"/>
                <w:numId w:val="0"/>
              </w:numPr>
              <w:jc w:val="left"/>
              <w:rPr>
                <w:rFonts w:asciiTheme="majorHAnsi" w:hAnsiTheme="majorHAnsi" w:cstheme="majorHAnsi"/>
                <w:lang w:val="en-GB"/>
              </w:rPr>
            </w:pPr>
            <w:r w:rsidRPr="00167A1B">
              <w:rPr>
                <w:rFonts w:asciiTheme="majorHAnsi" w:hAnsiTheme="majorHAnsi" w:cstheme="majorHAnsi"/>
                <w:lang w:val="en-GB"/>
              </w:rPr>
              <w:t>This option also increases the manufacturing cost of devices that would otherwise use USB micro-B connectors. This impact, however, is negligible (3 million EUR between 2024-2030), given that most devices in the baseline (excluding Apple’s) will already have transitioned to USB Type-C.</w:t>
            </w:r>
          </w:p>
        </w:tc>
        <w:tc>
          <w:tcPr>
            <w:tcW w:w="2519" w:type="dxa"/>
          </w:tcPr>
          <w:p w14:paraId="7643D868" w14:textId="0DFE4944" w:rsidR="00A6473B" w:rsidRPr="00167A1B" w:rsidRDefault="000A718B" w:rsidP="00511437">
            <w:pPr>
              <w:pStyle w:val="Body"/>
              <w:numPr>
                <w:ilvl w:val="0"/>
                <w:numId w:val="0"/>
              </w:numPr>
              <w:jc w:val="left"/>
              <w:rPr>
                <w:rFonts w:asciiTheme="majorHAnsi" w:hAnsiTheme="majorHAnsi" w:cstheme="majorHAnsi"/>
                <w:lang w:val="en-GB"/>
              </w:rPr>
            </w:pPr>
            <w:r w:rsidRPr="00167A1B">
              <w:rPr>
                <w:rFonts w:asciiTheme="majorHAnsi" w:hAnsiTheme="majorHAnsi" w:cstheme="majorHAnsi"/>
                <w:lang w:val="en-GB"/>
              </w:rPr>
              <w:t xml:space="preserve">Apple argues that using the Lightning connector allows their phones to be thinner, as this connector is smaller than USB Type-C. In this option, Apple would need to change the design of their phones (cost assessed in section 5.2.2), and their phones might need to be thicker as a result. This </w:t>
            </w:r>
            <w:r w:rsidR="009E1829" w:rsidRPr="00167A1B">
              <w:rPr>
                <w:rFonts w:asciiTheme="majorHAnsi" w:hAnsiTheme="majorHAnsi" w:cstheme="majorHAnsi"/>
                <w:lang w:val="en-GB"/>
              </w:rPr>
              <w:t>would likely</w:t>
            </w:r>
            <w:r w:rsidRPr="00167A1B">
              <w:rPr>
                <w:rFonts w:asciiTheme="majorHAnsi" w:hAnsiTheme="majorHAnsi" w:cstheme="majorHAnsi"/>
                <w:lang w:val="en-GB"/>
              </w:rPr>
              <w:t xml:space="preserve"> </w:t>
            </w:r>
            <w:r w:rsidR="009E1829" w:rsidRPr="00167A1B">
              <w:rPr>
                <w:rFonts w:asciiTheme="majorHAnsi" w:hAnsiTheme="majorHAnsi" w:cstheme="majorHAnsi"/>
                <w:lang w:val="en-GB"/>
              </w:rPr>
              <w:t>damage their competitive position.</w:t>
            </w:r>
          </w:p>
        </w:tc>
        <w:tc>
          <w:tcPr>
            <w:tcW w:w="0" w:type="auto"/>
          </w:tcPr>
          <w:p w14:paraId="5EE62A56" w14:textId="12C8575D" w:rsidR="009E1829" w:rsidRPr="00167A1B" w:rsidRDefault="00A6473B" w:rsidP="00A6473B">
            <w:pPr>
              <w:pStyle w:val="Body"/>
              <w:numPr>
                <w:ilvl w:val="0"/>
                <w:numId w:val="0"/>
              </w:numPr>
              <w:jc w:val="left"/>
              <w:rPr>
                <w:rFonts w:asciiTheme="majorHAnsi" w:hAnsiTheme="majorHAnsi" w:cstheme="majorHAnsi"/>
                <w:lang w:val="en-GB"/>
              </w:rPr>
            </w:pPr>
            <w:r w:rsidRPr="00167A1B">
              <w:rPr>
                <w:rFonts w:asciiTheme="majorHAnsi" w:hAnsiTheme="majorHAnsi" w:cstheme="majorHAnsi"/>
                <w:lang w:val="en-GB"/>
              </w:rPr>
              <w:t>Apple would lose its income from royalties of selling third-party devices and accessories using the Lightning connector.</w:t>
            </w:r>
            <w:r w:rsidR="009E1829" w:rsidRPr="00167A1B">
              <w:rPr>
                <w:rFonts w:asciiTheme="majorHAnsi" w:hAnsiTheme="majorHAnsi" w:cstheme="majorHAnsi"/>
                <w:lang w:val="en-GB"/>
              </w:rPr>
              <w:t xml:space="preserve"> In the baseline, the share of </w:t>
            </w:r>
            <w:r w:rsidR="00167A1B" w:rsidRPr="00167A1B">
              <w:rPr>
                <w:rFonts w:asciiTheme="majorHAnsi" w:hAnsiTheme="majorHAnsi" w:cstheme="majorHAnsi"/>
                <w:lang w:val="en-GB"/>
              </w:rPr>
              <w:t>standalone</w:t>
            </w:r>
            <w:r w:rsidR="009E1829" w:rsidRPr="00167A1B">
              <w:rPr>
                <w:rFonts w:asciiTheme="majorHAnsi" w:hAnsiTheme="majorHAnsi" w:cstheme="majorHAnsi"/>
                <w:lang w:val="en-GB"/>
              </w:rPr>
              <w:t xml:space="preserve"> sales of Lightning cables is 25% between 2024 and 2030.</w:t>
            </w:r>
            <w:r w:rsidR="000A718B" w:rsidRPr="00167A1B">
              <w:rPr>
                <w:rFonts w:asciiTheme="majorHAnsi" w:hAnsiTheme="majorHAnsi" w:cstheme="majorHAnsi"/>
                <w:lang w:val="en-GB"/>
              </w:rPr>
              <w:t xml:space="preserve"> </w:t>
            </w:r>
          </w:p>
          <w:p w14:paraId="23D1F52F" w14:textId="693E5839" w:rsidR="00A6473B" w:rsidRPr="00167A1B" w:rsidRDefault="000A718B" w:rsidP="00A6473B">
            <w:pPr>
              <w:pStyle w:val="Body"/>
              <w:numPr>
                <w:ilvl w:val="0"/>
                <w:numId w:val="0"/>
              </w:numPr>
              <w:jc w:val="left"/>
              <w:rPr>
                <w:rFonts w:asciiTheme="majorHAnsi" w:hAnsiTheme="majorHAnsi" w:cstheme="majorHAnsi"/>
                <w:lang w:val="en-GB"/>
              </w:rPr>
            </w:pPr>
            <w:r w:rsidRPr="00167A1B">
              <w:rPr>
                <w:rFonts w:asciiTheme="majorHAnsi" w:hAnsiTheme="majorHAnsi" w:cstheme="majorHAnsi"/>
                <w:lang w:val="en-GB"/>
              </w:rPr>
              <w:t xml:space="preserve">For illustration, the difference in retail price </w:t>
            </w:r>
            <w:r w:rsidR="00167A1B" w:rsidRPr="00167A1B">
              <w:rPr>
                <w:rFonts w:asciiTheme="majorHAnsi" w:hAnsiTheme="majorHAnsi" w:cstheme="majorHAnsi"/>
                <w:lang w:val="en-GB"/>
              </w:rPr>
              <w:t>between a</w:t>
            </w:r>
            <w:r w:rsidR="00167A1B">
              <w:rPr>
                <w:rFonts w:asciiTheme="majorHAnsi" w:hAnsiTheme="majorHAnsi" w:cstheme="majorHAnsi"/>
                <w:lang w:val="en-GB"/>
              </w:rPr>
              <w:t xml:space="preserve"> </w:t>
            </w:r>
            <w:r w:rsidRPr="00167A1B">
              <w:rPr>
                <w:rFonts w:asciiTheme="majorHAnsi" w:hAnsiTheme="majorHAnsi" w:cstheme="majorHAnsi"/>
                <w:lang w:val="en-GB"/>
              </w:rPr>
              <w:t>Lightning to USB Type-C cable, and a</w:t>
            </w:r>
            <w:r w:rsidR="00167A1B">
              <w:rPr>
                <w:rFonts w:asciiTheme="majorHAnsi" w:hAnsiTheme="majorHAnsi" w:cstheme="majorHAnsi"/>
                <w:lang w:val="en-GB"/>
              </w:rPr>
              <w:t xml:space="preserve"> </w:t>
            </w:r>
            <w:r w:rsidRPr="00167A1B">
              <w:rPr>
                <w:rFonts w:asciiTheme="majorHAnsi" w:hAnsiTheme="majorHAnsi" w:cstheme="majorHAnsi"/>
                <w:lang w:val="en-GB"/>
              </w:rPr>
              <w:t>cable with USB Type-C at both ends is, on average, 11 Euros (see Table 8). A</w:t>
            </w:r>
            <w:r w:rsidR="00167A1B">
              <w:rPr>
                <w:rFonts w:asciiTheme="majorHAnsi" w:hAnsiTheme="majorHAnsi" w:cstheme="majorHAnsi"/>
                <w:lang w:val="en-GB"/>
              </w:rPr>
              <w:t xml:space="preserve"> </w:t>
            </w:r>
            <w:r w:rsidRPr="00167A1B">
              <w:rPr>
                <w:rFonts w:ascii="Arial" w:hAnsi="Arial" w:cs="Arial"/>
                <w:lang w:val="en-GB"/>
              </w:rPr>
              <w:t xml:space="preserve">large part of this difference is explained by the incomes from royalties that Apple receive. This variation in income is accounted for in the impacts presented in </w:t>
            </w:r>
            <w:r w:rsidRPr="00167A1B">
              <w:rPr>
                <w:rFonts w:ascii="Arial" w:hAnsi="Arial" w:cs="Arial"/>
                <w:lang w:val="en-GB"/>
              </w:rPr>
              <w:fldChar w:fldCharType="begin"/>
            </w:r>
            <w:r w:rsidRPr="00167A1B">
              <w:rPr>
                <w:rFonts w:ascii="Arial" w:hAnsi="Arial" w:cs="Arial"/>
                <w:lang w:val="en-GB"/>
              </w:rPr>
              <w:instrText xml:space="preserve"> REF _Ref71618964 \h </w:instrText>
            </w:r>
            <w:r w:rsidR="00167A1B">
              <w:rPr>
                <w:rFonts w:ascii="Arial" w:hAnsi="Arial" w:cs="Arial"/>
                <w:lang w:val="en-GB"/>
              </w:rPr>
              <w:instrText xml:space="preserve"> \* MERGEFORMAT </w:instrText>
            </w:r>
            <w:r w:rsidRPr="00167A1B">
              <w:rPr>
                <w:rFonts w:ascii="Arial" w:hAnsi="Arial" w:cs="Arial"/>
                <w:lang w:val="en-GB"/>
              </w:rPr>
            </w:r>
            <w:r w:rsidRPr="00167A1B">
              <w:rPr>
                <w:rFonts w:ascii="Arial" w:hAnsi="Arial" w:cs="Arial"/>
                <w:lang w:val="en-GB"/>
              </w:rPr>
              <w:fldChar w:fldCharType="separate"/>
            </w:r>
            <w:r w:rsidRPr="00167A1B">
              <w:rPr>
                <w:rFonts w:ascii="Arial" w:hAnsi="Arial" w:cs="Arial"/>
                <w:lang w:val="en-GB"/>
              </w:rPr>
              <w:t>Table 10</w:t>
            </w:r>
            <w:r w:rsidRPr="00167A1B">
              <w:rPr>
                <w:rFonts w:ascii="Arial" w:hAnsi="Arial" w:cs="Arial"/>
                <w:lang w:val="en-GB"/>
              </w:rPr>
              <w:fldChar w:fldCharType="end"/>
            </w:r>
            <w:r w:rsidRPr="00167A1B">
              <w:rPr>
                <w:rFonts w:ascii="Arial" w:hAnsi="Arial" w:cs="Arial"/>
                <w:lang w:val="en-GB"/>
              </w:rPr>
              <w:t>.</w:t>
            </w:r>
          </w:p>
        </w:tc>
      </w:tr>
      <w:tr w:rsidR="000A718B" w:rsidRPr="00167A1B" w14:paraId="117110D5" w14:textId="271E6004" w:rsidTr="00860C7C">
        <w:trPr>
          <w:trHeight w:val="704"/>
        </w:trPr>
        <w:tc>
          <w:tcPr>
            <w:tcW w:w="0" w:type="auto"/>
          </w:tcPr>
          <w:p w14:paraId="500DA9EC" w14:textId="77777777" w:rsidR="00A6473B" w:rsidRPr="00167A1B" w:rsidRDefault="00A6473B" w:rsidP="00A6473B">
            <w:pPr>
              <w:pStyle w:val="Body"/>
              <w:numPr>
                <w:ilvl w:val="0"/>
                <w:numId w:val="0"/>
              </w:numPr>
              <w:jc w:val="left"/>
              <w:rPr>
                <w:rFonts w:asciiTheme="majorHAnsi" w:hAnsiTheme="majorHAnsi" w:cstheme="majorHAnsi"/>
                <w:b/>
                <w:lang w:val="en-GB"/>
              </w:rPr>
            </w:pPr>
            <w:r w:rsidRPr="00167A1B">
              <w:rPr>
                <w:rFonts w:asciiTheme="majorHAnsi" w:hAnsiTheme="majorHAnsi" w:cstheme="majorHAnsi"/>
                <w:b/>
                <w:lang w:val="en-GB"/>
              </w:rPr>
              <w:t>Manufacturers of chargers</w:t>
            </w:r>
          </w:p>
        </w:tc>
        <w:tc>
          <w:tcPr>
            <w:tcW w:w="2120" w:type="dxa"/>
          </w:tcPr>
          <w:p w14:paraId="373CAE68" w14:textId="6D19CE90" w:rsidR="00A6473B" w:rsidRPr="00167A1B" w:rsidRDefault="00511437" w:rsidP="00A6473B">
            <w:pPr>
              <w:pStyle w:val="Body"/>
              <w:numPr>
                <w:ilvl w:val="0"/>
                <w:numId w:val="0"/>
              </w:numPr>
              <w:jc w:val="left"/>
              <w:rPr>
                <w:rFonts w:asciiTheme="majorHAnsi" w:hAnsiTheme="majorHAnsi" w:cstheme="majorHAnsi"/>
                <w:lang w:val="en-GB"/>
              </w:rPr>
            </w:pPr>
            <w:r w:rsidRPr="00167A1B">
              <w:rPr>
                <w:rFonts w:asciiTheme="majorHAnsi" w:hAnsiTheme="majorHAnsi" w:cstheme="majorHAnsi"/>
                <w:lang w:val="en-GB"/>
              </w:rPr>
              <w:t xml:space="preserve">This option generates a small reduction </w:t>
            </w:r>
            <w:r w:rsidR="009E1829" w:rsidRPr="00167A1B">
              <w:rPr>
                <w:rFonts w:asciiTheme="majorHAnsi" w:hAnsiTheme="majorHAnsi" w:cstheme="majorHAnsi"/>
                <w:lang w:val="en-GB"/>
              </w:rPr>
              <w:t xml:space="preserve">in </w:t>
            </w:r>
            <w:r w:rsidRPr="00167A1B">
              <w:rPr>
                <w:rFonts w:asciiTheme="majorHAnsi" w:hAnsiTheme="majorHAnsi" w:cstheme="majorHAnsi"/>
                <w:lang w:val="en-GB"/>
              </w:rPr>
              <w:t xml:space="preserve">benefits for </w:t>
            </w:r>
            <w:r w:rsidR="00C5296A" w:rsidRPr="00167A1B">
              <w:rPr>
                <w:rFonts w:asciiTheme="majorHAnsi" w:hAnsiTheme="majorHAnsi" w:cstheme="majorHAnsi"/>
                <w:lang w:val="en-GB"/>
              </w:rPr>
              <w:t>the industry</w:t>
            </w:r>
            <w:r w:rsidRPr="00167A1B">
              <w:rPr>
                <w:rFonts w:asciiTheme="majorHAnsi" w:hAnsiTheme="majorHAnsi" w:cstheme="majorHAnsi"/>
                <w:lang w:val="en-GB"/>
              </w:rPr>
              <w:t xml:space="preserve"> (</w:t>
            </w:r>
            <w:r w:rsidR="00C5296A" w:rsidRPr="00167A1B">
              <w:rPr>
                <w:rFonts w:asciiTheme="majorHAnsi" w:hAnsiTheme="majorHAnsi" w:cstheme="majorHAnsi"/>
                <w:lang w:val="en-GB"/>
              </w:rPr>
              <w:t>-8.5</w:t>
            </w:r>
            <w:r w:rsidRPr="00167A1B">
              <w:rPr>
                <w:rFonts w:asciiTheme="majorHAnsi" w:hAnsiTheme="majorHAnsi" w:cstheme="majorHAnsi"/>
                <w:lang w:val="en-GB"/>
              </w:rPr>
              <w:t xml:space="preserve">%), </w:t>
            </w:r>
            <w:r w:rsidR="00860C7C" w:rsidRPr="00167A1B">
              <w:rPr>
                <w:rFonts w:asciiTheme="majorHAnsi" w:hAnsiTheme="majorHAnsi" w:cstheme="majorHAnsi"/>
                <w:lang w:val="en-GB"/>
              </w:rPr>
              <w:t>a</w:t>
            </w:r>
            <w:r w:rsidRPr="00167A1B">
              <w:rPr>
                <w:rFonts w:asciiTheme="majorHAnsi" w:hAnsiTheme="majorHAnsi" w:cstheme="majorHAnsi"/>
                <w:lang w:val="en-GB"/>
              </w:rPr>
              <w:t xml:space="preserve"> </w:t>
            </w:r>
            <w:r w:rsidR="00727C21" w:rsidRPr="00167A1B">
              <w:rPr>
                <w:rFonts w:asciiTheme="majorHAnsi" w:hAnsiTheme="majorHAnsi" w:cstheme="majorHAnsi"/>
                <w:lang w:val="en-GB"/>
              </w:rPr>
              <w:t xml:space="preserve">part </w:t>
            </w:r>
            <w:r w:rsidRPr="00167A1B">
              <w:rPr>
                <w:rFonts w:asciiTheme="majorHAnsi" w:hAnsiTheme="majorHAnsi" w:cstheme="majorHAnsi"/>
                <w:lang w:val="en-GB"/>
              </w:rPr>
              <w:t xml:space="preserve">of </w:t>
            </w:r>
            <w:r w:rsidR="00860C7C" w:rsidRPr="00167A1B">
              <w:rPr>
                <w:rFonts w:asciiTheme="majorHAnsi" w:hAnsiTheme="majorHAnsi" w:cstheme="majorHAnsi"/>
                <w:lang w:val="en-GB"/>
              </w:rPr>
              <w:t>which</w:t>
            </w:r>
            <w:r w:rsidRPr="00167A1B">
              <w:rPr>
                <w:rFonts w:asciiTheme="majorHAnsi" w:hAnsiTheme="majorHAnsi" w:cstheme="majorHAnsi"/>
                <w:lang w:val="en-GB"/>
              </w:rPr>
              <w:t xml:space="preserve"> would be assumed by manufacturers of </w:t>
            </w:r>
            <w:r w:rsidRPr="00167A1B">
              <w:rPr>
                <w:rFonts w:asciiTheme="majorHAnsi" w:hAnsiTheme="majorHAnsi" w:cstheme="majorHAnsi"/>
                <w:lang w:val="en-GB"/>
              </w:rPr>
              <w:lastRenderedPageBreak/>
              <w:t>Lightning cables</w:t>
            </w:r>
            <w:r w:rsidR="00727C21" w:rsidRPr="00167A1B">
              <w:rPr>
                <w:rFonts w:asciiTheme="majorHAnsi" w:hAnsiTheme="majorHAnsi" w:cstheme="majorHAnsi"/>
                <w:lang w:val="en-GB"/>
              </w:rPr>
              <w:t xml:space="preserve"> (and part of it by Apple from loss of royalties)</w:t>
            </w:r>
            <w:r w:rsidRPr="00167A1B">
              <w:rPr>
                <w:rFonts w:asciiTheme="majorHAnsi" w:hAnsiTheme="majorHAnsi" w:cstheme="majorHAnsi"/>
                <w:lang w:val="en-GB"/>
              </w:rPr>
              <w:t>.</w:t>
            </w:r>
          </w:p>
        </w:tc>
        <w:tc>
          <w:tcPr>
            <w:tcW w:w="2519" w:type="dxa"/>
          </w:tcPr>
          <w:p w14:paraId="5DA9E98A" w14:textId="61D18C70" w:rsidR="00B32BAE" w:rsidRPr="00167A1B" w:rsidRDefault="00A6473B" w:rsidP="00A6473B">
            <w:pPr>
              <w:pStyle w:val="Body"/>
              <w:numPr>
                <w:ilvl w:val="0"/>
                <w:numId w:val="0"/>
              </w:numPr>
              <w:jc w:val="left"/>
              <w:rPr>
                <w:rFonts w:asciiTheme="majorHAnsi" w:hAnsiTheme="majorHAnsi" w:cstheme="majorHAnsi"/>
                <w:lang w:val="en-GB"/>
              </w:rPr>
            </w:pPr>
            <w:r w:rsidRPr="00167A1B">
              <w:rPr>
                <w:rFonts w:asciiTheme="majorHAnsi" w:hAnsiTheme="majorHAnsi" w:cstheme="majorHAnsi"/>
                <w:lang w:val="en-GB"/>
              </w:rPr>
              <w:lastRenderedPageBreak/>
              <w:t xml:space="preserve">Currently, manufacturers supplying Lightning cables and accessories have a competitive advantage over other suppliers, as they have gone through a process to become Apple </w:t>
            </w:r>
            <w:r w:rsidRPr="00167A1B">
              <w:rPr>
                <w:rFonts w:asciiTheme="majorHAnsi" w:hAnsiTheme="majorHAnsi" w:cstheme="majorHAnsi"/>
                <w:lang w:val="en-GB"/>
              </w:rPr>
              <w:lastRenderedPageBreak/>
              <w:t xml:space="preserve">suppliers and have adapted their production lines to Lightning connectors. If Lightning is not allowed in the EU market </w:t>
            </w:r>
            <w:proofErr w:type="gramStart"/>
            <w:r w:rsidRPr="00167A1B">
              <w:rPr>
                <w:rFonts w:asciiTheme="majorHAnsi" w:hAnsiTheme="majorHAnsi" w:cstheme="majorHAnsi"/>
                <w:lang w:val="en-GB"/>
              </w:rPr>
              <w:t>any more</w:t>
            </w:r>
            <w:proofErr w:type="gramEnd"/>
            <w:r w:rsidRPr="00167A1B">
              <w:rPr>
                <w:rFonts w:asciiTheme="majorHAnsi" w:hAnsiTheme="majorHAnsi" w:cstheme="majorHAnsi"/>
                <w:lang w:val="en-GB"/>
              </w:rPr>
              <w:t xml:space="preserve">, their competitive position may deteriorate. </w:t>
            </w:r>
            <w:r w:rsidR="00B32BAE" w:rsidRPr="00167A1B">
              <w:rPr>
                <w:rFonts w:asciiTheme="majorHAnsi" w:hAnsiTheme="majorHAnsi" w:cstheme="majorHAnsi"/>
                <w:lang w:val="en-GB"/>
              </w:rPr>
              <w:t>This would be a</w:t>
            </w:r>
            <w:r w:rsidR="00167A1B">
              <w:rPr>
                <w:rFonts w:asciiTheme="majorHAnsi" w:hAnsiTheme="majorHAnsi" w:cstheme="majorHAnsi"/>
                <w:lang w:val="en-GB"/>
              </w:rPr>
              <w:t xml:space="preserve"> </w:t>
            </w:r>
            <w:r w:rsidR="00B32BAE" w:rsidRPr="00167A1B">
              <w:rPr>
                <w:rFonts w:asciiTheme="majorHAnsi" w:hAnsiTheme="majorHAnsi" w:cstheme="majorHAnsi"/>
                <w:lang w:val="en-GB"/>
              </w:rPr>
              <w:t>long-term</w:t>
            </w:r>
            <w:r w:rsidR="00167A1B">
              <w:rPr>
                <w:rFonts w:asciiTheme="majorHAnsi" w:hAnsiTheme="majorHAnsi" w:cstheme="majorHAnsi"/>
                <w:lang w:val="en-GB"/>
              </w:rPr>
              <w:t xml:space="preserve"> </w:t>
            </w:r>
            <w:r w:rsidR="00B32BAE" w:rsidRPr="00167A1B">
              <w:rPr>
                <w:rFonts w:asciiTheme="majorHAnsi" w:hAnsiTheme="majorHAnsi" w:cstheme="majorHAnsi"/>
                <w:lang w:val="en-GB"/>
              </w:rPr>
              <w:t>/</w:t>
            </w:r>
            <w:r w:rsidR="00167A1B">
              <w:rPr>
                <w:rFonts w:asciiTheme="majorHAnsi" w:hAnsiTheme="majorHAnsi" w:cstheme="majorHAnsi"/>
                <w:lang w:val="en-GB"/>
              </w:rPr>
              <w:t xml:space="preserve"> </w:t>
            </w:r>
            <w:r w:rsidR="00B32BAE" w:rsidRPr="00167A1B">
              <w:rPr>
                <w:rFonts w:asciiTheme="majorHAnsi" w:hAnsiTheme="majorHAnsi" w:cstheme="majorHAnsi"/>
                <w:lang w:val="en-GB"/>
              </w:rPr>
              <w:t>permanent cost</w:t>
            </w:r>
            <w:r w:rsidR="00214EC4" w:rsidRPr="00167A1B">
              <w:rPr>
                <w:rFonts w:asciiTheme="majorHAnsi" w:hAnsiTheme="majorHAnsi" w:cstheme="majorHAnsi"/>
                <w:lang w:val="en-GB"/>
              </w:rPr>
              <w:t xml:space="preserve">, as their market share may be </w:t>
            </w:r>
            <w:r w:rsidR="00167A1B" w:rsidRPr="00167A1B">
              <w:rPr>
                <w:rFonts w:asciiTheme="majorHAnsi" w:hAnsiTheme="majorHAnsi" w:cstheme="majorHAnsi"/>
                <w:lang w:val="en-GB"/>
              </w:rPr>
              <w:t>absorbed</w:t>
            </w:r>
            <w:r w:rsidR="00214EC4" w:rsidRPr="00167A1B">
              <w:rPr>
                <w:rFonts w:asciiTheme="majorHAnsi" w:hAnsiTheme="majorHAnsi" w:cstheme="majorHAnsi"/>
                <w:lang w:val="en-GB"/>
              </w:rPr>
              <w:t xml:space="preserve"> by other manufacturers of chargers.</w:t>
            </w:r>
          </w:p>
          <w:p w14:paraId="46CAB2BB" w14:textId="33863F8F" w:rsidR="00A6473B" w:rsidRPr="00167A1B" w:rsidRDefault="00A6473B" w:rsidP="00A6473B">
            <w:pPr>
              <w:pStyle w:val="Body"/>
              <w:numPr>
                <w:ilvl w:val="0"/>
                <w:numId w:val="0"/>
              </w:numPr>
              <w:jc w:val="left"/>
              <w:rPr>
                <w:rFonts w:asciiTheme="majorHAnsi" w:hAnsiTheme="majorHAnsi" w:cstheme="majorHAnsi"/>
                <w:lang w:val="en-GB"/>
              </w:rPr>
            </w:pPr>
            <w:r w:rsidRPr="00167A1B">
              <w:rPr>
                <w:rFonts w:asciiTheme="majorHAnsi" w:hAnsiTheme="majorHAnsi" w:cstheme="majorHAnsi"/>
                <w:lang w:val="en-GB"/>
              </w:rPr>
              <w:t>Overall, the effect for manufacturers based in the EU is negligible, since most of Apple’s supply chain is based in China, Japan, and the US, with very few companies in the EU</w:t>
            </w:r>
            <w:r w:rsidR="00511437" w:rsidRPr="00167A1B">
              <w:rPr>
                <w:rFonts w:asciiTheme="majorHAnsi" w:hAnsiTheme="majorHAnsi" w:cstheme="majorHAnsi"/>
                <w:lang w:val="en-GB"/>
              </w:rPr>
              <w:t>, notably in Germany, Ireland and Belgium.</w:t>
            </w:r>
            <w:r w:rsidR="00511437" w:rsidRPr="00167A1B">
              <w:rPr>
                <w:rStyle w:val="FootnoteReference"/>
                <w:rFonts w:asciiTheme="majorHAnsi" w:hAnsiTheme="majorHAnsi" w:cstheme="majorHAnsi"/>
                <w:sz w:val="20"/>
                <w:lang w:val="en-GB"/>
              </w:rPr>
              <w:t xml:space="preserve"> </w:t>
            </w:r>
            <w:r w:rsidR="00511437" w:rsidRPr="00167A1B">
              <w:rPr>
                <w:rStyle w:val="FootnoteReference"/>
                <w:rFonts w:asciiTheme="majorHAnsi" w:hAnsiTheme="majorHAnsi" w:cstheme="majorHAnsi"/>
                <w:sz w:val="20"/>
                <w:lang w:val="en-GB"/>
              </w:rPr>
              <w:footnoteReference w:id="108"/>
            </w:r>
            <w:r w:rsidR="00511437" w:rsidRPr="00167A1B">
              <w:rPr>
                <w:rFonts w:asciiTheme="majorHAnsi" w:hAnsiTheme="majorHAnsi" w:cstheme="majorHAnsi"/>
                <w:lang w:val="en-GB"/>
              </w:rPr>
              <w:t xml:space="preserve"> I</w:t>
            </w:r>
            <w:r w:rsidRPr="00167A1B">
              <w:rPr>
                <w:rFonts w:asciiTheme="majorHAnsi" w:hAnsiTheme="majorHAnsi" w:cstheme="majorHAnsi"/>
                <w:lang w:val="en-GB"/>
              </w:rPr>
              <w:t>t</w:t>
            </w:r>
            <w:r w:rsidR="009E1829" w:rsidRPr="00167A1B">
              <w:rPr>
                <w:rFonts w:asciiTheme="majorHAnsi" w:hAnsiTheme="majorHAnsi" w:cstheme="majorHAnsi"/>
                <w:lang w:val="en-GB"/>
              </w:rPr>
              <w:t xml:space="preserve"> </w:t>
            </w:r>
            <w:r w:rsidR="00167A1B">
              <w:rPr>
                <w:rFonts w:asciiTheme="majorHAnsi" w:hAnsiTheme="majorHAnsi" w:cstheme="majorHAnsi"/>
                <w:lang w:val="en-GB"/>
              </w:rPr>
              <w:t xml:space="preserve">is </w:t>
            </w:r>
            <w:r w:rsidR="009E1829" w:rsidRPr="00167A1B">
              <w:rPr>
                <w:rFonts w:asciiTheme="majorHAnsi" w:hAnsiTheme="majorHAnsi" w:cstheme="majorHAnsi"/>
                <w:lang w:val="en-GB"/>
              </w:rPr>
              <w:t>also</w:t>
            </w:r>
            <w:r w:rsidRPr="00167A1B">
              <w:rPr>
                <w:rFonts w:asciiTheme="majorHAnsi" w:hAnsiTheme="majorHAnsi" w:cstheme="majorHAnsi"/>
                <w:lang w:val="en-GB"/>
              </w:rPr>
              <w:t xml:space="preserve"> unclear whether EU companies supply Lightning cables and accessories.</w:t>
            </w:r>
          </w:p>
        </w:tc>
        <w:tc>
          <w:tcPr>
            <w:tcW w:w="0" w:type="auto"/>
          </w:tcPr>
          <w:p w14:paraId="69378187" w14:textId="16EC7CB0" w:rsidR="00A6473B" w:rsidRPr="00167A1B" w:rsidRDefault="000A718B" w:rsidP="00A6473B">
            <w:pPr>
              <w:pStyle w:val="Body"/>
              <w:numPr>
                <w:ilvl w:val="0"/>
                <w:numId w:val="0"/>
              </w:numPr>
              <w:jc w:val="left"/>
              <w:rPr>
                <w:rFonts w:asciiTheme="majorHAnsi" w:hAnsiTheme="majorHAnsi" w:cstheme="majorHAnsi"/>
                <w:lang w:val="en-GB"/>
              </w:rPr>
            </w:pPr>
            <w:r w:rsidRPr="00167A1B">
              <w:rPr>
                <w:rFonts w:asciiTheme="majorHAnsi" w:hAnsiTheme="majorHAnsi" w:cstheme="majorHAnsi"/>
                <w:lang w:val="en-GB"/>
              </w:rPr>
              <w:lastRenderedPageBreak/>
              <w:t>No impacts. These companies would stop paying royalties to Apple for the production and sale of Lightning cables, but this cost was assumed by consumers</w:t>
            </w:r>
            <w:r w:rsidR="00172EA0" w:rsidRPr="00167A1B">
              <w:rPr>
                <w:rFonts w:asciiTheme="majorHAnsi" w:hAnsiTheme="majorHAnsi" w:cstheme="majorHAnsi"/>
                <w:lang w:val="en-GB"/>
              </w:rPr>
              <w:t xml:space="preserve"> in the price they </w:t>
            </w:r>
            <w:r w:rsidR="00172EA0" w:rsidRPr="00167A1B">
              <w:rPr>
                <w:rFonts w:asciiTheme="majorHAnsi" w:hAnsiTheme="majorHAnsi" w:cstheme="majorHAnsi"/>
                <w:lang w:val="en-GB"/>
              </w:rPr>
              <w:lastRenderedPageBreak/>
              <w:t>pay for Lightning cables and accessories</w:t>
            </w:r>
            <w:r w:rsidRPr="00167A1B">
              <w:rPr>
                <w:rFonts w:asciiTheme="majorHAnsi" w:hAnsiTheme="majorHAnsi" w:cstheme="majorHAnsi"/>
                <w:lang w:val="en-GB"/>
              </w:rPr>
              <w:t>.</w:t>
            </w:r>
          </w:p>
        </w:tc>
      </w:tr>
      <w:tr w:rsidR="000A718B" w:rsidRPr="00167A1B" w14:paraId="7746471B" w14:textId="2ED237EF" w:rsidTr="00860C7C">
        <w:trPr>
          <w:trHeight w:val="813"/>
        </w:trPr>
        <w:tc>
          <w:tcPr>
            <w:tcW w:w="0" w:type="auto"/>
          </w:tcPr>
          <w:p w14:paraId="399F675D" w14:textId="77777777" w:rsidR="00A6473B" w:rsidRPr="00167A1B" w:rsidRDefault="00A6473B" w:rsidP="00A6473B">
            <w:pPr>
              <w:pStyle w:val="Body"/>
              <w:numPr>
                <w:ilvl w:val="0"/>
                <w:numId w:val="0"/>
              </w:numPr>
              <w:jc w:val="left"/>
              <w:rPr>
                <w:rFonts w:asciiTheme="majorHAnsi" w:hAnsiTheme="majorHAnsi" w:cstheme="majorHAnsi"/>
                <w:b/>
                <w:lang w:val="en-GB"/>
              </w:rPr>
            </w:pPr>
            <w:r w:rsidRPr="00167A1B">
              <w:rPr>
                <w:rFonts w:asciiTheme="majorHAnsi" w:hAnsiTheme="majorHAnsi" w:cstheme="majorHAnsi"/>
                <w:b/>
                <w:lang w:val="en-GB"/>
              </w:rPr>
              <w:lastRenderedPageBreak/>
              <w:t>Distributors, retailers, and wholesalers</w:t>
            </w:r>
          </w:p>
        </w:tc>
        <w:tc>
          <w:tcPr>
            <w:tcW w:w="2120" w:type="dxa"/>
          </w:tcPr>
          <w:p w14:paraId="334D262A" w14:textId="12165144" w:rsidR="00A6473B" w:rsidRPr="00167A1B" w:rsidRDefault="000D47D8" w:rsidP="00A6473B">
            <w:pPr>
              <w:pStyle w:val="Body"/>
              <w:numPr>
                <w:ilvl w:val="0"/>
                <w:numId w:val="0"/>
              </w:numPr>
              <w:jc w:val="left"/>
              <w:rPr>
                <w:rFonts w:asciiTheme="majorHAnsi" w:hAnsiTheme="majorHAnsi" w:cstheme="majorHAnsi"/>
                <w:lang w:val="en-GB"/>
              </w:rPr>
            </w:pPr>
            <w:r w:rsidRPr="00167A1B">
              <w:rPr>
                <w:rFonts w:asciiTheme="majorHAnsi" w:hAnsiTheme="majorHAnsi" w:cstheme="majorHAnsi"/>
                <w:lang w:val="en-GB"/>
              </w:rPr>
              <w:t xml:space="preserve">Relatively significant loss of </w:t>
            </w:r>
            <w:r w:rsidR="00214EC4" w:rsidRPr="00167A1B">
              <w:rPr>
                <w:rFonts w:asciiTheme="majorHAnsi" w:hAnsiTheme="majorHAnsi" w:cstheme="majorHAnsi"/>
                <w:lang w:val="en-GB"/>
              </w:rPr>
              <w:t xml:space="preserve">profit </w:t>
            </w:r>
            <w:r w:rsidRPr="00167A1B">
              <w:rPr>
                <w:rFonts w:asciiTheme="majorHAnsi" w:hAnsiTheme="majorHAnsi" w:cstheme="majorHAnsi"/>
                <w:lang w:val="en-GB"/>
              </w:rPr>
              <w:t>(-9%) due to lower sales of standalone Lightning cables</w:t>
            </w:r>
          </w:p>
        </w:tc>
        <w:tc>
          <w:tcPr>
            <w:tcW w:w="2519" w:type="dxa"/>
          </w:tcPr>
          <w:p w14:paraId="5D972999" w14:textId="24684FAE" w:rsidR="00A6473B" w:rsidRPr="00167A1B" w:rsidRDefault="00511437" w:rsidP="00A6473B">
            <w:pPr>
              <w:pStyle w:val="Body"/>
              <w:numPr>
                <w:ilvl w:val="0"/>
                <w:numId w:val="0"/>
              </w:numPr>
              <w:jc w:val="left"/>
              <w:rPr>
                <w:rFonts w:asciiTheme="majorHAnsi" w:hAnsiTheme="majorHAnsi" w:cstheme="majorHAnsi"/>
                <w:lang w:val="en-GB"/>
              </w:rPr>
            </w:pPr>
            <w:r w:rsidRPr="00167A1B">
              <w:rPr>
                <w:rFonts w:asciiTheme="majorHAnsi" w:hAnsiTheme="majorHAnsi" w:cstheme="majorHAnsi"/>
                <w:lang w:val="en-GB"/>
              </w:rPr>
              <w:t>No impacts</w:t>
            </w:r>
          </w:p>
        </w:tc>
        <w:tc>
          <w:tcPr>
            <w:tcW w:w="0" w:type="auto"/>
          </w:tcPr>
          <w:p w14:paraId="0B23CB98" w14:textId="7E0B4BD9" w:rsidR="00A6473B" w:rsidRPr="00167A1B" w:rsidRDefault="00511437" w:rsidP="00A6473B">
            <w:pPr>
              <w:pStyle w:val="Body"/>
              <w:numPr>
                <w:ilvl w:val="0"/>
                <w:numId w:val="0"/>
              </w:numPr>
              <w:jc w:val="left"/>
              <w:rPr>
                <w:rFonts w:asciiTheme="majorHAnsi" w:hAnsiTheme="majorHAnsi" w:cstheme="majorHAnsi"/>
                <w:lang w:val="en-GB"/>
              </w:rPr>
            </w:pPr>
            <w:r w:rsidRPr="00167A1B">
              <w:rPr>
                <w:rFonts w:asciiTheme="majorHAnsi" w:hAnsiTheme="majorHAnsi" w:cstheme="majorHAnsi"/>
                <w:lang w:val="en-GB"/>
              </w:rPr>
              <w:t>No impacts</w:t>
            </w:r>
          </w:p>
        </w:tc>
      </w:tr>
    </w:tbl>
    <w:p w14:paraId="50C412D8" w14:textId="77777777" w:rsidR="00272D69" w:rsidRPr="00167A1B" w:rsidRDefault="00272D69" w:rsidP="00084C36">
      <w:pPr>
        <w:pStyle w:val="BodyText1"/>
        <w:rPr>
          <w:b/>
          <w:bCs/>
          <w:noProof w:val="0"/>
        </w:rPr>
      </w:pPr>
    </w:p>
    <w:p w14:paraId="6C25C6D3" w14:textId="057943FC" w:rsidR="00A6473B" w:rsidRPr="00167A1B" w:rsidRDefault="00A6473B" w:rsidP="00084C36">
      <w:pPr>
        <w:pStyle w:val="BodyText1"/>
        <w:rPr>
          <w:b/>
          <w:bCs/>
          <w:noProof w:val="0"/>
        </w:rPr>
      </w:pPr>
      <w:r w:rsidRPr="00167A1B">
        <w:rPr>
          <w:b/>
          <w:bCs/>
          <w:noProof w:val="0"/>
        </w:rPr>
        <w:t>Impacts on innovation</w:t>
      </w:r>
    </w:p>
    <w:p w14:paraId="75401ED8" w14:textId="698ADA73" w:rsidR="00B935CA" w:rsidRPr="00167A1B" w:rsidRDefault="00084C36" w:rsidP="00084C36">
      <w:pPr>
        <w:pStyle w:val="BodyText1"/>
        <w:rPr>
          <w:noProof w:val="0"/>
        </w:rPr>
      </w:pPr>
      <w:r w:rsidRPr="00167A1B">
        <w:rPr>
          <w:noProof w:val="0"/>
        </w:rPr>
        <w:t xml:space="preserve">This option could potentially have a major negative effect in terms of reducing future </w:t>
      </w:r>
      <w:r w:rsidRPr="00167A1B">
        <w:rPr>
          <w:b/>
          <w:bCs/>
          <w:noProof w:val="0"/>
        </w:rPr>
        <w:t>innovation</w:t>
      </w:r>
      <w:r w:rsidRPr="00167A1B">
        <w:rPr>
          <w:noProof w:val="0"/>
        </w:rPr>
        <w:t xml:space="preserve"> in phone connectors, both by effectively ruling out any new “game-changing” proprietary connector technology, and by potentially reducing the pace of “incremental” innovation as regards future generations of USB connectors, and limiting the characteristics that this future connector might have. Nonetheless, this needs to be seen in the context of the baseline. In practice, only one company is currently selling phones in the EU that do not use USB connectors at the device end, and even this company has started using USB Type-C connectors in some of its other devices (such as tablets), which makes it seem unlikely it is investing heavily (or sees major potential) in developing a new generation of proprietary connectors.</w:t>
      </w:r>
      <w:r w:rsidR="00B935CA" w:rsidRPr="00167A1B">
        <w:rPr>
          <w:noProof w:val="0"/>
        </w:rPr>
        <w:t xml:space="preserve"> In 2020, Apple invested 18 billion USD (7% of total net sales) in R&amp;D</w:t>
      </w:r>
      <w:r w:rsidR="00B935CA" w:rsidRPr="00167A1B">
        <w:rPr>
          <w:rStyle w:val="FootnoteReference"/>
          <w:noProof w:val="0"/>
        </w:rPr>
        <w:footnoteReference w:id="109"/>
      </w:r>
      <w:r w:rsidR="00B935CA" w:rsidRPr="00167A1B">
        <w:rPr>
          <w:noProof w:val="0"/>
        </w:rPr>
        <w:t>; however, it is unknown how much was invested in the development of wired charging technologies. Most of the investment on R&amp;D takes place in the US (the company has committed 430 billion USD in US investments over five years, part of which is on R&amp;D</w:t>
      </w:r>
      <w:r w:rsidR="00B935CA" w:rsidRPr="00167A1B">
        <w:rPr>
          <w:rStyle w:val="FootnoteReference"/>
          <w:noProof w:val="0"/>
        </w:rPr>
        <w:footnoteReference w:id="110"/>
      </w:r>
      <w:r w:rsidR="00B935CA" w:rsidRPr="00167A1B">
        <w:rPr>
          <w:noProof w:val="0"/>
        </w:rPr>
        <w:t xml:space="preserve">), but it also invests heavily in the </w:t>
      </w:r>
      <w:r w:rsidR="00B935CA" w:rsidRPr="00167A1B">
        <w:rPr>
          <w:noProof w:val="0"/>
        </w:rPr>
        <w:lastRenderedPageBreak/>
        <w:t>EU. In March</w:t>
      </w:r>
      <w:r w:rsidR="009E6506" w:rsidRPr="00167A1B">
        <w:rPr>
          <w:noProof w:val="0"/>
        </w:rPr>
        <w:t xml:space="preserve"> 2021</w:t>
      </w:r>
      <w:r w:rsidR="00B935CA" w:rsidRPr="00167A1B">
        <w:rPr>
          <w:noProof w:val="0"/>
        </w:rPr>
        <w:t>, Apple announced 1 billion EUR investment in a new facility in Munich (Germany) to focus on 5G and future wireless technologies</w:t>
      </w:r>
      <w:r w:rsidR="00172EA0" w:rsidRPr="00167A1B">
        <w:rPr>
          <w:noProof w:val="0"/>
        </w:rPr>
        <w:t>.</w:t>
      </w:r>
      <w:r w:rsidR="00172EA0" w:rsidRPr="00167A1B">
        <w:rPr>
          <w:rStyle w:val="FootnoteReference"/>
          <w:noProof w:val="0"/>
        </w:rPr>
        <w:footnoteReference w:id="111"/>
      </w:r>
      <w:r w:rsidR="00172EA0" w:rsidRPr="00167A1B">
        <w:rPr>
          <w:noProof w:val="0"/>
        </w:rPr>
        <w:t xml:space="preserve"> The company has not indicated what type of wireless technologies will be developed in Munich, but in the opinion of the study team, it is likely that it will include wireless charging technologies.</w:t>
      </w:r>
    </w:p>
    <w:p w14:paraId="2073671B" w14:textId="2E5DEEF2" w:rsidR="00084C36" w:rsidRPr="00167A1B" w:rsidRDefault="00B935CA" w:rsidP="00084C36">
      <w:pPr>
        <w:pStyle w:val="BodyText1"/>
        <w:rPr>
          <w:noProof w:val="0"/>
        </w:rPr>
      </w:pPr>
      <w:r w:rsidRPr="00167A1B">
        <w:rPr>
          <w:noProof w:val="0"/>
        </w:rPr>
        <w:t>Besides Apple</w:t>
      </w:r>
      <w:r w:rsidR="00084C36" w:rsidRPr="00167A1B">
        <w:rPr>
          <w:noProof w:val="0"/>
        </w:rPr>
        <w:t>, there are no indications that any other company is planning to stop using USB connectors (despite the migration from USB micro-B to USB C).</w:t>
      </w:r>
    </w:p>
    <w:p w14:paraId="06473CA5" w14:textId="77777777" w:rsidR="00084C36" w:rsidRPr="00167A1B" w:rsidRDefault="00084C36" w:rsidP="00084C36">
      <w:pPr>
        <w:pStyle w:val="BodyText1"/>
        <w:rPr>
          <w:noProof w:val="0"/>
        </w:rPr>
      </w:pPr>
      <w:r w:rsidRPr="00167A1B">
        <w:rPr>
          <w:noProof w:val="0"/>
        </w:rPr>
        <w:t xml:space="preserve">It should be noted that this option may have implications on innovation on wireless charging if the inclusion of USB Type C connectors is mandatory, and companies are not offered the choice of not including receptacles at all and relying on wireless charging exclusively. </w:t>
      </w:r>
    </w:p>
    <w:p w14:paraId="75EE4481" w14:textId="77777777" w:rsidR="00084C36" w:rsidRPr="00167A1B" w:rsidRDefault="00084C36" w:rsidP="00084C36">
      <w:pPr>
        <w:pStyle w:val="BodyText1"/>
        <w:rPr>
          <w:i/>
          <w:noProof w:val="0"/>
          <w:color w:val="0C4DA2" w:themeColor="text2"/>
          <w:szCs w:val="24"/>
        </w:rPr>
      </w:pPr>
      <w:r w:rsidRPr="00167A1B">
        <w:rPr>
          <w:noProof w:val="0"/>
        </w:rPr>
        <w:t>Therefore, overall, we conclude that, in practice, option 1 would be likely to only have a minor constraining impact on innovation for companies all around the world, and no or negligible effect for companies based in the EU. If companies are not given the choice to remove receptacles, it may however have a significant indirect impact on innovation in wireless technologies.</w:t>
      </w:r>
    </w:p>
    <w:p w14:paraId="50C6FC67" w14:textId="7070CE84" w:rsidR="00084C36" w:rsidRPr="00167A1B" w:rsidRDefault="00084C36" w:rsidP="00084C36">
      <w:pPr>
        <w:pStyle w:val="Subtitle10"/>
        <w:rPr>
          <w:noProof w:val="0"/>
        </w:rPr>
      </w:pPr>
      <w:r w:rsidRPr="00167A1B">
        <w:rPr>
          <w:noProof w:val="0"/>
        </w:rPr>
        <w:t>Option 2</w:t>
      </w:r>
      <w:r w:rsidR="00136AB3" w:rsidRPr="00167A1B">
        <w:rPr>
          <w:noProof w:val="0"/>
        </w:rPr>
        <w:t>: Require EPS for mobile phones to be compatible with USB charging technology</w:t>
      </w:r>
    </w:p>
    <w:p w14:paraId="7CCDD8DA" w14:textId="0A57639A" w:rsidR="00084C36" w:rsidRPr="00167A1B" w:rsidRDefault="00084C36" w:rsidP="00084C36">
      <w:pPr>
        <w:pStyle w:val="BodyText1"/>
        <w:rPr>
          <w:bCs/>
          <w:noProof w:val="0"/>
        </w:rPr>
      </w:pPr>
      <w:r w:rsidRPr="00167A1B">
        <w:rPr>
          <w:bCs/>
          <w:noProof w:val="0"/>
        </w:rPr>
        <w:t xml:space="preserve">Requiring mobile phones to use USB Type-C or USB PD battery charging protocols implies that USB micro-B connectors would not be allowed any more. In this case, however, Lightning connectors and cables would still be permitted, as they are compatible with the USB Type-C </w:t>
      </w:r>
      <w:r w:rsidR="00167A1B" w:rsidRPr="00167A1B">
        <w:rPr>
          <w:bCs/>
          <w:noProof w:val="0"/>
        </w:rPr>
        <w:t>specification</w:t>
      </w:r>
      <w:r w:rsidRPr="00167A1B">
        <w:rPr>
          <w:bCs/>
          <w:noProof w:val="0"/>
        </w:rPr>
        <w:t xml:space="preserve"> for connectors.</w:t>
      </w:r>
    </w:p>
    <w:p w14:paraId="3275D78B" w14:textId="14F3544F" w:rsidR="009E6506" w:rsidRPr="00167A1B" w:rsidRDefault="009E6506" w:rsidP="00084C36">
      <w:pPr>
        <w:pStyle w:val="BodyText1"/>
        <w:rPr>
          <w:b/>
          <w:noProof w:val="0"/>
        </w:rPr>
      </w:pPr>
      <w:r w:rsidRPr="00167A1B">
        <w:rPr>
          <w:b/>
          <w:noProof w:val="0"/>
        </w:rPr>
        <w:t>Costs for consumers</w:t>
      </w:r>
    </w:p>
    <w:p w14:paraId="00051072" w14:textId="31872C69" w:rsidR="00084C36" w:rsidRPr="00167A1B" w:rsidRDefault="00084C36" w:rsidP="00084C36">
      <w:pPr>
        <w:pStyle w:val="BodyText1"/>
        <w:rPr>
          <w:bCs/>
          <w:noProof w:val="0"/>
        </w:rPr>
      </w:pPr>
      <w:r w:rsidRPr="00167A1B">
        <w:rPr>
          <w:bCs/>
          <w:noProof w:val="0"/>
        </w:rPr>
        <w:t>In this option, consumers pay a little less for their chargers than in the baseline (168 million EUR less</w:t>
      </w:r>
      <w:r w:rsidR="00214EC4" w:rsidRPr="00167A1B">
        <w:rPr>
          <w:bCs/>
          <w:noProof w:val="0"/>
        </w:rPr>
        <w:t xml:space="preserve">, see </w:t>
      </w:r>
      <w:r w:rsidR="00214EC4" w:rsidRPr="00167A1B">
        <w:rPr>
          <w:bCs/>
          <w:noProof w:val="0"/>
        </w:rPr>
        <w:fldChar w:fldCharType="begin"/>
      </w:r>
      <w:r w:rsidR="00214EC4" w:rsidRPr="00167A1B">
        <w:rPr>
          <w:bCs/>
          <w:noProof w:val="0"/>
        </w:rPr>
        <w:instrText xml:space="preserve"> REF _Ref71618964 \h </w:instrText>
      </w:r>
      <w:r w:rsidR="00214EC4" w:rsidRPr="00167A1B">
        <w:rPr>
          <w:bCs/>
          <w:noProof w:val="0"/>
        </w:rPr>
      </w:r>
      <w:r w:rsidR="00214EC4" w:rsidRPr="00167A1B">
        <w:rPr>
          <w:bCs/>
          <w:noProof w:val="0"/>
        </w:rPr>
        <w:fldChar w:fldCharType="separate"/>
      </w:r>
      <w:r w:rsidR="00214EC4" w:rsidRPr="00167A1B">
        <w:rPr>
          <w:noProof w:val="0"/>
        </w:rPr>
        <w:t>Table 10</w:t>
      </w:r>
      <w:r w:rsidR="00214EC4" w:rsidRPr="00167A1B">
        <w:rPr>
          <w:bCs/>
          <w:noProof w:val="0"/>
        </w:rPr>
        <w:fldChar w:fldCharType="end"/>
      </w:r>
      <w:r w:rsidRPr="00167A1B">
        <w:rPr>
          <w:bCs/>
          <w:noProof w:val="0"/>
        </w:rPr>
        <w:t xml:space="preserve">). With the harmonisation of battery charging protocols at the device end, it is hypothesised that the EPS sold bundled with mobile phones would be able to provide fast charge. This would in turn reduce the amount of standalone EPS that consumers buy </w:t>
      </w:r>
      <w:r w:rsidR="00214EC4" w:rsidRPr="00167A1B">
        <w:rPr>
          <w:bCs/>
          <w:noProof w:val="0"/>
        </w:rPr>
        <w:t>by 4% by 2030.</w:t>
      </w:r>
      <w:r w:rsidR="00214EC4" w:rsidRPr="00167A1B">
        <w:rPr>
          <w:rStyle w:val="FootnoteReference"/>
          <w:bCs/>
          <w:noProof w:val="0"/>
        </w:rPr>
        <w:footnoteReference w:id="112"/>
      </w:r>
      <w:r w:rsidR="00214EC4" w:rsidRPr="00167A1B">
        <w:rPr>
          <w:bCs/>
          <w:noProof w:val="0"/>
        </w:rPr>
        <w:t xml:space="preserve"> </w:t>
      </w:r>
      <w:r w:rsidRPr="00167A1B">
        <w:rPr>
          <w:bCs/>
          <w:noProof w:val="0"/>
        </w:rPr>
        <w:t xml:space="preserve">This effect </w:t>
      </w:r>
      <w:r w:rsidR="00167A1B">
        <w:rPr>
          <w:bCs/>
          <w:noProof w:val="0"/>
        </w:rPr>
        <w:t>out</w:t>
      </w:r>
      <w:r w:rsidRPr="00167A1B">
        <w:rPr>
          <w:bCs/>
          <w:noProof w:val="0"/>
        </w:rPr>
        <w:t>weighs the higher cost of USB Type-C in relation to USB micro-B, and the cost of upgrading the battery charging protocol to USB Type-C or USB PD.</w:t>
      </w:r>
    </w:p>
    <w:p w14:paraId="5ACBC921" w14:textId="50BBC10A" w:rsidR="009E6506" w:rsidRPr="00167A1B" w:rsidRDefault="009E6506" w:rsidP="00084C36">
      <w:pPr>
        <w:pStyle w:val="BodyText1"/>
        <w:rPr>
          <w:bCs/>
          <w:noProof w:val="0"/>
        </w:rPr>
      </w:pPr>
      <w:r w:rsidRPr="00167A1B">
        <w:rPr>
          <w:b/>
          <w:bCs/>
          <w:noProof w:val="0"/>
        </w:rPr>
        <w:t xml:space="preserve">Impacts on </w:t>
      </w:r>
      <w:r w:rsidR="000F5CDF" w:rsidRPr="00167A1B">
        <w:rPr>
          <w:b/>
          <w:bCs/>
          <w:noProof w:val="0"/>
        </w:rPr>
        <w:t>competitiveness</w:t>
      </w:r>
    </w:p>
    <w:p w14:paraId="5D549298" w14:textId="77777777" w:rsidR="00084C36" w:rsidRPr="00167A1B" w:rsidRDefault="00084C36" w:rsidP="00084C36">
      <w:pPr>
        <w:pStyle w:val="BodyText1"/>
        <w:rPr>
          <w:bCs/>
          <w:noProof w:val="0"/>
        </w:rPr>
      </w:pPr>
      <w:r w:rsidRPr="00167A1B">
        <w:rPr>
          <w:bCs/>
          <w:noProof w:val="0"/>
        </w:rPr>
        <w:t>The savings that consumers achieve translate into a very minor decrease of benefits for the industry. The businesses affected by this option would be those who produce and sell standalone fast chargers.</w:t>
      </w:r>
    </w:p>
    <w:p w14:paraId="3483330A" w14:textId="33959623" w:rsidR="00303E27" w:rsidRPr="00167A1B" w:rsidRDefault="00303E27" w:rsidP="00303E27">
      <w:pPr>
        <w:pStyle w:val="Caption"/>
      </w:pPr>
      <w:r w:rsidRPr="00167A1B">
        <w:t xml:space="preserve">Table </w:t>
      </w:r>
      <w:r w:rsidRPr="00167A1B">
        <w:fldChar w:fldCharType="begin"/>
      </w:r>
      <w:r w:rsidRPr="00167A1B">
        <w:instrText xml:space="preserve"> SEQ Table \* ARABIC </w:instrText>
      </w:r>
      <w:r w:rsidRPr="00167A1B">
        <w:fldChar w:fldCharType="separate"/>
      </w:r>
      <w:r w:rsidR="00953106" w:rsidRPr="00167A1B">
        <w:t>14</w:t>
      </w:r>
      <w:r w:rsidRPr="00167A1B">
        <w:fldChar w:fldCharType="end"/>
      </w:r>
      <w:r w:rsidRPr="00167A1B">
        <w:t xml:space="preserve">: Impacts on </w:t>
      </w:r>
      <w:r w:rsidR="00167A1B" w:rsidRPr="00167A1B">
        <w:t>competitiveness</w:t>
      </w:r>
      <w:r w:rsidRPr="00167A1B">
        <w:t xml:space="preserve"> of policy option 2 per type of stakeholder</w:t>
      </w:r>
    </w:p>
    <w:tbl>
      <w:tblPr>
        <w:tblStyle w:val="TableGrid"/>
        <w:tblW w:w="0" w:type="auto"/>
        <w:tblLayout w:type="fixed"/>
        <w:tblCellMar>
          <w:top w:w="57" w:type="dxa"/>
          <w:bottom w:w="57" w:type="dxa"/>
        </w:tblCellMar>
        <w:tblLook w:val="04A0" w:firstRow="1" w:lastRow="0" w:firstColumn="1" w:lastColumn="0" w:noHBand="0" w:noVBand="1"/>
      </w:tblPr>
      <w:tblGrid>
        <w:gridCol w:w="1696"/>
        <w:gridCol w:w="2977"/>
        <w:gridCol w:w="2725"/>
        <w:gridCol w:w="1663"/>
      </w:tblGrid>
      <w:tr w:rsidR="00666B97" w:rsidRPr="00167A1B" w14:paraId="6B728DA7" w14:textId="77777777" w:rsidTr="00860C7C">
        <w:trPr>
          <w:cnfStyle w:val="100000000000" w:firstRow="1" w:lastRow="0" w:firstColumn="0" w:lastColumn="0" w:oddVBand="0" w:evenVBand="0" w:oddHBand="0" w:evenHBand="0" w:firstRowFirstColumn="0" w:firstRowLastColumn="0" w:lastRowFirstColumn="0" w:lastRowLastColumn="0"/>
          <w:trHeight w:val="675"/>
          <w:tblHeader/>
        </w:trPr>
        <w:tc>
          <w:tcPr>
            <w:tcW w:w="1696" w:type="dxa"/>
            <w:shd w:val="clear" w:color="auto" w:fill="0C4DA2" w:themeFill="text2"/>
          </w:tcPr>
          <w:p w14:paraId="1DBCC6AD" w14:textId="77777777" w:rsidR="009E6506" w:rsidRPr="00167A1B" w:rsidRDefault="009E6506" w:rsidP="00063490">
            <w:pPr>
              <w:pStyle w:val="Body"/>
              <w:numPr>
                <w:ilvl w:val="0"/>
                <w:numId w:val="0"/>
              </w:numPr>
              <w:jc w:val="left"/>
              <w:rPr>
                <w:rFonts w:ascii="Arial" w:hAnsi="Arial" w:cs="Arial"/>
                <w:b/>
                <w:lang w:val="en-GB"/>
              </w:rPr>
            </w:pPr>
            <w:r w:rsidRPr="00167A1B">
              <w:rPr>
                <w:rFonts w:ascii="Arial" w:hAnsi="Arial" w:cs="Arial"/>
                <w:b/>
                <w:lang w:val="en-GB"/>
              </w:rPr>
              <w:t>Stakeholder</w:t>
            </w:r>
          </w:p>
        </w:tc>
        <w:tc>
          <w:tcPr>
            <w:tcW w:w="2977" w:type="dxa"/>
            <w:shd w:val="clear" w:color="auto" w:fill="0C4DA2" w:themeFill="text2"/>
          </w:tcPr>
          <w:p w14:paraId="6E1EA82C" w14:textId="77777777" w:rsidR="009E6506" w:rsidRPr="00167A1B" w:rsidRDefault="009E6506" w:rsidP="00063490">
            <w:pPr>
              <w:pStyle w:val="Body"/>
              <w:numPr>
                <w:ilvl w:val="0"/>
                <w:numId w:val="0"/>
              </w:numPr>
              <w:jc w:val="left"/>
              <w:rPr>
                <w:rFonts w:ascii="Arial" w:hAnsi="Arial" w:cs="Arial"/>
                <w:b/>
                <w:lang w:val="en-GB"/>
              </w:rPr>
            </w:pPr>
            <w:r w:rsidRPr="00167A1B">
              <w:rPr>
                <w:rFonts w:ascii="Arial" w:hAnsi="Arial" w:cs="Arial"/>
                <w:b/>
                <w:lang w:val="en-GB"/>
              </w:rPr>
              <w:t>Benefits</w:t>
            </w:r>
          </w:p>
        </w:tc>
        <w:tc>
          <w:tcPr>
            <w:tcW w:w="2725" w:type="dxa"/>
            <w:shd w:val="clear" w:color="auto" w:fill="0C4DA2" w:themeFill="text2"/>
          </w:tcPr>
          <w:p w14:paraId="29268B35" w14:textId="77777777" w:rsidR="009E6506" w:rsidRPr="00167A1B" w:rsidRDefault="009E6506" w:rsidP="00063490">
            <w:pPr>
              <w:pStyle w:val="Body"/>
              <w:numPr>
                <w:ilvl w:val="0"/>
                <w:numId w:val="0"/>
              </w:numPr>
              <w:jc w:val="left"/>
              <w:rPr>
                <w:rFonts w:ascii="Arial" w:hAnsi="Arial" w:cs="Arial"/>
                <w:b/>
                <w:lang w:val="en-GB"/>
              </w:rPr>
            </w:pPr>
            <w:r w:rsidRPr="00167A1B">
              <w:rPr>
                <w:rFonts w:ascii="Arial" w:hAnsi="Arial" w:cs="Arial"/>
                <w:b/>
                <w:lang w:val="en-GB"/>
              </w:rPr>
              <w:t>Changes in competitive landscape</w:t>
            </w:r>
          </w:p>
        </w:tc>
        <w:tc>
          <w:tcPr>
            <w:tcW w:w="1663" w:type="dxa"/>
            <w:shd w:val="clear" w:color="auto" w:fill="0C4DA2" w:themeFill="text2"/>
          </w:tcPr>
          <w:p w14:paraId="46B74765" w14:textId="77777777" w:rsidR="009E6506" w:rsidRPr="00167A1B" w:rsidRDefault="009E6506" w:rsidP="00063490">
            <w:pPr>
              <w:pStyle w:val="Body"/>
              <w:numPr>
                <w:ilvl w:val="0"/>
                <w:numId w:val="0"/>
              </w:numPr>
              <w:jc w:val="left"/>
              <w:rPr>
                <w:rFonts w:ascii="Arial" w:hAnsi="Arial" w:cs="Arial"/>
                <w:b/>
                <w:lang w:val="en-GB"/>
              </w:rPr>
            </w:pPr>
            <w:r w:rsidRPr="00167A1B">
              <w:rPr>
                <w:rFonts w:ascii="Arial" w:hAnsi="Arial" w:cs="Arial"/>
                <w:b/>
                <w:lang w:val="en-GB"/>
              </w:rPr>
              <w:t>Variations in income from royalties</w:t>
            </w:r>
          </w:p>
        </w:tc>
      </w:tr>
      <w:tr w:rsidR="00666B97" w:rsidRPr="00167A1B" w14:paraId="43BDD3A5" w14:textId="77777777" w:rsidTr="00860C7C">
        <w:trPr>
          <w:trHeight w:val="676"/>
        </w:trPr>
        <w:tc>
          <w:tcPr>
            <w:tcW w:w="1696" w:type="dxa"/>
          </w:tcPr>
          <w:p w14:paraId="24B126C6" w14:textId="77777777" w:rsidR="009E6506" w:rsidRPr="00167A1B" w:rsidRDefault="009E6506" w:rsidP="00063490">
            <w:pPr>
              <w:pStyle w:val="Body"/>
              <w:numPr>
                <w:ilvl w:val="0"/>
                <w:numId w:val="0"/>
              </w:numPr>
              <w:jc w:val="left"/>
              <w:rPr>
                <w:rFonts w:ascii="Arial" w:hAnsi="Arial" w:cs="Arial"/>
                <w:b/>
                <w:lang w:val="en-GB"/>
              </w:rPr>
            </w:pPr>
            <w:r w:rsidRPr="00167A1B">
              <w:rPr>
                <w:rFonts w:ascii="Arial" w:hAnsi="Arial" w:cs="Arial"/>
                <w:b/>
                <w:lang w:val="en-GB"/>
              </w:rPr>
              <w:t>Manufacturers of System on a Chip (SoC)</w:t>
            </w:r>
          </w:p>
        </w:tc>
        <w:tc>
          <w:tcPr>
            <w:tcW w:w="2977" w:type="dxa"/>
          </w:tcPr>
          <w:p w14:paraId="1DA69865" w14:textId="77777777" w:rsidR="00303E27" w:rsidRPr="00167A1B" w:rsidRDefault="009E6506" w:rsidP="00063490">
            <w:pPr>
              <w:pStyle w:val="Body"/>
              <w:numPr>
                <w:ilvl w:val="0"/>
                <w:numId w:val="0"/>
              </w:numPr>
              <w:jc w:val="left"/>
              <w:rPr>
                <w:rFonts w:ascii="Arial" w:hAnsi="Arial" w:cs="Arial"/>
                <w:lang w:val="en-GB"/>
              </w:rPr>
            </w:pPr>
            <w:r w:rsidRPr="00167A1B">
              <w:rPr>
                <w:rFonts w:ascii="Arial" w:hAnsi="Arial" w:cs="Arial"/>
                <w:lang w:val="en-GB"/>
              </w:rPr>
              <w:t>Currently, manufacturers of SoC are already including USB PD</w:t>
            </w:r>
            <w:r w:rsidR="00303E27" w:rsidRPr="00167A1B">
              <w:rPr>
                <w:rFonts w:ascii="Arial" w:hAnsi="Arial" w:cs="Arial"/>
                <w:lang w:val="en-GB"/>
              </w:rPr>
              <w:t xml:space="preserve"> and/or USB Type-C</w:t>
            </w:r>
            <w:r w:rsidRPr="00167A1B">
              <w:rPr>
                <w:rFonts w:ascii="Arial" w:hAnsi="Arial" w:cs="Arial"/>
                <w:lang w:val="en-GB"/>
              </w:rPr>
              <w:t xml:space="preserve"> in</w:t>
            </w:r>
            <w:r w:rsidR="00303E27" w:rsidRPr="00167A1B">
              <w:rPr>
                <w:rFonts w:ascii="Arial" w:hAnsi="Arial" w:cs="Arial"/>
                <w:lang w:val="en-GB"/>
              </w:rPr>
              <w:t xml:space="preserve"> most of</w:t>
            </w:r>
            <w:r w:rsidRPr="00167A1B">
              <w:rPr>
                <w:rFonts w:ascii="Arial" w:hAnsi="Arial" w:cs="Arial"/>
                <w:lang w:val="en-GB"/>
              </w:rPr>
              <w:t xml:space="preserve"> their chips. </w:t>
            </w:r>
          </w:p>
          <w:p w14:paraId="3B293965" w14:textId="112B5536" w:rsidR="009E6506" w:rsidRPr="00167A1B" w:rsidRDefault="00303E27" w:rsidP="00063490">
            <w:pPr>
              <w:pStyle w:val="Body"/>
              <w:numPr>
                <w:ilvl w:val="0"/>
                <w:numId w:val="0"/>
              </w:numPr>
              <w:jc w:val="left"/>
              <w:rPr>
                <w:rFonts w:ascii="Arial" w:hAnsi="Arial" w:cs="Arial"/>
                <w:lang w:val="en-GB"/>
              </w:rPr>
            </w:pPr>
            <w:r w:rsidRPr="00167A1B">
              <w:rPr>
                <w:rFonts w:ascii="Arial" w:hAnsi="Arial" w:cs="Arial"/>
                <w:lang w:val="en-GB"/>
              </w:rPr>
              <w:t>Some ch</w:t>
            </w:r>
            <w:r w:rsidR="00063490" w:rsidRPr="00167A1B">
              <w:rPr>
                <w:rFonts w:ascii="Arial" w:hAnsi="Arial" w:cs="Arial"/>
                <w:lang w:val="en-GB"/>
              </w:rPr>
              <w:t xml:space="preserve">ips used in phones still use older technologies (e.g. UBS BC or QC3), but manufacturers of SoC interviewed considered these chips will be almost completely </w:t>
            </w:r>
            <w:r w:rsidR="00063490" w:rsidRPr="00167A1B">
              <w:rPr>
                <w:rFonts w:ascii="Arial" w:hAnsi="Arial" w:cs="Arial"/>
                <w:lang w:val="en-GB"/>
              </w:rPr>
              <w:lastRenderedPageBreak/>
              <w:t>phased out in the baseline by 2024.</w:t>
            </w:r>
            <w:r w:rsidR="009E6506" w:rsidRPr="00167A1B">
              <w:rPr>
                <w:rFonts w:ascii="Arial" w:hAnsi="Arial" w:cs="Arial"/>
                <w:lang w:val="en-GB"/>
              </w:rPr>
              <w:t xml:space="preserve"> </w:t>
            </w:r>
          </w:p>
        </w:tc>
        <w:tc>
          <w:tcPr>
            <w:tcW w:w="2725" w:type="dxa"/>
          </w:tcPr>
          <w:p w14:paraId="378BABC3" w14:textId="5945BCFE" w:rsidR="009E6506" w:rsidRPr="00167A1B" w:rsidRDefault="009E6506" w:rsidP="00063490">
            <w:pPr>
              <w:pStyle w:val="Body"/>
              <w:numPr>
                <w:ilvl w:val="0"/>
                <w:numId w:val="0"/>
              </w:numPr>
              <w:jc w:val="left"/>
              <w:rPr>
                <w:rFonts w:ascii="Arial" w:hAnsi="Arial" w:cs="Arial"/>
                <w:lang w:val="en-GB"/>
              </w:rPr>
            </w:pPr>
            <w:r w:rsidRPr="00167A1B">
              <w:rPr>
                <w:rFonts w:ascii="Arial" w:hAnsi="Arial" w:cs="Arial"/>
                <w:lang w:val="en-GB"/>
              </w:rPr>
              <w:lastRenderedPageBreak/>
              <w:t>The battery charging protocol is only a small component of the chip. It is not expected that the option would produce changes in the distribution of revenue</w:t>
            </w:r>
            <w:r w:rsidR="00063490" w:rsidRPr="00167A1B">
              <w:rPr>
                <w:rFonts w:ascii="Arial" w:hAnsi="Arial" w:cs="Arial"/>
                <w:lang w:val="en-GB"/>
              </w:rPr>
              <w:t xml:space="preserve"> among competitors</w:t>
            </w:r>
            <w:r w:rsidRPr="00167A1B">
              <w:rPr>
                <w:rFonts w:ascii="Arial" w:hAnsi="Arial" w:cs="Arial"/>
                <w:lang w:val="en-GB"/>
              </w:rPr>
              <w:t>.</w:t>
            </w:r>
          </w:p>
        </w:tc>
        <w:tc>
          <w:tcPr>
            <w:tcW w:w="1663" w:type="dxa"/>
          </w:tcPr>
          <w:p w14:paraId="04492A0A" w14:textId="36E34818" w:rsidR="009E6506" w:rsidRPr="00167A1B" w:rsidRDefault="009E6506" w:rsidP="00063490">
            <w:pPr>
              <w:pStyle w:val="Body"/>
              <w:numPr>
                <w:ilvl w:val="0"/>
                <w:numId w:val="0"/>
              </w:numPr>
              <w:jc w:val="left"/>
              <w:rPr>
                <w:rFonts w:ascii="Arial" w:hAnsi="Arial" w:cs="Arial"/>
                <w:lang w:val="en-GB"/>
              </w:rPr>
            </w:pPr>
            <w:r w:rsidRPr="00167A1B">
              <w:rPr>
                <w:rFonts w:ascii="Arial" w:hAnsi="Arial" w:cs="Arial"/>
                <w:lang w:val="en-GB"/>
              </w:rPr>
              <w:t xml:space="preserve">Option 2 allows the use of proprietary charging protocols, </w:t>
            </w:r>
            <w:proofErr w:type="gramStart"/>
            <w:r w:rsidRPr="00167A1B">
              <w:rPr>
                <w:rFonts w:ascii="Arial" w:hAnsi="Arial" w:cs="Arial"/>
                <w:lang w:val="en-GB"/>
              </w:rPr>
              <w:t>as long as</w:t>
            </w:r>
            <w:proofErr w:type="gramEnd"/>
            <w:r w:rsidRPr="00167A1B">
              <w:rPr>
                <w:rFonts w:ascii="Arial" w:hAnsi="Arial" w:cs="Arial"/>
                <w:lang w:val="en-GB"/>
              </w:rPr>
              <w:t xml:space="preserve"> USB PD or USB Type-C is also included. Therefore, no losses of </w:t>
            </w:r>
            <w:r w:rsidRPr="00167A1B">
              <w:rPr>
                <w:rFonts w:ascii="Arial" w:hAnsi="Arial" w:cs="Arial"/>
                <w:lang w:val="en-GB"/>
              </w:rPr>
              <w:lastRenderedPageBreak/>
              <w:t xml:space="preserve">income from royalties are expected for SoC manufacturers. </w:t>
            </w:r>
          </w:p>
        </w:tc>
      </w:tr>
      <w:tr w:rsidR="00666B97" w:rsidRPr="00167A1B" w14:paraId="55D74255" w14:textId="77777777" w:rsidTr="00860C7C">
        <w:trPr>
          <w:trHeight w:val="450"/>
        </w:trPr>
        <w:tc>
          <w:tcPr>
            <w:tcW w:w="1696" w:type="dxa"/>
          </w:tcPr>
          <w:p w14:paraId="646D2F51" w14:textId="43358AC1" w:rsidR="009E6506" w:rsidRPr="00167A1B" w:rsidRDefault="009E6506" w:rsidP="00063490">
            <w:pPr>
              <w:pStyle w:val="Body"/>
              <w:numPr>
                <w:ilvl w:val="0"/>
                <w:numId w:val="0"/>
              </w:numPr>
              <w:jc w:val="left"/>
              <w:rPr>
                <w:rFonts w:ascii="Arial" w:hAnsi="Arial" w:cs="Arial"/>
                <w:b/>
                <w:lang w:val="en-GB"/>
              </w:rPr>
            </w:pPr>
            <w:r w:rsidRPr="00167A1B">
              <w:rPr>
                <w:rFonts w:ascii="Arial" w:hAnsi="Arial" w:cs="Arial"/>
                <w:b/>
                <w:lang w:val="en-GB"/>
              </w:rPr>
              <w:lastRenderedPageBreak/>
              <w:t xml:space="preserve">Manufacturers of mobile phones </w:t>
            </w:r>
          </w:p>
        </w:tc>
        <w:tc>
          <w:tcPr>
            <w:tcW w:w="2977" w:type="dxa"/>
          </w:tcPr>
          <w:p w14:paraId="12ACA082" w14:textId="77E1FD19" w:rsidR="00303E27" w:rsidRPr="00167A1B" w:rsidRDefault="00303E27" w:rsidP="00303E27">
            <w:pPr>
              <w:pStyle w:val="Body"/>
              <w:numPr>
                <w:ilvl w:val="0"/>
                <w:numId w:val="0"/>
              </w:numPr>
              <w:jc w:val="left"/>
              <w:rPr>
                <w:rFonts w:ascii="Arial" w:hAnsi="Arial" w:cs="Arial"/>
                <w:lang w:val="en-GB"/>
              </w:rPr>
            </w:pPr>
            <w:r w:rsidRPr="00167A1B">
              <w:rPr>
                <w:rFonts w:ascii="Arial" w:hAnsi="Arial" w:cs="Arial"/>
                <w:lang w:val="en-GB"/>
              </w:rPr>
              <w:t xml:space="preserve">Almost all mobile phones already incorporate USB PD or USB Type-C, </w:t>
            </w:r>
            <w:proofErr w:type="gramStart"/>
            <w:r w:rsidRPr="00167A1B">
              <w:rPr>
                <w:rFonts w:ascii="Arial" w:hAnsi="Arial" w:cs="Arial"/>
                <w:lang w:val="en-GB"/>
              </w:rPr>
              <w:t>with the exception of</w:t>
            </w:r>
            <w:proofErr w:type="gramEnd"/>
            <w:r w:rsidRPr="00167A1B">
              <w:rPr>
                <w:rFonts w:ascii="Arial" w:hAnsi="Arial" w:cs="Arial"/>
                <w:lang w:val="en-GB"/>
              </w:rPr>
              <w:t xml:space="preserve"> low and some medium tier devices. In principle, according to information provided by interviewees, the cost for mobile phone manufacturers of including USB PD at the device end is minor (0.6 EUR per phone, which totals 9 million EUR between 2024 and 2030 in difference with the baseline). This cost would be passed on to consumers at a total price of </w:t>
            </w:r>
            <w:r w:rsidR="00170D7C" w:rsidRPr="00167A1B">
              <w:rPr>
                <w:rFonts w:ascii="Arial" w:hAnsi="Arial" w:cs="Arial"/>
                <w:lang w:val="en-GB"/>
              </w:rPr>
              <w:t xml:space="preserve">47 </w:t>
            </w:r>
            <w:r w:rsidRPr="00167A1B">
              <w:rPr>
                <w:rFonts w:ascii="Arial" w:hAnsi="Arial" w:cs="Arial"/>
                <w:lang w:val="en-GB"/>
              </w:rPr>
              <w:t>million EUR between 2024 and 2030, in difference with the baseline.</w:t>
            </w:r>
            <w:r w:rsidR="00170D7C" w:rsidRPr="00167A1B">
              <w:rPr>
                <w:rFonts w:ascii="Arial" w:hAnsi="Arial" w:cs="Arial"/>
                <w:lang w:val="en-GB"/>
              </w:rPr>
              <w:t xml:space="preserve"> As explained in section 4.2, this cost could not be included in the stock model as information was incomplete. However, in relative terms, it is negligible (in this option, consumers save 1,175 million EUR, see Table 10).</w:t>
            </w:r>
            <w:r w:rsidRPr="00167A1B">
              <w:rPr>
                <w:rFonts w:ascii="Arial" w:hAnsi="Arial" w:cs="Arial"/>
                <w:lang w:val="en-GB"/>
              </w:rPr>
              <w:t xml:space="preserve"> It can be concluded that the cost on the device, in relative terms, is therefore negligible.</w:t>
            </w:r>
          </w:p>
          <w:p w14:paraId="17070C87" w14:textId="427E8CB7" w:rsidR="009E6506" w:rsidRPr="00167A1B" w:rsidRDefault="009E6506" w:rsidP="00063490">
            <w:pPr>
              <w:pStyle w:val="Body"/>
              <w:numPr>
                <w:ilvl w:val="0"/>
                <w:numId w:val="0"/>
              </w:numPr>
              <w:jc w:val="left"/>
              <w:rPr>
                <w:rFonts w:ascii="Arial" w:hAnsi="Arial" w:cs="Arial"/>
                <w:lang w:val="en-GB"/>
              </w:rPr>
            </w:pPr>
          </w:p>
        </w:tc>
        <w:tc>
          <w:tcPr>
            <w:tcW w:w="2725" w:type="dxa"/>
          </w:tcPr>
          <w:p w14:paraId="60C7A0C9" w14:textId="16A8BD1A" w:rsidR="009E6506" w:rsidRPr="00167A1B" w:rsidRDefault="00303E27" w:rsidP="00063490">
            <w:pPr>
              <w:pStyle w:val="Body"/>
              <w:numPr>
                <w:ilvl w:val="0"/>
                <w:numId w:val="0"/>
              </w:numPr>
              <w:jc w:val="left"/>
              <w:rPr>
                <w:rFonts w:ascii="Arial" w:hAnsi="Arial" w:cs="Arial"/>
                <w:lang w:val="en-GB"/>
              </w:rPr>
            </w:pPr>
            <w:r w:rsidRPr="00167A1B">
              <w:rPr>
                <w:rFonts w:ascii="Arial" w:hAnsi="Arial" w:cs="Arial"/>
                <w:lang w:val="en-GB"/>
              </w:rPr>
              <w:t xml:space="preserve">The option is not expected to generate major changes in the competitive landscape. Manufacturers who want to continue offering proprietary fast charging solutions along with USB PD could continue </w:t>
            </w:r>
            <w:r w:rsidR="00063490" w:rsidRPr="00167A1B">
              <w:rPr>
                <w:rFonts w:ascii="Arial" w:hAnsi="Arial" w:cs="Arial"/>
                <w:lang w:val="en-GB"/>
              </w:rPr>
              <w:t xml:space="preserve">to do </w:t>
            </w:r>
            <w:r w:rsidRPr="00167A1B">
              <w:rPr>
                <w:rFonts w:ascii="Arial" w:hAnsi="Arial" w:cs="Arial"/>
                <w:lang w:val="en-GB"/>
              </w:rPr>
              <w:t xml:space="preserve">so, and consumers who value this as a competitive advantage would continue to be willing to pay a premium for this feature. </w:t>
            </w:r>
          </w:p>
          <w:p w14:paraId="14C72DE4" w14:textId="01548BF6" w:rsidR="00063490" w:rsidRPr="00167A1B" w:rsidRDefault="00063490" w:rsidP="00063490">
            <w:pPr>
              <w:pStyle w:val="Body"/>
              <w:numPr>
                <w:ilvl w:val="0"/>
                <w:numId w:val="0"/>
              </w:numPr>
              <w:jc w:val="left"/>
              <w:rPr>
                <w:rFonts w:ascii="Arial" w:hAnsi="Arial" w:cs="Arial"/>
                <w:lang w:val="en-GB"/>
              </w:rPr>
            </w:pPr>
            <w:r w:rsidRPr="00167A1B">
              <w:rPr>
                <w:rFonts w:ascii="Arial" w:hAnsi="Arial" w:cs="Arial"/>
                <w:lang w:val="en-GB"/>
              </w:rPr>
              <w:t xml:space="preserve">This option might affect negatively small firms that produce low-end phones and that would have otherwise continued using USB micro-B connectors and/or USB BC protocol. </w:t>
            </w:r>
            <w:r w:rsidR="00151966" w:rsidRPr="00167A1B">
              <w:rPr>
                <w:rFonts w:ascii="Arial" w:hAnsi="Arial" w:cs="Arial"/>
                <w:lang w:val="en-GB"/>
              </w:rPr>
              <w:t>The size of this market is small (9% in the baseline in 2024).</w:t>
            </w:r>
          </w:p>
        </w:tc>
        <w:tc>
          <w:tcPr>
            <w:tcW w:w="1663" w:type="dxa"/>
          </w:tcPr>
          <w:p w14:paraId="3838325C" w14:textId="022FD601" w:rsidR="009E6506" w:rsidRPr="00167A1B" w:rsidRDefault="00303E27" w:rsidP="00063490">
            <w:pPr>
              <w:pStyle w:val="Body"/>
              <w:numPr>
                <w:ilvl w:val="0"/>
                <w:numId w:val="0"/>
              </w:numPr>
              <w:jc w:val="left"/>
              <w:rPr>
                <w:rFonts w:ascii="Arial" w:hAnsi="Arial" w:cs="Arial"/>
                <w:lang w:val="en-GB"/>
              </w:rPr>
            </w:pPr>
            <w:r w:rsidRPr="00167A1B">
              <w:rPr>
                <w:rFonts w:ascii="Arial" w:hAnsi="Arial" w:cs="Arial"/>
                <w:lang w:val="en-GB"/>
              </w:rPr>
              <w:t>No impact</w:t>
            </w:r>
          </w:p>
        </w:tc>
      </w:tr>
      <w:tr w:rsidR="00666B97" w:rsidRPr="00167A1B" w14:paraId="36D6CB85" w14:textId="77777777" w:rsidTr="00860C7C">
        <w:trPr>
          <w:trHeight w:val="747"/>
        </w:trPr>
        <w:tc>
          <w:tcPr>
            <w:tcW w:w="1696" w:type="dxa"/>
          </w:tcPr>
          <w:p w14:paraId="3E1892BE" w14:textId="77777777" w:rsidR="009E6506" w:rsidRPr="00167A1B" w:rsidRDefault="009E6506" w:rsidP="00063490">
            <w:pPr>
              <w:pStyle w:val="Body"/>
              <w:numPr>
                <w:ilvl w:val="0"/>
                <w:numId w:val="0"/>
              </w:numPr>
              <w:jc w:val="left"/>
              <w:rPr>
                <w:rFonts w:ascii="Arial" w:hAnsi="Arial" w:cs="Arial"/>
                <w:b/>
                <w:lang w:val="en-GB"/>
              </w:rPr>
            </w:pPr>
            <w:r w:rsidRPr="00167A1B">
              <w:rPr>
                <w:rFonts w:ascii="Arial" w:hAnsi="Arial" w:cs="Arial"/>
                <w:b/>
                <w:lang w:val="en-GB"/>
              </w:rPr>
              <w:t>Manufacturers of chargers</w:t>
            </w:r>
          </w:p>
        </w:tc>
        <w:tc>
          <w:tcPr>
            <w:tcW w:w="2977" w:type="dxa"/>
          </w:tcPr>
          <w:p w14:paraId="6CAB3063" w14:textId="2A1B1B0B" w:rsidR="009E6506" w:rsidRPr="00167A1B" w:rsidRDefault="00151966" w:rsidP="00063490">
            <w:pPr>
              <w:pStyle w:val="Body"/>
              <w:numPr>
                <w:ilvl w:val="0"/>
                <w:numId w:val="0"/>
              </w:numPr>
              <w:jc w:val="left"/>
              <w:rPr>
                <w:rFonts w:ascii="Arial" w:hAnsi="Arial" w:cs="Arial"/>
                <w:lang w:val="en-GB"/>
              </w:rPr>
            </w:pPr>
            <w:r w:rsidRPr="00167A1B">
              <w:rPr>
                <w:rFonts w:ascii="Arial" w:hAnsi="Arial" w:cs="Arial"/>
                <w:lang w:val="en-GB"/>
              </w:rPr>
              <w:t>The benefits for this group would reduce slightly (-</w:t>
            </w:r>
            <w:r w:rsidR="000D47D8" w:rsidRPr="00167A1B">
              <w:rPr>
                <w:rFonts w:ascii="Arial" w:hAnsi="Arial" w:cs="Arial"/>
                <w:lang w:val="en-GB"/>
              </w:rPr>
              <w:t>221</w:t>
            </w:r>
            <w:r w:rsidRPr="00167A1B">
              <w:rPr>
                <w:rFonts w:ascii="Arial" w:hAnsi="Arial" w:cs="Arial"/>
                <w:lang w:val="en-GB"/>
              </w:rPr>
              <w:t xml:space="preserve"> million EUR between 2024-2030, </w:t>
            </w:r>
            <w:r w:rsidR="00C5296A" w:rsidRPr="00167A1B">
              <w:rPr>
                <w:rFonts w:ascii="Arial" w:hAnsi="Arial" w:cs="Arial"/>
                <w:lang w:val="en-GB"/>
              </w:rPr>
              <w:t>-</w:t>
            </w:r>
            <w:r w:rsidR="000D47D8" w:rsidRPr="00167A1B">
              <w:rPr>
                <w:rFonts w:ascii="Arial" w:hAnsi="Arial" w:cs="Arial"/>
                <w:lang w:val="en-GB"/>
              </w:rPr>
              <w:t>1.9</w:t>
            </w:r>
            <w:r w:rsidRPr="00167A1B">
              <w:rPr>
                <w:rFonts w:ascii="Arial" w:hAnsi="Arial" w:cs="Arial"/>
                <w:lang w:val="en-GB"/>
              </w:rPr>
              <w:t xml:space="preserve">%) due to a small reduction in </w:t>
            </w:r>
            <w:r w:rsidR="000D47D8" w:rsidRPr="00167A1B">
              <w:rPr>
                <w:rFonts w:ascii="Arial" w:hAnsi="Arial" w:cs="Arial"/>
                <w:lang w:val="en-GB"/>
              </w:rPr>
              <w:t>production of</w:t>
            </w:r>
            <w:r w:rsidRPr="00167A1B">
              <w:rPr>
                <w:rFonts w:ascii="Arial" w:hAnsi="Arial" w:cs="Arial"/>
                <w:lang w:val="en-GB"/>
              </w:rPr>
              <w:t xml:space="preserve"> standalone chargers as a result of the harmonisation.</w:t>
            </w:r>
          </w:p>
        </w:tc>
        <w:tc>
          <w:tcPr>
            <w:tcW w:w="2725" w:type="dxa"/>
          </w:tcPr>
          <w:p w14:paraId="1A9333F5" w14:textId="0073B780" w:rsidR="009E6506" w:rsidRPr="00167A1B" w:rsidRDefault="00151966" w:rsidP="00063490">
            <w:pPr>
              <w:pStyle w:val="Body"/>
              <w:numPr>
                <w:ilvl w:val="0"/>
                <w:numId w:val="0"/>
              </w:numPr>
              <w:jc w:val="left"/>
              <w:rPr>
                <w:rFonts w:ascii="Arial" w:hAnsi="Arial" w:cs="Arial"/>
                <w:lang w:val="en-GB"/>
              </w:rPr>
            </w:pPr>
            <w:r w:rsidRPr="00167A1B">
              <w:rPr>
                <w:rFonts w:ascii="Arial" w:hAnsi="Arial" w:cs="Arial"/>
                <w:lang w:val="en-GB"/>
              </w:rPr>
              <w:t>No impacts</w:t>
            </w:r>
          </w:p>
        </w:tc>
        <w:tc>
          <w:tcPr>
            <w:tcW w:w="1663" w:type="dxa"/>
          </w:tcPr>
          <w:p w14:paraId="1C3CFDC5" w14:textId="003D13D1" w:rsidR="009E6506" w:rsidRPr="00167A1B" w:rsidRDefault="00151966" w:rsidP="00063490">
            <w:pPr>
              <w:pStyle w:val="Body"/>
              <w:numPr>
                <w:ilvl w:val="0"/>
                <w:numId w:val="0"/>
              </w:numPr>
              <w:jc w:val="left"/>
              <w:rPr>
                <w:rFonts w:ascii="Arial" w:hAnsi="Arial" w:cs="Arial"/>
                <w:lang w:val="en-GB"/>
              </w:rPr>
            </w:pPr>
            <w:r w:rsidRPr="00167A1B">
              <w:rPr>
                <w:rFonts w:ascii="Arial" w:hAnsi="Arial" w:cs="Arial"/>
                <w:lang w:val="en-GB"/>
              </w:rPr>
              <w:t>No impacts</w:t>
            </w:r>
          </w:p>
        </w:tc>
      </w:tr>
      <w:tr w:rsidR="00666B97" w:rsidRPr="00167A1B" w14:paraId="076F69A0" w14:textId="77777777" w:rsidTr="00860C7C">
        <w:trPr>
          <w:trHeight w:val="566"/>
        </w:trPr>
        <w:tc>
          <w:tcPr>
            <w:tcW w:w="1696" w:type="dxa"/>
          </w:tcPr>
          <w:p w14:paraId="694A6C54" w14:textId="77777777" w:rsidR="009E6506" w:rsidRPr="00167A1B" w:rsidRDefault="009E6506" w:rsidP="00063490">
            <w:pPr>
              <w:pStyle w:val="Body"/>
              <w:numPr>
                <w:ilvl w:val="0"/>
                <w:numId w:val="0"/>
              </w:numPr>
              <w:jc w:val="left"/>
              <w:rPr>
                <w:rFonts w:ascii="Arial" w:hAnsi="Arial" w:cs="Arial"/>
                <w:b/>
                <w:lang w:val="en-GB"/>
              </w:rPr>
            </w:pPr>
            <w:r w:rsidRPr="00167A1B">
              <w:rPr>
                <w:rFonts w:ascii="Arial" w:hAnsi="Arial" w:cs="Arial"/>
                <w:b/>
                <w:lang w:val="en-GB"/>
              </w:rPr>
              <w:t>Distributors, retailers, and wholesalers</w:t>
            </w:r>
          </w:p>
        </w:tc>
        <w:tc>
          <w:tcPr>
            <w:tcW w:w="2977" w:type="dxa"/>
          </w:tcPr>
          <w:p w14:paraId="4778F6CA" w14:textId="57912E1B" w:rsidR="009E6506" w:rsidRPr="00167A1B" w:rsidRDefault="000D47D8" w:rsidP="00063490">
            <w:pPr>
              <w:pStyle w:val="Body"/>
              <w:numPr>
                <w:ilvl w:val="0"/>
                <w:numId w:val="0"/>
              </w:numPr>
              <w:jc w:val="left"/>
              <w:rPr>
                <w:rFonts w:ascii="Arial" w:hAnsi="Arial" w:cs="Arial"/>
                <w:lang w:val="en-GB"/>
              </w:rPr>
            </w:pPr>
            <w:r w:rsidRPr="00167A1B">
              <w:rPr>
                <w:rFonts w:ascii="Arial" w:hAnsi="Arial" w:cs="Arial"/>
                <w:lang w:val="en-GB"/>
              </w:rPr>
              <w:t>The benefits for this group would reduce slightly (-773 million EUR between 2024-2030, -3%) due to a small reduction in sales of standalone chargers as a result of the harmonisation.</w:t>
            </w:r>
          </w:p>
        </w:tc>
        <w:tc>
          <w:tcPr>
            <w:tcW w:w="2725" w:type="dxa"/>
          </w:tcPr>
          <w:p w14:paraId="06A09068" w14:textId="153F77ED" w:rsidR="009E6506" w:rsidRPr="00167A1B" w:rsidRDefault="009E6506" w:rsidP="00063490">
            <w:pPr>
              <w:pStyle w:val="Body"/>
              <w:numPr>
                <w:ilvl w:val="0"/>
                <w:numId w:val="0"/>
              </w:numPr>
              <w:jc w:val="left"/>
              <w:rPr>
                <w:rFonts w:ascii="Arial" w:hAnsi="Arial" w:cs="Arial"/>
                <w:lang w:val="en-GB"/>
              </w:rPr>
            </w:pPr>
            <w:r w:rsidRPr="00167A1B">
              <w:rPr>
                <w:rFonts w:ascii="Arial" w:hAnsi="Arial" w:cs="Arial"/>
                <w:lang w:val="en-GB"/>
              </w:rPr>
              <w:t>No impacts</w:t>
            </w:r>
          </w:p>
        </w:tc>
        <w:tc>
          <w:tcPr>
            <w:tcW w:w="1663" w:type="dxa"/>
          </w:tcPr>
          <w:p w14:paraId="58D0A445" w14:textId="70A69742" w:rsidR="009E6506" w:rsidRPr="00167A1B" w:rsidRDefault="009E6506" w:rsidP="00063490">
            <w:pPr>
              <w:pStyle w:val="Body"/>
              <w:numPr>
                <w:ilvl w:val="0"/>
                <w:numId w:val="0"/>
              </w:numPr>
              <w:jc w:val="left"/>
              <w:rPr>
                <w:rFonts w:ascii="Arial" w:hAnsi="Arial" w:cs="Arial"/>
                <w:lang w:val="en-GB"/>
              </w:rPr>
            </w:pPr>
            <w:r w:rsidRPr="00167A1B">
              <w:rPr>
                <w:rFonts w:ascii="Arial" w:hAnsi="Arial" w:cs="Arial"/>
                <w:lang w:val="en-GB"/>
              </w:rPr>
              <w:t>No impacts</w:t>
            </w:r>
          </w:p>
        </w:tc>
      </w:tr>
    </w:tbl>
    <w:p w14:paraId="5833D7B2" w14:textId="57FBF671" w:rsidR="00272D69" w:rsidRPr="00167A1B" w:rsidRDefault="00272D69" w:rsidP="00272D69">
      <w:pPr>
        <w:pStyle w:val="BodyText1"/>
        <w:rPr>
          <w:b/>
          <w:bCs/>
          <w:noProof w:val="0"/>
        </w:rPr>
      </w:pPr>
    </w:p>
    <w:p w14:paraId="782A2ADC" w14:textId="7D1CC0EE" w:rsidR="00303E27" w:rsidRPr="00167A1B" w:rsidRDefault="00303E27" w:rsidP="00272D69">
      <w:pPr>
        <w:pStyle w:val="BodyText1"/>
        <w:rPr>
          <w:b/>
          <w:bCs/>
          <w:noProof w:val="0"/>
        </w:rPr>
      </w:pPr>
      <w:r w:rsidRPr="00167A1B">
        <w:rPr>
          <w:b/>
          <w:bCs/>
          <w:noProof w:val="0"/>
        </w:rPr>
        <w:t>Impacts on innovation</w:t>
      </w:r>
    </w:p>
    <w:p w14:paraId="680728A9" w14:textId="14A56CE5" w:rsidR="00303E27" w:rsidRPr="00167A1B" w:rsidRDefault="00151966" w:rsidP="00303E27">
      <w:pPr>
        <w:pStyle w:val="BodyText1"/>
        <w:rPr>
          <w:noProof w:val="0"/>
        </w:rPr>
      </w:pPr>
      <w:r w:rsidRPr="00167A1B">
        <w:rPr>
          <w:noProof w:val="0"/>
        </w:rPr>
        <w:t>This</w:t>
      </w:r>
      <w:r w:rsidR="00303E27" w:rsidRPr="00167A1B">
        <w:rPr>
          <w:noProof w:val="0"/>
        </w:rPr>
        <w:t xml:space="preserve"> option would not impact on the capacity of firms to innovate</w:t>
      </w:r>
      <w:r w:rsidRPr="00167A1B">
        <w:rPr>
          <w:noProof w:val="0"/>
        </w:rPr>
        <w:t>, given that proprietary charging technologies would still be allowed</w:t>
      </w:r>
      <w:r w:rsidR="00303E27" w:rsidRPr="00167A1B">
        <w:rPr>
          <w:noProof w:val="0"/>
        </w:rPr>
        <w:t>.</w:t>
      </w:r>
    </w:p>
    <w:p w14:paraId="2733AC5A" w14:textId="77777777" w:rsidR="00272D69" w:rsidRPr="00167A1B" w:rsidRDefault="00272D69" w:rsidP="00084C36">
      <w:pPr>
        <w:pStyle w:val="BodyText1"/>
        <w:rPr>
          <w:b/>
          <w:noProof w:val="0"/>
        </w:rPr>
      </w:pPr>
    </w:p>
    <w:p w14:paraId="613BCF18" w14:textId="10D42148" w:rsidR="00084C36" w:rsidRPr="00167A1B" w:rsidRDefault="00084C36" w:rsidP="00084C36">
      <w:pPr>
        <w:pStyle w:val="Subtitle10"/>
        <w:rPr>
          <w:noProof w:val="0"/>
        </w:rPr>
      </w:pPr>
      <w:r w:rsidRPr="00167A1B">
        <w:rPr>
          <w:noProof w:val="0"/>
        </w:rPr>
        <w:lastRenderedPageBreak/>
        <w:t>Option 3</w:t>
      </w:r>
      <w:r w:rsidR="00136AB3" w:rsidRPr="00167A1B">
        <w:rPr>
          <w:noProof w:val="0"/>
        </w:rPr>
        <w:t>: Require EPS for mobile phones to comply with USB interoperability guidelines</w:t>
      </w:r>
    </w:p>
    <w:p w14:paraId="129E7629" w14:textId="3A6754C9" w:rsidR="00ED5730" w:rsidRPr="00167A1B" w:rsidRDefault="00ED5730" w:rsidP="00EF05D5">
      <w:pPr>
        <w:pStyle w:val="BodyText1"/>
        <w:rPr>
          <w:b/>
          <w:bCs/>
          <w:noProof w:val="0"/>
        </w:rPr>
      </w:pPr>
      <w:r w:rsidRPr="00167A1B">
        <w:rPr>
          <w:b/>
          <w:bCs/>
          <w:noProof w:val="0"/>
        </w:rPr>
        <w:t>Costs for consumers</w:t>
      </w:r>
    </w:p>
    <w:p w14:paraId="3C6CD261" w14:textId="2C0239BB" w:rsidR="00ED5730" w:rsidRPr="00167A1B" w:rsidRDefault="00084C36" w:rsidP="00084C36">
      <w:pPr>
        <w:pStyle w:val="BodyText1"/>
        <w:rPr>
          <w:noProof w:val="0"/>
        </w:rPr>
      </w:pPr>
      <w:r w:rsidRPr="00167A1B">
        <w:rPr>
          <w:noProof w:val="0"/>
        </w:rPr>
        <w:t xml:space="preserve">In practice, the impacts of option 3 are almost identical to option 2. Requiring compatibility of EPS with USB Type-C or USB PD would have a similar effect on reduction of sales of standalone EPS as option 2. This effect </w:t>
      </w:r>
      <w:r w:rsidR="00167A1B">
        <w:rPr>
          <w:noProof w:val="0"/>
        </w:rPr>
        <w:t>outweighs</w:t>
      </w:r>
      <w:r w:rsidRPr="00167A1B">
        <w:rPr>
          <w:noProof w:val="0"/>
        </w:rPr>
        <w:t xml:space="preserve"> the increase in cost of upgrading all EPS from standard to fast charging. In this option, there is a </w:t>
      </w:r>
      <w:r w:rsidR="00ED5730" w:rsidRPr="00167A1B">
        <w:rPr>
          <w:noProof w:val="0"/>
        </w:rPr>
        <w:t xml:space="preserve">2.3% </w:t>
      </w:r>
      <w:r w:rsidRPr="00167A1B">
        <w:rPr>
          <w:noProof w:val="0"/>
        </w:rPr>
        <w:t>reduction in the total price that consumers pay for the chargers they acquire</w:t>
      </w:r>
      <w:r w:rsidR="00ED5730" w:rsidRPr="00167A1B">
        <w:rPr>
          <w:noProof w:val="0"/>
        </w:rPr>
        <w:t>.</w:t>
      </w:r>
    </w:p>
    <w:p w14:paraId="7AB9CF3D" w14:textId="7A607BC3" w:rsidR="00ED5730" w:rsidRPr="00167A1B" w:rsidRDefault="00ED5730" w:rsidP="00084C36">
      <w:pPr>
        <w:pStyle w:val="BodyText1"/>
        <w:rPr>
          <w:b/>
          <w:bCs/>
          <w:noProof w:val="0"/>
        </w:rPr>
      </w:pPr>
      <w:r w:rsidRPr="00167A1B">
        <w:rPr>
          <w:b/>
          <w:bCs/>
          <w:noProof w:val="0"/>
        </w:rPr>
        <w:t>Impacts on competitiveness</w:t>
      </w:r>
    </w:p>
    <w:p w14:paraId="4E84B79D" w14:textId="2574BD71" w:rsidR="00084C36" w:rsidRPr="00167A1B" w:rsidRDefault="00ED5730" w:rsidP="00084C36">
      <w:pPr>
        <w:pStyle w:val="BodyText1"/>
        <w:rPr>
          <w:noProof w:val="0"/>
        </w:rPr>
      </w:pPr>
      <w:r w:rsidRPr="00167A1B">
        <w:rPr>
          <w:noProof w:val="0"/>
        </w:rPr>
        <w:t>The reduction in costs paid by consumers translates in</w:t>
      </w:r>
      <w:r w:rsidR="00084C36" w:rsidRPr="00167A1B">
        <w:rPr>
          <w:noProof w:val="0"/>
        </w:rPr>
        <w:t xml:space="preserve"> a reduction of benefits for </w:t>
      </w:r>
      <w:r w:rsidR="004455E1" w:rsidRPr="00167A1B">
        <w:rPr>
          <w:noProof w:val="0"/>
        </w:rPr>
        <w:t>the industry</w:t>
      </w:r>
      <w:r w:rsidR="00084C36" w:rsidRPr="00167A1B">
        <w:rPr>
          <w:noProof w:val="0"/>
        </w:rPr>
        <w:t>.</w:t>
      </w:r>
      <w:r w:rsidR="005B3967" w:rsidRPr="00167A1B">
        <w:rPr>
          <w:noProof w:val="0"/>
        </w:rPr>
        <w:t xml:space="preserve"> The table below provides a description of the impacts per type of stakeholder.</w:t>
      </w:r>
      <w:r w:rsidR="00084C36" w:rsidRPr="00167A1B">
        <w:rPr>
          <w:noProof w:val="0"/>
        </w:rPr>
        <w:t xml:space="preserve"> </w:t>
      </w:r>
    </w:p>
    <w:p w14:paraId="0B2FCCCE" w14:textId="49A2BFAE" w:rsidR="00084C36" w:rsidRPr="00167A1B" w:rsidRDefault="00084C36" w:rsidP="00084C36">
      <w:pPr>
        <w:pStyle w:val="BodyText1"/>
        <w:rPr>
          <w:noProof w:val="0"/>
        </w:rPr>
      </w:pPr>
    </w:p>
    <w:p w14:paraId="06C08736" w14:textId="42B20472" w:rsidR="00303E27" w:rsidRPr="00167A1B" w:rsidRDefault="00303E27" w:rsidP="00EF05D5">
      <w:pPr>
        <w:pStyle w:val="Caption"/>
        <w:rPr>
          <w:b/>
          <w:bCs/>
        </w:rPr>
      </w:pPr>
      <w:r w:rsidRPr="00167A1B">
        <w:t xml:space="preserve">Table </w:t>
      </w:r>
      <w:r w:rsidRPr="00167A1B">
        <w:fldChar w:fldCharType="begin"/>
      </w:r>
      <w:r w:rsidRPr="00167A1B">
        <w:instrText xml:space="preserve"> SEQ Table \* ARABIC </w:instrText>
      </w:r>
      <w:r w:rsidRPr="00167A1B">
        <w:fldChar w:fldCharType="separate"/>
      </w:r>
      <w:r w:rsidR="00953106" w:rsidRPr="00167A1B">
        <w:t>15</w:t>
      </w:r>
      <w:r w:rsidRPr="00167A1B">
        <w:fldChar w:fldCharType="end"/>
      </w:r>
      <w:r w:rsidRPr="00167A1B">
        <w:t xml:space="preserve">. Impacts on </w:t>
      </w:r>
      <w:r w:rsidR="00167A1B" w:rsidRPr="00167A1B">
        <w:t>competitiveness</w:t>
      </w:r>
      <w:r w:rsidRPr="00167A1B">
        <w:t xml:space="preserve"> of policy option 3 per type of stakeholder</w:t>
      </w:r>
    </w:p>
    <w:tbl>
      <w:tblPr>
        <w:tblStyle w:val="TableGrid"/>
        <w:tblW w:w="0" w:type="auto"/>
        <w:tblCellMar>
          <w:top w:w="57" w:type="dxa"/>
          <w:bottom w:w="57" w:type="dxa"/>
        </w:tblCellMar>
        <w:tblLook w:val="04A0" w:firstRow="1" w:lastRow="0" w:firstColumn="1" w:lastColumn="0" w:noHBand="0" w:noVBand="1"/>
      </w:tblPr>
      <w:tblGrid>
        <w:gridCol w:w="1684"/>
        <w:gridCol w:w="2303"/>
        <w:gridCol w:w="2537"/>
        <w:gridCol w:w="2537"/>
      </w:tblGrid>
      <w:tr w:rsidR="005B3967" w:rsidRPr="00167A1B" w14:paraId="1AF70DDE" w14:textId="77777777" w:rsidTr="0093227D">
        <w:trPr>
          <w:cnfStyle w:val="100000000000" w:firstRow="1" w:lastRow="0" w:firstColumn="0" w:lastColumn="0" w:oddVBand="0" w:evenVBand="0" w:oddHBand="0" w:evenHBand="0" w:firstRowFirstColumn="0" w:firstRowLastColumn="0" w:lastRowFirstColumn="0" w:lastRowLastColumn="0"/>
          <w:trHeight w:val="675"/>
          <w:tblHeader/>
        </w:trPr>
        <w:tc>
          <w:tcPr>
            <w:tcW w:w="0" w:type="auto"/>
            <w:shd w:val="clear" w:color="auto" w:fill="0C4DA2" w:themeFill="text2"/>
          </w:tcPr>
          <w:p w14:paraId="6D8EA9C5" w14:textId="77777777" w:rsidR="0093227D" w:rsidRPr="00167A1B" w:rsidRDefault="0093227D" w:rsidP="00063490">
            <w:pPr>
              <w:pStyle w:val="Body"/>
              <w:numPr>
                <w:ilvl w:val="0"/>
                <w:numId w:val="0"/>
              </w:numPr>
              <w:jc w:val="left"/>
              <w:rPr>
                <w:rFonts w:ascii="Arial" w:hAnsi="Arial" w:cs="Arial"/>
                <w:b/>
                <w:lang w:val="en-GB"/>
              </w:rPr>
            </w:pPr>
            <w:r w:rsidRPr="00167A1B">
              <w:rPr>
                <w:rFonts w:ascii="Arial" w:hAnsi="Arial" w:cs="Arial"/>
                <w:b/>
                <w:lang w:val="en-GB"/>
              </w:rPr>
              <w:t>Stakeholder</w:t>
            </w:r>
          </w:p>
        </w:tc>
        <w:tc>
          <w:tcPr>
            <w:tcW w:w="0" w:type="auto"/>
            <w:shd w:val="clear" w:color="auto" w:fill="0C4DA2" w:themeFill="text2"/>
          </w:tcPr>
          <w:p w14:paraId="1513D98A" w14:textId="77777777" w:rsidR="0093227D" w:rsidRPr="00167A1B" w:rsidRDefault="0093227D" w:rsidP="00063490">
            <w:pPr>
              <w:pStyle w:val="Body"/>
              <w:numPr>
                <w:ilvl w:val="0"/>
                <w:numId w:val="0"/>
              </w:numPr>
              <w:jc w:val="left"/>
              <w:rPr>
                <w:rFonts w:ascii="Arial" w:hAnsi="Arial" w:cs="Arial"/>
                <w:b/>
                <w:lang w:val="en-GB"/>
              </w:rPr>
            </w:pPr>
            <w:r w:rsidRPr="00167A1B">
              <w:rPr>
                <w:rFonts w:ascii="Arial" w:hAnsi="Arial" w:cs="Arial"/>
                <w:b/>
                <w:lang w:val="en-GB"/>
              </w:rPr>
              <w:t>Benefits</w:t>
            </w:r>
          </w:p>
        </w:tc>
        <w:tc>
          <w:tcPr>
            <w:tcW w:w="0" w:type="auto"/>
            <w:shd w:val="clear" w:color="auto" w:fill="0C4DA2" w:themeFill="text2"/>
          </w:tcPr>
          <w:p w14:paraId="358D370F" w14:textId="77777777" w:rsidR="0093227D" w:rsidRPr="00167A1B" w:rsidRDefault="0093227D" w:rsidP="00063490">
            <w:pPr>
              <w:pStyle w:val="Body"/>
              <w:numPr>
                <w:ilvl w:val="0"/>
                <w:numId w:val="0"/>
              </w:numPr>
              <w:jc w:val="left"/>
              <w:rPr>
                <w:rFonts w:ascii="Arial" w:hAnsi="Arial" w:cs="Arial"/>
                <w:b/>
                <w:lang w:val="en-GB"/>
              </w:rPr>
            </w:pPr>
            <w:r w:rsidRPr="00167A1B">
              <w:rPr>
                <w:rFonts w:ascii="Arial" w:hAnsi="Arial" w:cs="Arial"/>
                <w:b/>
                <w:lang w:val="en-GB"/>
              </w:rPr>
              <w:t>Changes in competitive landscape</w:t>
            </w:r>
          </w:p>
        </w:tc>
        <w:tc>
          <w:tcPr>
            <w:tcW w:w="0" w:type="auto"/>
            <w:shd w:val="clear" w:color="auto" w:fill="0C4DA2" w:themeFill="text2"/>
          </w:tcPr>
          <w:p w14:paraId="05860F92" w14:textId="77777777" w:rsidR="0093227D" w:rsidRPr="00167A1B" w:rsidRDefault="0093227D" w:rsidP="00063490">
            <w:pPr>
              <w:pStyle w:val="Body"/>
              <w:numPr>
                <w:ilvl w:val="0"/>
                <w:numId w:val="0"/>
              </w:numPr>
              <w:jc w:val="left"/>
              <w:rPr>
                <w:rFonts w:ascii="Arial" w:hAnsi="Arial" w:cs="Arial"/>
                <w:b/>
                <w:lang w:val="en-GB"/>
              </w:rPr>
            </w:pPr>
            <w:r w:rsidRPr="00167A1B">
              <w:rPr>
                <w:rFonts w:ascii="Arial" w:hAnsi="Arial" w:cs="Arial"/>
                <w:b/>
                <w:lang w:val="en-GB"/>
              </w:rPr>
              <w:t>Variations in income from royalties</w:t>
            </w:r>
          </w:p>
        </w:tc>
      </w:tr>
      <w:tr w:rsidR="005B3967" w:rsidRPr="00167A1B" w14:paraId="003BAFFC" w14:textId="77777777" w:rsidTr="00DC3C60">
        <w:trPr>
          <w:trHeight w:val="1651"/>
        </w:trPr>
        <w:tc>
          <w:tcPr>
            <w:tcW w:w="0" w:type="auto"/>
          </w:tcPr>
          <w:p w14:paraId="12DBB447" w14:textId="77777777" w:rsidR="00A518AC" w:rsidRPr="00167A1B" w:rsidRDefault="00A518AC" w:rsidP="00063490">
            <w:pPr>
              <w:pStyle w:val="Body"/>
              <w:numPr>
                <w:ilvl w:val="0"/>
                <w:numId w:val="0"/>
              </w:numPr>
              <w:jc w:val="left"/>
              <w:rPr>
                <w:rFonts w:ascii="Arial" w:hAnsi="Arial" w:cs="Arial"/>
                <w:b/>
                <w:lang w:val="en-GB"/>
              </w:rPr>
            </w:pPr>
            <w:r w:rsidRPr="00167A1B">
              <w:rPr>
                <w:rFonts w:ascii="Arial" w:hAnsi="Arial" w:cs="Arial"/>
                <w:b/>
                <w:lang w:val="en-GB"/>
              </w:rPr>
              <w:t>Manufacturers of System on a Chip (SoC)</w:t>
            </w:r>
          </w:p>
        </w:tc>
        <w:tc>
          <w:tcPr>
            <w:tcW w:w="0" w:type="auto"/>
          </w:tcPr>
          <w:p w14:paraId="119FBBDF" w14:textId="59850878" w:rsidR="00A518AC" w:rsidRPr="00167A1B" w:rsidRDefault="00A518AC" w:rsidP="00063490">
            <w:pPr>
              <w:pStyle w:val="Body"/>
              <w:numPr>
                <w:ilvl w:val="0"/>
                <w:numId w:val="0"/>
              </w:numPr>
              <w:jc w:val="left"/>
              <w:rPr>
                <w:rFonts w:ascii="Arial" w:hAnsi="Arial" w:cs="Arial"/>
                <w:lang w:val="en-GB"/>
              </w:rPr>
            </w:pPr>
            <w:r w:rsidRPr="00167A1B">
              <w:rPr>
                <w:rFonts w:ascii="Arial" w:hAnsi="Arial" w:cs="Arial"/>
                <w:lang w:val="en-GB"/>
              </w:rPr>
              <w:t>This option only affects EPS, and therefore is not expected to have any direct impact on manufacturers of SoC.</w:t>
            </w:r>
          </w:p>
        </w:tc>
        <w:tc>
          <w:tcPr>
            <w:tcW w:w="0" w:type="auto"/>
          </w:tcPr>
          <w:p w14:paraId="37F716B4" w14:textId="5D3DC4BB" w:rsidR="00A518AC" w:rsidRPr="00167A1B" w:rsidRDefault="00A518AC" w:rsidP="00063490">
            <w:pPr>
              <w:pStyle w:val="Body"/>
              <w:numPr>
                <w:ilvl w:val="0"/>
                <w:numId w:val="0"/>
              </w:numPr>
              <w:jc w:val="left"/>
              <w:rPr>
                <w:rFonts w:ascii="Arial" w:hAnsi="Arial" w:cs="Arial"/>
                <w:lang w:val="en-GB"/>
              </w:rPr>
            </w:pPr>
            <w:r w:rsidRPr="00167A1B">
              <w:rPr>
                <w:rFonts w:ascii="Arial" w:hAnsi="Arial" w:cs="Arial"/>
                <w:lang w:val="en-GB"/>
              </w:rPr>
              <w:t>No impact</w:t>
            </w:r>
          </w:p>
        </w:tc>
        <w:tc>
          <w:tcPr>
            <w:tcW w:w="0" w:type="auto"/>
            <w:vMerge w:val="restart"/>
          </w:tcPr>
          <w:p w14:paraId="1D2ED62D" w14:textId="58DDBFC5" w:rsidR="00A518AC" w:rsidRPr="00167A1B" w:rsidRDefault="00A518AC" w:rsidP="00EF05D5">
            <w:pPr>
              <w:pStyle w:val="Body"/>
              <w:numPr>
                <w:ilvl w:val="0"/>
                <w:numId w:val="0"/>
              </w:numPr>
              <w:jc w:val="left"/>
              <w:rPr>
                <w:rFonts w:ascii="Arial" w:hAnsi="Arial" w:cs="Arial"/>
                <w:lang w:val="en-GB"/>
              </w:rPr>
            </w:pPr>
            <w:r w:rsidRPr="00167A1B">
              <w:rPr>
                <w:rFonts w:ascii="Arial" w:hAnsi="Arial" w:cs="Arial"/>
                <w:lang w:val="en-GB"/>
              </w:rPr>
              <w:t xml:space="preserve">The firms owning proprietary fast charging technologies are varied: SoC manufacturers (e.g. Qualcomm) and manufacturers of electronic products (e.g. Oppo and Huawei). Their income may be reduced in this option </w:t>
            </w:r>
            <w:proofErr w:type="gramStart"/>
            <w:r w:rsidRPr="00167A1B">
              <w:rPr>
                <w:rFonts w:ascii="Arial" w:hAnsi="Arial" w:cs="Arial"/>
                <w:lang w:val="en-GB"/>
              </w:rPr>
              <w:t>as a consequence of</w:t>
            </w:r>
            <w:proofErr w:type="gramEnd"/>
            <w:r w:rsidRPr="00167A1B">
              <w:rPr>
                <w:rFonts w:ascii="Arial" w:hAnsi="Arial" w:cs="Arial"/>
                <w:lang w:val="en-GB"/>
              </w:rPr>
              <w:t xml:space="preserve"> losing income from royalties. In the case of Qualcomm, their latest versions of Quick Charge are already fully compatible with USB PD PPS and it is expected that by 2024 most mobile phones currently using older versions of QC will have already migrated to compliant versions. Huawei manufacture their own products with their proprietary solution, which are not shared with other companies (they are not receiving any royalties in the baseline). Finally, Oppo holds the intellectual property rights of VOOC. Other brands using VOOC (OnePlus and Realme) have very </w:t>
            </w:r>
            <w:r w:rsidRPr="00167A1B">
              <w:rPr>
                <w:rFonts w:ascii="Arial" w:hAnsi="Arial" w:cs="Arial"/>
                <w:lang w:val="en-GB"/>
              </w:rPr>
              <w:lastRenderedPageBreak/>
              <w:t>little market share in the EU market. This impact is expected to be minor, and no companies based in the EU would be affected.</w:t>
            </w:r>
          </w:p>
        </w:tc>
      </w:tr>
      <w:tr w:rsidR="005B3967" w:rsidRPr="00167A1B" w14:paraId="3340845E" w14:textId="77777777" w:rsidTr="00DC3C60">
        <w:trPr>
          <w:trHeight w:val="450"/>
        </w:trPr>
        <w:tc>
          <w:tcPr>
            <w:tcW w:w="0" w:type="auto"/>
          </w:tcPr>
          <w:p w14:paraId="0CDB1723" w14:textId="1AB4619F" w:rsidR="00A518AC" w:rsidRPr="00167A1B" w:rsidRDefault="00A518AC" w:rsidP="00063490">
            <w:pPr>
              <w:pStyle w:val="Body"/>
              <w:numPr>
                <w:ilvl w:val="0"/>
                <w:numId w:val="0"/>
              </w:numPr>
              <w:jc w:val="left"/>
              <w:rPr>
                <w:rFonts w:ascii="Arial" w:hAnsi="Arial" w:cs="Arial"/>
                <w:b/>
                <w:lang w:val="en-GB"/>
              </w:rPr>
            </w:pPr>
            <w:r w:rsidRPr="00167A1B">
              <w:rPr>
                <w:rFonts w:ascii="Arial" w:hAnsi="Arial" w:cs="Arial"/>
                <w:b/>
                <w:lang w:val="en-GB"/>
              </w:rPr>
              <w:t xml:space="preserve">Manufacturers of mobile phones </w:t>
            </w:r>
          </w:p>
        </w:tc>
        <w:tc>
          <w:tcPr>
            <w:tcW w:w="0" w:type="auto"/>
          </w:tcPr>
          <w:p w14:paraId="42E8AAFD" w14:textId="1D3E1D51" w:rsidR="00A518AC" w:rsidRPr="00167A1B" w:rsidRDefault="00A518AC" w:rsidP="00063490">
            <w:pPr>
              <w:pStyle w:val="Body"/>
              <w:numPr>
                <w:ilvl w:val="0"/>
                <w:numId w:val="0"/>
              </w:numPr>
              <w:jc w:val="left"/>
              <w:rPr>
                <w:rFonts w:ascii="Arial" w:hAnsi="Arial" w:cs="Arial"/>
                <w:lang w:val="en-GB"/>
              </w:rPr>
            </w:pPr>
            <w:r w:rsidRPr="00167A1B">
              <w:rPr>
                <w:rFonts w:ascii="Arial" w:hAnsi="Arial" w:cs="Arial"/>
                <w:lang w:val="en-GB"/>
              </w:rPr>
              <w:t>Direct impacts on benefits for phone manufacturers are negligible (any changes in the costs of chargers they buy/sell would be passed on to consumers).</w:t>
            </w:r>
            <w:r w:rsidR="004455E1" w:rsidRPr="00167A1B">
              <w:rPr>
                <w:rFonts w:ascii="Arial" w:hAnsi="Arial" w:cs="Arial"/>
                <w:lang w:val="en-GB"/>
              </w:rPr>
              <w:t xml:space="preserve"> The exception would be those companies that produce their own chargers (these impacts are accounted for in the row below)</w:t>
            </w:r>
          </w:p>
        </w:tc>
        <w:tc>
          <w:tcPr>
            <w:tcW w:w="0" w:type="auto"/>
          </w:tcPr>
          <w:p w14:paraId="4D1965F7" w14:textId="569AE3BC" w:rsidR="00A518AC" w:rsidRPr="00167A1B" w:rsidRDefault="00A518AC" w:rsidP="0093227D">
            <w:pPr>
              <w:pStyle w:val="Body"/>
              <w:numPr>
                <w:ilvl w:val="0"/>
                <w:numId w:val="0"/>
              </w:numPr>
              <w:jc w:val="left"/>
              <w:rPr>
                <w:rFonts w:ascii="Arial" w:hAnsi="Arial" w:cs="Arial"/>
                <w:lang w:val="en-GB"/>
              </w:rPr>
            </w:pPr>
            <w:r w:rsidRPr="00167A1B">
              <w:rPr>
                <w:rFonts w:ascii="Arial" w:hAnsi="Arial" w:cs="Arial"/>
                <w:lang w:val="en-GB"/>
              </w:rPr>
              <w:t>Some phone manufacturers argue that their proprietary fast charging technologies offer them a competitive advantage, as they can provide fast charging solutions at a lower cost than USB PD.</w:t>
            </w:r>
            <w:r w:rsidRPr="00167A1B">
              <w:rPr>
                <w:rStyle w:val="FootnoteReference"/>
                <w:rFonts w:cs="Arial"/>
                <w:lang w:val="en-GB"/>
              </w:rPr>
              <w:footnoteReference w:id="113"/>
            </w:r>
            <w:r w:rsidRPr="00167A1B">
              <w:rPr>
                <w:rFonts w:ascii="Arial" w:hAnsi="Arial" w:cs="Arial"/>
                <w:lang w:val="en-GB"/>
              </w:rPr>
              <w:t xml:space="preserve"> Under this policy option, the EPS sold along with mobile phones would need to be USB PD compliant, and therefore these companies may lose this advantage. However, they would still have the possibility of unbundling their phones from the EPS and sell the EPS separately to those consumers who value the charging performance provided by proprietary fast charging solutions.</w:t>
            </w:r>
          </w:p>
          <w:p w14:paraId="2C3A0BB7" w14:textId="77777777" w:rsidR="00A518AC" w:rsidRPr="00167A1B" w:rsidRDefault="00A518AC" w:rsidP="0093227D">
            <w:pPr>
              <w:pStyle w:val="Body"/>
              <w:numPr>
                <w:ilvl w:val="0"/>
                <w:numId w:val="0"/>
              </w:numPr>
              <w:jc w:val="left"/>
              <w:rPr>
                <w:rFonts w:ascii="Arial" w:hAnsi="Arial" w:cs="Arial"/>
                <w:lang w:val="en-GB"/>
              </w:rPr>
            </w:pPr>
          </w:p>
        </w:tc>
        <w:tc>
          <w:tcPr>
            <w:tcW w:w="0" w:type="auto"/>
            <w:vMerge/>
          </w:tcPr>
          <w:p w14:paraId="49E0245A" w14:textId="013ECA12" w:rsidR="00A518AC" w:rsidRPr="00167A1B" w:rsidRDefault="00A518AC" w:rsidP="00063490">
            <w:pPr>
              <w:pStyle w:val="Body"/>
              <w:numPr>
                <w:ilvl w:val="0"/>
                <w:numId w:val="0"/>
              </w:numPr>
              <w:jc w:val="left"/>
              <w:rPr>
                <w:rFonts w:ascii="Arial" w:hAnsi="Arial" w:cs="Arial"/>
                <w:lang w:val="en-GB"/>
              </w:rPr>
            </w:pPr>
          </w:p>
        </w:tc>
      </w:tr>
      <w:tr w:rsidR="005B3967" w:rsidRPr="00167A1B" w14:paraId="636E4EDC" w14:textId="77777777" w:rsidTr="00EF05D5">
        <w:trPr>
          <w:trHeight w:val="2830"/>
        </w:trPr>
        <w:tc>
          <w:tcPr>
            <w:tcW w:w="0" w:type="auto"/>
          </w:tcPr>
          <w:p w14:paraId="4D22CCFC" w14:textId="77777777" w:rsidR="0093227D" w:rsidRPr="00167A1B" w:rsidRDefault="0093227D" w:rsidP="00063490">
            <w:pPr>
              <w:pStyle w:val="Body"/>
              <w:numPr>
                <w:ilvl w:val="0"/>
                <w:numId w:val="0"/>
              </w:numPr>
              <w:jc w:val="left"/>
              <w:rPr>
                <w:rFonts w:ascii="Arial" w:hAnsi="Arial" w:cs="Arial"/>
                <w:b/>
                <w:lang w:val="en-GB"/>
              </w:rPr>
            </w:pPr>
            <w:r w:rsidRPr="00167A1B">
              <w:rPr>
                <w:rFonts w:ascii="Arial" w:hAnsi="Arial" w:cs="Arial"/>
                <w:b/>
                <w:lang w:val="en-GB"/>
              </w:rPr>
              <w:t>Manufacturers of chargers</w:t>
            </w:r>
          </w:p>
        </w:tc>
        <w:tc>
          <w:tcPr>
            <w:tcW w:w="0" w:type="auto"/>
          </w:tcPr>
          <w:p w14:paraId="74DD5B15" w14:textId="5FCE7419" w:rsidR="0093227D" w:rsidRPr="00167A1B" w:rsidRDefault="00312EAA" w:rsidP="00063490">
            <w:pPr>
              <w:pStyle w:val="Body"/>
              <w:numPr>
                <w:ilvl w:val="0"/>
                <w:numId w:val="0"/>
              </w:numPr>
              <w:jc w:val="left"/>
              <w:rPr>
                <w:rFonts w:ascii="Arial" w:hAnsi="Arial" w:cs="Arial"/>
                <w:lang w:val="en-GB"/>
              </w:rPr>
            </w:pPr>
            <w:r w:rsidRPr="00167A1B">
              <w:rPr>
                <w:rFonts w:ascii="Arial" w:hAnsi="Arial" w:cs="Arial"/>
                <w:lang w:val="en-GB"/>
              </w:rPr>
              <w:t xml:space="preserve">The benefits for </w:t>
            </w:r>
            <w:r w:rsidR="005B3967" w:rsidRPr="00167A1B">
              <w:rPr>
                <w:rFonts w:ascii="Arial" w:hAnsi="Arial" w:cs="Arial"/>
                <w:lang w:val="en-GB"/>
              </w:rPr>
              <w:t>manufacturers</w:t>
            </w:r>
            <w:r w:rsidRPr="00167A1B">
              <w:rPr>
                <w:rFonts w:ascii="Arial" w:hAnsi="Arial" w:cs="Arial"/>
                <w:lang w:val="en-GB"/>
              </w:rPr>
              <w:t xml:space="preserve"> </w:t>
            </w:r>
            <w:r w:rsidR="005B3967" w:rsidRPr="00167A1B">
              <w:rPr>
                <w:rFonts w:ascii="Arial" w:hAnsi="Arial" w:cs="Arial"/>
                <w:lang w:val="en-GB"/>
              </w:rPr>
              <w:t xml:space="preserve">of chargers </w:t>
            </w:r>
            <w:r w:rsidRPr="00167A1B">
              <w:rPr>
                <w:rFonts w:ascii="Arial" w:hAnsi="Arial" w:cs="Arial"/>
                <w:lang w:val="en-GB"/>
              </w:rPr>
              <w:t xml:space="preserve">would decrease by </w:t>
            </w:r>
            <w:r w:rsidR="005B3967" w:rsidRPr="00167A1B">
              <w:rPr>
                <w:rFonts w:ascii="Arial" w:hAnsi="Arial" w:cs="Arial"/>
                <w:lang w:val="en-GB"/>
              </w:rPr>
              <w:t>1.4</w:t>
            </w:r>
            <w:r w:rsidRPr="00167A1B">
              <w:rPr>
                <w:rFonts w:ascii="Arial" w:hAnsi="Arial" w:cs="Arial"/>
                <w:lang w:val="en-GB"/>
              </w:rPr>
              <w:t>%</w:t>
            </w:r>
            <w:r w:rsidR="005B3967" w:rsidRPr="00167A1B">
              <w:rPr>
                <w:rFonts w:ascii="Arial" w:hAnsi="Arial" w:cs="Arial"/>
                <w:lang w:val="en-GB"/>
              </w:rPr>
              <w:t xml:space="preserve">. This is due to reduction of chargers produced and sold resulting </w:t>
            </w:r>
            <w:proofErr w:type="gramStart"/>
            <w:r w:rsidR="005B3967" w:rsidRPr="00167A1B">
              <w:rPr>
                <w:rFonts w:ascii="Arial" w:hAnsi="Arial" w:cs="Arial"/>
                <w:lang w:val="en-GB"/>
              </w:rPr>
              <w:t xml:space="preserve">from </w:t>
            </w:r>
            <w:r w:rsidRPr="00167A1B">
              <w:rPr>
                <w:rFonts w:ascii="Arial" w:hAnsi="Arial" w:cs="Arial"/>
                <w:lang w:val="en-GB"/>
              </w:rPr>
              <w:t xml:space="preserve"> </w:t>
            </w:r>
            <w:r w:rsidR="005B3967" w:rsidRPr="00167A1B">
              <w:rPr>
                <w:rFonts w:ascii="Arial" w:hAnsi="Arial" w:cs="Arial"/>
                <w:lang w:val="en-GB"/>
              </w:rPr>
              <w:t>the</w:t>
            </w:r>
            <w:proofErr w:type="gramEnd"/>
            <w:r w:rsidR="005B3967" w:rsidRPr="00167A1B">
              <w:rPr>
                <w:rFonts w:ascii="Arial" w:hAnsi="Arial" w:cs="Arial"/>
                <w:lang w:val="en-GB"/>
              </w:rPr>
              <w:t xml:space="preserve"> </w:t>
            </w:r>
            <w:r w:rsidRPr="00167A1B">
              <w:rPr>
                <w:rFonts w:ascii="Arial" w:hAnsi="Arial" w:cs="Arial"/>
                <w:lang w:val="en-GB"/>
              </w:rPr>
              <w:t>harmonisation of EPS sold in the box.</w:t>
            </w:r>
          </w:p>
        </w:tc>
        <w:tc>
          <w:tcPr>
            <w:tcW w:w="0" w:type="auto"/>
          </w:tcPr>
          <w:p w14:paraId="66C8F50A" w14:textId="7AEE6005" w:rsidR="0093227D" w:rsidRPr="00167A1B" w:rsidRDefault="0093227D" w:rsidP="00063490">
            <w:pPr>
              <w:pStyle w:val="Body"/>
              <w:numPr>
                <w:ilvl w:val="0"/>
                <w:numId w:val="0"/>
              </w:numPr>
              <w:jc w:val="left"/>
              <w:rPr>
                <w:rFonts w:ascii="Arial" w:hAnsi="Arial" w:cs="Arial"/>
                <w:lang w:val="en-GB"/>
              </w:rPr>
            </w:pPr>
            <w:r w:rsidRPr="00167A1B">
              <w:rPr>
                <w:rFonts w:ascii="Arial" w:hAnsi="Arial" w:cs="Arial"/>
                <w:lang w:val="en-GB"/>
              </w:rPr>
              <w:t>This option may trigger a reduction of sales of EPS using proprietary fast charging technologies, which would benefit manufacturers of standard charging solutions.</w:t>
            </w:r>
          </w:p>
        </w:tc>
        <w:tc>
          <w:tcPr>
            <w:tcW w:w="0" w:type="auto"/>
          </w:tcPr>
          <w:p w14:paraId="466D75E5" w14:textId="28340B93" w:rsidR="0093227D" w:rsidRPr="00167A1B" w:rsidRDefault="00312EAA" w:rsidP="00063490">
            <w:pPr>
              <w:pStyle w:val="Body"/>
              <w:numPr>
                <w:ilvl w:val="0"/>
                <w:numId w:val="0"/>
              </w:numPr>
              <w:jc w:val="left"/>
              <w:rPr>
                <w:rFonts w:ascii="Arial" w:hAnsi="Arial" w:cs="Arial"/>
                <w:lang w:val="en-GB"/>
              </w:rPr>
            </w:pPr>
            <w:r w:rsidRPr="00167A1B">
              <w:rPr>
                <w:rFonts w:ascii="Arial" w:hAnsi="Arial" w:cs="Arial"/>
                <w:lang w:val="en-GB"/>
              </w:rPr>
              <w:t>As explained above, phone manufacturers using proprietary charging technologies do not licence their IP rights. Instead, Huawei and Oppo produce their own chargers. This option, therefore, is not expected to generate variations in income from royalties.</w:t>
            </w:r>
          </w:p>
        </w:tc>
      </w:tr>
      <w:tr w:rsidR="005B3967" w:rsidRPr="00167A1B" w14:paraId="20500602" w14:textId="77777777" w:rsidTr="007B64C4">
        <w:trPr>
          <w:trHeight w:val="846"/>
        </w:trPr>
        <w:tc>
          <w:tcPr>
            <w:tcW w:w="0" w:type="auto"/>
          </w:tcPr>
          <w:p w14:paraId="19D43241" w14:textId="77777777" w:rsidR="0093227D" w:rsidRPr="00167A1B" w:rsidRDefault="0093227D" w:rsidP="00063490">
            <w:pPr>
              <w:pStyle w:val="Body"/>
              <w:numPr>
                <w:ilvl w:val="0"/>
                <w:numId w:val="0"/>
              </w:numPr>
              <w:jc w:val="left"/>
              <w:rPr>
                <w:rFonts w:ascii="Arial" w:hAnsi="Arial" w:cs="Arial"/>
                <w:b/>
                <w:lang w:val="en-GB"/>
              </w:rPr>
            </w:pPr>
            <w:r w:rsidRPr="00167A1B">
              <w:rPr>
                <w:rFonts w:ascii="Arial" w:hAnsi="Arial" w:cs="Arial"/>
                <w:b/>
                <w:lang w:val="en-GB"/>
              </w:rPr>
              <w:t>Distributors, retailers, and wholesalers</w:t>
            </w:r>
          </w:p>
        </w:tc>
        <w:tc>
          <w:tcPr>
            <w:tcW w:w="0" w:type="auto"/>
          </w:tcPr>
          <w:p w14:paraId="4DD736DF" w14:textId="4353BAC9" w:rsidR="0093227D" w:rsidRPr="00167A1B" w:rsidRDefault="005B3967" w:rsidP="00063490">
            <w:pPr>
              <w:pStyle w:val="Body"/>
              <w:numPr>
                <w:ilvl w:val="0"/>
                <w:numId w:val="0"/>
              </w:numPr>
              <w:jc w:val="left"/>
              <w:rPr>
                <w:rFonts w:ascii="Arial" w:hAnsi="Arial" w:cs="Arial"/>
                <w:lang w:val="en-GB"/>
              </w:rPr>
            </w:pPr>
            <w:r w:rsidRPr="00167A1B">
              <w:rPr>
                <w:rFonts w:ascii="Arial" w:hAnsi="Arial" w:cs="Arial"/>
                <w:lang w:val="en-GB"/>
              </w:rPr>
              <w:t xml:space="preserve">The benefits for manufacturers of chargers would decrease by 3%. This is due to fewer standalone chargers sold resulting </w:t>
            </w:r>
            <w:proofErr w:type="gramStart"/>
            <w:r w:rsidRPr="00167A1B">
              <w:rPr>
                <w:rFonts w:ascii="Arial" w:hAnsi="Arial" w:cs="Arial"/>
                <w:lang w:val="en-GB"/>
              </w:rPr>
              <w:t>from  the</w:t>
            </w:r>
            <w:proofErr w:type="gramEnd"/>
            <w:r w:rsidRPr="00167A1B">
              <w:rPr>
                <w:rFonts w:ascii="Arial" w:hAnsi="Arial" w:cs="Arial"/>
                <w:lang w:val="en-GB"/>
              </w:rPr>
              <w:t xml:space="preserve"> harmonisation of EPS sold in the box.</w:t>
            </w:r>
          </w:p>
        </w:tc>
        <w:tc>
          <w:tcPr>
            <w:tcW w:w="0" w:type="auto"/>
          </w:tcPr>
          <w:p w14:paraId="5460E16D" w14:textId="5CFEECCF" w:rsidR="0093227D" w:rsidRPr="00167A1B" w:rsidRDefault="0093227D" w:rsidP="00063490">
            <w:pPr>
              <w:pStyle w:val="Body"/>
              <w:numPr>
                <w:ilvl w:val="0"/>
                <w:numId w:val="0"/>
              </w:numPr>
              <w:jc w:val="left"/>
              <w:rPr>
                <w:rFonts w:ascii="Arial" w:hAnsi="Arial" w:cs="Arial"/>
                <w:lang w:val="en-GB"/>
              </w:rPr>
            </w:pPr>
            <w:r w:rsidRPr="00167A1B">
              <w:rPr>
                <w:rFonts w:ascii="Arial" w:hAnsi="Arial" w:cs="Arial"/>
                <w:lang w:val="en-GB"/>
              </w:rPr>
              <w:t>No impacts</w:t>
            </w:r>
          </w:p>
        </w:tc>
        <w:tc>
          <w:tcPr>
            <w:tcW w:w="0" w:type="auto"/>
          </w:tcPr>
          <w:p w14:paraId="23B4F954" w14:textId="634BC218" w:rsidR="0093227D" w:rsidRPr="00167A1B" w:rsidRDefault="0093227D" w:rsidP="00063490">
            <w:pPr>
              <w:pStyle w:val="Body"/>
              <w:numPr>
                <w:ilvl w:val="0"/>
                <w:numId w:val="0"/>
              </w:numPr>
              <w:jc w:val="left"/>
              <w:rPr>
                <w:rFonts w:ascii="Arial" w:hAnsi="Arial" w:cs="Arial"/>
                <w:lang w:val="en-GB"/>
              </w:rPr>
            </w:pPr>
            <w:r w:rsidRPr="00167A1B">
              <w:rPr>
                <w:rFonts w:ascii="Arial" w:hAnsi="Arial" w:cs="Arial"/>
                <w:lang w:val="en-GB"/>
              </w:rPr>
              <w:t>No impacts</w:t>
            </w:r>
          </w:p>
        </w:tc>
      </w:tr>
    </w:tbl>
    <w:p w14:paraId="39033CBD" w14:textId="0EBD28B1" w:rsidR="00272D69" w:rsidRPr="00167A1B" w:rsidRDefault="00272D69" w:rsidP="00272D69">
      <w:pPr>
        <w:pStyle w:val="BodyText1"/>
        <w:rPr>
          <w:b/>
          <w:bCs/>
          <w:noProof w:val="0"/>
        </w:rPr>
      </w:pPr>
    </w:p>
    <w:p w14:paraId="09CEB9FD" w14:textId="7562AE60" w:rsidR="00312EAA" w:rsidRPr="00167A1B" w:rsidRDefault="00312EAA" w:rsidP="00272D69">
      <w:pPr>
        <w:pStyle w:val="BodyText1"/>
        <w:rPr>
          <w:b/>
          <w:bCs/>
          <w:noProof w:val="0"/>
        </w:rPr>
      </w:pPr>
      <w:r w:rsidRPr="00167A1B">
        <w:rPr>
          <w:b/>
          <w:bCs/>
          <w:noProof w:val="0"/>
        </w:rPr>
        <w:t>Impact on innovation</w:t>
      </w:r>
    </w:p>
    <w:p w14:paraId="59CB1B6D" w14:textId="508C2B29" w:rsidR="00312EAA" w:rsidRPr="00167A1B" w:rsidRDefault="00312EAA" w:rsidP="00312EAA">
      <w:pPr>
        <w:pStyle w:val="BodyText1"/>
        <w:rPr>
          <w:noProof w:val="0"/>
        </w:rPr>
      </w:pPr>
      <w:r w:rsidRPr="00167A1B">
        <w:rPr>
          <w:noProof w:val="0"/>
        </w:rPr>
        <w:t xml:space="preserve">The main difference between this option and option 2 is the impact on innovation. Option 2 allows the use of proprietary solutions, </w:t>
      </w:r>
      <w:proofErr w:type="gramStart"/>
      <w:r w:rsidRPr="00167A1B">
        <w:rPr>
          <w:noProof w:val="0"/>
        </w:rPr>
        <w:t>as long as</w:t>
      </w:r>
      <w:proofErr w:type="gramEnd"/>
      <w:r w:rsidRPr="00167A1B">
        <w:rPr>
          <w:noProof w:val="0"/>
        </w:rPr>
        <w:t xml:space="preserve"> standard charging protocols (USB Type-C or USB PD) are also incorporated. Option 3, however, rules out this possibility, hence decreasing the incentives of private companies to invest in new battery charging protocols. One of the main companies investing heavily in proprietary fast charging solutions is Huawei, with a market share of 22% in 2018 and 2019 in the EU (in units sold). An option prohibiting the use of their proprietary solution in the EPS would be likely to have a significant effect on their incentives to continue innovating in this space. </w:t>
      </w:r>
      <w:r w:rsidR="00E06BC3" w:rsidRPr="00167A1B">
        <w:rPr>
          <w:noProof w:val="0"/>
        </w:rPr>
        <w:t>Nevertheless, it is worth noting that this option affects only to EPS that are sold unbundled. Therefore, Huawei and other companies currently selling EPS with proprietary solutions would still be able to sell them unbundled to consumers.</w:t>
      </w:r>
    </w:p>
    <w:p w14:paraId="3806C15F" w14:textId="6C1218AD" w:rsidR="00084C36" w:rsidRPr="00167A1B" w:rsidRDefault="00084C36" w:rsidP="00084C36">
      <w:pPr>
        <w:pStyle w:val="Subtitle10"/>
        <w:rPr>
          <w:noProof w:val="0"/>
        </w:rPr>
      </w:pPr>
      <w:r w:rsidRPr="00167A1B">
        <w:rPr>
          <w:noProof w:val="0"/>
        </w:rPr>
        <w:t>Option 4.a</w:t>
      </w:r>
      <w:r w:rsidR="00136AB3" w:rsidRPr="00167A1B">
        <w:rPr>
          <w:noProof w:val="0"/>
        </w:rPr>
        <w:t>: Mandatory unbundling of EPS from mobile phones</w:t>
      </w:r>
    </w:p>
    <w:p w14:paraId="6BB0DB35" w14:textId="2556144C" w:rsidR="00E30FB1" w:rsidRPr="00167A1B" w:rsidRDefault="00E30FB1" w:rsidP="00EF05D5">
      <w:pPr>
        <w:pStyle w:val="BodyText1"/>
        <w:keepNext/>
        <w:rPr>
          <w:b/>
          <w:bCs/>
          <w:noProof w:val="0"/>
        </w:rPr>
      </w:pPr>
      <w:r w:rsidRPr="00167A1B">
        <w:rPr>
          <w:b/>
          <w:bCs/>
          <w:noProof w:val="0"/>
        </w:rPr>
        <w:t>Costs for consumers</w:t>
      </w:r>
    </w:p>
    <w:p w14:paraId="76353AD7" w14:textId="238CCD68" w:rsidR="00084C36" w:rsidRPr="00167A1B" w:rsidRDefault="00084C36" w:rsidP="00084C36">
      <w:pPr>
        <w:pStyle w:val="BodyText1"/>
        <w:rPr>
          <w:noProof w:val="0"/>
        </w:rPr>
      </w:pPr>
      <w:r w:rsidRPr="00167A1B">
        <w:rPr>
          <w:noProof w:val="0"/>
        </w:rPr>
        <w:t>This option, paradoxically, is the most detrimental for consumers in terms of economic impacts. Under this option, it is hypothesised that producers would decide to market all their phones unbundled from chargers (as they are obliged to offer this option to consumers). The cost of the phone would decrease slightly, reflecting the savings of not having the EPS (which in the baseline is offered to consumers at wholesale price, i.e. without a margin for manufacturers of mobile phones).</w:t>
      </w:r>
    </w:p>
    <w:p w14:paraId="731F486F" w14:textId="489D6737" w:rsidR="00084C36" w:rsidRPr="00167A1B" w:rsidRDefault="00084C36" w:rsidP="00084C36">
      <w:pPr>
        <w:pStyle w:val="BodyText1"/>
        <w:rPr>
          <w:noProof w:val="0"/>
        </w:rPr>
      </w:pPr>
      <w:r w:rsidRPr="00167A1B">
        <w:rPr>
          <w:noProof w:val="0"/>
        </w:rPr>
        <w:lastRenderedPageBreak/>
        <w:t xml:space="preserve">As EPS would not come by default anymore with mobile phones, there would be a </w:t>
      </w:r>
      <w:r w:rsidR="00167A1B" w:rsidRPr="00167A1B">
        <w:rPr>
          <w:noProof w:val="0"/>
        </w:rPr>
        <w:t>rebound</w:t>
      </w:r>
      <w:r w:rsidRPr="00167A1B">
        <w:rPr>
          <w:noProof w:val="0"/>
        </w:rPr>
        <w:t xml:space="preserve"> effect in the sales of standalone EPS.</w:t>
      </w:r>
      <w:r w:rsidRPr="00167A1B">
        <w:rPr>
          <w:rStyle w:val="FootnoteReference"/>
          <w:noProof w:val="0"/>
        </w:rPr>
        <w:footnoteReference w:id="114"/>
      </w:r>
      <w:r w:rsidRPr="00167A1B">
        <w:rPr>
          <w:noProof w:val="0"/>
        </w:rPr>
        <w:t xml:space="preserve"> When bought standalone, consumers pay the retail price, which is 2.2 times the wholesale price</w:t>
      </w:r>
      <w:r w:rsidR="00E30FB1" w:rsidRPr="00167A1B">
        <w:rPr>
          <w:noProof w:val="0"/>
        </w:rPr>
        <w:t xml:space="preserve"> (see </w:t>
      </w:r>
      <w:r w:rsidR="00E30FB1" w:rsidRPr="00167A1B">
        <w:rPr>
          <w:noProof w:val="0"/>
        </w:rPr>
        <w:fldChar w:fldCharType="begin"/>
      </w:r>
      <w:r w:rsidR="00E30FB1" w:rsidRPr="00167A1B">
        <w:rPr>
          <w:noProof w:val="0"/>
        </w:rPr>
        <w:instrText xml:space="preserve"> REF _Ref71644614 \h </w:instrText>
      </w:r>
      <w:r w:rsidR="00E30FB1" w:rsidRPr="00167A1B">
        <w:rPr>
          <w:noProof w:val="0"/>
        </w:rPr>
      </w:r>
      <w:r w:rsidR="00E30FB1" w:rsidRPr="00167A1B">
        <w:rPr>
          <w:noProof w:val="0"/>
        </w:rPr>
        <w:fldChar w:fldCharType="separate"/>
      </w:r>
      <w:r w:rsidR="00E30FB1" w:rsidRPr="00167A1B">
        <w:rPr>
          <w:noProof w:val="0"/>
        </w:rPr>
        <w:t>Table 8</w:t>
      </w:r>
      <w:r w:rsidR="00E30FB1" w:rsidRPr="00167A1B">
        <w:rPr>
          <w:noProof w:val="0"/>
        </w:rPr>
        <w:fldChar w:fldCharType="end"/>
      </w:r>
      <w:r w:rsidR="00E30FB1" w:rsidRPr="00167A1B">
        <w:rPr>
          <w:noProof w:val="0"/>
        </w:rPr>
        <w:t>)</w:t>
      </w:r>
      <w:r w:rsidRPr="00167A1B">
        <w:rPr>
          <w:noProof w:val="0"/>
        </w:rPr>
        <w:t xml:space="preserve">. The cost of this rebound effect </w:t>
      </w:r>
      <w:r w:rsidR="00167A1B">
        <w:rPr>
          <w:noProof w:val="0"/>
        </w:rPr>
        <w:t>outweighs</w:t>
      </w:r>
      <w:r w:rsidRPr="00167A1B">
        <w:rPr>
          <w:noProof w:val="0"/>
        </w:rPr>
        <w:t xml:space="preserve"> the savings of unbundling phones. As a result, costs for consumers increase by 4.4% in relation to the baseline. </w:t>
      </w:r>
    </w:p>
    <w:p w14:paraId="15483F04" w14:textId="73716ABA" w:rsidR="00E30FB1" w:rsidRPr="00167A1B" w:rsidRDefault="00E30FB1" w:rsidP="00E30FB1">
      <w:pPr>
        <w:pStyle w:val="BodyText1"/>
        <w:rPr>
          <w:b/>
          <w:bCs/>
          <w:noProof w:val="0"/>
        </w:rPr>
      </w:pPr>
      <w:r w:rsidRPr="00167A1B">
        <w:rPr>
          <w:b/>
          <w:bCs/>
          <w:noProof w:val="0"/>
        </w:rPr>
        <w:t xml:space="preserve">Impacts on </w:t>
      </w:r>
      <w:r w:rsidR="001C7A04" w:rsidRPr="00167A1B">
        <w:rPr>
          <w:b/>
          <w:bCs/>
          <w:noProof w:val="0"/>
        </w:rPr>
        <w:t>competitiveness</w:t>
      </w:r>
    </w:p>
    <w:p w14:paraId="2FAFA191" w14:textId="2689F0D3" w:rsidR="00303E27" w:rsidRPr="00167A1B" w:rsidRDefault="00303E27" w:rsidP="00EF05D5">
      <w:pPr>
        <w:pStyle w:val="Caption"/>
        <w:rPr>
          <w:b/>
          <w:bCs/>
        </w:rPr>
      </w:pPr>
      <w:r w:rsidRPr="00167A1B">
        <w:t xml:space="preserve">Table </w:t>
      </w:r>
      <w:r w:rsidRPr="00167A1B">
        <w:fldChar w:fldCharType="begin"/>
      </w:r>
      <w:r w:rsidRPr="00167A1B">
        <w:instrText xml:space="preserve"> SEQ Table \* ARABIC </w:instrText>
      </w:r>
      <w:r w:rsidRPr="00167A1B">
        <w:fldChar w:fldCharType="separate"/>
      </w:r>
      <w:r w:rsidR="00953106" w:rsidRPr="00167A1B">
        <w:t>16</w:t>
      </w:r>
      <w:r w:rsidRPr="00167A1B">
        <w:fldChar w:fldCharType="end"/>
      </w:r>
      <w:r w:rsidRPr="00167A1B">
        <w:t xml:space="preserve">. Impacts on </w:t>
      </w:r>
      <w:r w:rsidR="00167A1B" w:rsidRPr="00167A1B">
        <w:t>competitiveness</w:t>
      </w:r>
      <w:r w:rsidRPr="00167A1B">
        <w:t xml:space="preserve"> of policy option 4.a per type of stakeholder</w:t>
      </w:r>
    </w:p>
    <w:tbl>
      <w:tblPr>
        <w:tblStyle w:val="TableGrid"/>
        <w:tblW w:w="0" w:type="auto"/>
        <w:tblCellMar>
          <w:top w:w="57" w:type="dxa"/>
          <w:bottom w:w="57" w:type="dxa"/>
        </w:tblCellMar>
        <w:tblLook w:val="04A0" w:firstRow="1" w:lastRow="0" w:firstColumn="1" w:lastColumn="0" w:noHBand="0" w:noVBand="1"/>
      </w:tblPr>
      <w:tblGrid>
        <w:gridCol w:w="1698"/>
        <w:gridCol w:w="2275"/>
        <w:gridCol w:w="2449"/>
        <w:gridCol w:w="2639"/>
      </w:tblGrid>
      <w:tr w:rsidR="008C1477" w:rsidRPr="00167A1B" w14:paraId="2BD6F246" w14:textId="77777777" w:rsidTr="00E30FB1">
        <w:trPr>
          <w:cnfStyle w:val="100000000000" w:firstRow="1" w:lastRow="0" w:firstColumn="0" w:lastColumn="0" w:oddVBand="0" w:evenVBand="0" w:oddHBand="0" w:evenHBand="0" w:firstRowFirstColumn="0" w:firstRowLastColumn="0" w:lastRowFirstColumn="0" w:lastRowLastColumn="0"/>
          <w:trHeight w:val="675"/>
          <w:tblHeader/>
        </w:trPr>
        <w:tc>
          <w:tcPr>
            <w:tcW w:w="0" w:type="auto"/>
            <w:shd w:val="clear" w:color="auto" w:fill="0C4DA2" w:themeFill="text2"/>
          </w:tcPr>
          <w:p w14:paraId="39E728BD" w14:textId="77777777" w:rsidR="00E30FB1" w:rsidRPr="00167A1B" w:rsidRDefault="00E30FB1" w:rsidP="00063490">
            <w:pPr>
              <w:pStyle w:val="Body"/>
              <w:numPr>
                <w:ilvl w:val="0"/>
                <w:numId w:val="0"/>
              </w:numPr>
              <w:jc w:val="left"/>
              <w:rPr>
                <w:rFonts w:ascii="Arial" w:hAnsi="Arial" w:cs="Arial"/>
                <w:b/>
                <w:lang w:val="en-GB"/>
              </w:rPr>
            </w:pPr>
            <w:r w:rsidRPr="00167A1B">
              <w:rPr>
                <w:rFonts w:ascii="Arial" w:hAnsi="Arial" w:cs="Arial"/>
                <w:b/>
                <w:lang w:val="en-GB"/>
              </w:rPr>
              <w:t>Stakeholder</w:t>
            </w:r>
          </w:p>
        </w:tc>
        <w:tc>
          <w:tcPr>
            <w:tcW w:w="2275" w:type="dxa"/>
            <w:shd w:val="clear" w:color="auto" w:fill="0C4DA2" w:themeFill="text2"/>
          </w:tcPr>
          <w:p w14:paraId="7412AA9B" w14:textId="77777777" w:rsidR="00E30FB1" w:rsidRPr="00167A1B" w:rsidRDefault="00E30FB1" w:rsidP="00063490">
            <w:pPr>
              <w:pStyle w:val="Body"/>
              <w:numPr>
                <w:ilvl w:val="0"/>
                <w:numId w:val="0"/>
              </w:numPr>
              <w:jc w:val="left"/>
              <w:rPr>
                <w:rFonts w:ascii="Arial" w:hAnsi="Arial" w:cs="Arial"/>
                <w:b/>
                <w:lang w:val="en-GB"/>
              </w:rPr>
            </w:pPr>
            <w:r w:rsidRPr="00167A1B">
              <w:rPr>
                <w:rFonts w:ascii="Arial" w:hAnsi="Arial" w:cs="Arial"/>
                <w:b/>
                <w:lang w:val="en-GB"/>
              </w:rPr>
              <w:t>Benefits</w:t>
            </w:r>
          </w:p>
        </w:tc>
        <w:tc>
          <w:tcPr>
            <w:tcW w:w="2449" w:type="dxa"/>
            <w:shd w:val="clear" w:color="auto" w:fill="0C4DA2" w:themeFill="text2"/>
          </w:tcPr>
          <w:p w14:paraId="0B27F53F" w14:textId="77777777" w:rsidR="00E30FB1" w:rsidRPr="00167A1B" w:rsidRDefault="00E30FB1" w:rsidP="00063490">
            <w:pPr>
              <w:pStyle w:val="Body"/>
              <w:numPr>
                <w:ilvl w:val="0"/>
                <w:numId w:val="0"/>
              </w:numPr>
              <w:jc w:val="left"/>
              <w:rPr>
                <w:rFonts w:ascii="Arial" w:hAnsi="Arial" w:cs="Arial"/>
                <w:b/>
                <w:lang w:val="en-GB"/>
              </w:rPr>
            </w:pPr>
            <w:r w:rsidRPr="00167A1B">
              <w:rPr>
                <w:rFonts w:ascii="Arial" w:hAnsi="Arial" w:cs="Arial"/>
                <w:b/>
                <w:lang w:val="en-GB"/>
              </w:rPr>
              <w:t>Changes in competitive landscape</w:t>
            </w:r>
          </w:p>
        </w:tc>
        <w:tc>
          <w:tcPr>
            <w:tcW w:w="0" w:type="auto"/>
            <w:shd w:val="clear" w:color="auto" w:fill="0C4DA2" w:themeFill="text2"/>
          </w:tcPr>
          <w:p w14:paraId="16F82BF5" w14:textId="77777777" w:rsidR="00E30FB1" w:rsidRPr="00167A1B" w:rsidRDefault="00E30FB1" w:rsidP="00063490">
            <w:pPr>
              <w:pStyle w:val="Body"/>
              <w:numPr>
                <w:ilvl w:val="0"/>
                <w:numId w:val="0"/>
              </w:numPr>
              <w:jc w:val="left"/>
              <w:rPr>
                <w:rFonts w:ascii="Arial" w:hAnsi="Arial" w:cs="Arial"/>
                <w:b/>
                <w:lang w:val="en-GB"/>
              </w:rPr>
            </w:pPr>
            <w:r w:rsidRPr="00167A1B">
              <w:rPr>
                <w:rFonts w:ascii="Arial" w:hAnsi="Arial" w:cs="Arial"/>
                <w:b/>
                <w:lang w:val="en-GB"/>
              </w:rPr>
              <w:t>Variations in income from royalties</w:t>
            </w:r>
          </w:p>
        </w:tc>
      </w:tr>
      <w:tr w:rsidR="000306AF" w:rsidRPr="00167A1B" w14:paraId="63310A53" w14:textId="77777777" w:rsidTr="00E30FB1">
        <w:trPr>
          <w:trHeight w:val="652"/>
        </w:trPr>
        <w:tc>
          <w:tcPr>
            <w:tcW w:w="0" w:type="auto"/>
          </w:tcPr>
          <w:p w14:paraId="70193042" w14:textId="77777777" w:rsidR="00E30FB1" w:rsidRPr="00167A1B" w:rsidRDefault="00E30FB1" w:rsidP="00063490">
            <w:pPr>
              <w:pStyle w:val="Body"/>
              <w:numPr>
                <w:ilvl w:val="0"/>
                <w:numId w:val="0"/>
              </w:numPr>
              <w:jc w:val="left"/>
              <w:rPr>
                <w:rFonts w:ascii="Arial" w:hAnsi="Arial" w:cs="Arial"/>
                <w:b/>
                <w:lang w:val="en-GB"/>
              </w:rPr>
            </w:pPr>
            <w:r w:rsidRPr="00167A1B">
              <w:rPr>
                <w:rFonts w:ascii="Arial" w:hAnsi="Arial" w:cs="Arial"/>
                <w:b/>
                <w:lang w:val="en-GB"/>
              </w:rPr>
              <w:t>Manufacturers of System on a Chip (SoC)</w:t>
            </w:r>
          </w:p>
        </w:tc>
        <w:tc>
          <w:tcPr>
            <w:tcW w:w="0" w:type="auto"/>
            <w:gridSpan w:val="3"/>
          </w:tcPr>
          <w:p w14:paraId="5CE02BCA" w14:textId="33B1E63F" w:rsidR="00E30FB1" w:rsidRPr="00167A1B" w:rsidRDefault="00E30FB1" w:rsidP="00063490">
            <w:pPr>
              <w:pStyle w:val="Body"/>
              <w:numPr>
                <w:ilvl w:val="0"/>
                <w:numId w:val="0"/>
              </w:numPr>
              <w:jc w:val="left"/>
              <w:rPr>
                <w:rFonts w:ascii="Arial" w:hAnsi="Arial" w:cs="Arial"/>
                <w:lang w:val="en-GB"/>
              </w:rPr>
            </w:pPr>
            <w:r w:rsidRPr="00167A1B">
              <w:rPr>
                <w:rFonts w:ascii="Arial" w:hAnsi="Arial" w:cs="Arial"/>
                <w:lang w:val="en-GB"/>
              </w:rPr>
              <w:t>This option only involves unbundling, and therefore it has no impact on manufacturers of SoC</w:t>
            </w:r>
          </w:p>
        </w:tc>
      </w:tr>
      <w:tr w:rsidR="008C1477" w:rsidRPr="00167A1B" w14:paraId="78FFAB2F" w14:textId="77777777" w:rsidTr="000306AF">
        <w:trPr>
          <w:trHeight w:val="4518"/>
        </w:trPr>
        <w:tc>
          <w:tcPr>
            <w:tcW w:w="0" w:type="auto"/>
          </w:tcPr>
          <w:p w14:paraId="6B65EC4A" w14:textId="1AB33FFE" w:rsidR="00E30FB1" w:rsidRPr="00167A1B" w:rsidRDefault="00E30FB1" w:rsidP="00063490">
            <w:pPr>
              <w:pStyle w:val="Body"/>
              <w:numPr>
                <w:ilvl w:val="0"/>
                <w:numId w:val="0"/>
              </w:numPr>
              <w:jc w:val="left"/>
              <w:rPr>
                <w:rFonts w:ascii="Arial" w:hAnsi="Arial" w:cs="Arial"/>
                <w:b/>
                <w:lang w:val="en-GB"/>
              </w:rPr>
            </w:pPr>
            <w:r w:rsidRPr="00167A1B">
              <w:rPr>
                <w:rFonts w:ascii="Arial" w:hAnsi="Arial" w:cs="Arial"/>
                <w:b/>
                <w:lang w:val="en-GB"/>
              </w:rPr>
              <w:t>Manufacturers of mobile phones</w:t>
            </w:r>
          </w:p>
        </w:tc>
        <w:tc>
          <w:tcPr>
            <w:tcW w:w="2275" w:type="dxa"/>
          </w:tcPr>
          <w:p w14:paraId="071A481E" w14:textId="5180AAE6" w:rsidR="00E30FB1" w:rsidRPr="00167A1B" w:rsidRDefault="00E30FB1" w:rsidP="00063490">
            <w:pPr>
              <w:pStyle w:val="Body"/>
              <w:numPr>
                <w:ilvl w:val="0"/>
                <w:numId w:val="0"/>
              </w:numPr>
              <w:jc w:val="left"/>
              <w:rPr>
                <w:rFonts w:ascii="Arial" w:hAnsi="Arial" w:cs="Arial"/>
                <w:lang w:val="en-GB"/>
              </w:rPr>
            </w:pPr>
            <w:r w:rsidRPr="00167A1B">
              <w:rPr>
                <w:rFonts w:ascii="Arial" w:hAnsi="Arial" w:cs="Arial"/>
                <w:lang w:val="en-GB"/>
              </w:rPr>
              <w:t xml:space="preserve">The unbundling of the EPS would generate savings for this group of stakeholders, as they would not need to include EPS in the box anymore. </w:t>
            </w:r>
          </w:p>
          <w:p w14:paraId="164D5C53" w14:textId="225ED848" w:rsidR="000306AF" w:rsidRPr="00167A1B" w:rsidRDefault="00E30FB1" w:rsidP="00063490">
            <w:pPr>
              <w:pStyle w:val="Body"/>
              <w:numPr>
                <w:ilvl w:val="0"/>
                <w:numId w:val="0"/>
              </w:numPr>
              <w:jc w:val="left"/>
              <w:rPr>
                <w:rFonts w:ascii="Arial" w:hAnsi="Arial" w:cs="Arial"/>
                <w:lang w:val="en-GB"/>
              </w:rPr>
            </w:pPr>
            <w:r w:rsidRPr="00167A1B">
              <w:rPr>
                <w:rFonts w:ascii="Arial" w:hAnsi="Arial" w:cs="Arial"/>
                <w:lang w:val="en-GB"/>
              </w:rPr>
              <w:t>Some of these savings may be passed on to consumers through reductions in the price of the device, but some may be absorbed by manufacturers as additional income. Our stock model assumes savings are passed on to consumers.</w:t>
            </w:r>
          </w:p>
        </w:tc>
        <w:tc>
          <w:tcPr>
            <w:tcW w:w="2449" w:type="dxa"/>
          </w:tcPr>
          <w:p w14:paraId="75102367" w14:textId="791D76E8" w:rsidR="00E30FB1" w:rsidRPr="00167A1B" w:rsidRDefault="00E30FB1" w:rsidP="00E30FB1">
            <w:pPr>
              <w:pStyle w:val="Body"/>
              <w:numPr>
                <w:ilvl w:val="0"/>
                <w:numId w:val="0"/>
              </w:numPr>
              <w:jc w:val="left"/>
              <w:rPr>
                <w:rFonts w:ascii="Arial" w:hAnsi="Arial" w:cs="Arial"/>
                <w:lang w:val="en-GB"/>
              </w:rPr>
            </w:pPr>
            <w:r w:rsidRPr="00167A1B">
              <w:rPr>
                <w:rFonts w:ascii="Arial" w:hAnsi="Arial" w:cs="Arial"/>
                <w:lang w:val="en-GB"/>
              </w:rPr>
              <w:t>The competitive position of manufacturers currently using proprietary fast charging technologies may be negatively affected</w:t>
            </w:r>
            <w:r w:rsidR="000306AF" w:rsidRPr="00167A1B">
              <w:rPr>
                <w:rFonts w:ascii="Arial" w:hAnsi="Arial" w:cs="Arial"/>
                <w:lang w:val="en-GB"/>
              </w:rPr>
              <w:t>, as they could not offer the complete solution in the box and consumers may prefer to buy EPS that work with other devices.</w:t>
            </w:r>
          </w:p>
        </w:tc>
        <w:tc>
          <w:tcPr>
            <w:tcW w:w="0" w:type="auto"/>
          </w:tcPr>
          <w:p w14:paraId="072B24C0" w14:textId="0F59412A" w:rsidR="00E30FB1" w:rsidRPr="00167A1B" w:rsidRDefault="00E30FB1" w:rsidP="00063490">
            <w:pPr>
              <w:pStyle w:val="Body"/>
              <w:numPr>
                <w:ilvl w:val="0"/>
                <w:numId w:val="0"/>
              </w:numPr>
              <w:jc w:val="left"/>
              <w:rPr>
                <w:rFonts w:ascii="Arial" w:hAnsi="Arial" w:cs="Arial"/>
                <w:lang w:val="en-GB"/>
              </w:rPr>
            </w:pPr>
            <w:r w:rsidRPr="00167A1B">
              <w:rPr>
                <w:rFonts w:ascii="Arial" w:hAnsi="Arial" w:cs="Arial"/>
                <w:lang w:val="en-GB"/>
              </w:rPr>
              <w:t xml:space="preserve">Manufacturers of </w:t>
            </w:r>
            <w:r w:rsidR="000306AF" w:rsidRPr="00167A1B">
              <w:rPr>
                <w:rFonts w:ascii="Arial" w:hAnsi="Arial" w:cs="Arial"/>
                <w:lang w:val="en-GB"/>
              </w:rPr>
              <w:t>mobile phones using third party charging solutions (e.g. Quick Charge) may need to pay lower royalties, as one of the proprietary elements (the EPS) would not be included in the box anymore. The impact on benefits for manufacturers is likely to be minor, as this cost/saving would be passed on to consumers.</w:t>
            </w:r>
          </w:p>
        </w:tc>
      </w:tr>
      <w:tr w:rsidR="008C1477" w:rsidRPr="00167A1B" w14:paraId="492FB701" w14:textId="77777777" w:rsidTr="000306AF">
        <w:trPr>
          <w:trHeight w:val="3706"/>
        </w:trPr>
        <w:tc>
          <w:tcPr>
            <w:tcW w:w="0" w:type="auto"/>
          </w:tcPr>
          <w:p w14:paraId="0357336C" w14:textId="77777777" w:rsidR="00E30FB1" w:rsidRPr="00167A1B" w:rsidRDefault="00E30FB1" w:rsidP="00063490">
            <w:pPr>
              <w:pStyle w:val="Body"/>
              <w:numPr>
                <w:ilvl w:val="0"/>
                <w:numId w:val="0"/>
              </w:numPr>
              <w:jc w:val="left"/>
              <w:rPr>
                <w:rFonts w:ascii="Arial" w:hAnsi="Arial" w:cs="Arial"/>
                <w:b/>
                <w:lang w:val="en-GB"/>
              </w:rPr>
            </w:pPr>
            <w:r w:rsidRPr="00167A1B">
              <w:rPr>
                <w:rFonts w:ascii="Arial" w:hAnsi="Arial" w:cs="Arial"/>
                <w:b/>
                <w:lang w:val="en-GB"/>
              </w:rPr>
              <w:t>Manufacturers of chargers</w:t>
            </w:r>
          </w:p>
        </w:tc>
        <w:tc>
          <w:tcPr>
            <w:tcW w:w="2275" w:type="dxa"/>
          </w:tcPr>
          <w:p w14:paraId="4B058027" w14:textId="63289F7F" w:rsidR="00E30FB1" w:rsidRPr="00167A1B" w:rsidRDefault="000306AF" w:rsidP="00063490">
            <w:pPr>
              <w:pStyle w:val="Body"/>
              <w:numPr>
                <w:ilvl w:val="0"/>
                <w:numId w:val="0"/>
              </w:numPr>
              <w:jc w:val="left"/>
              <w:rPr>
                <w:rFonts w:ascii="Arial" w:hAnsi="Arial" w:cs="Arial"/>
                <w:lang w:val="en-GB"/>
              </w:rPr>
            </w:pPr>
            <w:r w:rsidRPr="00167A1B">
              <w:rPr>
                <w:rFonts w:ascii="Arial" w:hAnsi="Arial" w:cs="Arial"/>
                <w:lang w:val="en-GB"/>
              </w:rPr>
              <w:t>Manufacturers of chargers are</w:t>
            </w:r>
            <w:r w:rsidR="008C1477" w:rsidRPr="00167A1B">
              <w:rPr>
                <w:rFonts w:ascii="Arial" w:hAnsi="Arial" w:cs="Arial"/>
                <w:lang w:val="en-GB"/>
              </w:rPr>
              <w:t xml:space="preserve"> one of</w:t>
            </w:r>
            <w:r w:rsidRPr="00167A1B">
              <w:rPr>
                <w:rFonts w:ascii="Arial" w:hAnsi="Arial" w:cs="Arial"/>
                <w:lang w:val="en-GB"/>
              </w:rPr>
              <w:t xml:space="preserve"> the main stakeholder</w:t>
            </w:r>
            <w:r w:rsidR="008C1477" w:rsidRPr="00167A1B">
              <w:rPr>
                <w:rFonts w:ascii="Arial" w:hAnsi="Arial" w:cs="Arial"/>
                <w:lang w:val="en-GB"/>
              </w:rPr>
              <w:t>s</w:t>
            </w:r>
            <w:r w:rsidRPr="00167A1B">
              <w:rPr>
                <w:rFonts w:ascii="Arial" w:hAnsi="Arial" w:cs="Arial"/>
                <w:lang w:val="en-GB"/>
              </w:rPr>
              <w:t xml:space="preserve"> affected by this option. Overall, </w:t>
            </w:r>
            <w:r w:rsidR="008C1477" w:rsidRPr="00167A1B">
              <w:rPr>
                <w:rFonts w:ascii="Arial" w:hAnsi="Arial" w:cs="Arial"/>
                <w:lang w:val="en-GB"/>
              </w:rPr>
              <w:t>their sales would decrease as the number of EPS sold in the EU decreases</w:t>
            </w:r>
            <w:r w:rsidR="003115BF" w:rsidRPr="00167A1B">
              <w:rPr>
                <w:rFonts w:ascii="Arial" w:hAnsi="Arial" w:cs="Arial"/>
                <w:lang w:val="en-GB"/>
              </w:rPr>
              <w:t xml:space="preserve"> (-</w:t>
            </w:r>
            <w:r w:rsidR="006156D5" w:rsidRPr="00167A1B">
              <w:rPr>
                <w:rFonts w:ascii="Arial" w:hAnsi="Arial" w:cs="Arial"/>
                <w:lang w:val="en-GB"/>
              </w:rPr>
              <w:t>6.7</w:t>
            </w:r>
            <w:r w:rsidR="003115BF" w:rsidRPr="00167A1B">
              <w:rPr>
                <w:rFonts w:ascii="Arial" w:hAnsi="Arial" w:cs="Arial"/>
                <w:lang w:val="en-GB"/>
              </w:rPr>
              <w:t>%)</w:t>
            </w:r>
            <w:r w:rsidR="008C1477" w:rsidRPr="00167A1B">
              <w:rPr>
                <w:rFonts w:ascii="Arial" w:hAnsi="Arial" w:cs="Arial"/>
                <w:lang w:val="en-GB"/>
              </w:rPr>
              <w:t xml:space="preserve">. On the other hand, however, they would obtain higher margin selling their EPS directly to distributors/consumers than to manufacturers of mobile phones. </w:t>
            </w:r>
          </w:p>
        </w:tc>
        <w:tc>
          <w:tcPr>
            <w:tcW w:w="2449" w:type="dxa"/>
          </w:tcPr>
          <w:p w14:paraId="2CD356E2" w14:textId="667A51C7" w:rsidR="00E30FB1" w:rsidRPr="00167A1B" w:rsidRDefault="000306AF" w:rsidP="00063490">
            <w:pPr>
              <w:pStyle w:val="Body"/>
              <w:numPr>
                <w:ilvl w:val="0"/>
                <w:numId w:val="0"/>
              </w:numPr>
              <w:jc w:val="left"/>
              <w:rPr>
                <w:rFonts w:ascii="Arial" w:hAnsi="Arial" w:cs="Arial"/>
                <w:lang w:val="en-GB"/>
              </w:rPr>
            </w:pPr>
            <w:r w:rsidRPr="00167A1B">
              <w:rPr>
                <w:rFonts w:ascii="Arial" w:hAnsi="Arial" w:cs="Arial"/>
                <w:lang w:val="en-GB"/>
              </w:rPr>
              <w:t>F</w:t>
            </w:r>
            <w:r w:rsidR="00E30FB1" w:rsidRPr="00167A1B">
              <w:rPr>
                <w:rFonts w:ascii="Arial" w:hAnsi="Arial" w:cs="Arial"/>
                <w:lang w:val="en-GB"/>
              </w:rPr>
              <w:t>irms who produce chargers to be sold in the box may lose market share if they are not able to adapt their distribution networks rapidly. This share would be won by manufacturers who distribute to retailers/consumers.</w:t>
            </w:r>
            <w:r w:rsidRPr="00167A1B">
              <w:rPr>
                <w:rFonts w:ascii="Arial" w:hAnsi="Arial" w:cs="Arial"/>
                <w:lang w:val="en-GB"/>
              </w:rPr>
              <w:t xml:space="preserve"> This effect is however expected to be negligible, as there is already a high degree of unbundling in the baseline.</w:t>
            </w:r>
          </w:p>
        </w:tc>
        <w:tc>
          <w:tcPr>
            <w:tcW w:w="0" w:type="auto"/>
          </w:tcPr>
          <w:p w14:paraId="42B8F6B1" w14:textId="1DB68A6C" w:rsidR="00E30FB1" w:rsidRPr="00167A1B" w:rsidRDefault="000306AF" w:rsidP="00063490">
            <w:pPr>
              <w:pStyle w:val="Body"/>
              <w:numPr>
                <w:ilvl w:val="0"/>
                <w:numId w:val="0"/>
              </w:numPr>
              <w:jc w:val="left"/>
              <w:rPr>
                <w:rFonts w:ascii="Arial" w:hAnsi="Arial" w:cs="Arial"/>
                <w:lang w:val="en-GB"/>
              </w:rPr>
            </w:pPr>
            <w:r w:rsidRPr="00167A1B">
              <w:rPr>
                <w:rFonts w:ascii="Arial" w:hAnsi="Arial" w:cs="Arial"/>
                <w:lang w:val="en-GB"/>
              </w:rPr>
              <w:t>This option does not affect harmonisation, and therefore no impacts on royalties are expected.</w:t>
            </w:r>
          </w:p>
        </w:tc>
      </w:tr>
      <w:tr w:rsidR="008C1477" w:rsidRPr="00167A1B" w14:paraId="220D67BF" w14:textId="77777777" w:rsidTr="000306AF">
        <w:trPr>
          <w:trHeight w:val="2121"/>
        </w:trPr>
        <w:tc>
          <w:tcPr>
            <w:tcW w:w="0" w:type="auto"/>
          </w:tcPr>
          <w:p w14:paraId="468C7356" w14:textId="77777777" w:rsidR="00E30FB1" w:rsidRPr="00167A1B" w:rsidRDefault="00E30FB1" w:rsidP="00063490">
            <w:pPr>
              <w:pStyle w:val="Body"/>
              <w:numPr>
                <w:ilvl w:val="0"/>
                <w:numId w:val="0"/>
              </w:numPr>
              <w:jc w:val="left"/>
              <w:rPr>
                <w:rFonts w:ascii="Arial" w:hAnsi="Arial" w:cs="Arial"/>
                <w:b/>
                <w:lang w:val="en-GB"/>
              </w:rPr>
            </w:pPr>
            <w:r w:rsidRPr="00167A1B">
              <w:rPr>
                <w:rFonts w:ascii="Arial" w:hAnsi="Arial" w:cs="Arial"/>
                <w:b/>
                <w:lang w:val="en-GB"/>
              </w:rPr>
              <w:lastRenderedPageBreak/>
              <w:t>Distributors, retailers, and wholesalers</w:t>
            </w:r>
          </w:p>
        </w:tc>
        <w:tc>
          <w:tcPr>
            <w:tcW w:w="2275" w:type="dxa"/>
          </w:tcPr>
          <w:p w14:paraId="18BB5E54" w14:textId="1D2316DB" w:rsidR="00E30FB1" w:rsidRPr="00167A1B" w:rsidRDefault="00E30FB1" w:rsidP="00063490">
            <w:pPr>
              <w:pStyle w:val="Body"/>
              <w:numPr>
                <w:ilvl w:val="0"/>
                <w:numId w:val="0"/>
              </w:numPr>
              <w:jc w:val="left"/>
              <w:rPr>
                <w:rFonts w:ascii="Arial" w:hAnsi="Arial" w:cs="Arial"/>
                <w:lang w:val="en-GB"/>
              </w:rPr>
            </w:pPr>
            <w:r w:rsidRPr="00167A1B">
              <w:rPr>
                <w:rFonts w:ascii="Arial" w:hAnsi="Arial" w:cs="Arial"/>
                <w:lang w:val="en-GB"/>
              </w:rPr>
              <w:t xml:space="preserve">Distributors </w:t>
            </w:r>
            <w:r w:rsidR="000306AF" w:rsidRPr="00167A1B">
              <w:rPr>
                <w:rFonts w:ascii="Arial" w:hAnsi="Arial" w:cs="Arial"/>
                <w:lang w:val="en-GB"/>
              </w:rPr>
              <w:t>would</w:t>
            </w:r>
            <w:r w:rsidRPr="00167A1B">
              <w:rPr>
                <w:rFonts w:ascii="Arial" w:hAnsi="Arial" w:cs="Arial"/>
                <w:lang w:val="en-GB"/>
              </w:rPr>
              <w:t xml:space="preserve"> benefit from the increased sales of stand-alone chargers</w:t>
            </w:r>
            <w:r w:rsidR="000306AF" w:rsidRPr="00167A1B">
              <w:rPr>
                <w:rFonts w:ascii="Arial" w:hAnsi="Arial" w:cs="Arial"/>
                <w:lang w:val="en-GB"/>
              </w:rPr>
              <w:t xml:space="preserve">, from which they </w:t>
            </w:r>
            <w:r w:rsidR="008C1477" w:rsidRPr="00167A1B">
              <w:rPr>
                <w:rFonts w:ascii="Arial" w:hAnsi="Arial" w:cs="Arial"/>
                <w:lang w:val="en-GB"/>
              </w:rPr>
              <w:t>would</w:t>
            </w:r>
            <w:r w:rsidR="000306AF" w:rsidRPr="00167A1B">
              <w:rPr>
                <w:rFonts w:ascii="Arial" w:hAnsi="Arial" w:cs="Arial"/>
                <w:lang w:val="en-GB"/>
              </w:rPr>
              <w:t xml:space="preserve"> obtain higher margins than when sold along with mobile phones.</w:t>
            </w:r>
            <w:r w:rsidR="008C1477" w:rsidRPr="00167A1B">
              <w:rPr>
                <w:rFonts w:ascii="Arial" w:hAnsi="Arial" w:cs="Arial"/>
                <w:lang w:val="en-GB"/>
              </w:rPr>
              <w:t xml:space="preserve"> The benefits for the industry calculated in the stock model (</w:t>
            </w:r>
            <w:r w:rsidR="006156D5" w:rsidRPr="00167A1B">
              <w:rPr>
                <w:rFonts w:ascii="Arial" w:hAnsi="Arial" w:cs="Arial"/>
                <w:lang w:val="en-GB"/>
              </w:rPr>
              <w:t>16</w:t>
            </w:r>
            <w:r w:rsidR="003115BF" w:rsidRPr="00167A1B">
              <w:rPr>
                <w:rFonts w:ascii="Arial" w:hAnsi="Arial" w:cs="Arial"/>
                <w:lang w:val="en-GB"/>
              </w:rPr>
              <w:t>% increase compared to the baseline)</w:t>
            </w:r>
            <w:r w:rsidR="008C1477" w:rsidRPr="00167A1B">
              <w:rPr>
                <w:rFonts w:ascii="Arial" w:hAnsi="Arial" w:cs="Arial"/>
                <w:lang w:val="en-GB"/>
              </w:rPr>
              <w:t>.</w:t>
            </w:r>
          </w:p>
        </w:tc>
        <w:tc>
          <w:tcPr>
            <w:tcW w:w="2449" w:type="dxa"/>
          </w:tcPr>
          <w:p w14:paraId="671E7A68" w14:textId="016A6D36" w:rsidR="00E30FB1" w:rsidRPr="00167A1B" w:rsidRDefault="00E30FB1" w:rsidP="00063490">
            <w:pPr>
              <w:pStyle w:val="Body"/>
              <w:numPr>
                <w:ilvl w:val="0"/>
                <w:numId w:val="0"/>
              </w:numPr>
              <w:jc w:val="left"/>
              <w:rPr>
                <w:rFonts w:ascii="Arial" w:hAnsi="Arial" w:cs="Arial"/>
                <w:lang w:val="en-GB"/>
              </w:rPr>
            </w:pPr>
            <w:r w:rsidRPr="00167A1B">
              <w:rPr>
                <w:rFonts w:ascii="Arial" w:hAnsi="Arial" w:cs="Arial"/>
                <w:lang w:val="en-GB"/>
              </w:rPr>
              <w:t>No impacts</w:t>
            </w:r>
          </w:p>
        </w:tc>
        <w:tc>
          <w:tcPr>
            <w:tcW w:w="0" w:type="auto"/>
          </w:tcPr>
          <w:p w14:paraId="174AC2F9" w14:textId="7DAE4F81" w:rsidR="00E30FB1" w:rsidRPr="00167A1B" w:rsidRDefault="00E30FB1" w:rsidP="00063490">
            <w:pPr>
              <w:pStyle w:val="Body"/>
              <w:numPr>
                <w:ilvl w:val="0"/>
                <w:numId w:val="0"/>
              </w:numPr>
              <w:jc w:val="left"/>
              <w:rPr>
                <w:rFonts w:ascii="Arial" w:hAnsi="Arial" w:cs="Arial"/>
                <w:lang w:val="en-GB"/>
              </w:rPr>
            </w:pPr>
            <w:r w:rsidRPr="00167A1B">
              <w:rPr>
                <w:rFonts w:ascii="Arial" w:hAnsi="Arial" w:cs="Arial"/>
                <w:lang w:val="en-GB"/>
              </w:rPr>
              <w:t>No impacts</w:t>
            </w:r>
          </w:p>
        </w:tc>
      </w:tr>
    </w:tbl>
    <w:p w14:paraId="7751DF5A" w14:textId="3A3E23EA" w:rsidR="00272D69" w:rsidRPr="00167A1B" w:rsidRDefault="00272D69" w:rsidP="00272D69">
      <w:pPr>
        <w:pStyle w:val="BodyText1"/>
        <w:rPr>
          <w:b/>
          <w:bCs/>
          <w:noProof w:val="0"/>
        </w:rPr>
      </w:pPr>
    </w:p>
    <w:p w14:paraId="780739C9" w14:textId="77777777" w:rsidR="008C1477" w:rsidRPr="00167A1B" w:rsidRDefault="008C1477" w:rsidP="00272D69">
      <w:pPr>
        <w:pStyle w:val="BodyText1"/>
        <w:rPr>
          <w:b/>
          <w:bCs/>
          <w:noProof w:val="0"/>
        </w:rPr>
      </w:pPr>
    </w:p>
    <w:p w14:paraId="7CF4AA03" w14:textId="59F3C631" w:rsidR="00E30FB1" w:rsidRPr="00167A1B" w:rsidRDefault="00E30FB1" w:rsidP="00272D69">
      <w:pPr>
        <w:pStyle w:val="BodyText1"/>
        <w:rPr>
          <w:b/>
          <w:bCs/>
          <w:noProof w:val="0"/>
        </w:rPr>
      </w:pPr>
      <w:r w:rsidRPr="00167A1B">
        <w:rPr>
          <w:b/>
          <w:bCs/>
          <w:noProof w:val="0"/>
        </w:rPr>
        <w:t>Impacts on innovation</w:t>
      </w:r>
    </w:p>
    <w:p w14:paraId="680DDB6F" w14:textId="6F1E6FB8" w:rsidR="00E30FB1" w:rsidRPr="00167A1B" w:rsidRDefault="008C1477" w:rsidP="00E30FB1">
      <w:pPr>
        <w:pStyle w:val="BodyText1"/>
        <w:rPr>
          <w:bCs/>
          <w:noProof w:val="0"/>
        </w:rPr>
      </w:pPr>
      <w:r w:rsidRPr="00167A1B">
        <w:rPr>
          <w:bCs/>
          <w:noProof w:val="0"/>
        </w:rPr>
        <w:t xml:space="preserve">Mandatory unbundling is not expected to generate significant impacts on the capacity of firms to innovate, since it does not encompass harmonisation. </w:t>
      </w:r>
    </w:p>
    <w:p w14:paraId="0098767F" w14:textId="77777777" w:rsidR="00272D69" w:rsidRPr="00167A1B" w:rsidRDefault="00272D69" w:rsidP="00084C36">
      <w:pPr>
        <w:pStyle w:val="BodyText1"/>
        <w:rPr>
          <w:bCs/>
          <w:noProof w:val="0"/>
        </w:rPr>
      </w:pPr>
    </w:p>
    <w:p w14:paraId="051045BB" w14:textId="7880DF16" w:rsidR="00084C36" w:rsidRPr="00167A1B" w:rsidRDefault="00084C36" w:rsidP="00084C36">
      <w:pPr>
        <w:pStyle w:val="Subtitle10"/>
        <w:rPr>
          <w:noProof w:val="0"/>
        </w:rPr>
      </w:pPr>
      <w:r w:rsidRPr="00167A1B">
        <w:rPr>
          <w:noProof w:val="0"/>
        </w:rPr>
        <w:t>Option 4.b</w:t>
      </w:r>
      <w:r w:rsidR="00136AB3" w:rsidRPr="00167A1B">
        <w:rPr>
          <w:noProof w:val="0"/>
        </w:rPr>
        <w:t>: Mandatory unbundling of the entire charger (EPS and cables)</w:t>
      </w:r>
    </w:p>
    <w:p w14:paraId="4ED36507" w14:textId="7F56B93D" w:rsidR="005874BA" w:rsidRPr="00167A1B" w:rsidRDefault="005874BA" w:rsidP="00084C36">
      <w:pPr>
        <w:pStyle w:val="BodyText1"/>
        <w:rPr>
          <w:b/>
          <w:bCs/>
          <w:noProof w:val="0"/>
        </w:rPr>
      </w:pPr>
      <w:r w:rsidRPr="00167A1B">
        <w:rPr>
          <w:b/>
          <w:bCs/>
          <w:noProof w:val="0"/>
        </w:rPr>
        <w:t>Costs for consumers</w:t>
      </w:r>
    </w:p>
    <w:p w14:paraId="5C4FC444" w14:textId="64B47511" w:rsidR="00084C36" w:rsidRPr="00167A1B" w:rsidRDefault="00084C36" w:rsidP="00084C36">
      <w:pPr>
        <w:pStyle w:val="BodyText1"/>
        <w:rPr>
          <w:noProof w:val="0"/>
        </w:rPr>
      </w:pPr>
      <w:r w:rsidRPr="00167A1B">
        <w:rPr>
          <w:noProof w:val="0"/>
        </w:rPr>
        <w:t xml:space="preserve">The economic impacts of unbundling not only the EPS, but also the cable, are a little bit more positive for consumers. In this option, for every phone that is sold without EPS and cable, consumers buy 0.36 EPS and 0.26 cables. The result is that the total price paid by consumers for the chargers they acquire is 2.2% higher than in the baseline. </w:t>
      </w:r>
    </w:p>
    <w:p w14:paraId="2284836D" w14:textId="1CFDF4EF" w:rsidR="00272D69" w:rsidRPr="00167A1B" w:rsidRDefault="00272D69" w:rsidP="00272D69">
      <w:pPr>
        <w:pStyle w:val="BodyText1"/>
        <w:rPr>
          <w:b/>
          <w:bCs/>
          <w:noProof w:val="0"/>
        </w:rPr>
      </w:pPr>
      <w:r w:rsidRPr="00167A1B">
        <w:rPr>
          <w:b/>
          <w:bCs/>
          <w:noProof w:val="0"/>
        </w:rPr>
        <w:t xml:space="preserve">Impacts on </w:t>
      </w:r>
      <w:r w:rsidR="005874BA" w:rsidRPr="00167A1B">
        <w:rPr>
          <w:b/>
          <w:bCs/>
          <w:noProof w:val="0"/>
        </w:rPr>
        <w:t>competitiveness</w:t>
      </w:r>
    </w:p>
    <w:p w14:paraId="3B88BBDB" w14:textId="375937B6" w:rsidR="00303E27" w:rsidRPr="00167A1B" w:rsidRDefault="00303E27" w:rsidP="00EF05D5">
      <w:pPr>
        <w:pStyle w:val="Caption"/>
        <w:rPr>
          <w:b/>
          <w:bCs/>
        </w:rPr>
      </w:pPr>
      <w:r w:rsidRPr="00167A1B">
        <w:t xml:space="preserve">Table </w:t>
      </w:r>
      <w:r w:rsidRPr="00167A1B">
        <w:fldChar w:fldCharType="begin"/>
      </w:r>
      <w:r w:rsidRPr="00167A1B">
        <w:instrText xml:space="preserve"> SEQ Table \* ARABIC </w:instrText>
      </w:r>
      <w:r w:rsidRPr="00167A1B">
        <w:fldChar w:fldCharType="separate"/>
      </w:r>
      <w:r w:rsidR="00953106" w:rsidRPr="00167A1B">
        <w:t>17</w:t>
      </w:r>
      <w:r w:rsidRPr="00167A1B">
        <w:fldChar w:fldCharType="end"/>
      </w:r>
      <w:r w:rsidRPr="00167A1B">
        <w:t xml:space="preserve">. Impacts on </w:t>
      </w:r>
      <w:r w:rsidR="00167A1B" w:rsidRPr="00167A1B">
        <w:t>competitiveness</w:t>
      </w:r>
      <w:r w:rsidRPr="00167A1B">
        <w:t xml:space="preserve"> of policy option 4.b per type of stakeholder</w:t>
      </w:r>
    </w:p>
    <w:tbl>
      <w:tblPr>
        <w:tblStyle w:val="TableGrid"/>
        <w:tblW w:w="0" w:type="auto"/>
        <w:tblCellMar>
          <w:top w:w="57" w:type="dxa"/>
          <w:bottom w:w="57" w:type="dxa"/>
        </w:tblCellMar>
        <w:tblLook w:val="04A0" w:firstRow="1" w:lastRow="0" w:firstColumn="1" w:lastColumn="0" w:noHBand="0" w:noVBand="1"/>
      </w:tblPr>
      <w:tblGrid>
        <w:gridCol w:w="1757"/>
        <w:gridCol w:w="2275"/>
        <w:gridCol w:w="2449"/>
        <w:gridCol w:w="2580"/>
      </w:tblGrid>
      <w:tr w:rsidR="005874BA" w:rsidRPr="00167A1B" w14:paraId="29D958AD" w14:textId="77777777" w:rsidTr="00DC3C60">
        <w:trPr>
          <w:cnfStyle w:val="100000000000" w:firstRow="1" w:lastRow="0" w:firstColumn="0" w:lastColumn="0" w:oddVBand="0" w:evenVBand="0" w:oddHBand="0" w:evenHBand="0" w:firstRowFirstColumn="0" w:firstRowLastColumn="0" w:lastRowFirstColumn="0" w:lastRowLastColumn="0"/>
          <w:trHeight w:val="675"/>
          <w:tblHeader/>
        </w:trPr>
        <w:tc>
          <w:tcPr>
            <w:tcW w:w="0" w:type="auto"/>
            <w:shd w:val="clear" w:color="auto" w:fill="0C4DA2" w:themeFill="text2"/>
          </w:tcPr>
          <w:p w14:paraId="00887228" w14:textId="77777777" w:rsidR="005874BA" w:rsidRPr="00167A1B" w:rsidRDefault="005874BA" w:rsidP="00DC3C60">
            <w:pPr>
              <w:pStyle w:val="Body"/>
              <w:numPr>
                <w:ilvl w:val="0"/>
                <w:numId w:val="0"/>
              </w:numPr>
              <w:jc w:val="left"/>
              <w:rPr>
                <w:rFonts w:ascii="Arial" w:hAnsi="Arial" w:cs="Arial"/>
                <w:b/>
                <w:lang w:val="en-GB"/>
              </w:rPr>
            </w:pPr>
            <w:r w:rsidRPr="00167A1B">
              <w:rPr>
                <w:rFonts w:ascii="Arial" w:hAnsi="Arial" w:cs="Arial"/>
                <w:b/>
                <w:lang w:val="en-GB"/>
              </w:rPr>
              <w:t>Stakeholder</w:t>
            </w:r>
          </w:p>
        </w:tc>
        <w:tc>
          <w:tcPr>
            <w:tcW w:w="2275" w:type="dxa"/>
            <w:shd w:val="clear" w:color="auto" w:fill="0C4DA2" w:themeFill="text2"/>
          </w:tcPr>
          <w:p w14:paraId="0D9017E4" w14:textId="77777777" w:rsidR="005874BA" w:rsidRPr="00167A1B" w:rsidRDefault="005874BA" w:rsidP="00DC3C60">
            <w:pPr>
              <w:pStyle w:val="Body"/>
              <w:numPr>
                <w:ilvl w:val="0"/>
                <w:numId w:val="0"/>
              </w:numPr>
              <w:jc w:val="left"/>
              <w:rPr>
                <w:rFonts w:ascii="Arial" w:hAnsi="Arial" w:cs="Arial"/>
                <w:b/>
                <w:lang w:val="en-GB"/>
              </w:rPr>
            </w:pPr>
            <w:r w:rsidRPr="00167A1B">
              <w:rPr>
                <w:rFonts w:ascii="Arial" w:hAnsi="Arial" w:cs="Arial"/>
                <w:b/>
                <w:lang w:val="en-GB"/>
              </w:rPr>
              <w:t>Benefits</w:t>
            </w:r>
          </w:p>
        </w:tc>
        <w:tc>
          <w:tcPr>
            <w:tcW w:w="2449" w:type="dxa"/>
            <w:shd w:val="clear" w:color="auto" w:fill="0C4DA2" w:themeFill="text2"/>
          </w:tcPr>
          <w:p w14:paraId="6BF13183" w14:textId="77777777" w:rsidR="005874BA" w:rsidRPr="00167A1B" w:rsidRDefault="005874BA" w:rsidP="00DC3C60">
            <w:pPr>
              <w:pStyle w:val="Body"/>
              <w:numPr>
                <w:ilvl w:val="0"/>
                <w:numId w:val="0"/>
              </w:numPr>
              <w:jc w:val="left"/>
              <w:rPr>
                <w:rFonts w:ascii="Arial" w:hAnsi="Arial" w:cs="Arial"/>
                <w:b/>
                <w:lang w:val="en-GB"/>
              </w:rPr>
            </w:pPr>
            <w:r w:rsidRPr="00167A1B">
              <w:rPr>
                <w:rFonts w:ascii="Arial" w:hAnsi="Arial" w:cs="Arial"/>
                <w:b/>
                <w:lang w:val="en-GB"/>
              </w:rPr>
              <w:t>Changes in competitive landscape</w:t>
            </w:r>
          </w:p>
        </w:tc>
        <w:tc>
          <w:tcPr>
            <w:tcW w:w="0" w:type="auto"/>
            <w:shd w:val="clear" w:color="auto" w:fill="0C4DA2" w:themeFill="text2"/>
          </w:tcPr>
          <w:p w14:paraId="1F054FF6" w14:textId="77777777" w:rsidR="005874BA" w:rsidRPr="00167A1B" w:rsidRDefault="005874BA" w:rsidP="00DC3C60">
            <w:pPr>
              <w:pStyle w:val="Body"/>
              <w:numPr>
                <w:ilvl w:val="0"/>
                <w:numId w:val="0"/>
              </w:numPr>
              <w:jc w:val="left"/>
              <w:rPr>
                <w:rFonts w:ascii="Arial" w:hAnsi="Arial" w:cs="Arial"/>
                <w:b/>
                <w:lang w:val="en-GB"/>
              </w:rPr>
            </w:pPr>
            <w:r w:rsidRPr="00167A1B">
              <w:rPr>
                <w:rFonts w:ascii="Arial" w:hAnsi="Arial" w:cs="Arial"/>
                <w:b/>
                <w:lang w:val="en-GB"/>
              </w:rPr>
              <w:t>Variations in income from royalties</w:t>
            </w:r>
          </w:p>
        </w:tc>
      </w:tr>
      <w:tr w:rsidR="005874BA" w:rsidRPr="00167A1B" w14:paraId="04536731" w14:textId="77777777" w:rsidTr="00DC3C60">
        <w:trPr>
          <w:trHeight w:val="652"/>
        </w:trPr>
        <w:tc>
          <w:tcPr>
            <w:tcW w:w="0" w:type="auto"/>
          </w:tcPr>
          <w:p w14:paraId="122BA331" w14:textId="77777777" w:rsidR="005874BA" w:rsidRPr="00167A1B" w:rsidRDefault="005874BA" w:rsidP="00DC3C60">
            <w:pPr>
              <w:pStyle w:val="Body"/>
              <w:numPr>
                <w:ilvl w:val="0"/>
                <w:numId w:val="0"/>
              </w:numPr>
              <w:jc w:val="left"/>
              <w:rPr>
                <w:rFonts w:ascii="Arial" w:hAnsi="Arial" w:cs="Arial"/>
                <w:b/>
                <w:lang w:val="en-GB"/>
              </w:rPr>
            </w:pPr>
            <w:r w:rsidRPr="00167A1B">
              <w:rPr>
                <w:rFonts w:ascii="Arial" w:hAnsi="Arial" w:cs="Arial"/>
                <w:b/>
                <w:lang w:val="en-GB"/>
              </w:rPr>
              <w:t>Manufacturers of System on a Chip (SoC)</w:t>
            </w:r>
          </w:p>
        </w:tc>
        <w:tc>
          <w:tcPr>
            <w:tcW w:w="0" w:type="auto"/>
            <w:gridSpan w:val="3"/>
          </w:tcPr>
          <w:p w14:paraId="2F204713" w14:textId="77777777" w:rsidR="005874BA" w:rsidRPr="00167A1B" w:rsidRDefault="005874BA" w:rsidP="00DC3C60">
            <w:pPr>
              <w:pStyle w:val="Body"/>
              <w:numPr>
                <w:ilvl w:val="0"/>
                <w:numId w:val="0"/>
              </w:numPr>
              <w:jc w:val="left"/>
              <w:rPr>
                <w:rFonts w:ascii="Arial" w:hAnsi="Arial" w:cs="Arial"/>
                <w:lang w:val="en-GB"/>
              </w:rPr>
            </w:pPr>
            <w:r w:rsidRPr="00167A1B">
              <w:rPr>
                <w:rFonts w:ascii="Arial" w:hAnsi="Arial" w:cs="Arial"/>
                <w:lang w:val="en-GB"/>
              </w:rPr>
              <w:t>This option only involves unbundling, and therefore it has no impact on manufacturers of SoC</w:t>
            </w:r>
          </w:p>
        </w:tc>
      </w:tr>
      <w:tr w:rsidR="005874BA" w:rsidRPr="00167A1B" w14:paraId="7274C14E" w14:textId="77777777" w:rsidTr="00DC3C60">
        <w:trPr>
          <w:trHeight w:val="4518"/>
        </w:trPr>
        <w:tc>
          <w:tcPr>
            <w:tcW w:w="0" w:type="auto"/>
          </w:tcPr>
          <w:p w14:paraId="0EAA7AA0" w14:textId="77777777" w:rsidR="005874BA" w:rsidRPr="00167A1B" w:rsidRDefault="005874BA" w:rsidP="00DC3C60">
            <w:pPr>
              <w:pStyle w:val="Body"/>
              <w:numPr>
                <w:ilvl w:val="0"/>
                <w:numId w:val="0"/>
              </w:numPr>
              <w:jc w:val="left"/>
              <w:rPr>
                <w:rFonts w:ascii="Arial" w:hAnsi="Arial" w:cs="Arial"/>
                <w:b/>
                <w:lang w:val="en-GB"/>
              </w:rPr>
            </w:pPr>
            <w:r w:rsidRPr="00167A1B">
              <w:rPr>
                <w:rFonts w:ascii="Arial" w:hAnsi="Arial" w:cs="Arial"/>
                <w:b/>
                <w:lang w:val="en-GB"/>
              </w:rPr>
              <w:lastRenderedPageBreak/>
              <w:t>Manufacturers of mobile phones</w:t>
            </w:r>
          </w:p>
        </w:tc>
        <w:tc>
          <w:tcPr>
            <w:tcW w:w="2275" w:type="dxa"/>
          </w:tcPr>
          <w:p w14:paraId="3D2F0BF7" w14:textId="520CEC92" w:rsidR="005874BA" w:rsidRPr="00167A1B" w:rsidRDefault="005874BA" w:rsidP="00DC3C60">
            <w:pPr>
              <w:pStyle w:val="Body"/>
              <w:numPr>
                <w:ilvl w:val="0"/>
                <w:numId w:val="0"/>
              </w:numPr>
              <w:jc w:val="left"/>
              <w:rPr>
                <w:rFonts w:ascii="Arial" w:hAnsi="Arial" w:cs="Arial"/>
                <w:lang w:val="en-GB"/>
              </w:rPr>
            </w:pPr>
            <w:r w:rsidRPr="00167A1B">
              <w:rPr>
                <w:rFonts w:ascii="Arial" w:hAnsi="Arial" w:cs="Arial"/>
                <w:lang w:val="en-GB"/>
              </w:rPr>
              <w:t xml:space="preserve">As in option 4.a, unbundling (in this case of both EPS and cable) would generate savings for this group of stakeholders. </w:t>
            </w:r>
          </w:p>
          <w:p w14:paraId="50EAD347" w14:textId="77777777" w:rsidR="005874BA" w:rsidRPr="00167A1B" w:rsidRDefault="005874BA" w:rsidP="00DC3C60">
            <w:pPr>
              <w:pStyle w:val="Body"/>
              <w:numPr>
                <w:ilvl w:val="0"/>
                <w:numId w:val="0"/>
              </w:numPr>
              <w:jc w:val="left"/>
              <w:rPr>
                <w:rFonts w:ascii="Arial" w:hAnsi="Arial" w:cs="Arial"/>
                <w:lang w:val="en-GB"/>
              </w:rPr>
            </w:pPr>
            <w:r w:rsidRPr="00167A1B">
              <w:rPr>
                <w:rFonts w:ascii="Arial" w:hAnsi="Arial" w:cs="Arial"/>
                <w:lang w:val="en-GB"/>
              </w:rPr>
              <w:t>Some of these savings may be passed on to consumers through reductions in the price of the device, but some may be absorbed by manufacturers as additional income. Our stock model assumes savings are passed on to consumers.</w:t>
            </w:r>
          </w:p>
        </w:tc>
        <w:tc>
          <w:tcPr>
            <w:tcW w:w="2449" w:type="dxa"/>
          </w:tcPr>
          <w:p w14:paraId="5BB82EBF" w14:textId="447EBFBC" w:rsidR="005874BA" w:rsidRPr="00167A1B" w:rsidRDefault="005874BA" w:rsidP="00DC3C60">
            <w:pPr>
              <w:pStyle w:val="Body"/>
              <w:numPr>
                <w:ilvl w:val="0"/>
                <w:numId w:val="0"/>
              </w:numPr>
              <w:jc w:val="left"/>
              <w:rPr>
                <w:rFonts w:ascii="Arial" w:hAnsi="Arial" w:cs="Arial"/>
                <w:lang w:val="en-GB"/>
              </w:rPr>
            </w:pPr>
            <w:r w:rsidRPr="00167A1B">
              <w:rPr>
                <w:rFonts w:ascii="Arial" w:hAnsi="Arial" w:cs="Arial"/>
                <w:lang w:val="en-GB"/>
              </w:rPr>
              <w:t>As in option 4.a, the competitive position of manufacturers currently using proprietary fast charging technologies may be negatively affected. This option would also affect Apple, who could not include their proprietary cable. However, Apple’s market share has been very steady in the last four years and it can be expected that Apple users already have Lightning cables. Therefore, the additional impact of this option compared to option 4.a is negligible.</w:t>
            </w:r>
          </w:p>
        </w:tc>
        <w:tc>
          <w:tcPr>
            <w:tcW w:w="0" w:type="auto"/>
          </w:tcPr>
          <w:p w14:paraId="2DC8246D" w14:textId="40702C99" w:rsidR="005874BA" w:rsidRPr="00167A1B" w:rsidRDefault="005874BA" w:rsidP="00DC3C60">
            <w:pPr>
              <w:pStyle w:val="Body"/>
              <w:numPr>
                <w:ilvl w:val="0"/>
                <w:numId w:val="0"/>
              </w:numPr>
              <w:jc w:val="left"/>
              <w:rPr>
                <w:rFonts w:ascii="Arial" w:hAnsi="Arial" w:cs="Arial"/>
                <w:lang w:val="en-GB"/>
              </w:rPr>
            </w:pPr>
            <w:r w:rsidRPr="00167A1B">
              <w:rPr>
                <w:rFonts w:ascii="Arial" w:hAnsi="Arial" w:cs="Arial"/>
                <w:lang w:val="en-GB"/>
              </w:rPr>
              <w:t>As in option 4.a, this impact is expected to be minor for mobile phone manufacturers. The unbundling of the cable may reduce slightly the royalties obtained by Apple if fewer Lightning cables are sold.</w:t>
            </w:r>
          </w:p>
          <w:p w14:paraId="43E63B11" w14:textId="3CDEAF08" w:rsidR="005874BA" w:rsidRPr="00167A1B" w:rsidRDefault="005874BA" w:rsidP="00DC3C60">
            <w:pPr>
              <w:pStyle w:val="Body"/>
              <w:numPr>
                <w:ilvl w:val="0"/>
                <w:numId w:val="0"/>
              </w:numPr>
              <w:jc w:val="left"/>
              <w:rPr>
                <w:rFonts w:ascii="Arial" w:hAnsi="Arial" w:cs="Arial"/>
                <w:lang w:val="en-GB"/>
              </w:rPr>
            </w:pPr>
          </w:p>
        </w:tc>
      </w:tr>
      <w:tr w:rsidR="005874BA" w:rsidRPr="00167A1B" w14:paraId="0EE9AD85" w14:textId="77777777" w:rsidTr="00DC3C60">
        <w:trPr>
          <w:trHeight w:val="3706"/>
        </w:trPr>
        <w:tc>
          <w:tcPr>
            <w:tcW w:w="0" w:type="auto"/>
          </w:tcPr>
          <w:p w14:paraId="0428CE24" w14:textId="77777777" w:rsidR="005874BA" w:rsidRPr="00167A1B" w:rsidRDefault="005874BA" w:rsidP="00DC3C60">
            <w:pPr>
              <w:pStyle w:val="Body"/>
              <w:numPr>
                <w:ilvl w:val="0"/>
                <w:numId w:val="0"/>
              </w:numPr>
              <w:jc w:val="left"/>
              <w:rPr>
                <w:rFonts w:ascii="Arial" w:hAnsi="Arial" w:cs="Arial"/>
                <w:b/>
                <w:lang w:val="en-GB"/>
              </w:rPr>
            </w:pPr>
            <w:r w:rsidRPr="00167A1B">
              <w:rPr>
                <w:rFonts w:ascii="Arial" w:hAnsi="Arial" w:cs="Arial"/>
                <w:b/>
                <w:lang w:val="en-GB"/>
              </w:rPr>
              <w:t>Manufacturers of chargers</w:t>
            </w:r>
          </w:p>
        </w:tc>
        <w:tc>
          <w:tcPr>
            <w:tcW w:w="2275" w:type="dxa"/>
          </w:tcPr>
          <w:p w14:paraId="2C78F7D9" w14:textId="3F432557" w:rsidR="005874BA" w:rsidRPr="00167A1B" w:rsidRDefault="005874BA" w:rsidP="00DC3C60">
            <w:pPr>
              <w:pStyle w:val="Body"/>
              <w:numPr>
                <w:ilvl w:val="0"/>
                <w:numId w:val="0"/>
              </w:numPr>
              <w:jc w:val="left"/>
              <w:rPr>
                <w:rFonts w:ascii="Arial" w:hAnsi="Arial" w:cs="Arial"/>
                <w:lang w:val="en-GB"/>
              </w:rPr>
            </w:pPr>
            <w:r w:rsidRPr="00167A1B">
              <w:rPr>
                <w:rFonts w:ascii="Arial" w:hAnsi="Arial" w:cs="Arial"/>
                <w:lang w:val="en-GB"/>
              </w:rPr>
              <w:t>As in option 4.a, this group of stakeholders is one of the main groups affected. In this case, the unbundling of cables would reduce sales of chargers even further</w:t>
            </w:r>
            <w:r w:rsidR="003115BF" w:rsidRPr="00167A1B">
              <w:rPr>
                <w:rFonts w:ascii="Arial" w:hAnsi="Arial" w:cs="Arial"/>
                <w:lang w:val="en-GB"/>
              </w:rPr>
              <w:t xml:space="preserve"> (-</w:t>
            </w:r>
            <w:r w:rsidR="006156D5" w:rsidRPr="00167A1B">
              <w:rPr>
                <w:rFonts w:ascii="Arial" w:hAnsi="Arial" w:cs="Arial"/>
                <w:lang w:val="en-GB"/>
              </w:rPr>
              <w:t>21</w:t>
            </w:r>
            <w:r w:rsidR="003115BF" w:rsidRPr="00167A1B">
              <w:rPr>
                <w:rFonts w:ascii="Arial" w:hAnsi="Arial" w:cs="Arial"/>
                <w:lang w:val="en-GB"/>
              </w:rPr>
              <w:t>% compared to the baseline)</w:t>
            </w:r>
            <w:r w:rsidRPr="00167A1B">
              <w:rPr>
                <w:rFonts w:ascii="Arial" w:hAnsi="Arial" w:cs="Arial"/>
                <w:lang w:val="en-GB"/>
              </w:rPr>
              <w:t>. On the other hand, they may obtain higher margins for the EPS and cables they produce if they are able to directly sell to retailers/consumers.</w:t>
            </w:r>
          </w:p>
        </w:tc>
        <w:tc>
          <w:tcPr>
            <w:tcW w:w="2449" w:type="dxa"/>
          </w:tcPr>
          <w:p w14:paraId="37C8FF39" w14:textId="705CAAE3" w:rsidR="005874BA" w:rsidRPr="00167A1B" w:rsidRDefault="005874BA" w:rsidP="00DC3C60">
            <w:pPr>
              <w:pStyle w:val="Body"/>
              <w:numPr>
                <w:ilvl w:val="0"/>
                <w:numId w:val="0"/>
              </w:numPr>
              <w:jc w:val="left"/>
              <w:rPr>
                <w:rFonts w:ascii="Arial" w:hAnsi="Arial" w:cs="Arial"/>
                <w:lang w:val="en-GB"/>
              </w:rPr>
            </w:pPr>
            <w:r w:rsidRPr="00167A1B">
              <w:rPr>
                <w:rFonts w:ascii="Arial" w:hAnsi="Arial" w:cs="Arial"/>
                <w:lang w:val="en-GB"/>
              </w:rPr>
              <w:t xml:space="preserve">Firms who produce chargers to be sold in the box may lose market share if they are not able to adapt their distribution networks rapidly. This share would be won by manufacturers who distribute to retailers/consumers. In the case of EPS, this is already happening in the baseline, but in the case of cables, </w:t>
            </w:r>
            <w:r w:rsidR="00813D3F" w:rsidRPr="00167A1B">
              <w:rPr>
                <w:rFonts w:ascii="Arial" w:hAnsi="Arial" w:cs="Arial"/>
                <w:lang w:val="en-GB"/>
              </w:rPr>
              <w:t>this option would generate a major change in the competitive landscape.</w:t>
            </w:r>
            <w:r w:rsidRPr="00167A1B">
              <w:rPr>
                <w:rFonts w:ascii="Arial" w:hAnsi="Arial" w:cs="Arial"/>
                <w:lang w:val="en-GB"/>
              </w:rPr>
              <w:t xml:space="preserve"> </w:t>
            </w:r>
          </w:p>
        </w:tc>
        <w:tc>
          <w:tcPr>
            <w:tcW w:w="0" w:type="auto"/>
          </w:tcPr>
          <w:p w14:paraId="34F3FACF" w14:textId="77777777" w:rsidR="005874BA" w:rsidRPr="00167A1B" w:rsidRDefault="005874BA" w:rsidP="00DC3C60">
            <w:pPr>
              <w:pStyle w:val="Body"/>
              <w:numPr>
                <w:ilvl w:val="0"/>
                <w:numId w:val="0"/>
              </w:numPr>
              <w:jc w:val="left"/>
              <w:rPr>
                <w:rFonts w:ascii="Arial" w:hAnsi="Arial" w:cs="Arial"/>
                <w:lang w:val="en-GB"/>
              </w:rPr>
            </w:pPr>
            <w:r w:rsidRPr="00167A1B">
              <w:rPr>
                <w:rFonts w:ascii="Arial" w:hAnsi="Arial" w:cs="Arial"/>
                <w:lang w:val="en-GB"/>
              </w:rPr>
              <w:t>This option does not affect harmonisation, and therefore no impacts on royalties are expected.</w:t>
            </w:r>
          </w:p>
        </w:tc>
      </w:tr>
      <w:tr w:rsidR="005874BA" w:rsidRPr="00167A1B" w14:paraId="5DBDEAA9" w14:textId="77777777" w:rsidTr="00DC3C60">
        <w:trPr>
          <w:trHeight w:val="2121"/>
        </w:trPr>
        <w:tc>
          <w:tcPr>
            <w:tcW w:w="0" w:type="auto"/>
          </w:tcPr>
          <w:p w14:paraId="35B28462" w14:textId="77777777" w:rsidR="005874BA" w:rsidRPr="00167A1B" w:rsidRDefault="005874BA" w:rsidP="00DC3C60">
            <w:pPr>
              <w:pStyle w:val="Body"/>
              <w:numPr>
                <w:ilvl w:val="0"/>
                <w:numId w:val="0"/>
              </w:numPr>
              <w:jc w:val="left"/>
              <w:rPr>
                <w:rFonts w:ascii="Arial" w:hAnsi="Arial" w:cs="Arial"/>
                <w:b/>
                <w:lang w:val="en-GB"/>
              </w:rPr>
            </w:pPr>
            <w:r w:rsidRPr="00167A1B">
              <w:rPr>
                <w:rFonts w:ascii="Arial" w:hAnsi="Arial" w:cs="Arial"/>
                <w:b/>
                <w:lang w:val="en-GB"/>
              </w:rPr>
              <w:t>Distributors, retailers, and wholesalers</w:t>
            </w:r>
          </w:p>
        </w:tc>
        <w:tc>
          <w:tcPr>
            <w:tcW w:w="2275" w:type="dxa"/>
          </w:tcPr>
          <w:p w14:paraId="1C8D7EDE" w14:textId="700B8211" w:rsidR="005874BA" w:rsidRPr="00167A1B" w:rsidRDefault="005874BA" w:rsidP="00DC3C60">
            <w:pPr>
              <w:pStyle w:val="Body"/>
              <w:numPr>
                <w:ilvl w:val="0"/>
                <w:numId w:val="0"/>
              </w:numPr>
              <w:jc w:val="left"/>
              <w:rPr>
                <w:rFonts w:ascii="Arial" w:hAnsi="Arial" w:cs="Arial"/>
                <w:lang w:val="en-GB"/>
              </w:rPr>
            </w:pPr>
            <w:r w:rsidRPr="00167A1B">
              <w:rPr>
                <w:rFonts w:ascii="Arial" w:hAnsi="Arial" w:cs="Arial"/>
                <w:lang w:val="en-GB"/>
              </w:rPr>
              <w:t xml:space="preserve">Distributors would benefit from the increased sales of stand-alone </w:t>
            </w:r>
            <w:r w:rsidR="00813D3F" w:rsidRPr="00167A1B">
              <w:rPr>
                <w:rFonts w:ascii="Arial" w:hAnsi="Arial" w:cs="Arial"/>
                <w:lang w:val="en-GB"/>
              </w:rPr>
              <w:t>EPS and cables</w:t>
            </w:r>
            <w:r w:rsidRPr="00167A1B">
              <w:rPr>
                <w:rFonts w:ascii="Arial" w:hAnsi="Arial" w:cs="Arial"/>
                <w:lang w:val="en-GB"/>
              </w:rPr>
              <w:t xml:space="preserve">, from which they would obtain higher margins than when sold along with mobile phones. The benefits for </w:t>
            </w:r>
            <w:r w:rsidR="003115BF" w:rsidRPr="00167A1B">
              <w:rPr>
                <w:rFonts w:ascii="Arial" w:hAnsi="Arial" w:cs="Arial"/>
                <w:lang w:val="en-GB"/>
              </w:rPr>
              <w:t xml:space="preserve">distributors from the sale of chargers are estimated to increase by </w:t>
            </w:r>
            <w:r w:rsidR="006156D5" w:rsidRPr="00167A1B">
              <w:rPr>
                <w:rFonts w:ascii="Arial" w:hAnsi="Arial" w:cs="Arial"/>
                <w:lang w:val="en-GB"/>
              </w:rPr>
              <w:t>27</w:t>
            </w:r>
            <w:r w:rsidR="003115BF" w:rsidRPr="00167A1B">
              <w:rPr>
                <w:rFonts w:ascii="Arial" w:hAnsi="Arial" w:cs="Arial"/>
                <w:lang w:val="en-GB"/>
              </w:rPr>
              <w:t>%, compared to the baseline.</w:t>
            </w:r>
          </w:p>
        </w:tc>
        <w:tc>
          <w:tcPr>
            <w:tcW w:w="2449" w:type="dxa"/>
          </w:tcPr>
          <w:p w14:paraId="7B48C743" w14:textId="77777777" w:rsidR="005874BA" w:rsidRPr="00167A1B" w:rsidRDefault="005874BA" w:rsidP="00DC3C60">
            <w:pPr>
              <w:pStyle w:val="Body"/>
              <w:numPr>
                <w:ilvl w:val="0"/>
                <w:numId w:val="0"/>
              </w:numPr>
              <w:jc w:val="left"/>
              <w:rPr>
                <w:rFonts w:ascii="Arial" w:hAnsi="Arial" w:cs="Arial"/>
                <w:lang w:val="en-GB"/>
              </w:rPr>
            </w:pPr>
            <w:r w:rsidRPr="00167A1B">
              <w:rPr>
                <w:rFonts w:ascii="Arial" w:hAnsi="Arial" w:cs="Arial"/>
                <w:lang w:val="en-GB"/>
              </w:rPr>
              <w:t>No impacts</w:t>
            </w:r>
          </w:p>
        </w:tc>
        <w:tc>
          <w:tcPr>
            <w:tcW w:w="0" w:type="auto"/>
          </w:tcPr>
          <w:p w14:paraId="32115385" w14:textId="77777777" w:rsidR="005874BA" w:rsidRPr="00167A1B" w:rsidRDefault="005874BA" w:rsidP="00DC3C60">
            <w:pPr>
              <w:pStyle w:val="Body"/>
              <w:numPr>
                <w:ilvl w:val="0"/>
                <w:numId w:val="0"/>
              </w:numPr>
              <w:jc w:val="left"/>
              <w:rPr>
                <w:rFonts w:ascii="Arial" w:hAnsi="Arial" w:cs="Arial"/>
                <w:lang w:val="en-GB"/>
              </w:rPr>
            </w:pPr>
            <w:r w:rsidRPr="00167A1B">
              <w:rPr>
                <w:rFonts w:ascii="Arial" w:hAnsi="Arial" w:cs="Arial"/>
                <w:lang w:val="en-GB"/>
              </w:rPr>
              <w:t>No impacts</w:t>
            </w:r>
          </w:p>
        </w:tc>
      </w:tr>
    </w:tbl>
    <w:p w14:paraId="0BA59C4E" w14:textId="77777777" w:rsidR="005874BA" w:rsidRPr="00167A1B" w:rsidRDefault="005874BA" w:rsidP="005874BA">
      <w:pPr>
        <w:pStyle w:val="BodyText1"/>
        <w:rPr>
          <w:b/>
          <w:bCs/>
          <w:noProof w:val="0"/>
        </w:rPr>
      </w:pPr>
      <w:r w:rsidRPr="00167A1B">
        <w:rPr>
          <w:b/>
          <w:bCs/>
          <w:noProof w:val="0"/>
        </w:rPr>
        <w:t>Impacts on innovation</w:t>
      </w:r>
    </w:p>
    <w:p w14:paraId="63931ADE" w14:textId="6B6A10B5" w:rsidR="00272D69" w:rsidRPr="00167A1B" w:rsidRDefault="005874BA" w:rsidP="005874BA">
      <w:pPr>
        <w:pStyle w:val="BodyText1"/>
        <w:rPr>
          <w:b/>
          <w:bCs/>
          <w:noProof w:val="0"/>
        </w:rPr>
      </w:pPr>
      <w:r w:rsidRPr="00167A1B">
        <w:rPr>
          <w:bCs/>
          <w:noProof w:val="0"/>
        </w:rPr>
        <w:t>Mandatory unbundling is not expected to generate significant impacts on the capacity of firms to innovate, since it does not encompass harmonisation.</w:t>
      </w:r>
    </w:p>
    <w:p w14:paraId="6404AD98" w14:textId="77777777" w:rsidR="00272D69" w:rsidRPr="00167A1B" w:rsidRDefault="00272D69" w:rsidP="00084C36">
      <w:pPr>
        <w:pStyle w:val="BodyText1"/>
        <w:rPr>
          <w:noProof w:val="0"/>
        </w:rPr>
      </w:pPr>
    </w:p>
    <w:p w14:paraId="7B293A6B" w14:textId="7C48A230" w:rsidR="00084C36" w:rsidRPr="00167A1B" w:rsidRDefault="00084C36" w:rsidP="00084C36">
      <w:pPr>
        <w:pStyle w:val="Subtitle10"/>
        <w:rPr>
          <w:noProof w:val="0"/>
        </w:rPr>
      </w:pPr>
      <w:r w:rsidRPr="00167A1B">
        <w:rPr>
          <w:noProof w:val="0"/>
        </w:rPr>
        <w:t>Option 5</w:t>
      </w:r>
      <w:r w:rsidR="00136AB3" w:rsidRPr="00167A1B">
        <w:rPr>
          <w:noProof w:val="0"/>
        </w:rPr>
        <w:t>: Voluntary interoperability labelling / information scheme</w:t>
      </w:r>
    </w:p>
    <w:p w14:paraId="254BC2F4" w14:textId="230792F8" w:rsidR="00063490" w:rsidRPr="00167A1B" w:rsidRDefault="00063490" w:rsidP="00EF05D5">
      <w:pPr>
        <w:pStyle w:val="BodyText1"/>
        <w:rPr>
          <w:b/>
          <w:bCs/>
          <w:noProof w:val="0"/>
        </w:rPr>
      </w:pPr>
      <w:r w:rsidRPr="00167A1B">
        <w:rPr>
          <w:b/>
          <w:bCs/>
          <w:noProof w:val="0"/>
        </w:rPr>
        <w:t>Costs for consumers</w:t>
      </w:r>
    </w:p>
    <w:p w14:paraId="77B31347" w14:textId="33B7AFC7" w:rsidR="00084C36" w:rsidRPr="00167A1B" w:rsidRDefault="00084C36" w:rsidP="00084C36">
      <w:pPr>
        <w:pStyle w:val="BodyText1"/>
        <w:rPr>
          <w:noProof w:val="0"/>
        </w:rPr>
      </w:pPr>
      <w:r w:rsidRPr="00167A1B">
        <w:rPr>
          <w:noProof w:val="0"/>
        </w:rPr>
        <w:t>The economic impacts of this option are overall very minor. The interoperability labelling</w:t>
      </w:r>
      <w:r w:rsidR="00136AB3" w:rsidRPr="00167A1B">
        <w:rPr>
          <w:noProof w:val="0"/>
        </w:rPr>
        <w:t xml:space="preserve"> / information</w:t>
      </w:r>
      <w:r w:rsidRPr="00167A1B">
        <w:rPr>
          <w:noProof w:val="0"/>
        </w:rPr>
        <w:t xml:space="preserve"> scheme is assumed to lead to a small but positive impact on cable compatibility and consumer understanding. The effect is hypothesised to produce a reduction of standalone sales of EPS by 1% in relation to the baseline. This leads to a small gain for consumers (1.1% of reduction in the prices they pay for chargers in relation to the baseline).</w:t>
      </w:r>
    </w:p>
    <w:p w14:paraId="6480E8D2" w14:textId="746ECCF7" w:rsidR="00063490" w:rsidRPr="00167A1B" w:rsidRDefault="00063490" w:rsidP="00063490">
      <w:pPr>
        <w:pStyle w:val="BodyText1"/>
        <w:rPr>
          <w:b/>
          <w:bCs/>
          <w:noProof w:val="0"/>
        </w:rPr>
      </w:pPr>
      <w:r w:rsidRPr="00167A1B">
        <w:rPr>
          <w:b/>
          <w:bCs/>
          <w:noProof w:val="0"/>
        </w:rPr>
        <w:t xml:space="preserve">Impacts on </w:t>
      </w:r>
      <w:r w:rsidR="000F5CDF" w:rsidRPr="00167A1B">
        <w:rPr>
          <w:b/>
          <w:bCs/>
          <w:noProof w:val="0"/>
        </w:rPr>
        <w:t>competitiveness</w:t>
      </w:r>
    </w:p>
    <w:p w14:paraId="2BF7871A" w14:textId="3B76AE6B" w:rsidR="00084C36" w:rsidRPr="00167A1B" w:rsidRDefault="00084C36" w:rsidP="00084C36">
      <w:pPr>
        <w:pStyle w:val="BodyText1"/>
        <w:rPr>
          <w:noProof w:val="0"/>
        </w:rPr>
      </w:pPr>
      <w:r w:rsidRPr="00167A1B">
        <w:rPr>
          <w:noProof w:val="0"/>
        </w:rPr>
        <w:t>If the scheme is successful, this option might have a minor impact on the competitive landscape. Consumers might improve their perception of devices with the logo, which may provide a competitive advantage to companies producing devices with standard solutions over companies manufacturing devices with proprietary charging solutions.</w:t>
      </w:r>
    </w:p>
    <w:p w14:paraId="530E17A9" w14:textId="77777777" w:rsidR="00063490" w:rsidRPr="00167A1B" w:rsidRDefault="00063490" w:rsidP="00084C36">
      <w:pPr>
        <w:pStyle w:val="BodyText1"/>
        <w:rPr>
          <w:noProof w:val="0"/>
        </w:rPr>
      </w:pPr>
    </w:p>
    <w:p w14:paraId="14E684DB" w14:textId="494AF792" w:rsidR="00303E27" w:rsidRPr="00167A1B" w:rsidRDefault="00303E27" w:rsidP="00EF05D5">
      <w:pPr>
        <w:pStyle w:val="Caption"/>
        <w:rPr>
          <w:b/>
          <w:bCs/>
        </w:rPr>
      </w:pPr>
      <w:r w:rsidRPr="00167A1B">
        <w:t xml:space="preserve">Table </w:t>
      </w:r>
      <w:r w:rsidRPr="00167A1B">
        <w:fldChar w:fldCharType="begin"/>
      </w:r>
      <w:r w:rsidRPr="00167A1B">
        <w:instrText xml:space="preserve"> SEQ Table \* ARABIC </w:instrText>
      </w:r>
      <w:r w:rsidRPr="00167A1B">
        <w:fldChar w:fldCharType="separate"/>
      </w:r>
      <w:r w:rsidR="00953106" w:rsidRPr="00167A1B">
        <w:t>18</w:t>
      </w:r>
      <w:r w:rsidRPr="00167A1B">
        <w:fldChar w:fldCharType="end"/>
      </w:r>
      <w:r w:rsidRPr="00167A1B">
        <w:t xml:space="preserve">. Impacts on </w:t>
      </w:r>
      <w:r w:rsidR="00167A1B" w:rsidRPr="00167A1B">
        <w:t>competitiveness</w:t>
      </w:r>
      <w:r w:rsidRPr="00167A1B">
        <w:t xml:space="preserve"> of policy option 5 per type of stakeholder</w:t>
      </w:r>
    </w:p>
    <w:tbl>
      <w:tblPr>
        <w:tblStyle w:val="TableGrid"/>
        <w:tblW w:w="0" w:type="auto"/>
        <w:tblCellMar>
          <w:top w:w="57" w:type="dxa"/>
          <w:bottom w:w="57" w:type="dxa"/>
        </w:tblCellMar>
        <w:tblLook w:val="04A0" w:firstRow="1" w:lastRow="0" w:firstColumn="1" w:lastColumn="0" w:noHBand="0" w:noVBand="1"/>
      </w:tblPr>
      <w:tblGrid>
        <w:gridCol w:w="1751"/>
        <w:gridCol w:w="2526"/>
        <w:gridCol w:w="2664"/>
        <w:gridCol w:w="2120"/>
      </w:tblGrid>
      <w:tr w:rsidR="00EB7C1C" w:rsidRPr="00167A1B" w14:paraId="380E2B38" w14:textId="77777777" w:rsidTr="00EF05D5">
        <w:trPr>
          <w:cnfStyle w:val="100000000000" w:firstRow="1" w:lastRow="0" w:firstColumn="0" w:lastColumn="0" w:oddVBand="0" w:evenVBand="0" w:oddHBand="0" w:evenHBand="0" w:firstRowFirstColumn="0" w:firstRowLastColumn="0" w:lastRowFirstColumn="0" w:lastRowLastColumn="0"/>
          <w:trHeight w:val="675"/>
          <w:tblHeader/>
        </w:trPr>
        <w:tc>
          <w:tcPr>
            <w:tcW w:w="0" w:type="auto"/>
            <w:shd w:val="clear" w:color="auto" w:fill="0C4DA2" w:themeFill="text2"/>
          </w:tcPr>
          <w:p w14:paraId="22077611" w14:textId="77777777" w:rsidR="00063490" w:rsidRPr="00167A1B" w:rsidRDefault="00063490" w:rsidP="00063490">
            <w:pPr>
              <w:pStyle w:val="Body"/>
              <w:numPr>
                <w:ilvl w:val="0"/>
                <w:numId w:val="0"/>
              </w:numPr>
              <w:jc w:val="left"/>
              <w:rPr>
                <w:rFonts w:ascii="Arial" w:hAnsi="Arial" w:cs="Arial"/>
                <w:b/>
                <w:lang w:val="en-GB"/>
              </w:rPr>
            </w:pPr>
            <w:r w:rsidRPr="00167A1B">
              <w:rPr>
                <w:rFonts w:ascii="Arial" w:hAnsi="Arial" w:cs="Arial"/>
                <w:b/>
                <w:lang w:val="en-GB"/>
              </w:rPr>
              <w:t>Stakeholder</w:t>
            </w:r>
          </w:p>
        </w:tc>
        <w:tc>
          <w:tcPr>
            <w:tcW w:w="0" w:type="auto"/>
            <w:shd w:val="clear" w:color="auto" w:fill="0C4DA2" w:themeFill="text2"/>
          </w:tcPr>
          <w:p w14:paraId="13491CE8" w14:textId="77777777" w:rsidR="00063490" w:rsidRPr="00167A1B" w:rsidRDefault="00063490" w:rsidP="00063490">
            <w:pPr>
              <w:pStyle w:val="Body"/>
              <w:numPr>
                <w:ilvl w:val="0"/>
                <w:numId w:val="0"/>
              </w:numPr>
              <w:jc w:val="left"/>
              <w:rPr>
                <w:rFonts w:ascii="Arial" w:hAnsi="Arial" w:cs="Arial"/>
                <w:b/>
                <w:lang w:val="en-GB"/>
              </w:rPr>
            </w:pPr>
            <w:r w:rsidRPr="00167A1B">
              <w:rPr>
                <w:rFonts w:ascii="Arial" w:hAnsi="Arial" w:cs="Arial"/>
                <w:b/>
                <w:lang w:val="en-GB"/>
              </w:rPr>
              <w:t>Benefits</w:t>
            </w:r>
          </w:p>
        </w:tc>
        <w:tc>
          <w:tcPr>
            <w:tcW w:w="2664" w:type="dxa"/>
            <w:shd w:val="clear" w:color="auto" w:fill="0C4DA2" w:themeFill="text2"/>
          </w:tcPr>
          <w:p w14:paraId="76E6A2A1" w14:textId="77777777" w:rsidR="00063490" w:rsidRPr="00167A1B" w:rsidRDefault="00063490" w:rsidP="00063490">
            <w:pPr>
              <w:pStyle w:val="Body"/>
              <w:numPr>
                <w:ilvl w:val="0"/>
                <w:numId w:val="0"/>
              </w:numPr>
              <w:jc w:val="left"/>
              <w:rPr>
                <w:rFonts w:ascii="Arial" w:hAnsi="Arial" w:cs="Arial"/>
                <w:b/>
                <w:lang w:val="en-GB"/>
              </w:rPr>
            </w:pPr>
            <w:r w:rsidRPr="00167A1B">
              <w:rPr>
                <w:rFonts w:ascii="Arial" w:hAnsi="Arial" w:cs="Arial"/>
                <w:b/>
                <w:lang w:val="en-GB"/>
              </w:rPr>
              <w:t>Changes in competitive landscape</w:t>
            </w:r>
          </w:p>
        </w:tc>
        <w:tc>
          <w:tcPr>
            <w:tcW w:w="2120" w:type="dxa"/>
            <w:shd w:val="clear" w:color="auto" w:fill="0C4DA2" w:themeFill="text2"/>
          </w:tcPr>
          <w:p w14:paraId="08F9FD18" w14:textId="77777777" w:rsidR="00063490" w:rsidRPr="00167A1B" w:rsidRDefault="00063490" w:rsidP="00063490">
            <w:pPr>
              <w:pStyle w:val="Body"/>
              <w:numPr>
                <w:ilvl w:val="0"/>
                <w:numId w:val="0"/>
              </w:numPr>
              <w:jc w:val="left"/>
              <w:rPr>
                <w:rFonts w:ascii="Arial" w:hAnsi="Arial" w:cs="Arial"/>
                <w:b/>
                <w:lang w:val="en-GB"/>
              </w:rPr>
            </w:pPr>
            <w:r w:rsidRPr="00167A1B">
              <w:rPr>
                <w:rFonts w:ascii="Arial" w:hAnsi="Arial" w:cs="Arial"/>
                <w:b/>
                <w:lang w:val="en-GB"/>
              </w:rPr>
              <w:t>Variations in income from royalties</w:t>
            </w:r>
          </w:p>
        </w:tc>
      </w:tr>
      <w:tr w:rsidR="00EB7C1C" w:rsidRPr="00167A1B" w14:paraId="7CC8B201" w14:textId="77777777" w:rsidTr="00EF05D5">
        <w:trPr>
          <w:trHeight w:val="2212"/>
        </w:trPr>
        <w:tc>
          <w:tcPr>
            <w:tcW w:w="0" w:type="auto"/>
          </w:tcPr>
          <w:p w14:paraId="129CD997" w14:textId="77777777" w:rsidR="00063490" w:rsidRPr="00167A1B" w:rsidRDefault="00063490" w:rsidP="00063490">
            <w:pPr>
              <w:pStyle w:val="Body"/>
              <w:numPr>
                <w:ilvl w:val="0"/>
                <w:numId w:val="0"/>
              </w:numPr>
              <w:jc w:val="left"/>
              <w:rPr>
                <w:rFonts w:ascii="Arial" w:hAnsi="Arial" w:cs="Arial"/>
                <w:b/>
                <w:lang w:val="en-GB"/>
              </w:rPr>
            </w:pPr>
            <w:r w:rsidRPr="00167A1B">
              <w:rPr>
                <w:rFonts w:ascii="Arial" w:hAnsi="Arial" w:cs="Arial"/>
                <w:b/>
                <w:lang w:val="en-GB"/>
              </w:rPr>
              <w:t>Manufacturers of System on a Chip (SoC)</w:t>
            </w:r>
          </w:p>
        </w:tc>
        <w:tc>
          <w:tcPr>
            <w:tcW w:w="0" w:type="auto"/>
          </w:tcPr>
          <w:p w14:paraId="26542BF5" w14:textId="72B11D60" w:rsidR="00063490" w:rsidRPr="00167A1B" w:rsidRDefault="001A0809" w:rsidP="00063490">
            <w:pPr>
              <w:pStyle w:val="Body"/>
              <w:numPr>
                <w:ilvl w:val="0"/>
                <w:numId w:val="0"/>
              </w:numPr>
              <w:jc w:val="left"/>
              <w:rPr>
                <w:rFonts w:ascii="Arial" w:hAnsi="Arial" w:cs="Arial"/>
                <w:lang w:val="en-GB"/>
              </w:rPr>
            </w:pPr>
            <w:r w:rsidRPr="00167A1B">
              <w:rPr>
                <w:rFonts w:ascii="Arial" w:hAnsi="Arial" w:cs="Arial"/>
                <w:lang w:val="en-GB"/>
              </w:rPr>
              <w:t>No impact on quantities/prices of SoC sold.</w:t>
            </w:r>
          </w:p>
        </w:tc>
        <w:tc>
          <w:tcPr>
            <w:tcW w:w="2664" w:type="dxa"/>
          </w:tcPr>
          <w:p w14:paraId="06270F07" w14:textId="2095890B" w:rsidR="00063490" w:rsidRPr="00167A1B" w:rsidRDefault="001A0809" w:rsidP="00063490">
            <w:pPr>
              <w:pStyle w:val="Body"/>
              <w:numPr>
                <w:ilvl w:val="0"/>
                <w:numId w:val="0"/>
              </w:numPr>
              <w:jc w:val="left"/>
              <w:rPr>
                <w:rFonts w:ascii="Arial" w:hAnsi="Arial" w:cs="Arial"/>
                <w:lang w:val="en-GB"/>
              </w:rPr>
            </w:pPr>
            <w:r w:rsidRPr="00167A1B">
              <w:rPr>
                <w:rFonts w:ascii="Arial" w:hAnsi="Arial" w:cs="Arial"/>
                <w:lang w:val="en-GB"/>
              </w:rPr>
              <w:t>This option may benefit manufacturers of SoC that incorporate USB charging protocols. In practice, most of the companies in this group already provide standard solutions and therefore impact would be negligible.</w:t>
            </w:r>
            <w:r w:rsidRPr="00167A1B">
              <w:rPr>
                <w:rStyle w:val="FootnoteReference"/>
                <w:rFonts w:cs="Arial"/>
                <w:lang w:val="en-GB"/>
              </w:rPr>
              <w:footnoteReference w:id="115"/>
            </w:r>
          </w:p>
        </w:tc>
        <w:tc>
          <w:tcPr>
            <w:tcW w:w="2120" w:type="dxa"/>
          </w:tcPr>
          <w:p w14:paraId="23783BCA" w14:textId="1990A25E" w:rsidR="00063490" w:rsidRPr="00167A1B" w:rsidRDefault="001A0809" w:rsidP="00063490">
            <w:pPr>
              <w:pStyle w:val="Body"/>
              <w:numPr>
                <w:ilvl w:val="0"/>
                <w:numId w:val="0"/>
              </w:numPr>
              <w:jc w:val="left"/>
              <w:rPr>
                <w:rFonts w:ascii="Arial" w:hAnsi="Arial" w:cs="Arial"/>
                <w:lang w:val="en-GB"/>
              </w:rPr>
            </w:pPr>
            <w:r w:rsidRPr="00167A1B">
              <w:rPr>
                <w:rFonts w:ascii="Arial" w:hAnsi="Arial" w:cs="Arial"/>
                <w:lang w:val="en-GB"/>
              </w:rPr>
              <w:t>No impacts.</w:t>
            </w:r>
          </w:p>
        </w:tc>
      </w:tr>
      <w:tr w:rsidR="00EB7C1C" w:rsidRPr="00167A1B" w14:paraId="08771839" w14:textId="77777777" w:rsidTr="00EF05D5">
        <w:trPr>
          <w:trHeight w:val="450"/>
        </w:trPr>
        <w:tc>
          <w:tcPr>
            <w:tcW w:w="0" w:type="auto"/>
          </w:tcPr>
          <w:p w14:paraId="3A61CA6C" w14:textId="73CE6818" w:rsidR="00063490" w:rsidRPr="00167A1B" w:rsidRDefault="00063490" w:rsidP="00063490">
            <w:pPr>
              <w:pStyle w:val="Body"/>
              <w:numPr>
                <w:ilvl w:val="0"/>
                <w:numId w:val="0"/>
              </w:numPr>
              <w:jc w:val="left"/>
              <w:rPr>
                <w:rFonts w:ascii="Arial" w:hAnsi="Arial" w:cs="Arial"/>
                <w:b/>
                <w:lang w:val="en-GB"/>
              </w:rPr>
            </w:pPr>
            <w:r w:rsidRPr="00167A1B">
              <w:rPr>
                <w:rFonts w:ascii="Arial" w:hAnsi="Arial" w:cs="Arial"/>
                <w:b/>
                <w:lang w:val="en-GB"/>
              </w:rPr>
              <w:t>Manufacturers of mobile phones</w:t>
            </w:r>
          </w:p>
        </w:tc>
        <w:tc>
          <w:tcPr>
            <w:tcW w:w="0" w:type="auto"/>
          </w:tcPr>
          <w:p w14:paraId="7B814005" w14:textId="049038A3" w:rsidR="00063490" w:rsidRPr="00167A1B" w:rsidRDefault="00EB7C1C" w:rsidP="00063490">
            <w:pPr>
              <w:pStyle w:val="Body"/>
              <w:numPr>
                <w:ilvl w:val="0"/>
                <w:numId w:val="0"/>
              </w:numPr>
              <w:jc w:val="left"/>
              <w:rPr>
                <w:rFonts w:ascii="Arial" w:hAnsi="Arial" w:cs="Arial"/>
                <w:lang w:val="en-GB"/>
              </w:rPr>
            </w:pPr>
            <w:r w:rsidRPr="00167A1B">
              <w:rPr>
                <w:rFonts w:ascii="Arial" w:hAnsi="Arial" w:cs="Arial"/>
                <w:lang w:val="en-GB"/>
              </w:rPr>
              <w:t>The option would not affect the market of bundled chargers, and therefore no significant impacts are expected.</w:t>
            </w:r>
          </w:p>
        </w:tc>
        <w:tc>
          <w:tcPr>
            <w:tcW w:w="2664" w:type="dxa"/>
          </w:tcPr>
          <w:p w14:paraId="1F6144E4" w14:textId="49E24F78" w:rsidR="00063490" w:rsidRPr="00167A1B" w:rsidRDefault="001A0809" w:rsidP="00063490">
            <w:pPr>
              <w:pStyle w:val="Body"/>
              <w:numPr>
                <w:ilvl w:val="0"/>
                <w:numId w:val="0"/>
              </w:numPr>
              <w:jc w:val="left"/>
              <w:rPr>
                <w:rFonts w:ascii="Arial" w:hAnsi="Arial" w:cs="Arial"/>
                <w:lang w:val="en-GB"/>
              </w:rPr>
            </w:pPr>
            <w:r w:rsidRPr="00167A1B">
              <w:rPr>
                <w:rFonts w:ascii="Arial" w:hAnsi="Arial" w:cs="Arial"/>
                <w:lang w:val="en-GB"/>
              </w:rPr>
              <w:t>Consumers might improve their perception of devices with the logo, which may provide a competitive advantage to companies producing devices with standard solutions over companies manufacturing devices with proprietary charging solutions.</w:t>
            </w:r>
          </w:p>
        </w:tc>
        <w:tc>
          <w:tcPr>
            <w:tcW w:w="2120" w:type="dxa"/>
          </w:tcPr>
          <w:p w14:paraId="719CAAF4" w14:textId="4A0C56C8" w:rsidR="00063490" w:rsidRPr="00167A1B" w:rsidRDefault="00EB7C1C" w:rsidP="00063490">
            <w:pPr>
              <w:pStyle w:val="Body"/>
              <w:numPr>
                <w:ilvl w:val="0"/>
                <w:numId w:val="0"/>
              </w:numPr>
              <w:jc w:val="left"/>
              <w:rPr>
                <w:rFonts w:ascii="Arial" w:hAnsi="Arial" w:cs="Arial"/>
                <w:lang w:val="en-GB"/>
              </w:rPr>
            </w:pPr>
            <w:r w:rsidRPr="00167A1B">
              <w:rPr>
                <w:rFonts w:ascii="Arial" w:hAnsi="Arial" w:cs="Arial"/>
                <w:lang w:val="en-GB"/>
              </w:rPr>
              <w:t>The option would not affect the market of bundled chargers, and therefore no significant impacts are expected.</w:t>
            </w:r>
          </w:p>
        </w:tc>
      </w:tr>
      <w:tr w:rsidR="00EB7C1C" w:rsidRPr="00167A1B" w14:paraId="2E659FA6" w14:textId="77777777" w:rsidTr="00EF05D5">
        <w:trPr>
          <w:trHeight w:val="1853"/>
        </w:trPr>
        <w:tc>
          <w:tcPr>
            <w:tcW w:w="0" w:type="auto"/>
          </w:tcPr>
          <w:p w14:paraId="5BE8F9B4" w14:textId="77777777" w:rsidR="00063490" w:rsidRPr="00167A1B" w:rsidRDefault="00063490" w:rsidP="00063490">
            <w:pPr>
              <w:pStyle w:val="Body"/>
              <w:numPr>
                <w:ilvl w:val="0"/>
                <w:numId w:val="0"/>
              </w:numPr>
              <w:jc w:val="left"/>
              <w:rPr>
                <w:rFonts w:ascii="Arial" w:hAnsi="Arial" w:cs="Arial"/>
                <w:b/>
                <w:lang w:val="en-GB"/>
              </w:rPr>
            </w:pPr>
            <w:r w:rsidRPr="00167A1B">
              <w:rPr>
                <w:rFonts w:ascii="Arial" w:hAnsi="Arial" w:cs="Arial"/>
                <w:b/>
                <w:lang w:val="en-GB"/>
              </w:rPr>
              <w:t>Manufacturers of chargers</w:t>
            </w:r>
          </w:p>
        </w:tc>
        <w:tc>
          <w:tcPr>
            <w:tcW w:w="0" w:type="auto"/>
          </w:tcPr>
          <w:p w14:paraId="547CFBA3" w14:textId="42B4FD41" w:rsidR="00063490" w:rsidRPr="00167A1B" w:rsidRDefault="001A0809" w:rsidP="00063490">
            <w:pPr>
              <w:pStyle w:val="Body"/>
              <w:numPr>
                <w:ilvl w:val="0"/>
                <w:numId w:val="0"/>
              </w:numPr>
              <w:jc w:val="left"/>
              <w:rPr>
                <w:rFonts w:ascii="Arial" w:hAnsi="Arial" w:cs="Arial"/>
                <w:lang w:val="en-GB"/>
              </w:rPr>
            </w:pPr>
            <w:r w:rsidRPr="00167A1B">
              <w:rPr>
                <w:rFonts w:ascii="Arial" w:hAnsi="Arial" w:cs="Arial"/>
                <w:lang w:val="en-GB"/>
              </w:rPr>
              <w:t>This option would lead to a small decrease in sales of standalone chargers, therefore having a minor negative effect</w:t>
            </w:r>
            <w:r w:rsidR="003115BF" w:rsidRPr="00167A1B">
              <w:rPr>
                <w:rFonts w:ascii="Arial" w:hAnsi="Arial" w:cs="Arial"/>
                <w:lang w:val="en-GB"/>
              </w:rPr>
              <w:t>, practically negligible,</w:t>
            </w:r>
            <w:r w:rsidRPr="00167A1B">
              <w:rPr>
                <w:rFonts w:ascii="Arial" w:hAnsi="Arial" w:cs="Arial"/>
                <w:lang w:val="en-GB"/>
              </w:rPr>
              <w:t xml:space="preserve"> on manufacturers of chargers</w:t>
            </w:r>
            <w:r w:rsidR="003115BF" w:rsidRPr="00167A1B">
              <w:rPr>
                <w:rFonts w:ascii="Arial" w:hAnsi="Arial" w:cs="Arial"/>
                <w:lang w:val="en-GB"/>
              </w:rPr>
              <w:t xml:space="preserve"> (-0.9%)</w:t>
            </w:r>
            <w:r w:rsidRPr="00167A1B">
              <w:rPr>
                <w:rFonts w:ascii="Arial" w:hAnsi="Arial" w:cs="Arial"/>
                <w:lang w:val="en-GB"/>
              </w:rPr>
              <w:t>.</w:t>
            </w:r>
          </w:p>
        </w:tc>
        <w:tc>
          <w:tcPr>
            <w:tcW w:w="2664" w:type="dxa"/>
          </w:tcPr>
          <w:p w14:paraId="6179BE69" w14:textId="5B1E2CF1" w:rsidR="00063490" w:rsidRPr="00167A1B" w:rsidRDefault="001A0809" w:rsidP="00063490">
            <w:pPr>
              <w:pStyle w:val="Body"/>
              <w:numPr>
                <w:ilvl w:val="0"/>
                <w:numId w:val="0"/>
              </w:numPr>
              <w:jc w:val="left"/>
              <w:rPr>
                <w:rFonts w:ascii="Arial" w:hAnsi="Arial" w:cs="Arial"/>
                <w:lang w:val="en-GB"/>
              </w:rPr>
            </w:pPr>
            <w:r w:rsidRPr="00167A1B">
              <w:rPr>
                <w:rFonts w:ascii="Arial" w:hAnsi="Arial" w:cs="Arial"/>
                <w:lang w:val="en-GB"/>
              </w:rPr>
              <w:t>This option may have a </w:t>
            </w:r>
            <w:proofErr w:type="gramStart"/>
            <w:r w:rsidRPr="00167A1B">
              <w:rPr>
                <w:rFonts w:ascii="Arial" w:hAnsi="Arial" w:cs="Arial"/>
                <w:lang w:val="en-GB"/>
              </w:rPr>
              <w:t>minor negative impacts</w:t>
            </w:r>
            <w:proofErr w:type="gramEnd"/>
            <w:r w:rsidRPr="00167A1B">
              <w:rPr>
                <w:rFonts w:ascii="Arial" w:hAnsi="Arial" w:cs="Arial"/>
                <w:lang w:val="en-GB"/>
              </w:rPr>
              <w:t xml:space="preserve"> on companies who sell standalone chargers, as these would be the most affected.</w:t>
            </w:r>
          </w:p>
        </w:tc>
        <w:tc>
          <w:tcPr>
            <w:tcW w:w="2120" w:type="dxa"/>
          </w:tcPr>
          <w:p w14:paraId="168AAB1F" w14:textId="3124CF14" w:rsidR="00063490" w:rsidRPr="00167A1B" w:rsidRDefault="001A0809" w:rsidP="00063490">
            <w:pPr>
              <w:pStyle w:val="Body"/>
              <w:numPr>
                <w:ilvl w:val="0"/>
                <w:numId w:val="0"/>
              </w:numPr>
              <w:jc w:val="left"/>
              <w:rPr>
                <w:rFonts w:ascii="Arial" w:hAnsi="Arial" w:cs="Arial"/>
                <w:lang w:val="en-GB"/>
              </w:rPr>
            </w:pPr>
            <w:r w:rsidRPr="00167A1B">
              <w:rPr>
                <w:rFonts w:ascii="Arial" w:hAnsi="Arial" w:cs="Arial"/>
                <w:lang w:val="en-GB"/>
              </w:rPr>
              <w:t>This option would not have any impact on variations of income from royalties.</w:t>
            </w:r>
          </w:p>
        </w:tc>
      </w:tr>
      <w:tr w:rsidR="00EB7C1C" w:rsidRPr="00167A1B" w14:paraId="3A3E8838" w14:textId="77777777" w:rsidTr="00EF05D5">
        <w:trPr>
          <w:trHeight w:val="1271"/>
        </w:trPr>
        <w:tc>
          <w:tcPr>
            <w:tcW w:w="0" w:type="auto"/>
          </w:tcPr>
          <w:p w14:paraId="0BAA707C" w14:textId="77777777" w:rsidR="00063490" w:rsidRPr="00167A1B" w:rsidRDefault="00063490" w:rsidP="00063490">
            <w:pPr>
              <w:pStyle w:val="Body"/>
              <w:numPr>
                <w:ilvl w:val="0"/>
                <w:numId w:val="0"/>
              </w:numPr>
              <w:jc w:val="left"/>
              <w:rPr>
                <w:rFonts w:ascii="Arial" w:hAnsi="Arial" w:cs="Arial"/>
                <w:b/>
                <w:lang w:val="en-GB"/>
              </w:rPr>
            </w:pPr>
            <w:r w:rsidRPr="00167A1B">
              <w:rPr>
                <w:rFonts w:ascii="Arial" w:hAnsi="Arial" w:cs="Arial"/>
                <w:b/>
                <w:lang w:val="en-GB"/>
              </w:rPr>
              <w:lastRenderedPageBreak/>
              <w:t>Distributors, retailers, and wholesalers</w:t>
            </w:r>
          </w:p>
        </w:tc>
        <w:tc>
          <w:tcPr>
            <w:tcW w:w="0" w:type="auto"/>
          </w:tcPr>
          <w:p w14:paraId="7664A30D" w14:textId="331154BA" w:rsidR="00063490" w:rsidRPr="00167A1B" w:rsidRDefault="001A0809" w:rsidP="00063490">
            <w:pPr>
              <w:pStyle w:val="Body"/>
              <w:numPr>
                <w:ilvl w:val="0"/>
                <w:numId w:val="0"/>
              </w:numPr>
              <w:jc w:val="left"/>
              <w:rPr>
                <w:rFonts w:ascii="Arial" w:hAnsi="Arial" w:cs="Arial"/>
                <w:lang w:val="en-GB"/>
              </w:rPr>
            </w:pPr>
            <w:r w:rsidRPr="00167A1B">
              <w:rPr>
                <w:rFonts w:ascii="Arial" w:hAnsi="Arial" w:cs="Arial"/>
                <w:lang w:val="en-GB"/>
              </w:rPr>
              <w:t xml:space="preserve">The impact for distributors on the small reduction of standalone chargers would be </w:t>
            </w:r>
            <w:r w:rsidR="003115BF" w:rsidRPr="00167A1B">
              <w:rPr>
                <w:rFonts w:ascii="Arial" w:hAnsi="Arial" w:cs="Arial"/>
                <w:lang w:val="en-GB"/>
              </w:rPr>
              <w:t xml:space="preserve">practically </w:t>
            </w:r>
            <w:r w:rsidRPr="00167A1B">
              <w:rPr>
                <w:rFonts w:ascii="Arial" w:hAnsi="Arial" w:cs="Arial"/>
                <w:lang w:val="en-GB"/>
              </w:rPr>
              <w:t>negligible</w:t>
            </w:r>
            <w:r w:rsidR="003115BF" w:rsidRPr="00167A1B">
              <w:rPr>
                <w:rFonts w:ascii="Arial" w:hAnsi="Arial" w:cs="Arial"/>
                <w:lang w:val="en-GB"/>
              </w:rPr>
              <w:t xml:space="preserve"> (-1%)</w:t>
            </w:r>
            <w:r w:rsidRPr="00167A1B">
              <w:rPr>
                <w:rFonts w:ascii="Arial" w:hAnsi="Arial" w:cs="Arial"/>
                <w:lang w:val="en-GB"/>
              </w:rPr>
              <w:t>.</w:t>
            </w:r>
          </w:p>
        </w:tc>
        <w:tc>
          <w:tcPr>
            <w:tcW w:w="2664" w:type="dxa"/>
          </w:tcPr>
          <w:p w14:paraId="0DD02F8C" w14:textId="4363799D" w:rsidR="00063490" w:rsidRPr="00167A1B" w:rsidRDefault="00063490" w:rsidP="00063490">
            <w:pPr>
              <w:pStyle w:val="Body"/>
              <w:numPr>
                <w:ilvl w:val="0"/>
                <w:numId w:val="0"/>
              </w:numPr>
              <w:jc w:val="left"/>
              <w:rPr>
                <w:rFonts w:ascii="Arial" w:hAnsi="Arial" w:cs="Arial"/>
                <w:lang w:val="en-GB"/>
              </w:rPr>
            </w:pPr>
            <w:r w:rsidRPr="00167A1B">
              <w:rPr>
                <w:rFonts w:ascii="Arial" w:hAnsi="Arial" w:cs="Arial"/>
                <w:lang w:val="en-GB"/>
              </w:rPr>
              <w:t xml:space="preserve">No </w:t>
            </w:r>
            <w:r w:rsidR="001A0809" w:rsidRPr="00167A1B">
              <w:rPr>
                <w:rFonts w:ascii="Arial" w:hAnsi="Arial" w:cs="Arial"/>
                <w:lang w:val="en-GB"/>
              </w:rPr>
              <w:t>impacts</w:t>
            </w:r>
          </w:p>
        </w:tc>
        <w:tc>
          <w:tcPr>
            <w:tcW w:w="2120" w:type="dxa"/>
          </w:tcPr>
          <w:p w14:paraId="06BCD139" w14:textId="456783AE" w:rsidR="00063490" w:rsidRPr="00167A1B" w:rsidRDefault="00063490" w:rsidP="00063490">
            <w:pPr>
              <w:pStyle w:val="Body"/>
              <w:numPr>
                <w:ilvl w:val="0"/>
                <w:numId w:val="0"/>
              </w:numPr>
              <w:jc w:val="left"/>
              <w:rPr>
                <w:rFonts w:ascii="Arial" w:hAnsi="Arial" w:cs="Arial"/>
                <w:lang w:val="en-GB"/>
              </w:rPr>
            </w:pPr>
            <w:r w:rsidRPr="00167A1B">
              <w:rPr>
                <w:rFonts w:ascii="Arial" w:hAnsi="Arial" w:cs="Arial"/>
                <w:lang w:val="en-GB"/>
              </w:rPr>
              <w:t>No impacts</w:t>
            </w:r>
          </w:p>
        </w:tc>
      </w:tr>
    </w:tbl>
    <w:p w14:paraId="0BFC9D45" w14:textId="5BCE2209" w:rsidR="00272D69" w:rsidRPr="00167A1B" w:rsidRDefault="00063490" w:rsidP="00272D69">
      <w:pPr>
        <w:pStyle w:val="BodyText1"/>
        <w:rPr>
          <w:b/>
          <w:bCs/>
          <w:noProof w:val="0"/>
        </w:rPr>
      </w:pPr>
      <w:r w:rsidRPr="00167A1B">
        <w:rPr>
          <w:b/>
          <w:bCs/>
          <w:noProof w:val="0"/>
        </w:rPr>
        <w:t>Impacts on innovation</w:t>
      </w:r>
    </w:p>
    <w:p w14:paraId="02E8F2DF" w14:textId="18C8581A" w:rsidR="00272D69" w:rsidRPr="00167A1B" w:rsidRDefault="00063490" w:rsidP="00084C36">
      <w:pPr>
        <w:pStyle w:val="BodyText1"/>
        <w:rPr>
          <w:noProof w:val="0"/>
        </w:rPr>
      </w:pPr>
      <w:r w:rsidRPr="00167A1B">
        <w:rPr>
          <w:noProof w:val="0"/>
        </w:rPr>
        <w:t>Being this a voluntary option, no effects on the capacity of firms to innovation is expected.</w:t>
      </w:r>
    </w:p>
    <w:p w14:paraId="1835FC15" w14:textId="77777777" w:rsidR="00B807D7" w:rsidRPr="00167A1B" w:rsidRDefault="00B807D7" w:rsidP="00084C36">
      <w:pPr>
        <w:pStyle w:val="BodyText1"/>
        <w:rPr>
          <w:noProof w:val="0"/>
        </w:rPr>
      </w:pPr>
    </w:p>
    <w:p w14:paraId="5206B11C" w14:textId="77777777" w:rsidR="00084C36" w:rsidRPr="00167A1B" w:rsidRDefault="00084C36" w:rsidP="00FA3984">
      <w:pPr>
        <w:pStyle w:val="title3"/>
        <w:rPr>
          <w:rStyle w:val="03ASubheading2ndlevelTOCChar"/>
          <w:rFonts w:cs="Times New Roman"/>
          <w:color w:val="325BAA"/>
          <w:sz w:val="28"/>
          <w:lang w:eastAsia="en-US"/>
        </w:rPr>
      </w:pPr>
      <w:r w:rsidRPr="00167A1B">
        <w:rPr>
          <w:rStyle w:val="03ASubheading2ndlevelTOCChar"/>
          <w:rFonts w:cs="Times New Roman"/>
          <w:color w:val="325BAA"/>
          <w:sz w:val="28"/>
          <w:lang w:eastAsia="en-US"/>
        </w:rPr>
        <w:t>Operating costs and conduct of business</w:t>
      </w:r>
    </w:p>
    <w:p w14:paraId="65C54FA5" w14:textId="2C7D4B32" w:rsidR="00084C36" w:rsidRPr="00167A1B" w:rsidRDefault="00084C36" w:rsidP="00084C36">
      <w:pPr>
        <w:pStyle w:val="BodyText1"/>
        <w:rPr>
          <w:noProof w:val="0"/>
        </w:rPr>
      </w:pPr>
      <w:r w:rsidRPr="00167A1B">
        <w:rPr>
          <w:noProof w:val="0"/>
        </w:rPr>
        <w:t>In the baseline, the transition from USB micro-B to USB Type-C is ongoing. At this stage, all manufacturers have already incorporated USB Type-C in their high and (in most cases) medium range devices, and therefore operating costs for the reminder of the transition are expected to be negligible. Only one manufacturer continues to use proprietary connectors and is currently expected to continue doing so in the future, hence no operating costs are expected</w:t>
      </w:r>
      <w:r w:rsidR="00CB16A1" w:rsidRPr="00167A1B">
        <w:rPr>
          <w:noProof w:val="0"/>
        </w:rPr>
        <w:t xml:space="preserve"> in the baseli</w:t>
      </w:r>
      <w:r w:rsidR="00860C7C" w:rsidRPr="00167A1B">
        <w:rPr>
          <w:noProof w:val="0"/>
        </w:rPr>
        <w:t>n</w:t>
      </w:r>
      <w:r w:rsidR="00CB16A1" w:rsidRPr="00167A1B">
        <w:rPr>
          <w:noProof w:val="0"/>
        </w:rPr>
        <w:t>e</w:t>
      </w:r>
      <w:r w:rsidRPr="00167A1B">
        <w:rPr>
          <w:noProof w:val="0"/>
        </w:rPr>
        <w:t xml:space="preserve">. We observe a similar situation with the use of </w:t>
      </w:r>
      <w:r w:rsidR="00B40DF1" w:rsidRPr="00167A1B">
        <w:rPr>
          <w:noProof w:val="0"/>
        </w:rPr>
        <w:t>USB Type-C</w:t>
      </w:r>
      <w:r w:rsidR="00860C7C" w:rsidRPr="00167A1B">
        <w:rPr>
          <w:noProof w:val="0"/>
        </w:rPr>
        <w:t xml:space="preserve"> </w:t>
      </w:r>
      <w:r w:rsidR="00B40DF1" w:rsidRPr="00167A1B">
        <w:rPr>
          <w:noProof w:val="0"/>
        </w:rPr>
        <w:t>/</w:t>
      </w:r>
      <w:r w:rsidR="00860C7C" w:rsidRPr="00167A1B">
        <w:rPr>
          <w:noProof w:val="0"/>
        </w:rPr>
        <w:t xml:space="preserve"> </w:t>
      </w:r>
      <w:r w:rsidRPr="00167A1B">
        <w:rPr>
          <w:noProof w:val="0"/>
        </w:rPr>
        <w:t>USB PD</w:t>
      </w:r>
      <w:r w:rsidR="00B40DF1" w:rsidRPr="00167A1B">
        <w:rPr>
          <w:noProof w:val="0"/>
        </w:rPr>
        <w:t xml:space="preserve"> charging protocols</w:t>
      </w:r>
      <w:r w:rsidRPr="00167A1B">
        <w:rPr>
          <w:noProof w:val="0"/>
        </w:rPr>
        <w:t xml:space="preserve"> at the device end: all except low and some medium-tier devices already incorporate it.</w:t>
      </w:r>
    </w:p>
    <w:p w14:paraId="5D8D49ED" w14:textId="77777777" w:rsidR="00084C36" w:rsidRPr="00167A1B" w:rsidRDefault="00084C36" w:rsidP="00084C36">
      <w:pPr>
        <w:pStyle w:val="BodyText1"/>
        <w:rPr>
          <w:noProof w:val="0"/>
        </w:rPr>
      </w:pPr>
      <w:r w:rsidRPr="00167A1B">
        <w:rPr>
          <w:noProof w:val="0"/>
        </w:rPr>
        <w:t>The situation on unbundling is slightly different. Some manufacturers have started unbundling their phones (EPS only), but most continue to sell all their phones with an EPS in the box, and no manufacturer has removed the cables from the box yet. Transition costs observed are reputational risks and opposition from consumers in some countries.</w:t>
      </w:r>
      <w:r w:rsidRPr="00167A1B">
        <w:rPr>
          <w:rStyle w:val="FootnoteReference"/>
          <w:noProof w:val="0"/>
        </w:rPr>
        <w:footnoteReference w:id="116"/>
      </w:r>
    </w:p>
    <w:p w14:paraId="799576DD" w14:textId="5DBA8265" w:rsidR="007B0726" w:rsidRPr="00167A1B" w:rsidRDefault="00084C36" w:rsidP="00084C36">
      <w:pPr>
        <w:pStyle w:val="BodyText1"/>
        <w:rPr>
          <w:noProof w:val="0"/>
        </w:rPr>
      </w:pPr>
      <w:r w:rsidRPr="00167A1B">
        <w:rPr>
          <w:noProof w:val="0"/>
        </w:rPr>
        <w:t xml:space="preserve">Currently, interoperability with standards is voluntary and businesses do not need to demonstrate compliance. </w:t>
      </w:r>
      <w:r w:rsidR="00462DAE" w:rsidRPr="00167A1B">
        <w:rPr>
          <w:noProof w:val="0"/>
        </w:rPr>
        <w:t>I</w:t>
      </w:r>
      <w:r w:rsidR="007B0726" w:rsidRPr="00167A1B">
        <w:rPr>
          <w:noProof w:val="0"/>
        </w:rPr>
        <w:t>nformation is currently provided through the following documentation:</w:t>
      </w:r>
    </w:p>
    <w:p w14:paraId="1721BAE3" w14:textId="6FF77534" w:rsidR="00824FA3" w:rsidRPr="00167A1B" w:rsidRDefault="007B0726" w:rsidP="00824FA3">
      <w:pPr>
        <w:pStyle w:val="bullet1"/>
        <w:rPr>
          <w:noProof w:val="0"/>
        </w:rPr>
      </w:pPr>
      <w:r w:rsidRPr="00167A1B">
        <w:rPr>
          <w:noProof w:val="0"/>
        </w:rPr>
        <w:t>The technical product documentation</w:t>
      </w:r>
      <w:r w:rsidR="00824FA3" w:rsidRPr="00167A1B">
        <w:rPr>
          <w:noProof w:val="0"/>
        </w:rPr>
        <w:t>, which provides information on the design, manufacture, and operation of a product and must contain all the details necessary to demonstrate the product conforms to the applicable requirements.</w:t>
      </w:r>
    </w:p>
    <w:p w14:paraId="74ACA092" w14:textId="6B2767E2" w:rsidR="007B0726" w:rsidRPr="00167A1B" w:rsidRDefault="007B0726" w:rsidP="007B0726">
      <w:pPr>
        <w:pStyle w:val="bullet1"/>
        <w:rPr>
          <w:noProof w:val="0"/>
        </w:rPr>
      </w:pPr>
      <w:r w:rsidRPr="00167A1B">
        <w:rPr>
          <w:noProof w:val="0"/>
        </w:rPr>
        <w:t>CE Marking: a self-certification with which the manufacturer or importer affirms its conformity with European health, safety, and environmental protection standards.</w:t>
      </w:r>
    </w:p>
    <w:p w14:paraId="537A1773" w14:textId="47873EC9" w:rsidR="007B0726" w:rsidRPr="00167A1B" w:rsidRDefault="007B0726" w:rsidP="007B0726">
      <w:pPr>
        <w:pStyle w:val="bullet1"/>
        <w:rPr>
          <w:noProof w:val="0"/>
        </w:rPr>
      </w:pPr>
      <w:r w:rsidRPr="00167A1B">
        <w:rPr>
          <w:noProof w:val="0"/>
        </w:rPr>
        <w:t>The EU Declaration of Conformity</w:t>
      </w:r>
      <w:r w:rsidR="00E51AD6" w:rsidRPr="00167A1B">
        <w:rPr>
          <w:noProof w:val="0"/>
        </w:rPr>
        <w:t xml:space="preserve"> (DoC)</w:t>
      </w:r>
      <w:r w:rsidRPr="00167A1B">
        <w:rPr>
          <w:noProof w:val="0"/>
        </w:rPr>
        <w:t>: The manufacturer or the authorised representative established within the EU must also draw up and sign an EU Declaration of Conformity declaring that the products comply with EU requirements.</w:t>
      </w:r>
    </w:p>
    <w:p w14:paraId="23088CF8" w14:textId="536B3917" w:rsidR="007B0726" w:rsidRPr="00167A1B" w:rsidRDefault="007B0726" w:rsidP="00860C7C">
      <w:pPr>
        <w:pStyle w:val="bullet1"/>
        <w:rPr>
          <w:noProof w:val="0"/>
        </w:rPr>
      </w:pPr>
      <w:r w:rsidRPr="00167A1B">
        <w:rPr>
          <w:noProof w:val="0"/>
        </w:rPr>
        <w:t xml:space="preserve">Manufacturers have to meet traceability requirements by indicating their name, registered trade name or registered </w:t>
      </w:r>
      <w:proofErr w:type="gramStart"/>
      <w:r w:rsidRPr="00167A1B">
        <w:rPr>
          <w:noProof w:val="0"/>
        </w:rPr>
        <w:t>trade mark</w:t>
      </w:r>
      <w:proofErr w:type="gramEnd"/>
      <w:r w:rsidRPr="00167A1B">
        <w:rPr>
          <w:noProof w:val="0"/>
        </w:rPr>
        <w:t xml:space="preserve"> and the address where they can be contacted. This information must be displayed on the product, on its packaging or in a document which accompanies the product.</w:t>
      </w:r>
    </w:p>
    <w:p w14:paraId="0725035A" w14:textId="0930BFCB" w:rsidR="002E1B6D" w:rsidRPr="00167A1B" w:rsidRDefault="00E51AD6" w:rsidP="00084C36">
      <w:pPr>
        <w:pStyle w:val="BodyText1"/>
        <w:rPr>
          <w:noProof w:val="0"/>
        </w:rPr>
      </w:pPr>
      <w:r w:rsidRPr="00167A1B">
        <w:rPr>
          <w:noProof w:val="0"/>
        </w:rPr>
        <w:lastRenderedPageBreak/>
        <w:t>The evaluation of the internal market legislation for industrial products</w:t>
      </w:r>
      <w:r w:rsidRPr="00167A1B">
        <w:rPr>
          <w:rStyle w:val="FootnoteReference"/>
          <w:noProof w:val="0"/>
        </w:rPr>
        <w:footnoteReference w:id="117"/>
      </w:r>
      <w:r w:rsidRPr="00167A1B">
        <w:rPr>
          <w:noProof w:val="0"/>
        </w:rPr>
        <w:t xml:space="preserve">, conducted in 2014, aimed to quantify the compliance costs of </w:t>
      </w:r>
      <w:r w:rsidR="00CB16A1" w:rsidRPr="00167A1B">
        <w:rPr>
          <w:noProof w:val="0"/>
        </w:rPr>
        <w:t xml:space="preserve">placing </w:t>
      </w:r>
      <w:r w:rsidRPr="00167A1B">
        <w:rPr>
          <w:noProof w:val="0"/>
        </w:rPr>
        <w:t>several products in the</w:t>
      </w:r>
      <w:r w:rsidR="00CB16A1" w:rsidRPr="00167A1B">
        <w:rPr>
          <w:noProof w:val="0"/>
        </w:rPr>
        <w:t xml:space="preserve"> EU</w:t>
      </w:r>
      <w:r w:rsidRPr="00167A1B">
        <w:rPr>
          <w:noProof w:val="0"/>
        </w:rPr>
        <w:t xml:space="preserve"> market. The results for laptops, summarised in the table below, may be extrapolated to mobile phones.</w:t>
      </w:r>
    </w:p>
    <w:p w14:paraId="141BA7F8" w14:textId="77777777" w:rsidR="00CB16A1" w:rsidRPr="00167A1B" w:rsidRDefault="00CB16A1" w:rsidP="00E51AD6">
      <w:pPr>
        <w:pStyle w:val="Caption"/>
      </w:pPr>
    </w:p>
    <w:p w14:paraId="56FA76D4" w14:textId="64154C25" w:rsidR="00E51AD6" w:rsidRPr="00167A1B" w:rsidRDefault="00E51AD6" w:rsidP="00E51AD6">
      <w:pPr>
        <w:pStyle w:val="Caption"/>
      </w:pPr>
      <w:bookmarkStart w:id="54" w:name="_Ref73981768"/>
      <w:r w:rsidRPr="00167A1B">
        <w:t xml:space="preserve">Table </w:t>
      </w:r>
      <w:r w:rsidRPr="00167A1B">
        <w:fldChar w:fldCharType="begin"/>
      </w:r>
      <w:r w:rsidRPr="00167A1B">
        <w:instrText xml:space="preserve"> SEQ Table \* ARABIC </w:instrText>
      </w:r>
      <w:r w:rsidRPr="00167A1B">
        <w:fldChar w:fldCharType="separate"/>
      </w:r>
      <w:r w:rsidR="00953106" w:rsidRPr="00167A1B">
        <w:t>19</w:t>
      </w:r>
      <w:r w:rsidRPr="00167A1B">
        <w:fldChar w:fldCharType="end"/>
      </w:r>
      <w:bookmarkEnd w:id="54"/>
      <w:r w:rsidRPr="00167A1B">
        <w:t>: Summary of main costs of compliance for laptops manufacturing industry</w:t>
      </w:r>
    </w:p>
    <w:tbl>
      <w:tblPr>
        <w:tblStyle w:val="TableGrid"/>
        <w:tblW w:w="9149" w:type="dxa"/>
        <w:tblLook w:val="04A0" w:firstRow="1" w:lastRow="0" w:firstColumn="1" w:lastColumn="0" w:noHBand="0" w:noVBand="1"/>
      </w:tblPr>
      <w:tblGrid>
        <w:gridCol w:w="3049"/>
        <w:gridCol w:w="3049"/>
        <w:gridCol w:w="3051"/>
      </w:tblGrid>
      <w:tr w:rsidR="00E51AD6" w:rsidRPr="00167A1B" w14:paraId="69EEC640" w14:textId="77777777" w:rsidTr="005E0F2F">
        <w:trPr>
          <w:cnfStyle w:val="100000000000" w:firstRow="1" w:lastRow="0" w:firstColumn="0" w:lastColumn="0" w:oddVBand="0" w:evenVBand="0" w:oddHBand="0" w:evenHBand="0" w:firstRowFirstColumn="0" w:firstRowLastColumn="0" w:lastRowFirstColumn="0" w:lastRowLastColumn="0"/>
          <w:trHeight w:val="303"/>
        </w:trPr>
        <w:tc>
          <w:tcPr>
            <w:tcW w:w="3049" w:type="dxa"/>
          </w:tcPr>
          <w:p w14:paraId="3F02A860" w14:textId="6343F00F" w:rsidR="00E51AD6" w:rsidRPr="00167A1B" w:rsidRDefault="00E51AD6" w:rsidP="00860C7C">
            <w:pPr>
              <w:pStyle w:val="BodyText1"/>
              <w:jc w:val="left"/>
              <w:rPr>
                <w:noProof w:val="0"/>
                <w:sz w:val="20"/>
                <w:szCs w:val="18"/>
              </w:rPr>
            </w:pPr>
            <w:r w:rsidRPr="00167A1B">
              <w:rPr>
                <w:noProof w:val="0"/>
                <w:sz w:val="20"/>
                <w:szCs w:val="18"/>
              </w:rPr>
              <w:t>Type of cost</w:t>
            </w:r>
          </w:p>
        </w:tc>
        <w:tc>
          <w:tcPr>
            <w:tcW w:w="3049" w:type="dxa"/>
          </w:tcPr>
          <w:p w14:paraId="4324B3E8" w14:textId="7BDCF692" w:rsidR="00E51AD6" w:rsidRPr="00167A1B" w:rsidRDefault="00E51AD6" w:rsidP="005E0F2F">
            <w:pPr>
              <w:pStyle w:val="BodyText1"/>
              <w:jc w:val="left"/>
              <w:rPr>
                <w:noProof w:val="0"/>
                <w:sz w:val="20"/>
                <w:szCs w:val="18"/>
              </w:rPr>
            </w:pPr>
            <w:r w:rsidRPr="00167A1B">
              <w:rPr>
                <w:noProof w:val="0"/>
                <w:sz w:val="20"/>
                <w:szCs w:val="18"/>
              </w:rPr>
              <w:t>Unit of measurement</w:t>
            </w:r>
          </w:p>
        </w:tc>
        <w:tc>
          <w:tcPr>
            <w:tcW w:w="3051" w:type="dxa"/>
          </w:tcPr>
          <w:p w14:paraId="7216A617" w14:textId="5D94BA70" w:rsidR="00E51AD6" w:rsidRPr="00167A1B" w:rsidRDefault="00E51AD6" w:rsidP="005E0F2F">
            <w:pPr>
              <w:pStyle w:val="BodyText1"/>
              <w:jc w:val="left"/>
              <w:rPr>
                <w:noProof w:val="0"/>
                <w:sz w:val="20"/>
                <w:szCs w:val="18"/>
              </w:rPr>
            </w:pPr>
            <w:r w:rsidRPr="00167A1B">
              <w:rPr>
                <w:noProof w:val="0"/>
                <w:sz w:val="20"/>
                <w:szCs w:val="18"/>
              </w:rPr>
              <w:t>Unit cost (Euros, 2014)</w:t>
            </w:r>
          </w:p>
        </w:tc>
      </w:tr>
      <w:tr w:rsidR="00E51AD6" w:rsidRPr="00167A1B" w14:paraId="79FED184" w14:textId="77777777" w:rsidTr="005E0F2F">
        <w:trPr>
          <w:trHeight w:val="239"/>
        </w:trPr>
        <w:tc>
          <w:tcPr>
            <w:tcW w:w="3049" w:type="dxa"/>
          </w:tcPr>
          <w:p w14:paraId="083875DF" w14:textId="46B52C68" w:rsidR="00E51AD6" w:rsidRPr="00167A1B" w:rsidRDefault="00E51AD6" w:rsidP="00860C7C">
            <w:pPr>
              <w:pStyle w:val="BodyText1"/>
              <w:jc w:val="left"/>
              <w:rPr>
                <w:noProof w:val="0"/>
                <w:sz w:val="20"/>
                <w:szCs w:val="18"/>
              </w:rPr>
            </w:pPr>
            <w:r w:rsidRPr="00167A1B">
              <w:rPr>
                <w:noProof w:val="0"/>
                <w:sz w:val="20"/>
                <w:szCs w:val="18"/>
              </w:rPr>
              <w:t>Familiarisation with new requirements</w:t>
            </w:r>
          </w:p>
        </w:tc>
        <w:tc>
          <w:tcPr>
            <w:tcW w:w="3049" w:type="dxa"/>
          </w:tcPr>
          <w:p w14:paraId="4111EFB2" w14:textId="54C466ED" w:rsidR="00E51AD6" w:rsidRPr="00167A1B" w:rsidRDefault="00E51AD6" w:rsidP="005E0F2F">
            <w:pPr>
              <w:pStyle w:val="BodyText1"/>
              <w:jc w:val="left"/>
              <w:rPr>
                <w:noProof w:val="0"/>
                <w:sz w:val="20"/>
                <w:szCs w:val="18"/>
              </w:rPr>
            </w:pPr>
            <w:r w:rsidRPr="00167A1B">
              <w:rPr>
                <w:noProof w:val="0"/>
                <w:sz w:val="20"/>
                <w:szCs w:val="18"/>
              </w:rPr>
              <w:t>Cost per year per manufacturer</w:t>
            </w:r>
          </w:p>
        </w:tc>
        <w:tc>
          <w:tcPr>
            <w:tcW w:w="3051" w:type="dxa"/>
          </w:tcPr>
          <w:p w14:paraId="68254CC3" w14:textId="34F56AFB" w:rsidR="00E51AD6" w:rsidRPr="00167A1B" w:rsidRDefault="00E51AD6" w:rsidP="005E0F2F">
            <w:pPr>
              <w:pStyle w:val="BodyText1"/>
              <w:jc w:val="left"/>
              <w:rPr>
                <w:noProof w:val="0"/>
                <w:sz w:val="20"/>
                <w:szCs w:val="18"/>
              </w:rPr>
            </w:pPr>
            <w:r w:rsidRPr="00167A1B">
              <w:rPr>
                <w:noProof w:val="0"/>
                <w:sz w:val="20"/>
                <w:szCs w:val="18"/>
              </w:rPr>
              <w:t>402,000</w:t>
            </w:r>
          </w:p>
        </w:tc>
      </w:tr>
      <w:tr w:rsidR="00E51AD6" w:rsidRPr="00167A1B" w14:paraId="43BB4BCA" w14:textId="77777777" w:rsidTr="005E0F2F">
        <w:trPr>
          <w:trHeight w:val="249"/>
        </w:trPr>
        <w:tc>
          <w:tcPr>
            <w:tcW w:w="3049" w:type="dxa"/>
          </w:tcPr>
          <w:p w14:paraId="3FB8BEBF" w14:textId="629D0FB8" w:rsidR="00E51AD6" w:rsidRPr="00167A1B" w:rsidRDefault="00E51AD6" w:rsidP="00860C7C">
            <w:pPr>
              <w:pStyle w:val="BodyText1"/>
              <w:jc w:val="left"/>
              <w:rPr>
                <w:noProof w:val="0"/>
                <w:sz w:val="20"/>
                <w:szCs w:val="18"/>
              </w:rPr>
            </w:pPr>
            <w:r w:rsidRPr="00167A1B">
              <w:rPr>
                <w:noProof w:val="0"/>
                <w:sz w:val="20"/>
                <w:szCs w:val="18"/>
              </w:rPr>
              <w:t>Preparation of DoC and technical documentation</w:t>
            </w:r>
          </w:p>
        </w:tc>
        <w:tc>
          <w:tcPr>
            <w:tcW w:w="3049" w:type="dxa"/>
          </w:tcPr>
          <w:p w14:paraId="4FA92328" w14:textId="1D985AB8" w:rsidR="00E51AD6" w:rsidRPr="00167A1B" w:rsidRDefault="00E51AD6" w:rsidP="005E0F2F">
            <w:pPr>
              <w:pStyle w:val="BodyText1"/>
              <w:jc w:val="left"/>
              <w:rPr>
                <w:noProof w:val="0"/>
                <w:sz w:val="20"/>
                <w:szCs w:val="18"/>
              </w:rPr>
            </w:pPr>
            <w:r w:rsidRPr="00167A1B">
              <w:rPr>
                <w:noProof w:val="0"/>
                <w:sz w:val="20"/>
                <w:szCs w:val="18"/>
              </w:rPr>
              <w:t>Cost per year per manufacturer</w:t>
            </w:r>
          </w:p>
        </w:tc>
        <w:tc>
          <w:tcPr>
            <w:tcW w:w="3051" w:type="dxa"/>
          </w:tcPr>
          <w:p w14:paraId="26B6893A" w14:textId="254EA0B9" w:rsidR="00E51AD6" w:rsidRPr="00167A1B" w:rsidRDefault="00E51AD6" w:rsidP="005E0F2F">
            <w:pPr>
              <w:pStyle w:val="BodyText1"/>
              <w:jc w:val="left"/>
              <w:rPr>
                <w:noProof w:val="0"/>
                <w:sz w:val="20"/>
                <w:szCs w:val="18"/>
              </w:rPr>
            </w:pPr>
            <w:r w:rsidRPr="00167A1B">
              <w:rPr>
                <w:noProof w:val="0"/>
                <w:sz w:val="20"/>
                <w:szCs w:val="18"/>
              </w:rPr>
              <w:t>1,206,000</w:t>
            </w:r>
          </w:p>
        </w:tc>
      </w:tr>
      <w:tr w:rsidR="00E51AD6" w:rsidRPr="00167A1B" w14:paraId="0BD9ABDC" w14:textId="77777777" w:rsidTr="005E0F2F">
        <w:trPr>
          <w:trHeight w:val="245"/>
        </w:trPr>
        <w:tc>
          <w:tcPr>
            <w:tcW w:w="3049" w:type="dxa"/>
          </w:tcPr>
          <w:p w14:paraId="0357566F" w14:textId="7A386499" w:rsidR="00E51AD6" w:rsidRPr="00167A1B" w:rsidRDefault="00E51AD6" w:rsidP="00860C7C">
            <w:pPr>
              <w:pStyle w:val="BodyText1"/>
              <w:jc w:val="left"/>
              <w:rPr>
                <w:noProof w:val="0"/>
                <w:sz w:val="20"/>
                <w:szCs w:val="18"/>
              </w:rPr>
            </w:pPr>
            <w:r w:rsidRPr="00167A1B">
              <w:rPr>
                <w:noProof w:val="0"/>
                <w:sz w:val="20"/>
                <w:szCs w:val="18"/>
              </w:rPr>
              <w:t>Standards purchase</w:t>
            </w:r>
          </w:p>
        </w:tc>
        <w:tc>
          <w:tcPr>
            <w:tcW w:w="3049" w:type="dxa"/>
          </w:tcPr>
          <w:p w14:paraId="12E99800" w14:textId="6FAD40E6" w:rsidR="00E51AD6" w:rsidRPr="00167A1B" w:rsidRDefault="00E51AD6" w:rsidP="005E0F2F">
            <w:pPr>
              <w:pStyle w:val="BodyText1"/>
              <w:jc w:val="left"/>
              <w:rPr>
                <w:noProof w:val="0"/>
                <w:sz w:val="20"/>
                <w:szCs w:val="18"/>
              </w:rPr>
            </w:pPr>
            <w:r w:rsidRPr="00167A1B">
              <w:rPr>
                <w:noProof w:val="0"/>
                <w:sz w:val="20"/>
                <w:szCs w:val="18"/>
              </w:rPr>
              <w:t>Cost per standard</w:t>
            </w:r>
          </w:p>
        </w:tc>
        <w:tc>
          <w:tcPr>
            <w:tcW w:w="3051" w:type="dxa"/>
          </w:tcPr>
          <w:p w14:paraId="267905A1" w14:textId="5AAA89A4" w:rsidR="00E51AD6" w:rsidRPr="00167A1B" w:rsidRDefault="00E51AD6" w:rsidP="005E0F2F">
            <w:pPr>
              <w:pStyle w:val="BodyText1"/>
              <w:jc w:val="left"/>
              <w:rPr>
                <w:noProof w:val="0"/>
                <w:sz w:val="20"/>
                <w:szCs w:val="18"/>
              </w:rPr>
            </w:pPr>
            <w:r w:rsidRPr="00167A1B">
              <w:rPr>
                <w:noProof w:val="0"/>
                <w:sz w:val="20"/>
                <w:szCs w:val="18"/>
              </w:rPr>
              <w:t>80</w:t>
            </w:r>
          </w:p>
        </w:tc>
      </w:tr>
      <w:tr w:rsidR="00E51AD6" w:rsidRPr="00167A1B" w14:paraId="06A11D12" w14:textId="77777777" w:rsidTr="005E0F2F">
        <w:trPr>
          <w:trHeight w:val="125"/>
        </w:trPr>
        <w:tc>
          <w:tcPr>
            <w:tcW w:w="3049" w:type="dxa"/>
          </w:tcPr>
          <w:p w14:paraId="38A2DD81" w14:textId="34CB2844" w:rsidR="00E51AD6" w:rsidRPr="00167A1B" w:rsidRDefault="00E51AD6" w:rsidP="00860C7C">
            <w:pPr>
              <w:pStyle w:val="BodyText1"/>
              <w:jc w:val="left"/>
              <w:rPr>
                <w:noProof w:val="0"/>
                <w:sz w:val="20"/>
                <w:szCs w:val="18"/>
              </w:rPr>
            </w:pPr>
            <w:r w:rsidRPr="00167A1B">
              <w:rPr>
                <w:noProof w:val="0"/>
                <w:sz w:val="20"/>
                <w:szCs w:val="18"/>
              </w:rPr>
              <w:t>R&amp;D and Product design</w:t>
            </w:r>
          </w:p>
        </w:tc>
        <w:tc>
          <w:tcPr>
            <w:tcW w:w="3049" w:type="dxa"/>
          </w:tcPr>
          <w:p w14:paraId="55503F14" w14:textId="0B3BF829" w:rsidR="00E51AD6" w:rsidRPr="00167A1B" w:rsidRDefault="00E51AD6" w:rsidP="005E0F2F">
            <w:pPr>
              <w:pStyle w:val="BodyText1"/>
              <w:jc w:val="left"/>
              <w:rPr>
                <w:noProof w:val="0"/>
                <w:sz w:val="20"/>
                <w:szCs w:val="18"/>
              </w:rPr>
            </w:pPr>
            <w:r w:rsidRPr="00167A1B">
              <w:rPr>
                <w:noProof w:val="0"/>
                <w:sz w:val="20"/>
                <w:szCs w:val="18"/>
              </w:rPr>
              <w:t>Model</w:t>
            </w:r>
          </w:p>
        </w:tc>
        <w:tc>
          <w:tcPr>
            <w:tcW w:w="3051" w:type="dxa"/>
          </w:tcPr>
          <w:p w14:paraId="0290C34D" w14:textId="77C27496" w:rsidR="00E51AD6" w:rsidRPr="00167A1B" w:rsidRDefault="00E51AD6" w:rsidP="005E0F2F">
            <w:pPr>
              <w:pStyle w:val="BodyText1"/>
              <w:jc w:val="left"/>
              <w:rPr>
                <w:noProof w:val="0"/>
                <w:sz w:val="20"/>
                <w:szCs w:val="18"/>
              </w:rPr>
            </w:pPr>
            <w:r w:rsidRPr="00167A1B">
              <w:rPr>
                <w:noProof w:val="0"/>
                <w:sz w:val="20"/>
                <w:szCs w:val="18"/>
              </w:rPr>
              <w:t>800,000</w:t>
            </w:r>
          </w:p>
        </w:tc>
      </w:tr>
      <w:tr w:rsidR="00E51AD6" w:rsidRPr="00167A1B" w14:paraId="0931A35A" w14:textId="77777777" w:rsidTr="005E0F2F">
        <w:trPr>
          <w:trHeight w:val="161"/>
        </w:trPr>
        <w:tc>
          <w:tcPr>
            <w:tcW w:w="3049" w:type="dxa"/>
          </w:tcPr>
          <w:p w14:paraId="70845AD3" w14:textId="2DDCD421" w:rsidR="00E51AD6" w:rsidRPr="00167A1B" w:rsidRDefault="00E51AD6" w:rsidP="00860C7C">
            <w:pPr>
              <w:pStyle w:val="BodyText1"/>
              <w:jc w:val="left"/>
              <w:rPr>
                <w:noProof w:val="0"/>
                <w:sz w:val="20"/>
                <w:szCs w:val="18"/>
              </w:rPr>
            </w:pPr>
            <w:r w:rsidRPr="00167A1B">
              <w:rPr>
                <w:noProof w:val="0"/>
                <w:sz w:val="20"/>
                <w:szCs w:val="18"/>
              </w:rPr>
              <w:t>Testing</w:t>
            </w:r>
          </w:p>
        </w:tc>
        <w:tc>
          <w:tcPr>
            <w:tcW w:w="3049" w:type="dxa"/>
          </w:tcPr>
          <w:p w14:paraId="209D4B9D" w14:textId="7A90D8D9" w:rsidR="00E51AD6" w:rsidRPr="00167A1B" w:rsidRDefault="00E51AD6" w:rsidP="005E0F2F">
            <w:pPr>
              <w:pStyle w:val="BodyText1"/>
              <w:jc w:val="left"/>
              <w:rPr>
                <w:noProof w:val="0"/>
                <w:sz w:val="20"/>
                <w:szCs w:val="18"/>
              </w:rPr>
            </w:pPr>
            <w:r w:rsidRPr="00167A1B">
              <w:rPr>
                <w:noProof w:val="0"/>
                <w:sz w:val="20"/>
                <w:szCs w:val="18"/>
              </w:rPr>
              <w:t>Model</w:t>
            </w:r>
          </w:p>
        </w:tc>
        <w:tc>
          <w:tcPr>
            <w:tcW w:w="3051" w:type="dxa"/>
          </w:tcPr>
          <w:p w14:paraId="4D6A7C5C" w14:textId="08628D99" w:rsidR="00E51AD6" w:rsidRPr="00167A1B" w:rsidRDefault="00E51AD6" w:rsidP="005E0F2F">
            <w:pPr>
              <w:pStyle w:val="BodyText1"/>
              <w:jc w:val="left"/>
              <w:rPr>
                <w:noProof w:val="0"/>
                <w:sz w:val="20"/>
                <w:szCs w:val="18"/>
              </w:rPr>
            </w:pPr>
            <w:r w:rsidRPr="00167A1B">
              <w:rPr>
                <w:noProof w:val="0"/>
                <w:sz w:val="20"/>
                <w:szCs w:val="18"/>
              </w:rPr>
              <w:t>5,000</w:t>
            </w:r>
          </w:p>
        </w:tc>
      </w:tr>
      <w:tr w:rsidR="00E51AD6" w:rsidRPr="00167A1B" w14:paraId="62410CAB" w14:textId="77777777" w:rsidTr="00E51AD6">
        <w:trPr>
          <w:trHeight w:val="532"/>
        </w:trPr>
        <w:tc>
          <w:tcPr>
            <w:tcW w:w="3049" w:type="dxa"/>
          </w:tcPr>
          <w:p w14:paraId="058A61A8" w14:textId="5CFA78A1" w:rsidR="00E51AD6" w:rsidRPr="00167A1B" w:rsidRDefault="00E51AD6" w:rsidP="00860C7C">
            <w:pPr>
              <w:pStyle w:val="BodyText1"/>
              <w:jc w:val="left"/>
              <w:rPr>
                <w:noProof w:val="0"/>
                <w:sz w:val="20"/>
                <w:szCs w:val="18"/>
              </w:rPr>
            </w:pPr>
            <w:r w:rsidRPr="00167A1B">
              <w:rPr>
                <w:noProof w:val="0"/>
                <w:sz w:val="20"/>
                <w:szCs w:val="18"/>
              </w:rPr>
              <w:t>3rd party Conformity Assessment by notified bodies</w:t>
            </w:r>
          </w:p>
        </w:tc>
        <w:tc>
          <w:tcPr>
            <w:tcW w:w="3049" w:type="dxa"/>
          </w:tcPr>
          <w:p w14:paraId="28D12959" w14:textId="61B0EA4D" w:rsidR="00E51AD6" w:rsidRPr="00167A1B" w:rsidRDefault="00E51AD6" w:rsidP="005E0F2F">
            <w:pPr>
              <w:pStyle w:val="BodyText1"/>
              <w:jc w:val="left"/>
              <w:rPr>
                <w:noProof w:val="0"/>
                <w:sz w:val="20"/>
                <w:szCs w:val="18"/>
              </w:rPr>
            </w:pPr>
            <w:r w:rsidRPr="00167A1B">
              <w:rPr>
                <w:noProof w:val="0"/>
                <w:sz w:val="20"/>
                <w:szCs w:val="18"/>
              </w:rPr>
              <w:t>Model</w:t>
            </w:r>
          </w:p>
        </w:tc>
        <w:tc>
          <w:tcPr>
            <w:tcW w:w="3051" w:type="dxa"/>
          </w:tcPr>
          <w:p w14:paraId="7B2C0176" w14:textId="6C3F48F8" w:rsidR="00E51AD6" w:rsidRPr="00167A1B" w:rsidRDefault="00E51AD6" w:rsidP="005E0F2F">
            <w:pPr>
              <w:pStyle w:val="BodyText1"/>
              <w:jc w:val="left"/>
              <w:rPr>
                <w:noProof w:val="0"/>
                <w:sz w:val="20"/>
                <w:szCs w:val="18"/>
              </w:rPr>
            </w:pPr>
            <w:r w:rsidRPr="00167A1B">
              <w:rPr>
                <w:noProof w:val="0"/>
                <w:sz w:val="20"/>
                <w:szCs w:val="18"/>
              </w:rPr>
              <w:t>15,000</w:t>
            </w:r>
          </w:p>
        </w:tc>
      </w:tr>
    </w:tbl>
    <w:p w14:paraId="228DEE22" w14:textId="37D969CA" w:rsidR="00E51AD6" w:rsidRPr="00167A1B" w:rsidRDefault="00CB16A1" w:rsidP="00860C7C">
      <w:pPr>
        <w:pStyle w:val="Footerapproval"/>
        <w:ind w:right="-143"/>
        <w:rPr>
          <w:lang w:val="en-GB"/>
        </w:rPr>
      </w:pPr>
      <w:r w:rsidRPr="00167A1B">
        <w:rPr>
          <w:rFonts w:ascii="Arial" w:hAnsi="Arial" w:cs="Arial"/>
          <w:sz w:val="16"/>
          <w:szCs w:val="24"/>
          <w:lang w:val="en-GB"/>
        </w:rPr>
        <w:t xml:space="preserve">Source: CSES, DG </w:t>
      </w:r>
      <w:r w:rsidRPr="00167A1B">
        <w:rPr>
          <w:rFonts w:ascii="Arial" w:hAnsi="Arial" w:cs="Arial"/>
          <w:sz w:val="16"/>
          <w:szCs w:val="16"/>
          <w:lang w:val="en-GB"/>
        </w:rPr>
        <w:t>GROW, Panteia (2014) Evaluation of the internal market legislation for industrial products, Appendix C Case study for laptops, available at: https://op.europa.eu/en/publication-detail/-/publication/4fe4ba23-68f6-439f-b982-5f56ef1b135d/language-en (accessed on 7 June 2021)</w:t>
      </w:r>
    </w:p>
    <w:p w14:paraId="5B097693" w14:textId="2FBE7380" w:rsidR="00CB16A1" w:rsidRPr="00167A1B" w:rsidRDefault="00A90FE9" w:rsidP="00084C36">
      <w:pPr>
        <w:pStyle w:val="BodyText1"/>
        <w:rPr>
          <w:noProof w:val="0"/>
        </w:rPr>
      </w:pPr>
      <w:r w:rsidRPr="00167A1B">
        <w:rPr>
          <w:noProof w:val="0"/>
        </w:rPr>
        <w:t>One of the</w:t>
      </w:r>
      <w:r w:rsidR="00CB16A1" w:rsidRPr="00167A1B">
        <w:rPr>
          <w:noProof w:val="0"/>
        </w:rPr>
        <w:t xml:space="preserve"> most significant costs for manufacturers </w:t>
      </w:r>
      <w:r w:rsidRPr="00167A1B">
        <w:rPr>
          <w:noProof w:val="0"/>
        </w:rPr>
        <w:t>is</w:t>
      </w:r>
      <w:r w:rsidR="00CB16A1" w:rsidRPr="00167A1B">
        <w:rPr>
          <w:noProof w:val="0"/>
        </w:rPr>
        <w:t xml:space="preserve"> R&amp;D and product design, which in this study has been classified as operating costs. New requirements affecting the design of the devices/EPS may generate a similar cost for manufacturers of mobile phones. Another significant cost is the preparation of the DoC and technical documentation. The options</w:t>
      </w:r>
      <w:r w:rsidRPr="00167A1B">
        <w:rPr>
          <w:noProof w:val="0"/>
        </w:rPr>
        <w:t>, however,</w:t>
      </w:r>
      <w:r w:rsidR="00CB16A1" w:rsidRPr="00167A1B">
        <w:rPr>
          <w:noProof w:val="0"/>
        </w:rPr>
        <w:t xml:space="preserve"> are not expected to </w:t>
      </w:r>
      <w:r w:rsidR="00462DAE" w:rsidRPr="00167A1B">
        <w:rPr>
          <w:noProof w:val="0"/>
        </w:rPr>
        <w:t>affect</w:t>
      </w:r>
      <w:r w:rsidR="00CB16A1" w:rsidRPr="00167A1B">
        <w:rPr>
          <w:noProof w:val="0"/>
        </w:rPr>
        <w:t xml:space="preserve"> this cost, since all companies need to draw up these documents regardless of this specific intervention.</w:t>
      </w:r>
    </w:p>
    <w:p w14:paraId="1059F2E6" w14:textId="5A48B824" w:rsidR="00084C36" w:rsidRPr="00167A1B" w:rsidRDefault="007B0726" w:rsidP="00084C36">
      <w:pPr>
        <w:pStyle w:val="BodyText1"/>
        <w:rPr>
          <w:noProof w:val="0"/>
        </w:rPr>
      </w:pPr>
      <w:r w:rsidRPr="00167A1B">
        <w:rPr>
          <w:noProof w:val="0"/>
        </w:rPr>
        <w:t>In terms of costs for public authorities, o</w:t>
      </w:r>
      <w:r w:rsidR="00084C36" w:rsidRPr="00167A1B">
        <w:rPr>
          <w:noProof w:val="0"/>
        </w:rPr>
        <w:t>nly random market checks are conducted by surveillance authorities to check that mobile phones comply with safety and other requirements in RED.</w:t>
      </w:r>
    </w:p>
    <w:p w14:paraId="3655AD26" w14:textId="3123EB11" w:rsidR="000D29BA" w:rsidRPr="00167A1B" w:rsidRDefault="00084C36" w:rsidP="000D29BA">
      <w:pPr>
        <w:pStyle w:val="Subtitle10"/>
        <w:rPr>
          <w:noProof w:val="0"/>
        </w:rPr>
      </w:pPr>
      <w:r w:rsidRPr="00167A1B">
        <w:rPr>
          <w:rStyle w:val="03ASubheading2ndlevelTOCChar"/>
          <w:rFonts w:cs="Times New Roman"/>
          <w:noProof w:val="0"/>
          <w:sz w:val="24"/>
          <w:lang w:eastAsia="en-US"/>
        </w:rPr>
        <w:t>Option 1</w:t>
      </w:r>
      <w:r w:rsidR="00136AB3" w:rsidRPr="00167A1B">
        <w:rPr>
          <w:rStyle w:val="03ASubheading2ndlevelTOCChar"/>
          <w:rFonts w:cs="Times New Roman"/>
          <w:noProof w:val="0"/>
          <w:sz w:val="24"/>
          <w:lang w:eastAsia="en-US"/>
        </w:rPr>
        <w:t>: Harmonise connectors on mobile phones</w:t>
      </w:r>
    </w:p>
    <w:p w14:paraId="4A990606" w14:textId="46C78866" w:rsidR="00084C36" w:rsidRPr="00167A1B" w:rsidRDefault="00084C36" w:rsidP="00084C36">
      <w:pPr>
        <w:pStyle w:val="BodyText1"/>
        <w:rPr>
          <w:noProof w:val="0"/>
          <w:szCs w:val="22"/>
        </w:rPr>
      </w:pPr>
      <w:r w:rsidRPr="00167A1B">
        <w:rPr>
          <w:noProof w:val="0"/>
          <w:szCs w:val="22"/>
        </w:rPr>
        <w:t xml:space="preserve">In the baseline, all mobile phones will gradually transition to USB Type-C connectors at the device end. This policy option would only affect Apple’s iPhones, which are likely to continue using Lightning connectors in the absence of intervention. </w:t>
      </w:r>
      <w:r w:rsidR="00DC3C60" w:rsidRPr="00167A1B">
        <w:rPr>
          <w:b/>
          <w:bCs/>
          <w:noProof w:val="0"/>
          <w:szCs w:val="22"/>
        </w:rPr>
        <w:t xml:space="preserve">Operating costs </w:t>
      </w:r>
      <w:r w:rsidR="00DC3C60" w:rsidRPr="00167A1B">
        <w:rPr>
          <w:noProof w:val="0"/>
          <w:szCs w:val="22"/>
        </w:rPr>
        <w:t>for Apple</w:t>
      </w:r>
      <w:r w:rsidR="00473538" w:rsidRPr="00167A1B">
        <w:rPr>
          <w:noProof w:val="0"/>
          <w:szCs w:val="22"/>
        </w:rPr>
        <w:t xml:space="preserve"> </w:t>
      </w:r>
      <w:r w:rsidRPr="00167A1B">
        <w:rPr>
          <w:noProof w:val="0"/>
          <w:szCs w:val="22"/>
        </w:rPr>
        <w:t>would be significant, given</w:t>
      </w:r>
      <w:r w:rsidR="00473538" w:rsidRPr="00167A1B">
        <w:rPr>
          <w:noProof w:val="0"/>
          <w:szCs w:val="22"/>
        </w:rPr>
        <w:t xml:space="preserve"> the changes that the company would need to perform on their phones (e.g. the space used by the Lightning connector in the phone is smaller than the space used by USB Type-C connectors and pins) and</w:t>
      </w:r>
      <w:r w:rsidRPr="00167A1B">
        <w:rPr>
          <w:noProof w:val="0"/>
          <w:szCs w:val="22"/>
        </w:rPr>
        <w:t xml:space="preserve"> the number of phone accessories, not only cables, that use Lightning connectors. This company has a </w:t>
      </w:r>
      <w:r w:rsidR="00473538" w:rsidRPr="00167A1B">
        <w:rPr>
          <w:noProof w:val="0"/>
          <w:szCs w:val="22"/>
        </w:rPr>
        <w:t>18</w:t>
      </w:r>
      <w:r w:rsidRPr="00167A1B">
        <w:rPr>
          <w:noProof w:val="0"/>
          <w:szCs w:val="22"/>
        </w:rPr>
        <w:t>% of the market share in the EU (measured in number of units sold)</w:t>
      </w:r>
      <w:r w:rsidR="00473538" w:rsidRPr="00167A1B">
        <w:rPr>
          <w:noProof w:val="0"/>
          <w:szCs w:val="22"/>
        </w:rPr>
        <w:t xml:space="preserve"> and mobile phones are their main market segment</w:t>
      </w:r>
      <w:r w:rsidR="000127DC" w:rsidRPr="00167A1B">
        <w:rPr>
          <w:noProof w:val="0"/>
          <w:szCs w:val="22"/>
        </w:rPr>
        <w:t>, representing 50% of total sales in 2020.</w:t>
      </w:r>
      <w:r w:rsidR="000127DC" w:rsidRPr="00167A1B">
        <w:rPr>
          <w:rStyle w:val="FootnoteReference"/>
          <w:noProof w:val="0"/>
          <w:sz w:val="22"/>
          <w:szCs w:val="22"/>
        </w:rPr>
        <w:footnoteReference w:id="118"/>
      </w:r>
      <w:r w:rsidRPr="00167A1B">
        <w:rPr>
          <w:noProof w:val="0"/>
          <w:szCs w:val="22"/>
        </w:rPr>
        <w:t xml:space="preserve"> </w:t>
      </w:r>
      <w:r w:rsidR="000127DC" w:rsidRPr="00167A1B">
        <w:rPr>
          <w:noProof w:val="0"/>
          <w:szCs w:val="22"/>
        </w:rPr>
        <w:t>The significance of this impact cannot be quantified</w:t>
      </w:r>
      <w:r w:rsidR="00E06BC3" w:rsidRPr="00167A1B">
        <w:rPr>
          <w:noProof w:val="0"/>
          <w:szCs w:val="22"/>
        </w:rPr>
        <w:t xml:space="preserve"> (it is very sensitive commercial information)</w:t>
      </w:r>
      <w:r w:rsidR="00A90FE9" w:rsidRPr="00167A1B">
        <w:rPr>
          <w:noProof w:val="0"/>
          <w:szCs w:val="22"/>
        </w:rPr>
        <w:t xml:space="preserve">. For reference, the Evaluation of the internal market legislation for industrial products mentioned above quantified this cost </w:t>
      </w:r>
      <w:r w:rsidR="00860C7C" w:rsidRPr="00167A1B">
        <w:rPr>
          <w:noProof w:val="0"/>
          <w:szCs w:val="22"/>
        </w:rPr>
        <w:t>at</w:t>
      </w:r>
      <w:r w:rsidR="00A90FE9" w:rsidRPr="00167A1B">
        <w:rPr>
          <w:noProof w:val="0"/>
          <w:szCs w:val="22"/>
        </w:rPr>
        <w:t xml:space="preserve"> 800,000 Euros per model.</w:t>
      </w:r>
      <w:r w:rsidR="000127DC" w:rsidRPr="00167A1B">
        <w:rPr>
          <w:noProof w:val="0"/>
          <w:szCs w:val="22"/>
        </w:rPr>
        <w:t xml:space="preserve"> </w:t>
      </w:r>
      <w:r w:rsidR="00A90FE9" w:rsidRPr="00167A1B">
        <w:rPr>
          <w:noProof w:val="0"/>
          <w:szCs w:val="22"/>
        </w:rPr>
        <w:t>G</w:t>
      </w:r>
      <w:r w:rsidR="000127DC" w:rsidRPr="00167A1B">
        <w:rPr>
          <w:noProof w:val="0"/>
          <w:szCs w:val="22"/>
        </w:rPr>
        <w:t xml:space="preserve">iven the size of the market and the necessary changes in product design, </w:t>
      </w:r>
      <w:r w:rsidRPr="00167A1B">
        <w:rPr>
          <w:noProof w:val="0"/>
          <w:szCs w:val="22"/>
        </w:rPr>
        <w:t xml:space="preserve">we conclude that this option would entail a </w:t>
      </w:r>
      <w:r w:rsidRPr="00167A1B">
        <w:rPr>
          <w:b/>
          <w:bCs/>
          <w:noProof w:val="0"/>
          <w:szCs w:val="22"/>
        </w:rPr>
        <w:t>significant negative impact</w:t>
      </w:r>
      <w:r w:rsidRPr="00167A1B">
        <w:rPr>
          <w:noProof w:val="0"/>
          <w:szCs w:val="22"/>
        </w:rPr>
        <w:t xml:space="preserve"> on operating costs for Apple, and for manufacturers of Lightning accessories. It should be noted that the significance </w:t>
      </w:r>
      <w:r w:rsidRPr="00167A1B">
        <w:rPr>
          <w:noProof w:val="0"/>
          <w:szCs w:val="22"/>
        </w:rPr>
        <w:lastRenderedPageBreak/>
        <w:t>of this impact will also depend on whether the policy options apply to all models, or to new models only.</w:t>
      </w:r>
      <w:r w:rsidR="00BE599A" w:rsidRPr="00167A1B">
        <w:rPr>
          <w:noProof w:val="0"/>
          <w:szCs w:val="22"/>
        </w:rPr>
        <w:t xml:space="preserve"> The more the policy option can accommodate existing models, the less severe the negative impacts will be.</w:t>
      </w:r>
      <w:r w:rsidR="00BE599A" w:rsidRPr="00167A1B">
        <w:rPr>
          <w:rStyle w:val="FootnoteReference"/>
          <w:noProof w:val="0"/>
          <w:sz w:val="22"/>
          <w:szCs w:val="22"/>
        </w:rPr>
        <w:footnoteReference w:id="119"/>
      </w:r>
      <w:r w:rsidR="00BE599A" w:rsidRPr="00167A1B">
        <w:rPr>
          <w:noProof w:val="0"/>
          <w:szCs w:val="22"/>
        </w:rPr>
        <w:t xml:space="preserve">  </w:t>
      </w:r>
    </w:p>
    <w:p w14:paraId="7544A40C" w14:textId="6195F6C2" w:rsidR="000127DC" w:rsidRPr="00167A1B" w:rsidRDefault="000127DC" w:rsidP="00084C36">
      <w:pPr>
        <w:pStyle w:val="BodyText1"/>
        <w:rPr>
          <w:noProof w:val="0"/>
        </w:rPr>
      </w:pPr>
      <w:r w:rsidRPr="00167A1B">
        <w:rPr>
          <w:noProof w:val="0"/>
        </w:rPr>
        <w:t>Most other manufacturers of mobile phones and manufacturers of chargers are already transitioning to USB Type-C and adapting their operations, and therefore the impacts</w:t>
      </w:r>
      <w:r w:rsidR="00DC3C60" w:rsidRPr="00167A1B">
        <w:rPr>
          <w:noProof w:val="0"/>
        </w:rPr>
        <w:t xml:space="preserve"> on operating costs</w:t>
      </w:r>
      <w:r w:rsidRPr="00167A1B">
        <w:rPr>
          <w:noProof w:val="0"/>
        </w:rPr>
        <w:t xml:space="preserve"> for other manufacturers would be negligible.</w:t>
      </w:r>
    </w:p>
    <w:p w14:paraId="6B88E579" w14:textId="7FB4CDDD" w:rsidR="00084C36" w:rsidRPr="00167A1B" w:rsidRDefault="00084C36" w:rsidP="00084C36">
      <w:pPr>
        <w:pStyle w:val="BodyText1"/>
        <w:rPr>
          <w:rStyle w:val="03ASubheading2ndlevelTOCChar"/>
          <w:rFonts w:cs="Times New Roman"/>
          <w:noProof w:val="0"/>
          <w:color w:val="auto"/>
          <w:lang w:eastAsia="en-US"/>
        </w:rPr>
      </w:pPr>
      <w:r w:rsidRPr="00167A1B">
        <w:rPr>
          <w:rStyle w:val="03ASubheading2ndlevelTOCChar"/>
          <w:rFonts w:cs="Times New Roman"/>
          <w:noProof w:val="0"/>
          <w:color w:val="auto"/>
          <w:lang w:eastAsia="en-US"/>
        </w:rPr>
        <w:t>The difference between Lightning and USB Type-C connectors can be seen with the naked eye, and it is not expected that businesses would need to demonstrate compliance with this policy option</w:t>
      </w:r>
      <w:r w:rsidR="00DC3C60" w:rsidRPr="00167A1B">
        <w:rPr>
          <w:rStyle w:val="03ASubheading2ndlevelTOCChar"/>
          <w:rFonts w:cs="Times New Roman"/>
          <w:noProof w:val="0"/>
          <w:color w:val="auto"/>
          <w:lang w:eastAsia="en-US"/>
        </w:rPr>
        <w:t xml:space="preserve"> (i.e. it would not generate additional </w:t>
      </w:r>
      <w:r w:rsidR="00DC3C60" w:rsidRPr="00167A1B">
        <w:rPr>
          <w:rStyle w:val="03ASubheading2ndlevelTOCChar"/>
          <w:rFonts w:cs="Times New Roman"/>
          <w:b/>
          <w:bCs/>
          <w:noProof w:val="0"/>
          <w:color w:val="auto"/>
          <w:lang w:eastAsia="en-US"/>
        </w:rPr>
        <w:t>compliance costs</w:t>
      </w:r>
      <w:r w:rsidR="00DC3C60" w:rsidRPr="00167A1B">
        <w:rPr>
          <w:rStyle w:val="03ASubheading2ndlevelTOCChar"/>
          <w:rFonts w:cs="Times New Roman"/>
          <w:noProof w:val="0"/>
          <w:color w:val="auto"/>
          <w:lang w:eastAsia="en-US"/>
        </w:rPr>
        <w:t>)</w:t>
      </w:r>
      <w:r w:rsidRPr="00167A1B">
        <w:rPr>
          <w:rStyle w:val="03ASubheading2ndlevelTOCChar"/>
          <w:rFonts w:cs="Times New Roman"/>
          <w:noProof w:val="0"/>
          <w:color w:val="auto"/>
          <w:lang w:eastAsia="en-US"/>
        </w:rPr>
        <w:t>.</w:t>
      </w:r>
      <w:r w:rsidR="000127DC" w:rsidRPr="00167A1B">
        <w:rPr>
          <w:rStyle w:val="03ASubheading2ndlevelTOCChar"/>
          <w:rFonts w:cs="Times New Roman"/>
          <w:noProof w:val="0"/>
          <w:color w:val="auto"/>
          <w:lang w:eastAsia="en-US"/>
        </w:rPr>
        <w:t xml:space="preserve"> The option does not require the provision of additional information, and therefore there would not be </w:t>
      </w:r>
      <w:r w:rsidR="000127DC" w:rsidRPr="00167A1B">
        <w:rPr>
          <w:rStyle w:val="03ASubheading2ndlevelTOCChar"/>
          <w:rFonts w:cs="Times New Roman"/>
          <w:b/>
          <w:bCs/>
          <w:noProof w:val="0"/>
          <w:color w:val="auto"/>
          <w:lang w:eastAsia="en-US"/>
        </w:rPr>
        <w:t>administrative costs</w:t>
      </w:r>
      <w:r w:rsidR="000127DC" w:rsidRPr="00167A1B">
        <w:rPr>
          <w:rStyle w:val="03ASubheading2ndlevelTOCChar"/>
          <w:rFonts w:cs="Times New Roman"/>
          <w:noProof w:val="0"/>
          <w:color w:val="auto"/>
          <w:lang w:eastAsia="en-US"/>
        </w:rPr>
        <w:t xml:space="preserve"> linked to it.</w:t>
      </w:r>
    </w:p>
    <w:p w14:paraId="7DD8563A" w14:textId="511AA607" w:rsidR="00084C36" w:rsidRPr="00167A1B" w:rsidRDefault="00084C36" w:rsidP="00084C36">
      <w:pPr>
        <w:pStyle w:val="Subtitle10"/>
        <w:rPr>
          <w:rStyle w:val="03ASubheading2ndlevelTOCChar"/>
          <w:noProof w:val="0"/>
          <w:sz w:val="24"/>
          <w:lang w:eastAsia="en-US"/>
        </w:rPr>
      </w:pPr>
      <w:r w:rsidRPr="00167A1B">
        <w:rPr>
          <w:rStyle w:val="03ASubheading2ndlevelTOCChar"/>
          <w:noProof w:val="0"/>
          <w:sz w:val="24"/>
          <w:lang w:eastAsia="en-US"/>
        </w:rPr>
        <w:t>Option 2</w:t>
      </w:r>
      <w:r w:rsidR="00136AB3" w:rsidRPr="00167A1B">
        <w:rPr>
          <w:noProof w:val="0"/>
        </w:rPr>
        <w:t>: Require mobile phones to be compatible with USB charging technology</w:t>
      </w:r>
    </w:p>
    <w:p w14:paraId="6F70F843" w14:textId="494C622B" w:rsidR="00084C36" w:rsidRPr="00167A1B" w:rsidRDefault="00084C36" w:rsidP="00084C36">
      <w:pPr>
        <w:pStyle w:val="BodyText1"/>
        <w:rPr>
          <w:noProof w:val="0"/>
        </w:rPr>
      </w:pPr>
      <w:r w:rsidRPr="00167A1B">
        <w:rPr>
          <w:noProof w:val="0"/>
        </w:rPr>
        <w:t xml:space="preserve">Under this option, manufacturers of low and mid-tier phones (including EU based companies such as HMD, BQ and Fairphone) would be affected. Including USB Type-C and/or USB PD may have some </w:t>
      </w:r>
      <w:r w:rsidR="00DC3C60" w:rsidRPr="00167A1B">
        <w:rPr>
          <w:b/>
          <w:bCs/>
          <w:noProof w:val="0"/>
        </w:rPr>
        <w:t xml:space="preserve">operating </w:t>
      </w:r>
      <w:r w:rsidRPr="00167A1B">
        <w:rPr>
          <w:b/>
          <w:bCs/>
          <w:noProof w:val="0"/>
        </w:rPr>
        <w:t>costs</w:t>
      </w:r>
      <w:r w:rsidRPr="00167A1B">
        <w:rPr>
          <w:noProof w:val="0"/>
        </w:rPr>
        <w:t xml:space="preserve"> for those manufacturers who currently don’t have any devices yet with USB PD</w:t>
      </w:r>
      <w:r w:rsidR="000127DC" w:rsidRPr="00167A1B">
        <w:rPr>
          <w:noProof w:val="0"/>
        </w:rPr>
        <w:t xml:space="preserve"> or USB Type-C</w:t>
      </w:r>
      <w:r w:rsidRPr="00167A1B">
        <w:rPr>
          <w:noProof w:val="0"/>
        </w:rPr>
        <w:t xml:space="preserve">. HMD, for instance, is the manufacturer of Nokia phones. Currently, most of their portfolio uses USB BC, except for their high and mid-tier phones, which use QC3. Stakeholders interviewed thought that it is likely that phones currently using QC3 will have naturally transitioned to later versions of QC, compatible with USB PD, by 2024. In this scenario, impacts of this option on </w:t>
      </w:r>
      <w:r w:rsidR="00583B0E" w:rsidRPr="00167A1B">
        <w:rPr>
          <w:noProof w:val="0"/>
        </w:rPr>
        <w:t xml:space="preserve">operating </w:t>
      </w:r>
      <w:r w:rsidRPr="00167A1B">
        <w:rPr>
          <w:noProof w:val="0"/>
        </w:rPr>
        <w:t xml:space="preserve">costs are expected to be </w:t>
      </w:r>
      <w:r w:rsidRPr="00167A1B">
        <w:rPr>
          <w:b/>
          <w:bCs/>
          <w:noProof w:val="0"/>
        </w:rPr>
        <w:t>minor</w:t>
      </w:r>
      <w:r w:rsidRPr="00167A1B">
        <w:rPr>
          <w:noProof w:val="0"/>
        </w:rPr>
        <w:t>.</w:t>
      </w:r>
    </w:p>
    <w:p w14:paraId="5BF112A8" w14:textId="28E64D79" w:rsidR="00084C36" w:rsidRPr="00167A1B" w:rsidRDefault="00084C36" w:rsidP="00084C36">
      <w:pPr>
        <w:pStyle w:val="BodyText1"/>
        <w:rPr>
          <w:noProof w:val="0"/>
        </w:rPr>
      </w:pPr>
      <w:r w:rsidRPr="00167A1B">
        <w:rPr>
          <w:noProof w:val="0"/>
        </w:rPr>
        <w:t xml:space="preserve">This option could be implemented via the RED (e.g. via essential requirements), and therefore </w:t>
      </w:r>
      <w:r w:rsidR="003B129E" w:rsidRPr="00167A1B">
        <w:rPr>
          <w:noProof w:val="0"/>
        </w:rPr>
        <w:t xml:space="preserve">any new </w:t>
      </w:r>
      <w:r w:rsidRPr="00167A1B">
        <w:rPr>
          <w:b/>
          <w:bCs/>
          <w:noProof w:val="0"/>
        </w:rPr>
        <w:t>compliance costs</w:t>
      </w:r>
      <w:r w:rsidR="003B129E" w:rsidRPr="00167A1B">
        <w:rPr>
          <w:b/>
          <w:bCs/>
          <w:noProof w:val="0"/>
        </w:rPr>
        <w:t xml:space="preserve"> </w:t>
      </w:r>
      <w:r w:rsidR="003B129E" w:rsidRPr="00167A1B">
        <w:rPr>
          <w:noProof w:val="0"/>
        </w:rPr>
        <w:t>would be minimal. M</w:t>
      </w:r>
      <w:r w:rsidRPr="00167A1B">
        <w:rPr>
          <w:noProof w:val="0"/>
        </w:rPr>
        <w:t xml:space="preserve">anufacturers would need to comply with these </w:t>
      </w:r>
      <w:r w:rsidR="00462DAE" w:rsidRPr="00167A1B">
        <w:rPr>
          <w:noProof w:val="0"/>
        </w:rPr>
        <w:t xml:space="preserve">new </w:t>
      </w:r>
      <w:r w:rsidRPr="00167A1B">
        <w:rPr>
          <w:noProof w:val="0"/>
        </w:rPr>
        <w:t>essential requirements as well as other elements of RED, and there would be presumption of conformity.</w:t>
      </w:r>
      <w:r w:rsidR="003B129E" w:rsidRPr="00167A1B">
        <w:rPr>
          <w:noProof w:val="0"/>
        </w:rPr>
        <w:t xml:space="preserve"> </w:t>
      </w:r>
      <w:r w:rsidR="00462DAE" w:rsidRPr="00167A1B">
        <w:rPr>
          <w:noProof w:val="0"/>
        </w:rPr>
        <w:t>The o</w:t>
      </w:r>
      <w:r w:rsidR="003B129E" w:rsidRPr="00167A1B">
        <w:rPr>
          <w:noProof w:val="0"/>
        </w:rPr>
        <w:t xml:space="preserve">nly compliance costs </w:t>
      </w:r>
      <w:r w:rsidR="00462DAE" w:rsidRPr="00167A1B">
        <w:rPr>
          <w:noProof w:val="0"/>
        </w:rPr>
        <w:t xml:space="preserve">that companies would incur </w:t>
      </w:r>
      <w:r w:rsidR="003B129E" w:rsidRPr="00167A1B">
        <w:rPr>
          <w:noProof w:val="0"/>
        </w:rPr>
        <w:t xml:space="preserve">would be those related to becoming familiar with the new requirements, and potentially purchasing standards (although most companies </w:t>
      </w:r>
      <w:r w:rsidR="00937023" w:rsidRPr="00167A1B">
        <w:rPr>
          <w:noProof w:val="0"/>
        </w:rPr>
        <w:t>already</w:t>
      </w:r>
      <w:r w:rsidR="003B129E" w:rsidRPr="00167A1B">
        <w:rPr>
          <w:noProof w:val="0"/>
        </w:rPr>
        <w:t xml:space="preserve"> purchase these standards regardless</w:t>
      </w:r>
      <w:r w:rsidR="00937023" w:rsidRPr="00167A1B">
        <w:rPr>
          <w:noProof w:val="0"/>
        </w:rPr>
        <w:t xml:space="preserve"> and are familiar with them, as have been developed by the USB-IF of which most of them are members</w:t>
      </w:r>
      <w:r w:rsidR="003B129E" w:rsidRPr="00167A1B">
        <w:rPr>
          <w:noProof w:val="0"/>
        </w:rPr>
        <w:t>).</w:t>
      </w:r>
      <w:r w:rsidR="00937023" w:rsidRPr="00167A1B">
        <w:rPr>
          <w:noProof w:val="0"/>
        </w:rPr>
        <w:t xml:space="preserve"> </w:t>
      </w:r>
    </w:p>
    <w:p w14:paraId="41B5C991" w14:textId="4D5F44AD" w:rsidR="000127DC" w:rsidRPr="00167A1B" w:rsidRDefault="000127DC" w:rsidP="00084C36">
      <w:pPr>
        <w:pStyle w:val="BodyText1"/>
        <w:rPr>
          <w:noProof w:val="0"/>
        </w:rPr>
      </w:pPr>
      <w:r w:rsidRPr="00167A1B">
        <w:rPr>
          <w:noProof w:val="0"/>
        </w:rPr>
        <w:t xml:space="preserve">The option also includes the provision of information to consumers as a “flanking measure”, which may entail additional </w:t>
      </w:r>
      <w:r w:rsidRPr="00167A1B">
        <w:rPr>
          <w:b/>
          <w:bCs/>
          <w:noProof w:val="0"/>
        </w:rPr>
        <w:t>administrative costs</w:t>
      </w:r>
      <w:r w:rsidR="00583B0E" w:rsidRPr="00167A1B">
        <w:rPr>
          <w:b/>
          <w:bCs/>
          <w:noProof w:val="0"/>
        </w:rPr>
        <w:t>.</w:t>
      </w:r>
      <w:r w:rsidRPr="00167A1B">
        <w:rPr>
          <w:noProof w:val="0"/>
        </w:rPr>
        <w:t xml:space="preserve"> </w:t>
      </w:r>
      <w:r w:rsidR="00583B0E" w:rsidRPr="00167A1B">
        <w:rPr>
          <w:noProof w:val="0"/>
        </w:rPr>
        <w:t>The cost</w:t>
      </w:r>
      <w:r w:rsidRPr="00167A1B">
        <w:rPr>
          <w:noProof w:val="0"/>
        </w:rPr>
        <w:t xml:space="preserve"> would largely depend on how the option is implemented</w:t>
      </w:r>
      <w:r w:rsidR="00583B0E" w:rsidRPr="00167A1B">
        <w:rPr>
          <w:noProof w:val="0"/>
        </w:rPr>
        <w:t xml:space="preserve"> (e.g. changes in packaging, additional information in their products’ website, additional information in the instruction manual, etc.</w:t>
      </w:r>
      <w:r w:rsidRPr="00167A1B">
        <w:rPr>
          <w:noProof w:val="0"/>
        </w:rPr>
        <w:t>)</w:t>
      </w:r>
      <w:r w:rsidR="00583B0E" w:rsidRPr="00167A1B">
        <w:rPr>
          <w:noProof w:val="0"/>
        </w:rPr>
        <w:t xml:space="preserve">, but it would likely be </w:t>
      </w:r>
      <w:r w:rsidR="00937023" w:rsidRPr="00167A1B">
        <w:rPr>
          <w:noProof w:val="0"/>
        </w:rPr>
        <w:t>minor/</w:t>
      </w:r>
      <w:r w:rsidR="00583B0E" w:rsidRPr="00167A1B">
        <w:rPr>
          <w:noProof w:val="0"/>
        </w:rPr>
        <w:t>negligible in any case. The option would most probably be accompanied by a communications campaign by the Commission, which would also help to communicate the measure to consumers and reduce administrative costs for manufacturers.</w:t>
      </w:r>
    </w:p>
    <w:p w14:paraId="29735B4E" w14:textId="19CF1FD2" w:rsidR="000127DC" w:rsidRPr="00167A1B" w:rsidRDefault="000127DC" w:rsidP="00084C36">
      <w:pPr>
        <w:pStyle w:val="BodyText1"/>
        <w:rPr>
          <w:rStyle w:val="03ASubheading2ndlevelTOCChar"/>
          <w:noProof w:val="0"/>
          <w:sz w:val="24"/>
          <w:lang w:eastAsia="en-US"/>
        </w:rPr>
      </w:pPr>
      <w:r w:rsidRPr="00167A1B">
        <w:rPr>
          <w:noProof w:val="0"/>
        </w:rPr>
        <w:t>This option would not affect other industry stakeholders. Manufacturers of SoC would have to incorporate USB PD/USB Type-C in all their chips for mobile phones, but this is already the case in the baseline.</w:t>
      </w:r>
    </w:p>
    <w:p w14:paraId="6258225D" w14:textId="524A270D" w:rsidR="00827359" w:rsidRPr="00167A1B" w:rsidRDefault="00827359" w:rsidP="00827359">
      <w:pPr>
        <w:pStyle w:val="Subtitle10"/>
        <w:rPr>
          <w:rStyle w:val="03ASubheading2ndlevelTOCChar"/>
          <w:noProof w:val="0"/>
          <w:sz w:val="24"/>
          <w:lang w:eastAsia="en-US"/>
        </w:rPr>
      </w:pPr>
      <w:bookmarkStart w:id="55" w:name="_Hlk67657157"/>
      <w:r w:rsidRPr="00167A1B">
        <w:rPr>
          <w:rStyle w:val="03ASubheading2ndlevelTOCChar"/>
          <w:noProof w:val="0"/>
          <w:sz w:val="24"/>
          <w:lang w:eastAsia="en-US"/>
        </w:rPr>
        <w:t>Option 3</w:t>
      </w:r>
      <w:r w:rsidR="00136AB3" w:rsidRPr="00167A1B">
        <w:rPr>
          <w:noProof w:val="0"/>
        </w:rPr>
        <w:t>: Require EPS for mobile phones to comply with USB interoperability guidelines</w:t>
      </w:r>
    </w:p>
    <w:p w14:paraId="6A2B3F32" w14:textId="0AEC4040" w:rsidR="00827359" w:rsidRPr="00167A1B" w:rsidRDefault="00827359" w:rsidP="00827359">
      <w:pPr>
        <w:pStyle w:val="BodyText1"/>
        <w:rPr>
          <w:noProof w:val="0"/>
        </w:rPr>
      </w:pPr>
      <w:r w:rsidRPr="00167A1B">
        <w:rPr>
          <w:noProof w:val="0"/>
        </w:rPr>
        <w:t>Harmonisation of EPS would affect those firms that are currently manufacturing chargers with proprietary charging protocols (e.g. brands with QC, Huawei SuperCharge and VOOC), as they would need to completely change their products</w:t>
      </w:r>
      <w:r w:rsidR="001E5857" w:rsidRPr="00167A1B">
        <w:rPr>
          <w:noProof w:val="0"/>
        </w:rPr>
        <w:t xml:space="preserve"> (EPS)</w:t>
      </w:r>
      <w:r w:rsidRPr="00167A1B">
        <w:rPr>
          <w:noProof w:val="0"/>
        </w:rPr>
        <w:t xml:space="preserve"> to be compliant with USB PD</w:t>
      </w:r>
      <w:r w:rsidR="00DC3C60" w:rsidRPr="00167A1B">
        <w:rPr>
          <w:noProof w:val="0"/>
        </w:rPr>
        <w:t xml:space="preserve"> or USB Type-C (i.e. </w:t>
      </w:r>
      <w:r w:rsidR="00DC3C60" w:rsidRPr="00167A1B">
        <w:rPr>
          <w:b/>
          <w:bCs/>
          <w:noProof w:val="0"/>
        </w:rPr>
        <w:t>operating costs</w:t>
      </w:r>
      <w:r w:rsidR="00DC3C60" w:rsidRPr="00167A1B">
        <w:rPr>
          <w:noProof w:val="0"/>
        </w:rPr>
        <w:t>)</w:t>
      </w:r>
      <w:r w:rsidRPr="00167A1B">
        <w:rPr>
          <w:noProof w:val="0"/>
        </w:rPr>
        <w:t xml:space="preserve">. The current market share of EPS that provide fast </w:t>
      </w:r>
      <w:r w:rsidRPr="00167A1B">
        <w:rPr>
          <w:noProof w:val="0"/>
        </w:rPr>
        <w:lastRenderedPageBreak/>
        <w:t>charging without being compliant with this option is estimated to be around 25%.</w:t>
      </w:r>
      <w:r w:rsidRPr="00167A1B">
        <w:rPr>
          <w:rStyle w:val="FootnoteReference"/>
          <w:noProof w:val="0"/>
        </w:rPr>
        <w:footnoteReference w:id="120"/>
      </w:r>
      <w:r w:rsidRPr="00167A1B">
        <w:rPr>
          <w:noProof w:val="0"/>
        </w:rPr>
        <w:t xml:space="preserve"> This option is expected to have </w:t>
      </w:r>
      <w:r w:rsidRPr="00167A1B">
        <w:rPr>
          <w:b/>
          <w:bCs/>
          <w:noProof w:val="0"/>
        </w:rPr>
        <w:t>significant negative impacts</w:t>
      </w:r>
      <w:r w:rsidRPr="00167A1B">
        <w:rPr>
          <w:noProof w:val="0"/>
        </w:rPr>
        <w:t xml:space="preserve"> on these manufacturers. </w:t>
      </w:r>
      <w:r w:rsidR="00F60B33" w:rsidRPr="00167A1B">
        <w:rPr>
          <w:noProof w:val="0"/>
        </w:rPr>
        <w:t xml:space="preserve">If they manufacture the EPS themselves and wish to continue doing so, they would have to redesign them (for reference of the scale of this impact, see </w:t>
      </w:r>
      <w:r w:rsidR="00F60B33" w:rsidRPr="00167A1B">
        <w:rPr>
          <w:noProof w:val="0"/>
        </w:rPr>
        <w:fldChar w:fldCharType="begin"/>
      </w:r>
      <w:r w:rsidR="00F60B33" w:rsidRPr="00167A1B">
        <w:rPr>
          <w:noProof w:val="0"/>
        </w:rPr>
        <w:instrText xml:space="preserve"> REF _Ref73981768 \h </w:instrText>
      </w:r>
      <w:r w:rsidR="00F60B33" w:rsidRPr="00167A1B">
        <w:rPr>
          <w:noProof w:val="0"/>
        </w:rPr>
      </w:r>
      <w:r w:rsidR="00F60B33" w:rsidRPr="00167A1B">
        <w:rPr>
          <w:noProof w:val="0"/>
        </w:rPr>
        <w:fldChar w:fldCharType="separate"/>
      </w:r>
      <w:r w:rsidR="00F60B33" w:rsidRPr="00167A1B">
        <w:rPr>
          <w:noProof w:val="0"/>
        </w:rPr>
        <w:t>Table 17</w:t>
      </w:r>
      <w:r w:rsidR="00F60B33" w:rsidRPr="00167A1B">
        <w:rPr>
          <w:noProof w:val="0"/>
        </w:rPr>
        <w:fldChar w:fldCharType="end"/>
      </w:r>
      <w:r w:rsidR="00462DAE" w:rsidRPr="00167A1B">
        <w:rPr>
          <w:noProof w:val="0"/>
        </w:rPr>
        <w:t>)</w:t>
      </w:r>
      <w:r w:rsidR="00F60B33" w:rsidRPr="00167A1B">
        <w:rPr>
          <w:noProof w:val="0"/>
        </w:rPr>
        <w:t xml:space="preserve">. If they start buying their EPS from providers, they would incur costs of finding new providers, establishing new contracts, etc. </w:t>
      </w:r>
      <w:r w:rsidRPr="00167A1B">
        <w:rPr>
          <w:noProof w:val="0"/>
        </w:rPr>
        <w:t>However, it is important to note that they would also have the option of unbundling their phones and selling their EPS separately</w:t>
      </w:r>
      <w:r w:rsidR="00F60B33" w:rsidRPr="00167A1B">
        <w:rPr>
          <w:noProof w:val="0"/>
        </w:rPr>
        <w:t xml:space="preserve">, </w:t>
      </w:r>
      <w:r w:rsidRPr="00167A1B">
        <w:rPr>
          <w:noProof w:val="0"/>
        </w:rPr>
        <w:t>in which case they could continue using proprietary charging protocols</w:t>
      </w:r>
      <w:r w:rsidR="00F60B33" w:rsidRPr="00167A1B">
        <w:rPr>
          <w:noProof w:val="0"/>
        </w:rPr>
        <w:t xml:space="preserve"> and would face similar operating costs as the ones described in option 4.a below (unbundling of EPS)</w:t>
      </w:r>
      <w:r w:rsidRPr="00167A1B">
        <w:rPr>
          <w:noProof w:val="0"/>
        </w:rPr>
        <w:t xml:space="preserve">. </w:t>
      </w:r>
    </w:p>
    <w:p w14:paraId="18245335" w14:textId="5EE1B3F6" w:rsidR="00827359" w:rsidRPr="00167A1B" w:rsidRDefault="00827359" w:rsidP="00827359">
      <w:pPr>
        <w:pStyle w:val="BodyText1"/>
        <w:rPr>
          <w:noProof w:val="0"/>
        </w:rPr>
      </w:pPr>
      <w:r w:rsidRPr="00167A1B">
        <w:rPr>
          <w:noProof w:val="0"/>
        </w:rPr>
        <w:t>The option would also affect manufacturers of mobile phones who bundle standard EPS using 7.5W or less. Nevertheless, these phones are transitioning naturally in the baseline towards USB Type-C connectors and charging protocol, and therefore the impact</w:t>
      </w:r>
      <w:r w:rsidR="00DC3C60" w:rsidRPr="00167A1B">
        <w:rPr>
          <w:noProof w:val="0"/>
        </w:rPr>
        <w:t xml:space="preserve"> on operating costs</w:t>
      </w:r>
      <w:r w:rsidRPr="00167A1B">
        <w:rPr>
          <w:noProof w:val="0"/>
        </w:rPr>
        <w:t xml:space="preserve"> is expected to be negligible.</w:t>
      </w:r>
    </w:p>
    <w:p w14:paraId="4498DD43" w14:textId="58D52412" w:rsidR="00827359" w:rsidRPr="00167A1B" w:rsidRDefault="00827359" w:rsidP="00827359">
      <w:pPr>
        <w:pStyle w:val="BodyText1"/>
        <w:rPr>
          <w:noProof w:val="0"/>
        </w:rPr>
      </w:pPr>
      <w:r w:rsidRPr="00167A1B">
        <w:rPr>
          <w:noProof w:val="0"/>
        </w:rPr>
        <w:t>This option requires full compliance of EPS with USB PD or USB Type-C. These standards have already been adopted by CEN-CENELEC. However, this option would require companies to demonstrate compliance. The details of this option are yet to be fully defined, but a priori it is expected that it would have a negative impact</w:t>
      </w:r>
      <w:r w:rsidR="00DC3C60" w:rsidRPr="00167A1B">
        <w:rPr>
          <w:noProof w:val="0"/>
        </w:rPr>
        <w:t xml:space="preserve"> on </w:t>
      </w:r>
      <w:r w:rsidR="00DC3C60" w:rsidRPr="00167A1B">
        <w:rPr>
          <w:b/>
          <w:bCs/>
          <w:noProof w:val="0"/>
        </w:rPr>
        <w:t>compliance costs</w:t>
      </w:r>
      <w:r w:rsidRPr="00167A1B">
        <w:rPr>
          <w:noProof w:val="0"/>
        </w:rPr>
        <w:t xml:space="preserve"> (which could be significant or not, depending on how it is implemented).</w:t>
      </w:r>
    </w:p>
    <w:p w14:paraId="03D59D89" w14:textId="21E243C4" w:rsidR="00DC3C60" w:rsidRPr="00167A1B" w:rsidRDefault="00DC3C60" w:rsidP="00827359">
      <w:pPr>
        <w:pStyle w:val="BodyText1"/>
        <w:rPr>
          <w:rStyle w:val="03ASubheading2ndlevelTOCChar"/>
          <w:noProof w:val="0"/>
          <w:sz w:val="24"/>
          <w:lang w:eastAsia="en-US"/>
        </w:rPr>
      </w:pPr>
      <w:r w:rsidRPr="00167A1B">
        <w:rPr>
          <w:noProof w:val="0"/>
        </w:rPr>
        <w:t xml:space="preserve">The option does not require the provision of administrative information (beyond what is required to demonstrate compliance), and therefore we conclude that it does not generate </w:t>
      </w:r>
      <w:r w:rsidRPr="00167A1B">
        <w:rPr>
          <w:b/>
          <w:bCs/>
          <w:noProof w:val="0"/>
        </w:rPr>
        <w:t>administrative costs</w:t>
      </w:r>
      <w:r w:rsidRPr="00167A1B">
        <w:rPr>
          <w:noProof w:val="0"/>
        </w:rPr>
        <w:t>.</w:t>
      </w:r>
    </w:p>
    <w:p w14:paraId="376D3858" w14:textId="7120AC7E" w:rsidR="00827359" w:rsidRPr="00167A1B" w:rsidRDefault="00827359" w:rsidP="00827359">
      <w:pPr>
        <w:pStyle w:val="Subtitle10"/>
        <w:rPr>
          <w:rStyle w:val="03ASubheading2ndlevelTOCChar"/>
          <w:rFonts w:cs="Times New Roman"/>
          <w:noProof w:val="0"/>
          <w:sz w:val="24"/>
          <w:lang w:eastAsia="en-US"/>
        </w:rPr>
      </w:pPr>
      <w:r w:rsidRPr="00167A1B">
        <w:rPr>
          <w:rStyle w:val="03ASubheading2ndlevelTOCChar"/>
          <w:rFonts w:cs="Times New Roman"/>
          <w:noProof w:val="0"/>
          <w:sz w:val="24"/>
          <w:lang w:eastAsia="en-US"/>
        </w:rPr>
        <w:t>Option 4.a</w:t>
      </w:r>
      <w:r w:rsidR="00136AB3" w:rsidRPr="00167A1B">
        <w:rPr>
          <w:rStyle w:val="03ASubheading2ndlevelTOCChar"/>
          <w:rFonts w:cs="Times New Roman"/>
          <w:noProof w:val="0"/>
          <w:sz w:val="24"/>
          <w:lang w:eastAsia="en-US"/>
        </w:rPr>
        <w:t>: Mandatory unbundling of EPS from mobile phones</w:t>
      </w:r>
    </w:p>
    <w:p w14:paraId="74175C1C" w14:textId="19E7B167" w:rsidR="00827359" w:rsidRPr="00167A1B" w:rsidRDefault="00827359" w:rsidP="00827359">
      <w:pPr>
        <w:pStyle w:val="BodyText1"/>
        <w:rPr>
          <w:noProof w:val="0"/>
        </w:rPr>
      </w:pPr>
      <w:r w:rsidRPr="00167A1B">
        <w:rPr>
          <w:noProof w:val="0"/>
        </w:rPr>
        <w:t xml:space="preserve">Under this option, manufacturers would be obliged to offer phones without chargers. For those phones that are not already unbundled, this </w:t>
      </w:r>
      <w:r w:rsidR="003C677D" w:rsidRPr="00167A1B">
        <w:rPr>
          <w:noProof w:val="0"/>
        </w:rPr>
        <w:t xml:space="preserve">generates </w:t>
      </w:r>
      <w:r w:rsidR="003C677D" w:rsidRPr="00167A1B">
        <w:rPr>
          <w:b/>
          <w:bCs/>
          <w:noProof w:val="0"/>
        </w:rPr>
        <w:t>operating costs</w:t>
      </w:r>
      <w:r w:rsidR="003C677D" w:rsidRPr="00167A1B">
        <w:rPr>
          <w:noProof w:val="0"/>
        </w:rPr>
        <w:t xml:space="preserve">, such as: </w:t>
      </w:r>
      <w:r w:rsidRPr="00167A1B">
        <w:rPr>
          <w:noProof w:val="0"/>
        </w:rPr>
        <w:t>changing the packaging for the EU market, adapting the shipment and distribution of phones to the new packaging dimensions, and potentially re-negotiating their contracts or changing their relationships with their EPS suppliers. Manufacturers would also need to design a marketing strategy to communicate unbundling to their consumers.</w:t>
      </w:r>
    </w:p>
    <w:p w14:paraId="3F359DB3" w14:textId="67036B59" w:rsidR="00827359" w:rsidRPr="00167A1B" w:rsidRDefault="00827359" w:rsidP="00827359">
      <w:pPr>
        <w:pStyle w:val="BodyText1"/>
        <w:rPr>
          <w:noProof w:val="0"/>
        </w:rPr>
      </w:pPr>
      <w:r w:rsidRPr="00167A1B">
        <w:rPr>
          <w:noProof w:val="0"/>
        </w:rPr>
        <w:t xml:space="preserve">The most affected by this option would be EPS manufacturers that currently provide the EPS to be sold in the box. They would need to change their business models to provide “out of the box” products, change their distribution channels, and market their products to new clients (wholesalers, retailers or end consumers). </w:t>
      </w:r>
    </w:p>
    <w:p w14:paraId="06EFBBDD" w14:textId="77777777" w:rsidR="00827359" w:rsidRPr="00167A1B" w:rsidRDefault="00827359" w:rsidP="00827359">
      <w:pPr>
        <w:pStyle w:val="BodyText1"/>
        <w:rPr>
          <w:noProof w:val="0"/>
        </w:rPr>
      </w:pPr>
      <w:r w:rsidRPr="00167A1B">
        <w:rPr>
          <w:noProof w:val="0"/>
        </w:rPr>
        <w:t>Distributors (wholesalers and retailers) would need to upskill their staff to be able to provide advice to consumers on which EPS/cable works with their devices, and potentially find new distribution networks for stand-alone EPS, to cope with the rebound effect (i.e. the increase in stand-alone sales once EPS are not included in the box anymore).</w:t>
      </w:r>
    </w:p>
    <w:p w14:paraId="3606CCFA" w14:textId="58F00217" w:rsidR="00827359" w:rsidRPr="00167A1B" w:rsidRDefault="00827359" w:rsidP="00827359">
      <w:pPr>
        <w:pStyle w:val="BodyText1"/>
        <w:rPr>
          <w:noProof w:val="0"/>
        </w:rPr>
      </w:pPr>
      <w:r w:rsidRPr="00167A1B">
        <w:rPr>
          <w:noProof w:val="0"/>
        </w:rPr>
        <w:t xml:space="preserve">The market seems to be moving in this direction anyway (unbundling of EPS), and therefore the difference with the baseline will be minor. That is why this option would have a </w:t>
      </w:r>
      <w:r w:rsidRPr="00167A1B">
        <w:rPr>
          <w:b/>
          <w:bCs/>
          <w:noProof w:val="0"/>
        </w:rPr>
        <w:t>minor negative effect</w:t>
      </w:r>
      <w:r w:rsidRPr="00167A1B">
        <w:rPr>
          <w:noProof w:val="0"/>
        </w:rPr>
        <w:t xml:space="preserve"> on operating costs for all stakeholders.</w:t>
      </w:r>
    </w:p>
    <w:p w14:paraId="0A8D17CE" w14:textId="01AEE85C" w:rsidR="003C677D" w:rsidRPr="00167A1B" w:rsidRDefault="003C677D" w:rsidP="00827359">
      <w:pPr>
        <w:pStyle w:val="BodyText1"/>
        <w:rPr>
          <w:noProof w:val="0"/>
        </w:rPr>
      </w:pPr>
      <w:r w:rsidRPr="00167A1B">
        <w:rPr>
          <w:noProof w:val="0"/>
        </w:rPr>
        <w:t xml:space="preserve">Compliance with the policy option would not need to be </w:t>
      </w:r>
      <w:r w:rsidR="00167A1B" w:rsidRPr="00167A1B">
        <w:rPr>
          <w:noProof w:val="0"/>
        </w:rPr>
        <w:t>demonstrated</w:t>
      </w:r>
      <w:r w:rsidRPr="00167A1B">
        <w:rPr>
          <w:noProof w:val="0"/>
        </w:rPr>
        <w:t xml:space="preserve">, as unbundling would be a requirement in the RED. Therefore, it would not generate </w:t>
      </w:r>
      <w:r w:rsidRPr="00167A1B">
        <w:rPr>
          <w:b/>
          <w:bCs/>
          <w:noProof w:val="0"/>
        </w:rPr>
        <w:t>compliance costs</w:t>
      </w:r>
      <w:r w:rsidRPr="00167A1B">
        <w:rPr>
          <w:noProof w:val="0"/>
        </w:rPr>
        <w:t>.</w:t>
      </w:r>
    </w:p>
    <w:p w14:paraId="14C15BF6" w14:textId="6D0B5FD2" w:rsidR="003C677D" w:rsidRPr="00167A1B" w:rsidRDefault="003C677D" w:rsidP="003C677D">
      <w:pPr>
        <w:pStyle w:val="BodyText1"/>
        <w:rPr>
          <w:rStyle w:val="03ASubheading2ndlevelTOCChar"/>
          <w:rFonts w:cs="Times New Roman"/>
          <w:noProof w:val="0"/>
          <w:color w:val="auto"/>
          <w:lang w:eastAsia="en-US"/>
        </w:rPr>
      </w:pPr>
      <w:r w:rsidRPr="00167A1B">
        <w:rPr>
          <w:rStyle w:val="03ASubheading2ndlevelTOCChar"/>
          <w:rFonts w:cs="Times New Roman"/>
          <w:noProof w:val="0"/>
          <w:color w:val="auto"/>
          <w:lang w:eastAsia="en-US"/>
        </w:rPr>
        <w:t xml:space="preserve">In this option, manufacturers of mobile phones and chargers may want to offer additional information to consumers on the charging requirements of their devices so that they can make informed decisions on which charger to buy. However, this information would not be a requirement of the regulation and therefore does not entail additional </w:t>
      </w:r>
      <w:r w:rsidRPr="00167A1B">
        <w:rPr>
          <w:rStyle w:val="03ASubheading2ndlevelTOCChar"/>
          <w:rFonts w:cs="Times New Roman"/>
          <w:b/>
          <w:bCs/>
          <w:noProof w:val="0"/>
          <w:color w:val="auto"/>
          <w:lang w:eastAsia="en-US"/>
        </w:rPr>
        <w:t>administrative costs</w:t>
      </w:r>
      <w:r w:rsidRPr="00167A1B">
        <w:rPr>
          <w:rStyle w:val="03ASubheading2ndlevelTOCChar"/>
          <w:rFonts w:cs="Times New Roman"/>
          <w:noProof w:val="0"/>
          <w:color w:val="auto"/>
          <w:lang w:eastAsia="en-US"/>
        </w:rPr>
        <w:t>.</w:t>
      </w:r>
    </w:p>
    <w:p w14:paraId="3DF2556F" w14:textId="61ED8B14" w:rsidR="00827359" w:rsidRPr="00167A1B" w:rsidRDefault="00827359" w:rsidP="00827359">
      <w:pPr>
        <w:pStyle w:val="Subtitle10"/>
        <w:rPr>
          <w:rStyle w:val="03ASubheading2ndlevelTOCChar"/>
          <w:rFonts w:cs="Times New Roman"/>
          <w:noProof w:val="0"/>
          <w:sz w:val="24"/>
          <w:lang w:eastAsia="en-US"/>
        </w:rPr>
      </w:pPr>
      <w:r w:rsidRPr="00167A1B">
        <w:rPr>
          <w:rStyle w:val="03ASubheading2ndlevelTOCChar"/>
          <w:rFonts w:cs="Times New Roman"/>
          <w:noProof w:val="0"/>
          <w:sz w:val="24"/>
          <w:lang w:eastAsia="en-US"/>
        </w:rPr>
        <w:lastRenderedPageBreak/>
        <w:t>Option 4.b</w:t>
      </w:r>
      <w:r w:rsidR="00136AB3" w:rsidRPr="00167A1B">
        <w:rPr>
          <w:rStyle w:val="03ASubheading2ndlevelTOCChar"/>
          <w:rFonts w:cs="Times New Roman"/>
          <w:noProof w:val="0"/>
          <w:sz w:val="24"/>
          <w:lang w:eastAsia="en-US"/>
        </w:rPr>
        <w:t>: Mandatory unbundling of the entire charger (EPS and cables)</w:t>
      </w:r>
    </w:p>
    <w:p w14:paraId="2A69D204" w14:textId="77777777" w:rsidR="00740EC1" w:rsidRPr="00167A1B" w:rsidRDefault="00827359" w:rsidP="00827359">
      <w:pPr>
        <w:pStyle w:val="BodyText1"/>
        <w:rPr>
          <w:noProof w:val="0"/>
        </w:rPr>
      </w:pPr>
      <w:r w:rsidRPr="00167A1B">
        <w:rPr>
          <w:rStyle w:val="03ASubheading2ndlevelTOCChar"/>
          <w:rFonts w:cs="Times New Roman"/>
          <w:noProof w:val="0"/>
          <w:color w:val="auto"/>
          <w:lang w:eastAsia="en-US"/>
        </w:rPr>
        <w:t>The impacts of option 4.b are the same as for option 4.a, although in this case manufacturers of cables would also be affected</w:t>
      </w:r>
      <w:r w:rsidR="003C677D" w:rsidRPr="00167A1B">
        <w:rPr>
          <w:rStyle w:val="03ASubheading2ndlevelTOCChar"/>
          <w:rFonts w:cs="Times New Roman"/>
          <w:noProof w:val="0"/>
          <w:color w:val="auto"/>
          <w:lang w:eastAsia="en-US"/>
        </w:rPr>
        <w:t xml:space="preserve">. They would need to </w:t>
      </w:r>
      <w:r w:rsidR="003C677D" w:rsidRPr="00167A1B">
        <w:rPr>
          <w:noProof w:val="0"/>
        </w:rPr>
        <w:t xml:space="preserve">change their distribution channels, and market their products to new clients (wholesalers, retailers or end consumers), generating therefore operating costs for these manufacturers. In practice, the </w:t>
      </w:r>
      <w:proofErr w:type="spellStart"/>
      <w:r w:rsidR="003C677D" w:rsidRPr="00167A1B">
        <w:rPr>
          <w:noProof w:val="0"/>
        </w:rPr>
        <w:t>companies</w:t>
      </w:r>
      <w:proofErr w:type="spellEnd"/>
      <w:r w:rsidR="003C677D" w:rsidRPr="00167A1B">
        <w:rPr>
          <w:noProof w:val="0"/>
        </w:rPr>
        <w:t xml:space="preserve"> manufacturing cables are the same as the </w:t>
      </w:r>
      <w:proofErr w:type="spellStart"/>
      <w:r w:rsidR="003C677D" w:rsidRPr="00167A1B">
        <w:rPr>
          <w:noProof w:val="0"/>
        </w:rPr>
        <w:t>companies</w:t>
      </w:r>
      <w:proofErr w:type="spellEnd"/>
      <w:r w:rsidR="003C677D" w:rsidRPr="00167A1B">
        <w:rPr>
          <w:noProof w:val="0"/>
        </w:rPr>
        <w:t xml:space="preserve"> manufacturing EPS, and therefore </w:t>
      </w:r>
      <w:r w:rsidR="00740EC1" w:rsidRPr="00167A1B">
        <w:rPr>
          <w:noProof w:val="0"/>
        </w:rPr>
        <w:t>option 4.b does not entail operating costs that would be additional to option 4.a.</w:t>
      </w:r>
      <w:r w:rsidR="003C677D" w:rsidRPr="00167A1B">
        <w:rPr>
          <w:noProof w:val="0"/>
        </w:rPr>
        <w:t xml:space="preserve"> </w:t>
      </w:r>
    </w:p>
    <w:p w14:paraId="3ED8B07E" w14:textId="2743B9C1" w:rsidR="00740EC1" w:rsidRPr="00167A1B" w:rsidRDefault="00740EC1" w:rsidP="00740EC1">
      <w:pPr>
        <w:pStyle w:val="BodyText1"/>
        <w:rPr>
          <w:rStyle w:val="03ASubheading2ndlevelTOCChar"/>
          <w:rFonts w:cs="Times New Roman"/>
          <w:noProof w:val="0"/>
          <w:color w:val="auto"/>
          <w:lang w:eastAsia="en-US"/>
        </w:rPr>
      </w:pPr>
      <w:r w:rsidRPr="00167A1B">
        <w:rPr>
          <w:noProof w:val="0"/>
        </w:rPr>
        <w:t xml:space="preserve">For manufacturers of mobile phones, this would also imply re-negotiating their contracts with their suppliers of cables. </w:t>
      </w:r>
      <w:r w:rsidRPr="00167A1B">
        <w:rPr>
          <w:rStyle w:val="03ASubheading2ndlevelTOCChar"/>
          <w:rFonts w:cs="Times New Roman"/>
          <w:noProof w:val="0"/>
          <w:color w:val="auto"/>
          <w:lang w:eastAsia="en-US"/>
        </w:rPr>
        <w:t>N</w:t>
      </w:r>
      <w:r w:rsidR="00827359" w:rsidRPr="00167A1B">
        <w:rPr>
          <w:rStyle w:val="03ASubheading2ndlevelTOCChar"/>
          <w:rFonts w:cs="Times New Roman"/>
          <w:noProof w:val="0"/>
          <w:color w:val="auto"/>
          <w:lang w:eastAsia="en-US"/>
        </w:rPr>
        <w:t>o manufacturers of mobile phones are unbundling cables yet,</w:t>
      </w:r>
      <w:r w:rsidRPr="00167A1B">
        <w:rPr>
          <w:rStyle w:val="03ASubheading2ndlevelTOCChar"/>
          <w:rFonts w:cs="Times New Roman"/>
          <w:noProof w:val="0"/>
          <w:color w:val="auto"/>
          <w:lang w:eastAsia="en-US"/>
        </w:rPr>
        <w:t xml:space="preserve"> and therefore the operating impact for mobile phone manufacturers would be a little bit higher than in option 4.a.</w:t>
      </w:r>
    </w:p>
    <w:p w14:paraId="45DF3009" w14:textId="6753C2C6" w:rsidR="00740EC1" w:rsidRPr="00167A1B" w:rsidRDefault="00740EC1" w:rsidP="00740EC1">
      <w:pPr>
        <w:pStyle w:val="BodyText1"/>
        <w:rPr>
          <w:rStyle w:val="03ASubheading2ndlevelTOCChar"/>
          <w:rFonts w:cs="Times New Roman"/>
          <w:noProof w:val="0"/>
          <w:color w:val="auto"/>
          <w:lang w:eastAsia="en-US"/>
        </w:rPr>
      </w:pPr>
      <w:r w:rsidRPr="00167A1B">
        <w:rPr>
          <w:rStyle w:val="03ASubheading2ndlevelTOCChar"/>
          <w:rFonts w:cs="Times New Roman"/>
          <w:noProof w:val="0"/>
          <w:color w:val="auto"/>
          <w:lang w:eastAsia="en-US"/>
        </w:rPr>
        <w:t>All other operating impacts (impacts of changes in packaging for mobile phone manufacturers and impacts for distributors) would be the same as in option 4.a.</w:t>
      </w:r>
    </w:p>
    <w:p w14:paraId="5B9D3634" w14:textId="25F9E696" w:rsidR="00740EC1" w:rsidRPr="00167A1B" w:rsidRDefault="00740EC1" w:rsidP="00740EC1">
      <w:pPr>
        <w:pStyle w:val="BodyText1"/>
        <w:rPr>
          <w:rStyle w:val="03ASubheading2ndlevelTOCChar"/>
          <w:rFonts w:cs="Times New Roman"/>
          <w:noProof w:val="0"/>
          <w:color w:val="auto"/>
          <w:lang w:eastAsia="en-US"/>
        </w:rPr>
      </w:pPr>
      <w:r w:rsidRPr="00167A1B">
        <w:rPr>
          <w:rStyle w:val="03ASubheading2ndlevelTOCChar"/>
          <w:rFonts w:cs="Times New Roman"/>
          <w:noProof w:val="0"/>
          <w:color w:val="auto"/>
          <w:lang w:eastAsia="en-US"/>
        </w:rPr>
        <w:t xml:space="preserve">This policy option would not generate </w:t>
      </w:r>
      <w:r w:rsidRPr="00167A1B">
        <w:rPr>
          <w:rStyle w:val="03ASubheading2ndlevelTOCChar"/>
          <w:rFonts w:cs="Times New Roman"/>
          <w:b/>
          <w:bCs/>
          <w:noProof w:val="0"/>
          <w:color w:val="auto"/>
          <w:lang w:eastAsia="en-US"/>
        </w:rPr>
        <w:t>compliance costs</w:t>
      </w:r>
      <w:r w:rsidRPr="00167A1B">
        <w:rPr>
          <w:rStyle w:val="03ASubheading2ndlevelTOCChar"/>
          <w:rFonts w:cs="Times New Roman"/>
          <w:noProof w:val="0"/>
          <w:color w:val="auto"/>
          <w:lang w:eastAsia="en-US"/>
        </w:rPr>
        <w:t xml:space="preserve"> or </w:t>
      </w:r>
      <w:r w:rsidRPr="00167A1B">
        <w:rPr>
          <w:rStyle w:val="03ASubheading2ndlevelTOCChar"/>
          <w:rFonts w:cs="Times New Roman"/>
          <w:b/>
          <w:bCs/>
          <w:noProof w:val="0"/>
          <w:color w:val="auto"/>
          <w:lang w:eastAsia="en-US"/>
        </w:rPr>
        <w:t>administrative costs</w:t>
      </w:r>
      <w:r w:rsidRPr="00167A1B">
        <w:rPr>
          <w:rStyle w:val="03ASubheading2ndlevelTOCChar"/>
          <w:rFonts w:cs="Times New Roman"/>
          <w:noProof w:val="0"/>
          <w:color w:val="auto"/>
          <w:lang w:eastAsia="en-US"/>
        </w:rPr>
        <w:t>, for the same reasons as option 4.a.</w:t>
      </w:r>
    </w:p>
    <w:p w14:paraId="49376876" w14:textId="60C5DAB3" w:rsidR="00827359" w:rsidRPr="00167A1B" w:rsidRDefault="00827359" w:rsidP="00827359">
      <w:pPr>
        <w:pStyle w:val="Subtitle10"/>
        <w:rPr>
          <w:rStyle w:val="03ASubheading2ndlevelTOCChar"/>
          <w:rFonts w:cs="Times New Roman"/>
          <w:noProof w:val="0"/>
          <w:sz w:val="24"/>
          <w:lang w:eastAsia="en-US"/>
        </w:rPr>
      </w:pPr>
      <w:r w:rsidRPr="00167A1B">
        <w:rPr>
          <w:rStyle w:val="03ASubheading2ndlevelTOCChar"/>
          <w:rFonts w:cs="Times New Roman"/>
          <w:noProof w:val="0"/>
          <w:sz w:val="24"/>
          <w:lang w:eastAsia="en-US"/>
        </w:rPr>
        <w:t>Option 5</w:t>
      </w:r>
      <w:r w:rsidR="00136AB3" w:rsidRPr="00167A1B">
        <w:rPr>
          <w:rStyle w:val="03ASubheading2ndlevelTOCChar"/>
          <w:rFonts w:cs="Times New Roman"/>
          <w:noProof w:val="0"/>
          <w:sz w:val="24"/>
          <w:lang w:eastAsia="en-US"/>
        </w:rPr>
        <w:t>: Voluntary interoperability labelling / information scheme</w:t>
      </w:r>
    </w:p>
    <w:p w14:paraId="0352462A" w14:textId="77777777" w:rsidR="00740EC1" w:rsidRPr="00167A1B" w:rsidRDefault="00827359" w:rsidP="00827359">
      <w:pPr>
        <w:pStyle w:val="BodyText1"/>
        <w:rPr>
          <w:noProof w:val="0"/>
        </w:rPr>
      </w:pPr>
      <w:r w:rsidRPr="00167A1B">
        <w:rPr>
          <w:noProof w:val="0"/>
        </w:rPr>
        <w:t xml:space="preserve">On the one hand, this option may have a minor positive impact on </w:t>
      </w:r>
      <w:r w:rsidRPr="00167A1B">
        <w:rPr>
          <w:b/>
          <w:bCs/>
          <w:noProof w:val="0"/>
        </w:rPr>
        <w:t>operating costs</w:t>
      </w:r>
      <w:r w:rsidRPr="00167A1B">
        <w:rPr>
          <w:noProof w:val="0"/>
        </w:rPr>
        <w:t xml:space="preserve"> for manufacturers of mobile phones, as it would help to communicate unbundling to consumers for those companies who decide to voluntarily unbundle. On the other hand, however, the insertion of a logo may require re-designing their packages or products. They may also incur some additional costs from being involved in the scheme. On balance, it is likely that the scheme would generate a minor negative impact on manufacturers</w:t>
      </w:r>
      <w:r w:rsidR="00740EC1" w:rsidRPr="00167A1B">
        <w:rPr>
          <w:noProof w:val="0"/>
        </w:rPr>
        <w:t xml:space="preserve"> of mobile phones</w:t>
      </w:r>
      <w:r w:rsidRPr="00167A1B">
        <w:rPr>
          <w:noProof w:val="0"/>
        </w:rPr>
        <w:t>.</w:t>
      </w:r>
    </w:p>
    <w:p w14:paraId="738D04DF" w14:textId="77777777" w:rsidR="00740EC1" w:rsidRPr="00167A1B" w:rsidRDefault="00740EC1" w:rsidP="00827359">
      <w:pPr>
        <w:pStyle w:val="BodyText1"/>
        <w:rPr>
          <w:noProof w:val="0"/>
        </w:rPr>
      </w:pPr>
      <w:r w:rsidRPr="00167A1B">
        <w:rPr>
          <w:noProof w:val="0"/>
        </w:rPr>
        <w:t>The option would not generate operating costs to other industry stakeholders.</w:t>
      </w:r>
    </w:p>
    <w:p w14:paraId="6DAF440A" w14:textId="715F3A73" w:rsidR="00827359" w:rsidRPr="00167A1B" w:rsidRDefault="00740EC1" w:rsidP="00827359">
      <w:pPr>
        <w:pStyle w:val="BodyText1"/>
        <w:rPr>
          <w:noProof w:val="0"/>
        </w:rPr>
      </w:pPr>
      <w:r w:rsidRPr="00167A1B">
        <w:rPr>
          <w:noProof w:val="0"/>
        </w:rPr>
        <w:t xml:space="preserve">The </w:t>
      </w:r>
      <w:r w:rsidRPr="00167A1B">
        <w:rPr>
          <w:b/>
          <w:bCs/>
          <w:noProof w:val="0"/>
        </w:rPr>
        <w:t>compliance and administrative costs</w:t>
      </w:r>
      <w:r w:rsidRPr="00167A1B">
        <w:rPr>
          <w:noProof w:val="0"/>
        </w:rPr>
        <w:t xml:space="preserve"> of this option would largely depend on how it is implemented. To be able to use the logo, it is assumed that manufacturers of EPS and mobile phones would need to demonstrate compliance with the </w:t>
      </w:r>
      <w:r w:rsidR="005257B0" w:rsidRPr="00167A1B">
        <w:rPr>
          <w:noProof w:val="0"/>
        </w:rPr>
        <w:t>relevant USB standards. If this is not implemented via the RED or compliance is not simply assumed through presumption of conformity, it would generate a cost for the industry.</w:t>
      </w:r>
    </w:p>
    <w:p w14:paraId="6F499993" w14:textId="47743AFC" w:rsidR="005257B0" w:rsidRPr="00167A1B" w:rsidRDefault="005257B0" w:rsidP="00827359">
      <w:pPr>
        <w:pStyle w:val="BodyText1"/>
        <w:rPr>
          <w:noProof w:val="0"/>
        </w:rPr>
      </w:pPr>
      <w:r w:rsidRPr="00167A1B">
        <w:rPr>
          <w:noProof w:val="0"/>
        </w:rPr>
        <w:t xml:space="preserve">Under this option, it is also assumed that information would be facilitated to consumers, which may also generate </w:t>
      </w:r>
      <w:r w:rsidRPr="00167A1B">
        <w:rPr>
          <w:b/>
          <w:bCs/>
          <w:noProof w:val="0"/>
        </w:rPr>
        <w:t xml:space="preserve">administrative costs </w:t>
      </w:r>
      <w:r w:rsidRPr="00167A1B">
        <w:rPr>
          <w:noProof w:val="0"/>
        </w:rPr>
        <w:t>for those who voluntary decide to participate in the scheme.</w:t>
      </w:r>
    </w:p>
    <w:p w14:paraId="00306CEB" w14:textId="52BF442F" w:rsidR="00204155" w:rsidRPr="00167A1B" w:rsidRDefault="00204155" w:rsidP="00204155">
      <w:pPr>
        <w:pStyle w:val="BodyText1"/>
        <w:rPr>
          <w:noProof w:val="0"/>
        </w:rPr>
      </w:pPr>
      <w:r w:rsidRPr="00167A1B">
        <w:rPr>
          <w:noProof w:val="0"/>
        </w:rPr>
        <w:t>As an example, to participate in the EU Ecolabel, businesses need to pay a fee, which depends on the size of the business and varies between competent bodies and products. The table below provides an overview of application and annual fees for the EU Ecolabel, broken down by type of applicant.</w:t>
      </w:r>
    </w:p>
    <w:p w14:paraId="5CCF172F" w14:textId="77777777" w:rsidR="00204155" w:rsidRPr="00167A1B" w:rsidRDefault="00204155" w:rsidP="00204155">
      <w:pPr>
        <w:pStyle w:val="BodyText1"/>
        <w:rPr>
          <w:noProof w:val="0"/>
        </w:rPr>
      </w:pPr>
    </w:p>
    <w:p w14:paraId="0FB95F8A" w14:textId="70F6F2A6" w:rsidR="00204155" w:rsidRPr="00167A1B" w:rsidRDefault="00204155" w:rsidP="00204155">
      <w:pPr>
        <w:pStyle w:val="Caption"/>
      </w:pPr>
      <w:r w:rsidRPr="00167A1B">
        <w:t xml:space="preserve">Table </w:t>
      </w:r>
      <w:r w:rsidRPr="00167A1B">
        <w:fldChar w:fldCharType="begin"/>
      </w:r>
      <w:r w:rsidRPr="00167A1B">
        <w:instrText xml:space="preserve"> SEQ Table \* ARABIC </w:instrText>
      </w:r>
      <w:r w:rsidRPr="00167A1B">
        <w:fldChar w:fldCharType="separate"/>
      </w:r>
      <w:r w:rsidR="00953106" w:rsidRPr="00167A1B">
        <w:t>20</w:t>
      </w:r>
      <w:r w:rsidRPr="00167A1B">
        <w:fldChar w:fldCharType="end"/>
      </w:r>
      <w:r w:rsidRPr="00167A1B">
        <w:t>: Maximum feed established by the EU Ecolabel regulation</w:t>
      </w:r>
    </w:p>
    <w:tbl>
      <w:tblPr>
        <w:tblStyle w:val="TableGrid"/>
        <w:tblW w:w="0" w:type="auto"/>
        <w:tblLook w:val="04A0" w:firstRow="1" w:lastRow="0" w:firstColumn="1" w:lastColumn="0" w:noHBand="0" w:noVBand="1"/>
      </w:tblPr>
      <w:tblGrid>
        <w:gridCol w:w="4390"/>
        <w:gridCol w:w="2335"/>
        <w:gridCol w:w="2336"/>
      </w:tblGrid>
      <w:tr w:rsidR="00204155" w:rsidRPr="00167A1B" w14:paraId="47E7CF89" w14:textId="77777777" w:rsidTr="005E0F2F">
        <w:trPr>
          <w:cnfStyle w:val="100000000000" w:firstRow="1" w:lastRow="0" w:firstColumn="0" w:lastColumn="0" w:oddVBand="0" w:evenVBand="0" w:oddHBand="0" w:evenHBand="0" w:firstRowFirstColumn="0" w:firstRowLastColumn="0" w:lastRowFirstColumn="0" w:lastRowLastColumn="0"/>
        </w:trPr>
        <w:tc>
          <w:tcPr>
            <w:tcW w:w="4390" w:type="dxa"/>
            <w:tcBorders>
              <w:top w:val="single" w:sz="4" w:space="0" w:color="FFFFFF"/>
              <w:left w:val="single" w:sz="4" w:space="0" w:color="FFFFFF"/>
              <w:bottom w:val="single" w:sz="4" w:space="0" w:color="FFFFFF"/>
              <w:right w:val="single" w:sz="4" w:space="0" w:color="FFFFFF"/>
            </w:tcBorders>
            <w:hideMark/>
          </w:tcPr>
          <w:p w14:paraId="5592DD7D" w14:textId="77777777" w:rsidR="00204155" w:rsidRPr="00167A1B" w:rsidRDefault="00204155" w:rsidP="005E0F2F">
            <w:pPr>
              <w:pStyle w:val="BodyText1"/>
              <w:jc w:val="left"/>
              <w:rPr>
                <w:noProof w:val="0"/>
                <w:sz w:val="20"/>
                <w:szCs w:val="18"/>
              </w:rPr>
            </w:pPr>
            <w:r w:rsidRPr="00167A1B">
              <w:rPr>
                <w:noProof w:val="0"/>
                <w:sz w:val="20"/>
                <w:szCs w:val="18"/>
              </w:rPr>
              <w:t>Type of applicant</w:t>
            </w:r>
          </w:p>
        </w:tc>
        <w:tc>
          <w:tcPr>
            <w:tcW w:w="2335" w:type="dxa"/>
            <w:tcBorders>
              <w:top w:val="single" w:sz="4" w:space="0" w:color="FFFFFF"/>
              <w:left w:val="single" w:sz="4" w:space="0" w:color="FFFFFF"/>
              <w:bottom w:val="single" w:sz="4" w:space="0" w:color="FFFFFF"/>
              <w:right w:val="single" w:sz="4" w:space="0" w:color="FFFFFF"/>
            </w:tcBorders>
            <w:hideMark/>
          </w:tcPr>
          <w:p w14:paraId="7E47F2A0" w14:textId="77777777" w:rsidR="00204155" w:rsidRPr="00167A1B" w:rsidRDefault="00204155" w:rsidP="005E0F2F">
            <w:pPr>
              <w:pStyle w:val="BodyText1"/>
              <w:jc w:val="left"/>
              <w:rPr>
                <w:noProof w:val="0"/>
                <w:sz w:val="20"/>
                <w:szCs w:val="18"/>
              </w:rPr>
            </w:pPr>
            <w:r w:rsidRPr="00167A1B">
              <w:rPr>
                <w:noProof w:val="0"/>
                <w:sz w:val="20"/>
                <w:szCs w:val="18"/>
              </w:rPr>
              <w:t>Application fee (€)</w:t>
            </w:r>
          </w:p>
        </w:tc>
        <w:tc>
          <w:tcPr>
            <w:tcW w:w="2336" w:type="dxa"/>
            <w:tcBorders>
              <w:top w:val="single" w:sz="4" w:space="0" w:color="FFFFFF"/>
              <w:left w:val="single" w:sz="4" w:space="0" w:color="FFFFFF"/>
              <w:bottom w:val="single" w:sz="4" w:space="0" w:color="FFFFFF"/>
              <w:right w:val="single" w:sz="4" w:space="0" w:color="FFFFFF"/>
            </w:tcBorders>
            <w:hideMark/>
          </w:tcPr>
          <w:p w14:paraId="2933EBBF" w14:textId="77777777" w:rsidR="00204155" w:rsidRPr="00167A1B" w:rsidRDefault="00204155" w:rsidP="005E0F2F">
            <w:pPr>
              <w:pStyle w:val="BodyText1"/>
              <w:jc w:val="left"/>
              <w:rPr>
                <w:noProof w:val="0"/>
                <w:sz w:val="20"/>
                <w:szCs w:val="18"/>
              </w:rPr>
            </w:pPr>
            <w:r w:rsidRPr="00167A1B">
              <w:rPr>
                <w:noProof w:val="0"/>
                <w:sz w:val="20"/>
                <w:szCs w:val="18"/>
              </w:rPr>
              <w:t>Annual fee (€)</w:t>
            </w:r>
          </w:p>
        </w:tc>
      </w:tr>
      <w:tr w:rsidR="00204155" w:rsidRPr="00167A1B" w14:paraId="2FF9953F" w14:textId="77777777" w:rsidTr="005E0F2F">
        <w:tc>
          <w:tcPr>
            <w:tcW w:w="4390" w:type="dxa"/>
            <w:tcBorders>
              <w:top w:val="single" w:sz="4" w:space="0" w:color="FFFFFF"/>
              <w:left w:val="single" w:sz="4" w:space="0" w:color="FFFFFF"/>
              <w:bottom w:val="single" w:sz="4" w:space="0" w:color="FFFFFF"/>
              <w:right w:val="single" w:sz="4" w:space="0" w:color="FFFFFF"/>
            </w:tcBorders>
            <w:hideMark/>
          </w:tcPr>
          <w:p w14:paraId="231189BF" w14:textId="77777777" w:rsidR="00204155" w:rsidRPr="00167A1B" w:rsidRDefault="00204155" w:rsidP="005E0F2F">
            <w:pPr>
              <w:pStyle w:val="BodyText1"/>
              <w:jc w:val="left"/>
              <w:rPr>
                <w:noProof w:val="0"/>
                <w:sz w:val="20"/>
                <w:szCs w:val="18"/>
              </w:rPr>
            </w:pPr>
            <w:r w:rsidRPr="00167A1B">
              <w:rPr>
                <w:noProof w:val="0"/>
                <w:sz w:val="20"/>
                <w:szCs w:val="18"/>
              </w:rPr>
              <w:t>Micro-enterprises</w:t>
            </w:r>
          </w:p>
        </w:tc>
        <w:tc>
          <w:tcPr>
            <w:tcW w:w="2335" w:type="dxa"/>
            <w:tcBorders>
              <w:top w:val="single" w:sz="4" w:space="0" w:color="FFFFFF"/>
              <w:left w:val="single" w:sz="4" w:space="0" w:color="FFFFFF"/>
              <w:bottom w:val="single" w:sz="4" w:space="0" w:color="FFFFFF"/>
              <w:right w:val="single" w:sz="4" w:space="0" w:color="FFFFFF"/>
            </w:tcBorders>
            <w:hideMark/>
          </w:tcPr>
          <w:p w14:paraId="72DE2918" w14:textId="77777777" w:rsidR="00204155" w:rsidRPr="00167A1B" w:rsidRDefault="00204155" w:rsidP="005E0F2F">
            <w:pPr>
              <w:pStyle w:val="BodyText1"/>
              <w:jc w:val="left"/>
              <w:rPr>
                <w:noProof w:val="0"/>
                <w:sz w:val="20"/>
                <w:szCs w:val="18"/>
              </w:rPr>
            </w:pPr>
            <w:r w:rsidRPr="00167A1B">
              <w:rPr>
                <w:noProof w:val="0"/>
                <w:sz w:val="20"/>
                <w:szCs w:val="18"/>
              </w:rPr>
              <w:t>200-350</w:t>
            </w:r>
          </w:p>
        </w:tc>
        <w:tc>
          <w:tcPr>
            <w:tcW w:w="2336" w:type="dxa"/>
            <w:tcBorders>
              <w:top w:val="single" w:sz="4" w:space="0" w:color="FFFFFF"/>
              <w:left w:val="single" w:sz="4" w:space="0" w:color="FFFFFF"/>
              <w:bottom w:val="single" w:sz="4" w:space="0" w:color="FFFFFF"/>
              <w:right w:val="single" w:sz="4" w:space="0" w:color="FFFFFF"/>
            </w:tcBorders>
            <w:hideMark/>
          </w:tcPr>
          <w:p w14:paraId="4FDB6D36" w14:textId="77777777" w:rsidR="00204155" w:rsidRPr="00167A1B" w:rsidRDefault="00204155" w:rsidP="005E0F2F">
            <w:pPr>
              <w:pStyle w:val="BodyText1"/>
              <w:jc w:val="left"/>
              <w:rPr>
                <w:noProof w:val="0"/>
                <w:sz w:val="20"/>
                <w:szCs w:val="18"/>
              </w:rPr>
            </w:pPr>
            <w:r w:rsidRPr="00167A1B">
              <w:rPr>
                <w:noProof w:val="0"/>
                <w:sz w:val="20"/>
                <w:szCs w:val="18"/>
              </w:rPr>
              <w:t>Max. 18,750</w:t>
            </w:r>
          </w:p>
        </w:tc>
      </w:tr>
      <w:tr w:rsidR="00204155" w:rsidRPr="00167A1B" w14:paraId="6D5C905A" w14:textId="77777777" w:rsidTr="005E0F2F">
        <w:tc>
          <w:tcPr>
            <w:tcW w:w="4390" w:type="dxa"/>
            <w:tcBorders>
              <w:top w:val="single" w:sz="4" w:space="0" w:color="FFFFFF"/>
              <w:left w:val="single" w:sz="4" w:space="0" w:color="FFFFFF"/>
              <w:bottom w:val="single" w:sz="4" w:space="0" w:color="FFFFFF"/>
              <w:right w:val="single" w:sz="4" w:space="0" w:color="FFFFFF"/>
            </w:tcBorders>
            <w:hideMark/>
          </w:tcPr>
          <w:p w14:paraId="14DF698E" w14:textId="77777777" w:rsidR="00204155" w:rsidRPr="00167A1B" w:rsidRDefault="00204155" w:rsidP="005E0F2F">
            <w:pPr>
              <w:pStyle w:val="BodyText1"/>
              <w:jc w:val="left"/>
              <w:rPr>
                <w:noProof w:val="0"/>
                <w:sz w:val="20"/>
                <w:szCs w:val="18"/>
              </w:rPr>
            </w:pPr>
            <w:r w:rsidRPr="00167A1B">
              <w:rPr>
                <w:noProof w:val="0"/>
                <w:sz w:val="20"/>
                <w:szCs w:val="18"/>
              </w:rPr>
              <w:t>SMEs and firms from developing countries</w:t>
            </w:r>
          </w:p>
        </w:tc>
        <w:tc>
          <w:tcPr>
            <w:tcW w:w="2335" w:type="dxa"/>
            <w:tcBorders>
              <w:top w:val="single" w:sz="4" w:space="0" w:color="FFFFFF"/>
              <w:left w:val="single" w:sz="4" w:space="0" w:color="FFFFFF"/>
              <w:bottom w:val="single" w:sz="4" w:space="0" w:color="FFFFFF"/>
              <w:right w:val="single" w:sz="4" w:space="0" w:color="FFFFFF"/>
            </w:tcBorders>
            <w:hideMark/>
          </w:tcPr>
          <w:p w14:paraId="59E133FE" w14:textId="77777777" w:rsidR="00204155" w:rsidRPr="00167A1B" w:rsidRDefault="00204155" w:rsidP="005E0F2F">
            <w:pPr>
              <w:pStyle w:val="BodyText1"/>
              <w:jc w:val="left"/>
              <w:rPr>
                <w:noProof w:val="0"/>
                <w:sz w:val="20"/>
                <w:szCs w:val="18"/>
              </w:rPr>
            </w:pPr>
            <w:r w:rsidRPr="00167A1B">
              <w:rPr>
                <w:noProof w:val="0"/>
                <w:sz w:val="20"/>
                <w:szCs w:val="18"/>
              </w:rPr>
              <w:t>200-600</w:t>
            </w:r>
          </w:p>
        </w:tc>
        <w:tc>
          <w:tcPr>
            <w:tcW w:w="2336" w:type="dxa"/>
            <w:tcBorders>
              <w:top w:val="single" w:sz="4" w:space="0" w:color="FFFFFF"/>
              <w:left w:val="single" w:sz="4" w:space="0" w:color="FFFFFF"/>
              <w:bottom w:val="single" w:sz="4" w:space="0" w:color="FFFFFF"/>
              <w:right w:val="single" w:sz="4" w:space="0" w:color="FFFFFF"/>
            </w:tcBorders>
            <w:hideMark/>
          </w:tcPr>
          <w:p w14:paraId="2F947516" w14:textId="77777777" w:rsidR="00204155" w:rsidRPr="00167A1B" w:rsidRDefault="00204155" w:rsidP="005E0F2F">
            <w:pPr>
              <w:pStyle w:val="BodyText1"/>
              <w:jc w:val="left"/>
              <w:rPr>
                <w:noProof w:val="0"/>
                <w:sz w:val="20"/>
                <w:szCs w:val="18"/>
              </w:rPr>
            </w:pPr>
            <w:r w:rsidRPr="00167A1B">
              <w:rPr>
                <w:noProof w:val="0"/>
                <w:sz w:val="20"/>
                <w:szCs w:val="18"/>
              </w:rPr>
              <w:t>Max. 18,750</w:t>
            </w:r>
          </w:p>
        </w:tc>
      </w:tr>
      <w:tr w:rsidR="00204155" w:rsidRPr="00167A1B" w14:paraId="0548A6AE" w14:textId="77777777" w:rsidTr="005E0F2F">
        <w:tc>
          <w:tcPr>
            <w:tcW w:w="4390" w:type="dxa"/>
            <w:tcBorders>
              <w:top w:val="single" w:sz="4" w:space="0" w:color="FFFFFF"/>
              <w:left w:val="single" w:sz="4" w:space="0" w:color="FFFFFF"/>
              <w:bottom w:val="single" w:sz="4" w:space="0" w:color="FFFFFF"/>
              <w:right w:val="single" w:sz="4" w:space="0" w:color="FFFFFF"/>
            </w:tcBorders>
            <w:hideMark/>
          </w:tcPr>
          <w:p w14:paraId="131AB1DA" w14:textId="77777777" w:rsidR="00204155" w:rsidRPr="00167A1B" w:rsidRDefault="00204155" w:rsidP="005E0F2F">
            <w:pPr>
              <w:pStyle w:val="BodyText1"/>
              <w:jc w:val="left"/>
              <w:rPr>
                <w:noProof w:val="0"/>
                <w:sz w:val="20"/>
                <w:szCs w:val="18"/>
              </w:rPr>
            </w:pPr>
            <w:r w:rsidRPr="00167A1B">
              <w:rPr>
                <w:noProof w:val="0"/>
                <w:sz w:val="20"/>
                <w:szCs w:val="18"/>
              </w:rPr>
              <w:t>All other companies</w:t>
            </w:r>
          </w:p>
        </w:tc>
        <w:tc>
          <w:tcPr>
            <w:tcW w:w="2335" w:type="dxa"/>
            <w:tcBorders>
              <w:top w:val="single" w:sz="4" w:space="0" w:color="FFFFFF"/>
              <w:left w:val="single" w:sz="4" w:space="0" w:color="FFFFFF"/>
              <w:bottom w:val="single" w:sz="4" w:space="0" w:color="FFFFFF"/>
              <w:right w:val="single" w:sz="4" w:space="0" w:color="FFFFFF"/>
            </w:tcBorders>
            <w:hideMark/>
          </w:tcPr>
          <w:p w14:paraId="0225B411" w14:textId="77777777" w:rsidR="00204155" w:rsidRPr="00167A1B" w:rsidRDefault="00204155" w:rsidP="005E0F2F">
            <w:pPr>
              <w:pStyle w:val="BodyText1"/>
              <w:jc w:val="left"/>
              <w:rPr>
                <w:noProof w:val="0"/>
                <w:sz w:val="20"/>
                <w:szCs w:val="18"/>
              </w:rPr>
            </w:pPr>
            <w:r w:rsidRPr="00167A1B">
              <w:rPr>
                <w:noProof w:val="0"/>
                <w:sz w:val="20"/>
                <w:szCs w:val="18"/>
              </w:rPr>
              <w:t>200-2,000</w:t>
            </w:r>
          </w:p>
        </w:tc>
        <w:tc>
          <w:tcPr>
            <w:tcW w:w="2336" w:type="dxa"/>
            <w:tcBorders>
              <w:top w:val="single" w:sz="4" w:space="0" w:color="FFFFFF"/>
              <w:left w:val="single" w:sz="4" w:space="0" w:color="FFFFFF"/>
              <w:bottom w:val="single" w:sz="4" w:space="0" w:color="FFFFFF"/>
              <w:right w:val="single" w:sz="4" w:space="0" w:color="FFFFFF"/>
            </w:tcBorders>
            <w:hideMark/>
          </w:tcPr>
          <w:p w14:paraId="7B79A8AB" w14:textId="77777777" w:rsidR="00204155" w:rsidRPr="00167A1B" w:rsidRDefault="00204155" w:rsidP="005E0F2F">
            <w:pPr>
              <w:pStyle w:val="BodyText1"/>
              <w:jc w:val="left"/>
              <w:rPr>
                <w:noProof w:val="0"/>
                <w:sz w:val="20"/>
                <w:szCs w:val="18"/>
              </w:rPr>
            </w:pPr>
            <w:r w:rsidRPr="00167A1B">
              <w:rPr>
                <w:noProof w:val="0"/>
                <w:sz w:val="20"/>
                <w:szCs w:val="18"/>
              </w:rPr>
              <w:t>Max. 25,000</w:t>
            </w:r>
          </w:p>
        </w:tc>
      </w:tr>
    </w:tbl>
    <w:p w14:paraId="4F2F23AC" w14:textId="77777777" w:rsidR="00204155" w:rsidRPr="00167A1B" w:rsidRDefault="00204155" w:rsidP="00204155">
      <w:pPr>
        <w:pStyle w:val="Figure"/>
        <w:jc w:val="left"/>
        <w:rPr>
          <w:rFonts w:cs="Arial"/>
          <w:szCs w:val="16"/>
        </w:rPr>
      </w:pPr>
      <w:r w:rsidRPr="00167A1B">
        <w:rPr>
          <w:rFonts w:cs="Arial"/>
          <w:i w:val="0"/>
          <w:szCs w:val="16"/>
          <w:lang w:eastAsia="en-US"/>
        </w:rPr>
        <w:t xml:space="preserve">Source: European Commission, How to apply for EU Ecolabel, available at : </w:t>
      </w:r>
      <w:hyperlink r:id="rId47" w:history="1">
        <w:r w:rsidRPr="00167A1B">
          <w:rPr>
            <w:rStyle w:val="Hyperlink"/>
            <w:rFonts w:cs="Arial"/>
            <w:i w:val="0"/>
            <w:szCs w:val="16"/>
            <w:lang w:eastAsia="en-US"/>
          </w:rPr>
          <w:t>https://ec.europa.eu/environment/ecolabel/how-to-apply-for-eu-ecolabel.html</w:t>
        </w:r>
      </w:hyperlink>
      <w:r w:rsidRPr="00167A1B">
        <w:rPr>
          <w:rFonts w:cs="Arial"/>
          <w:i w:val="0"/>
          <w:szCs w:val="16"/>
          <w:lang w:eastAsia="en-US"/>
        </w:rPr>
        <w:t>.</w:t>
      </w:r>
    </w:p>
    <w:p w14:paraId="5107AF76" w14:textId="5E785BBE" w:rsidR="00204155" w:rsidRPr="00167A1B" w:rsidRDefault="00204155" w:rsidP="00204155">
      <w:pPr>
        <w:pStyle w:val="BodyText1"/>
        <w:rPr>
          <w:rFonts w:cs="Arial"/>
          <w:noProof w:val="0"/>
          <w:sz w:val="16"/>
          <w:szCs w:val="16"/>
        </w:rPr>
      </w:pPr>
      <w:r w:rsidRPr="00167A1B">
        <w:rPr>
          <w:rFonts w:cs="Arial"/>
          <w:noProof w:val="0"/>
          <w:sz w:val="16"/>
          <w:szCs w:val="16"/>
        </w:rPr>
        <w:t xml:space="preserve">Note: Further conditions apply. An overview of the conditions is available at: </w:t>
      </w:r>
      <w:hyperlink r:id="rId48" w:history="1">
        <w:r w:rsidRPr="00167A1B">
          <w:rPr>
            <w:rStyle w:val="Hyperlink"/>
            <w:rFonts w:cs="Arial"/>
            <w:noProof w:val="0"/>
            <w:sz w:val="16"/>
            <w:szCs w:val="16"/>
          </w:rPr>
          <w:t>https://ec.europa.eu/environment/ecolabel/how-to-apply-for-eu-ecolabel.html</w:t>
        </w:r>
      </w:hyperlink>
      <w:r w:rsidRPr="00167A1B">
        <w:rPr>
          <w:rFonts w:cs="Arial"/>
          <w:noProof w:val="0"/>
          <w:sz w:val="16"/>
          <w:szCs w:val="16"/>
        </w:rPr>
        <w:t xml:space="preserve">, and an overview of costs in different countries is available at: </w:t>
      </w:r>
      <w:hyperlink r:id="rId49" w:history="1">
        <w:r w:rsidRPr="00167A1B">
          <w:rPr>
            <w:rStyle w:val="Hyperlink"/>
            <w:rFonts w:cs="Arial"/>
            <w:noProof w:val="0"/>
            <w:sz w:val="16"/>
            <w:szCs w:val="16"/>
          </w:rPr>
          <w:t>https://ec.europa.eu/environment/ecolabel/documents/eu-ecolabel_fees.pdf</w:t>
        </w:r>
      </w:hyperlink>
      <w:r w:rsidRPr="00167A1B">
        <w:rPr>
          <w:rFonts w:cs="Arial"/>
          <w:noProof w:val="0"/>
          <w:sz w:val="16"/>
          <w:szCs w:val="16"/>
        </w:rPr>
        <w:t>.</w:t>
      </w:r>
    </w:p>
    <w:p w14:paraId="2C9141CF" w14:textId="77777777" w:rsidR="00B807D7" w:rsidRPr="00167A1B" w:rsidRDefault="00B807D7" w:rsidP="00B807D7">
      <w:pPr>
        <w:pStyle w:val="BodyText1"/>
        <w:rPr>
          <w:rStyle w:val="03ASubheading2ndlevelTOCChar"/>
          <w:rFonts w:cs="Times New Roman"/>
          <w:noProof w:val="0"/>
          <w:color w:val="auto"/>
          <w:lang w:eastAsia="en-US"/>
        </w:rPr>
      </w:pPr>
    </w:p>
    <w:p w14:paraId="77D23747" w14:textId="77777777" w:rsidR="00827359" w:rsidRPr="00167A1B" w:rsidRDefault="00827359" w:rsidP="00957369">
      <w:pPr>
        <w:pStyle w:val="title3"/>
      </w:pPr>
      <w:bookmarkStart w:id="56" w:name="_Toc69284677"/>
      <w:bookmarkStart w:id="57" w:name="_Hlk74066793"/>
      <w:r w:rsidRPr="00167A1B">
        <w:t>Costs to public authorities</w:t>
      </w:r>
      <w:bookmarkEnd w:id="56"/>
    </w:p>
    <w:p w14:paraId="569FA48A" w14:textId="7C5FD178" w:rsidR="00827359" w:rsidRPr="00167A1B" w:rsidRDefault="00827359" w:rsidP="003A6390">
      <w:pPr>
        <w:pStyle w:val="BodyText1"/>
        <w:rPr>
          <w:noProof w:val="0"/>
        </w:rPr>
      </w:pPr>
      <w:bookmarkStart w:id="58" w:name="_Hlk74066664"/>
      <w:bookmarkEnd w:id="57"/>
      <w:r w:rsidRPr="00167A1B">
        <w:rPr>
          <w:noProof w:val="0"/>
        </w:rPr>
        <w:t>As explained in section 4.2, costs to public authorities are basically negligible in most of the options. This is because market surveillance authorities are already testing mobile phones, cables and EPS, and, according to the market surveillance authority interviewed, the marginal cost of conducting any additional tests (if needed) would be negligible.</w:t>
      </w:r>
      <w:r w:rsidR="003A6390" w:rsidRPr="00167A1B">
        <w:rPr>
          <w:noProof w:val="0"/>
        </w:rPr>
        <w:t xml:space="preserve"> It has not been possible within the scope of this study to quantify this cost, and a previous study </w:t>
      </w:r>
      <w:r w:rsidR="00167A1B" w:rsidRPr="00167A1B">
        <w:rPr>
          <w:noProof w:val="0"/>
        </w:rPr>
        <w:t>commissioned</w:t>
      </w:r>
      <w:r w:rsidR="003A6390" w:rsidRPr="00167A1B">
        <w:rPr>
          <w:noProof w:val="0"/>
        </w:rPr>
        <w:t xml:space="preserve"> by Digital Europe concluded that “the costs of individual activities are very difficult for MSAs to estimate because they mainly work with a fixed budget that cuts across all their activities and it cannot easily be broken down”.</w:t>
      </w:r>
      <w:r w:rsidR="003A6390" w:rsidRPr="00167A1B">
        <w:rPr>
          <w:rStyle w:val="FootnoteReference"/>
          <w:noProof w:val="0"/>
        </w:rPr>
        <w:footnoteReference w:id="121"/>
      </w:r>
    </w:p>
    <w:p w14:paraId="6679D7F1" w14:textId="1DFEC2B1" w:rsidR="00E736AC" w:rsidRPr="00167A1B" w:rsidRDefault="00827359" w:rsidP="00827359">
      <w:pPr>
        <w:pStyle w:val="BodyText1"/>
        <w:rPr>
          <w:noProof w:val="0"/>
        </w:rPr>
      </w:pPr>
      <w:r w:rsidRPr="00167A1B">
        <w:rPr>
          <w:noProof w:val="0"/>
        </w:rPr>
        <w:t xml:space="preserve">However, option 5 may have a negative impact on costs to public authorities. According to </w:t>
      </w:r>
      <w:r w:rsidR="00E736AC" w:rsidRPr="00167A1B">
        <w:rPr>
          <w:noProof w:val="0"/>
        </w:rPr>
        <w:t>three</w:t>
      </w:r>
      <w:r w:rsidRPr="00167A1B">
        <w:rPr>
          <w:noProof w:val="0"/>
        </w:rPr>
        <w:t xml:space="preserve"> stakeholders </w:t>
      </w:r>
      <w:r w:rsidR="00E736AC" w:rsidRPr="00167A1B">
        <w:rPr>
          <w:noProof w:val="0"/>
        </w:rPr>
        <w:t>from different industry sectors</w:t>
      </w:r>
      <w:r w:rsidR="005E0F2F" w:rsidRPr="00167A1B">
        <w:rPr>
          <w:noProof w:val="0"/>
        </w:rPr>
        <w:t xml:space="preserve"> </w:t>
      </w:r>
      <w:r w:rsidR="00E736AC" w:rsidRPr="00167A1B">
        <w:rPr>
          <w:noProof w:val="0"/>
        </w:rPr>
        <w:t>/</w:t>
      </w:r>
      <w:r w:rsidR="005E0F2F" w:rsidRPr="00167A1B">
        <w:rPr>
          <w:noProof w:val="0"/>
        </w:rPr>
        <w:t xml:space="preserve"> </w:t>
      </w:r>
      <w:r w:rsidR="00E736AC" w:rsidRPr="00167A1B">
        <w:rPr>
          <w:noProof w:val="0"/>
        </w:rPr>
        <w:t xml:space="preserve">organisations and one public authority interviewed, </w:t>
      </w:r>
      <w:r w:rsidRPr="00167A1B">
        <w:rPr>
          <w:noProof w:val="0"/>
        </w:rPr>
        <w:t xml:space="preserve">the scheme would entail setting up essential requirements to obtain the logo (in principle, minor cost), and nominating an organisation to administer it and test the products. </w:t>
      </w:r>
    </w:p>
    <w:p w14:paraId="139550C3" w14:textId="210DCAC1" w:rsidR="00E736AC" w:rsidRPr="00167A1B" w:rsidRDefault="005E0F2F" w:rsidP="005E0F2F">
      <w:pPr>
        <w:pStyle w:val="BodyText1"/>
        <w:ind w:left="284" w:right="282"/>
        <w:rPr>
          <w:i/>
          <w:iCs/>
          <w:noProof w:val="0"/>
        </w:rPr>
      </w:pPr>
      <w:r w:rsidRPr="00167A1B">
        <w:rPr>
          <w:i/>
          <w:iCs/>
          <w:noProof w:val="0"/>
        </w:rPr>
        <w:t>“</w:t>
      </w:r>
      <w:r w:rsidR="00E736AC" w:rsidRPr="00167A1B">
        <w:rPr>
          <w:i/>
          <w:iCs/>
          <w:noProof w:val="0"/>
        </w:rPr>
        <w:t xml:space="preserve">Who manages the logo, who verifies it? If the standard is publicly available, and includes the logo, anyone can use it. You need an organisation to manage the logo, people </w:t>
      </w:r>
      <w:proofErr w:type="gramStart"/>
      <w:r w:rsidR="00E736AC" w:rsidRPr="00167A1B">
        <w:rPr>
          <w:i/>
          <w:iCs/>
          <w:noProof w:val="0"/>
        </w:rPr>
        <w:t>have to</w:t>
      </w:r>
      <w:proofErr w:type="gramEnd"/>
      <w:r w:rsidR="00E736AC" w:rsidRPr="00167A1B">
        <w:rPr>
          <w:i/>
          <w:iCs/>
          <w:noProof w:val="0"/>
        </w:rPr>
        <w:t xml:space="preserve"> be paid… who pays for all this? The customer! </w:t>
      </w:r>
      <w:r w:rsidRPr="00167A1B">
        <w:rPr>
          <w:i/>
          <w:iCs/>
          <w:noProof w:val="0"/>
        </w:rPr>
        <w:t>The p</w:t>
      </w:r>
      <w:r w:rsidR="00E736AC" w:rsidRPr="00167A1B">
        <w:rPr>
          <w:i/>
          <w:iCs/>
          <w:noProof w:val="0"/>
        </w:rPr>
        <w:t>rice impact would not be insignificant.</w:t>
      </w:r>
      <w:r w:rsidRPr="00167A1B">
        <w:rPr>
          <w:i/>
          <w:iCs/>
          <w:noProof w:val="0"/>
        </w:rPr>
        <w:t>”</w:t>
      </w:r>
      <w:r w:rsidR="00E736AC" w:rsidRPr="00167A1B">
        <w:rPr>
          <w:i/>
          <w:iCs/>
          <w:noProof w:val="0"/>
        </w:rPr>
        <w:t xml:space="preserve"> – Public authority</w:t>
      </w:r>
    </w:p>
    <w:p w14:paraId="457824D0" w14:textId="7D603E1E" w:rsidR="00827359" w:rsidRPr="00167A1B" w:rsidRDefault="00827359" w:rsidP="00827359">
      <w:pPr>
        <w:pStyle w:val="BodyText1"/>
        <w:rPr>
          <w:noProof w:val="0"/>
        </w:rPr>
      </w:pPr>
      <w:r w:rsidRPr="00167A1B">
        <w:rPr>
          <w:noProof w:val="0"/>
        </w:rPr>
        <w:t>The cost of administering the labelling scheme is expected to be high, but it largely depends on how the EU establishes and administers it. This cost would need to be paid by consumers in one way or another: either with public funds, or paid by manufacturing companies, who would pass the cost on to consumers.</w:t>
      </w:r>
      <w:r w:rsidR="00204155" w:rsidRPr="00167A1B">
        <w:rPr>
          <w:noProof w:val="0"/>
        </w:rPr>
        <w:t xml:space="preserve"> Although there are different labelling schemes currently used in the </w:t>
      </w:r>
      <w:r w:rsidR="005E0F2F" w:rsidRPr="00167A1B">
        <w:rPr>
          <w:noProof w:val="0"/>
        </w:rPr>
        <w:t>EU</w:t>
      </w:r>
      <w:r w:rsidR="00204155" w:rsidRPr="00167A1B">
        <w:rPr>
          <w:noProof w:val="0"/>
        </w:rPr>
        <w:t xml:space="preserve"> and elsewhere (e.g. the EU Ecolabel or the EU Energy label, or the globally recognised Wi-Fi pictogram), information on costs of such schemes incurred by public authorities does not seem to be available.</w:t>
      </w:r>
    </w:p>
    <w:bookmarkEnd w:id="58"/>
    <w:p w14:paraId="5A4D08FD" w14:textId="77777777" w:rsidR="00B807D7" w:rsidRPr="00167A1B" w:rsidRDefault="00B807D7" w:rsidP="00827359">
      <w:pPr>
        <w:pStyle w:val="BodyText1"/>
        <w:rPr>
          <w:noProof w:val="0"/>
        </w:rPr>
      </w:pPr>
    </w:p>
    <w:p w14:paraId="2D2921DF" w14:textId="703BFE0E" w:rsidR="00827359" w:rsidRPr="00167A1B" w:rsidRDefault="00C331E9" w:rsidP="00FA3984">
      <w:pPr>
        <w:pStyle w:val="title3"/>
      </w:pPr>
      <w:r w:rsidRPr="00167A1B">
        <w:t>Impacts for SMEs</w:t>
      </w:r>
    </w:p>
    <w:p w14:paraId="441B02DE" w14:textId="7B8C5988" w:rsidR="009C56D8" w:rsidRPr="00167A1B" w:rsidRDefault="009C56D8" w:rsidP="009C56D8">
      <w:pPr>
        <w:pStyle w:val="BodyText1"/>
        <w:rPr>
          <w:noProof w:val="0"/>
        </w:rPr>
      </w:pPr>
      <w:r w:rsidRPr="00167A1B">
        <w:rPr>
          <w:noProof w:val="0"/>
        </w:rPr>
        <w:t xml:space="preserve">We have identified 33 SMEs or medium-size companies based in the EU that would be directly affected by the initiative: </w:t>
      </w:r>
    </w:p>
    <w:p w14:paraId="5B49DA49" w14:textId="0413736D" w:rsidR="009C56D8" w:rsidRPr="00167A1B" w:rsidRDefault="009C56D8" w:rsidP="005E0F2F">
      <w:pPr>
        <w:pStyle w:val="bullet1"/>
        <w:rPr>
          <w:noProof w:val="0"/>
        </w:rPr>
      </w:pPr>
      <w:r w:rsidRPr="00167A1B">
        <w:rPr>
          <w:noProof w:val="0"/>
        </w:rPr>
        <w:t>Manufacturers of mobile phones: Allview (RO), Ano-Phone (DE), Brondi (IT), CPA Halo (CZ), Doro (SE), Emporia (AT), Evolveo (CZ), Fairphone (</w:t>
      </w:r>
      <w:r w:rsidR="009940B3" w:rsidRPr="00167A1B">
        <w:rPr>
          <w:noProof w:val="0"/>
        </w:rPr>
        <w:t>NL</w:t>
      </w:r>
      <w:r w:rsidRPr="00167A1B">
        <w:rPr>
          <w:noProof w:val="0"/>
        </w:rPr>
        <w:t>), GSMK Cryptophone (DE), Handheld (SE), Jolla (FI), Just5 (LV), MLS (HR), Mobiwire (FR), mPTech (PL), NGM (IT), Wiko Mobile (FR).</w:t>
      </w:r>
      <w:r w:rsidR="00E22734" w:rsidRPr="00167A1B">
        <w:rPr>
          <w:noProof w:val="0"/>
        </w:rPr>
        <w:t xml:space="preserve"> Most of the companies that manufacture mobile phones are specialised in devices for specific segments of the population, e.g. people of old age, people with disabilities, consumers who need phones able to support hard conditions, </w:t>
      </w:r>
      <w:proofErr w:type="gramStart"/>
      <w:r w:rsidR="00E22734" w:rsidRPr="00167A1B">
        <w:rPr>
          <w:noProof w:val="0"/>
        </w:rPr>
        <w:t>environmentally-aware</w:t>
      </w:r>
      <w:proofErr w:type="gramEnd"/>
      <w:r w:rsidR="00E22734" w:rsidRPr="00167A1B">
        <w:rPr>
          <w:noProof w:val="0"/>
        </w:rPr>
        <w:t xml:space="preserve"> consumers, etc.</w:t>
      </w:r>
    </w:p>
    <w:p w14:paraId="3B4801FB" w14:textId="62F9A9D3" w:rsidR="009C56D8" w:rsidRPr="00167A1B" w:rsidRDefault="009C56D8" w:rsidP="005E0F2F">
      <w:pPr>
        <w:pStyle w:val="bullet1"/>
        <w:rPr>
          <w:noProof w:val="0"/>
        </w:rPr>
      </w:pPr>
      <w:r w:rsidRPr="00167A1B">
        <w:rPr>
          <w:noProof w:val="0"/>
        </w:rPr>
        <w:t>Manufacturers of charging solutions: Cellularline (IT), Hama (DE)</w:t>
      </w:r>
    </w:p>
    <w:p w14:paraId="13DDB536" w14:textId="02BADC81" w:rsidR="00B807D7" w:rsidRPr="00167A1B" w:rsidRDefault="009C56D8" w:rsidP="009C56D8">
      <w:pPr>
        <w:pStyle w:val="bullet1"/>
        <w:rPr>
          <w:noProof w:val="0"/>
        </w:rPr>
      </w:pPr>
      <w:r w:rsidRPr="00167A1B">
        <w:rPr>
          <w:noProof w:val="0"/>
        </w:rPr>
        <w:t>Manufacturers of other devices: Archos (Tablets, FR), Obermax (Tablets, PL), Booken (e-readers, France), Hasselblad (cameras, SE), Jabra (hearables, DK), Leica (cameras, DE), Medion (cameras, DE), Obermax (Tablets, PL), Phase One (cameras, DK), Philips (portable speakers, NL), Polar (fitness trackers, FI), Praktica (cameras, DE), Sennheiser (hearables, DE), Urbanista (portable speakers, SE).</w:t>
      </w:r>
    </w:p>
    <w:p w14:paraId="083FD970" w14:textId="02F3F457" w:rsidR="00E22734" w:rsidRPr="00167A1B" w:rsidRDefault="009C56D8" w:rsidP="00E22734">
      <w:pPr>
        <w:pStyle w:val="BodyText1"/>
        <w:rPr>
          <w:noProof w:val="0"/>
        </w:rPr>
      </w:pPr>
      <w:r w:rsidRPr="00167A1B">
        <w:rPr>
          <w:noProof w:val="0"/>
        </w:rPr>
        <w:t>The consultations conducted in this evaluation included with</w:t>
      </w:r>
      <w:r w:rsidR="00E22734" w:rsidRPr="00167A1B">
        <w:rPr>
          <w:noProof w:val="0"/>
        </w:rPr>
        <w:t xml:space="preserve"> two</w:t>
      </w:r>
      <w:r w:rsidRPr="00167A1B">
        <w:rPr>
          <w:noProof w:val="0"/>
        </w:rPr>
        <w:t xml:space="preserve"> SMEs</w:t>
      </w:r>
      <w:r w:rsidR="00E22734" w:rsidRPr="00167A1B">
        <w:rPr>
          <w:noProof w:val="0"/>
        </w:rPr>
        <w:t xml:space="preserve"> and one large company</w:t>
      </w:r>
      <w:r w:rsidRPr="00167A1B">
        <w:rPr>
          <w:noProof w:val="0"/>
        </w:rPr>
        <w:t xml:space="preserve"> </w:t>
      </w:r>
      <w:r w:rsidR="00E22734" w:rsidRPr="00167A1B">
        <w:rPr>
          <w:noProof w:val="0"/>
        </w:rPr>
        <w:t>headquartered</w:t>
      </w:r>
      <w:r w:rsidRPr="00167A1B">
        <w:rPr>
          <w:noProof w:val="0"/>
        </w:rPr>
        <w:t xml:space="preserve"> in the EU</w:t>
      </w:r>
      <w:r w:rsidR="00E22734" w:rsidRPr="00167A1B">
        <w:rPr>
          <w:noProof w:val="0"/>
        </w:rPr>
        <w:t xml:space="preserve"> (all manufacturers of mobile phone or other portable devices). The </w:t>
      </w:r>
      <w:r w:rsidR="00E22734" w:rsidRPr="00167A1B">
        <w:rPr>
          <w:noProof w:val="0"/>
        </w:rPr>
        <w:lastRenderedPageBreak/>
        <w:t>initiative may also indirectly affect distributors, and an interview with an association of distributors in the EU was also conducted.</w:t>
      </w:r>
    </w:p>
    <w:p w14:paraId="7D5AFC43" w14:textId="766FF4BF" w:rsidR="00E22734" w:rsidRPr="00167A1B" w:rsidRDefault="00E22734" w:rsidP="00E22734">
      <w:pPr>
        <w:pStyle w:val="BodyText1"/>
        <w:rPr>
          <w:noProof w:val="0"/>
        </w:rPr>
      </w:pPr>
      <w:r w:rsidRPr="00167A1B">
        <w:rPr>
          <w:noProof w:val="0"/>
        </w:rPr>
        <w:t xml:space="preserve">Overall, industries in the EU were very aware of the environmental impacts of chargers, and all of them were already unbundling EPS, and/or had tried unbundling schemes in the past. </w:t>
      </w:r>
      <w:r w:rsidR="009E3948" w:rsidRPr="00167A1B">
        <w:rPr>
          <w:noProof w:val="0"/>
        </w:rPr>
        <w:t>Two</w:t>
      </w:r>
      <w:r w:rsidRPr="00167A1B">
        <w:rPr>
          <w:noProof w:val="0"/>
        </w:rPr>
        <w:t xml:space="preserve"> manufacturer</w:t>
      </w:r>
      <w:r w:rsidR="009E3948" w:rsidRPr="00167A1B">
        <w:rPr>
          <w:noProof w:val="0"/>
        </w:rPr>
        <w:t>s</w:t>
      </w:r>
      <w:r w:rsidRPr="00167A1B">
        <w:rPr>
          <w:noProof w:val="0"/>
        </w:rPr>
        <w:t xml:space="preserve"> </w:t>
      </w:r>
      <w:r w:rsidR="009E3948" w:rsidRPr="00167A1B">
        <w:rPr>
          <w:noProof w:val="0"/>
        </w:rPr>
        <w:t>were</w:t>
      </w:r>
      <w:r w:rsidRPr="00167A1B">
        <w:rPr>
          <w:noProof w:val="0"/>
        </w:rPr>
        <w:t xml:space="preserve"> also unbundling cables</w:t>
      </w:r>
      <w:r w:rsidR="009E3948" w:rsidRPr="00167A1B">
        <w:rPr>
          <w:noProof w:val="0"/>
        </w:rPr>
        <w:t xml:space="preserve"> in all or part of their portfolio</w:t>
      </w:r>
      <w:r w:rsidRPr="00167A1B">
        <w:rPr>
          <w:noProof w:val="0"/>
        </w:rPr>
        <w:t>. The interviewees were all in favour of mandating unbundling</w:t>
      </w:r>
      <w:r w:rsidR="009E3948" w:rsidRPr="00167A1B">
        <w:rPr>
          <w:noProof w:val="0"/>
        </w:rPr>
        <w:t xml:space="preserve"> and did not report any potential negative effects of options 4.a and 4.b. One interviewee was also in favour of a labelling scheme or </w:t>
      </w:r>
      <w:proofErr w:type="gramStart"/>
      <w:r w:rsidR="009E3948" w:rsidRPr="00167A1B">
        <w:rPr>
          <w:noProof w:val="0"/>
        </w:rPr>
        <w:t>similar to</w:t>
      </w:r>
      <w:proofErr w:type="gramEnd"/>
      <w:r w:rsidR="009E3948" w:rsidRPr="00167A1B">
        <w:rPr>
          <w:noProof w:val="0"/>
        </w:rPr>
        <w:t xml:space="preserve"> inform consumers about unbundling:</w:t>
      </w:r>
    </w:p>
    <w:p w14:paraId="3EF4B9E7" w14:textId="7EE56496" w:rsidR="009E3948" w:rsidRPr="00167A1B" w:rsidRDefault="009E3948" w:rsidP="005E0F2F">
      <w:pPr>
        <w:pStyle w:val="BodyText1"/>
        <w:ind w:left="284" w:right="282"/>
        <w:rPr>
          <w:i/>
          <w:iCs/>
          <w:noProof w:val="0"/>
        </w:rPr>
      </w:pPr>
      <w:r w:rsidRPr="00167A1B">
        <w:rPr>
          <w:i/>
          <w:iCs/>
          <w:noProof w:val="0"/>
        </w:rPr>
        <w:t xml:space="preserve">“The Commission could help companies with a statement to endorse the removal of chargers from the box. They could put a stamp and regulate about it.” </w:t>
      </w:r>
    </w:p>
    <w:p w14:paraId="17EAE265" w14:textId="4D22E7B4" w:rsidR="00063804" w:rsidRPr="00167A1B" w:rsidRDefault="00063804" w:rsidP="00063804">
      <w:pPr>
        <w:pStyle w:val="BodyText1"/>
        <w:rPr>
          <w:noProof w:val="0"/>
        </w:rPr>
      </w:pPr>
      <w:r w:rsidRPr="00167A1B">
        <w:rPr>
          <w:noProof w:val="0"/>
        </w:rPr>
        <w:t xml:space="preserve">Option 5 is voluntary, and therefore no </w:t>
      </w:r>
      <w:r w:rsidR="00167A1B" w:rsidRPr="00167A1B">
        <w:rPr>
          <w:noProof w:val="0"/>
        </w:rPr>
        <w:t>significant</w:t>
      </w:r>
      <w:r w:rsidRPr="00167A1B">
        <w:rPr>
          <w:noProof w:val="0"/>
        </w:rPr>
        <w:t xml:space="preserve"> impacts would be expected for SMEs, as they may decide not to participate. In addition, as the quote above suggests, it may help small companies to promote their attributes of their products.</w:t>
      </w:r>
    </w:p>
    <w:p w14:paraId="46AD7A76" w14:textId="4D837A66" w:rsidR="00E22734" w:rsidRPr="00167A1B" w:rsidRDefault="009E3948" w:rsidP="009C56D8">
      <w:pPr>
        <w:pStyle w:val="BodyText1"/>
        <w:rPr>
          <w:noProof w:val="0"/>
        </w:rPr>
      </w:pPr>
      <w:r w:rsidRPr="00167A1B">
        <w:rPr>
          <w:noProof w:val="0"/>
        </w:rPr>
        <w:t>Interviewees did not report any negative impacts either from the harmonisation options considered. However, most of them were not technical experts and could not provide in-depth views on the options that consider harmonisation of battery charging protocols.</w:t>
      </w:r>
      <w:r w:rsidR="00267046" w:rsidRPr="00167A1B">
        <w:rPr>
          <w:noProof w:val="0"/>
        </w:rPr>
        <w:t xml:space="preserve"> Many models sold by these companies still use USB micro-B connectors and standard battery charging protocols, and therefore options 1</w:t>
      </w:r>
      <w:r w:rsidR="00A6138C" w:rsidRPr="00167A1B">
        <w:rPr>
          <w:noProof w:val="0"/>
        </w:rPr>
        <w:t xml:space="preserve"> and</w:t>
      </w:r>
      <w:r w:rsidR="00267046" w:rsidRPr="00167A1B">
        <w:rPr>
          <w:noProof w:val="0"/>
        </w:rPr>
        <w:t xml:space="preserve"> 2 might produce minor operating costs for SMEs if they need to adapt their production lines to the new requirements.</w:t>
      </w:r>
      <w:r w:rsidR="00A6138C" w:rsidRPr="00167A1B">
        <w:rPr>
          <w:noProof w:val="0"/>
        </w:rPr>
        <w:t xml:space="preserve"> Option 3 affects the EPS only, and if it entailed significant </w:t>
      </w:r>
      <w:proofErr w:type="gramStart"/>
      <w:r w:rsidR="00A6138C" w:rsidRPr="00167A1B">
        <w:rPr>
          <w:noProof w:val="0"/>
        </w:rPr>
        <w:t>costs</w:t>
      </w:r>
      <w:proofErr w:type="gramEnd"/>
      <w:r w:rsidR="00A6138C" w:rsidRPr="00167A1B">
        <w:rPr>
          <w:noProof w:val="0"/>
        </w:rPr>
        <w:t xml:space="preserve"> they would still have the choice of unbundling. </w:t>
      </w:r>
    </w:p>
    <w:p w14:paraId="1AFD81F1" w14:textId="368173E0" w:rsidR="00F34082" w:rsidRPr="00167A1B" w:rsidRDefault="00F34082" w:rsidP="009C56D8">
      <w:pPr>
        <w:pStyle w:val="BodyText1"/>
        <w:rPr>
          <w:noProof w:val="0"/>
        </w:rPr>
      </w:pPr>
      <w:r w:rsidRPr="00167A1B">
        <w:rPr>
          <w:noProof w:val="0"/>
        </w:rPr>
        <w:t>The distributors’ association interviewed commented that the effectiveness of the unbundling options will depend on two main aspects: a) the information that is provided to consumers on interoperability and the types of chargers that work with their phones (the association warned that, without additional information, consumers would continue acquiring a new charger when they purchase a phone); and b) the price of the phone when sold unbundled, i.e. the extent to which not including an EPS and/or cable reduces the retail price of the phone.</w:t>
      </w:r>
    </w:p>
    <w:p w14:paraId="505463A9" w14:textId="6A84CAF5" w:rsidR="00F34082" w:rsidRPr="00167A1B" w:rsidRDefault="00F34082" w:rsidP="009C56D8">
      <w:pPr>
        <w:pStyle w:val="BodyText1"/>
        <w:rPr>
          <w:noProof w:val="0"/>
        </w:rPr>
      </w:pPr>
      <w:r w:rsidRPr="00167A1B">
        <w:rPr>
          <w:noProof w:val="0"/>
        </w:rPr>
        <w:t>The distributors’ association also noted that option 4.a may be difficult for retailers to manage if manufacturers ship boxes of phones bundled from the charger, as well as phones unbundled.</w:t>
      </w:r>
      <w:r w:rsidR="00045D43" w:rsidRPr="00167A1B">
        <w:rPr>
          <w:noProof w:val="0"/>
        </w:rPr>
        <w:t xml:space="preserve"> The interviewee did not refer to any significant impacts deriving from any of the options.</w:t>
      </w:r>
    </w:p>
    <w:p w14:paraId="565B885F" w14:textId="77777777" w:rsidR="00084C36" w:rsidRPr="00167A1B" w:rsidRDefault="00084C36" w:rsidP="00084C36">
      <w:pPr>
        <w:pStyle w:val="title3"/>
      </w:pPr>
      <w:r w:rsidRPr="00167A1B">
        <w:t>Summary</w:t>
      </w:r>
    </w:p>
    <w:bookmarkEnd w:id="55"/>
    <w:p w14:paraId="108B8BB1" w14:textId="2646AF08" w:rsidR="00084C36" w:rsidRPr="00167A1B" w:rsidRDefault="00084C36" w:rsidP="00084C36">
      <w:pPr>
        <w:pStyle w:val="BodyText1"/>
        <w:rPr>
          <w:noProof w:val="0"/>
        </w:rPr>
      </w:pPr>
      <w:r w:rsidRPr="00167A1B">
        <w:rPr>
          <w:noProof w:val="0"/>
        </w:rPr>
        <w:t>From an economic perspective, the policy options do not generate significant impacts across any of the options analysed for consumers or businesses based in the EU. The option that delivers the best results for consumers is option 1, but this option would have a minor negative impact on the competitiveness of companies located in the rest of the world</w:t>
      </w:r>
      <w:r w:rsidR="001823B8" w:rsidRPr="00167A1B">
        <w:rPr>
          <w:noProof w:val="0"/>
        </w:rPr>
        <w:t xml:space="preserve"> and negative impact for distributors in the EU</w:t>
      </w:r>
      <w:r w:rsidR="00045D43" w:rsidRPr="00167A1B">
        <w:rPr>
          <w:noProof w:val="0"/>
        </w:rPr>
        <w:t xml:space="preserve"> (as fewer standalone cables would be sold)</w:t>
      </w:r>
      <w:r w:rsidRPr="00167A1B">
        <w:rPr>
          <w:noProof w:val="0"/>
        </w:rPr>
        <w:t>. Options 2 and 3 are relatively similar in terms of reducing costs for consumers, with option 2 being also more favourable for the industry</w:t>
      </w:r>
      <w:r w:rsidR="00045D43" w:rsidRPr="00167A1B">
        <w:rPr>
          <w:noProof w:val="0"/>
        </w:rPr>
        <w:t>.</w:t>
      </w:r>
      <w:r w:rsidRPr="00167A1B">
        <w:rPr>
          <w:noProof w:val="0"/>
        </w:rPr>
        <w:t xml:space="preserve"> Options 4.a and 4.b deliver very similar results, with option 4.b being slightly more advantageous for consumers.</w:t>
      </w:r>
    </w:p>
    <w:p w14:paraId="547ABD59" w14:textId="115E5D43" w:rsidR="00084C36" w:rsidRPr="00167A1B" w:rsidRDefault="00045D43" w:rsidP="00084C36">
      <w:pPr>
        <w:pStyle w:val="BodyText1"/>
        <w:rPr>
          <w:noProof w:val="0"/>
        </w:rPr>
      </w:pPr>
      <w:r w:rsidRPr="00167A1B">
        <w:rPr>
          <w:noProof w:val="0"/>
        </w:rPr>
        <w:t xml:space="preserve">All the policy options reduce the </w:t>
      </w:r>
      <w:proofErr w:type="gramStart"/>
      <w:r w:rsidRPr="00167A1B">
        <w:rPr>
          <w:noProof w:val="0"/>
        </w:rPr>
        <w:t>amount</w:t>
      </w:r>
      <w:proofErr w:type="gramEnd"/>
      <w:r w:rsidRPr="00167A1B">
        <w:rPr>
          <w:noProof w:val="0"/>
        </w:rPr>
        <w:t xml:space="preserve"> of chargers sold in the market, and therefore they all produce negative impacts on the gross profits of manufacturers of chargers. Options 4.a and 4.b, however, have positive effects for distributors, as they will benefit from additional </w:t>
      </w:r>
      <w:r w:rsidR="00167A1B" w:rsidRPr="00167A1B">
        <w:rPr>
          <w:noProof w:val="0"/>
        </w:rPr>
        <w:t>margins</w:t>
      </w:r>
      <w:r w:rsidRPr="00167A1B">
        <w:rPr>
          <w:noProof w:val="0"/>
        </w:rPr>
        <w:t xml:space="preserve"> of selling more standalone chargers. In addition,</w:t>
      </w:r>
      <w:r w:rsidR="00084C36" w:rsidRPr="00167A1B">
        <w:rPr>
          <w:noProof w:val="0"/>
        </w:rPr>
        <w:t xml:space="preserve"> a few aspects need to be considered, most notably:</w:t>
      </w:r>
    </w:p>
    <w:p w14:paraId="03BED414" w14:textId="77777777" w:rsidR="00084C36" w:rsidRPr="00167A1B" w:rsidRDefault="00084C36" w:rsidP="00084C36">
      <w:pPr>
        <w:pStyle w:val="bullet1"/>
        <w:rPr>
          <w:noProof w:val="0"/>
        </w:rPr>
      </w:pPr>
      <w:r w:rsidRPr="00167A1B">
        <w:rPr>
          <w:noProof w:val="0"/>
        </w:rPr>
        <w:t>Option 1 may preclude further innovation in connectors and beyond; it might have an indirect negative effect on innovation in wireless charging technologies if the regulation does not give manufacturers the choice of not including any connector at all. This option would primarily affect Apple (who would suffer important operating costs and would lose income from royalties) and their suppliers of cables and accessories (who would lose a source of competitive advantage). The option, however, is the most favourable for consumers: they would need to buy fewer stand-alone cables, and the cables would be cheaper.</w:t>
      </w:r>
    </w:p>
    <w:p w14:paraId="4ADAC773" w14:textId="042E46BD" w:rsidR="00084C36" w:rsidRPr="00167A1B" w:rsidRDefault="00084C36" w:rsidP="00084C36">
      <w:pPr>
        <w:pStyle w:val="bullet1"/>
        <w:rPr>
          <w:noProof w:val="0"/>
        </w:rPr>
      </w:pPr>
      <w:r w:rsidRPr="00167A1B">
        <w:rPr>
          <w:noProof w:val="0"/>
        </w:rPr>
        <w:lastRenderedPageBreak/>
        <w:t xml:space="preserve">Option 2 is, in essence, very similar to the baseline, as most of the mobile phones sold today already include </w:t>
      </w:r>
      <w:r w:rsidR="00045D43" w:rsidRPr="00167A1B">
        <w:rPr>
          <w:noProof w:val="0"/>
        </w:rPr>
        <w:t>USB Type</w:t>
      </w:r>
      <w:r w:rsidR="005E0F2F" w:rsidRPr="00167A1B">
        <w:rPr>
          <w:noProof w:val="0"/>
        </w:rPr>
        <w:t>-</w:t>
      </w:r>
      <w:r w:rsidR="00045D43" w:rsidRPr="00167A1B">
        <w:rPr>
          <w:noProof w:val="0"/>
        </w:rPr>
        <w:t xml:space="preserve">C or </w:t>
      </w:r>
      <w:r w:rsidRPr="00167A1B">
        <w:rPr>
          <w:noProof w:val="0"/>
        </w:rPr>
        <w:t>USB PD battery charging protocol</w:t>
      </w:r>
      <w:r w:rsidR="00045D43" w:rsidRPr="00167A1B">
        <w:rPr>
          <w:noProof w:val="0"/>
        </w:rPr>
        <w:t>s</w:t>
      </w:r>
      <w:r w:rsidRPr="00167A1B">
        <w:rPr>
          <w:noProof w:val="0"/>
        </w:rPr>
        <w:t xml:space="preserve">. There are, however, a few exceptions (notably, low </w:t>
      </w:r>
      <w:r w:rsidR="00167A1B" w:rsidRPr="00167A1B">
        <w:rPr>
          <w:noProof w:val="0"/>
        </w:rPr>
        <w:t>and</w:t>
      </w:r>
      <w:r w:rsidRPr="00167A1B">
        <w:rPr>
          <w:noProof w:val="0"/>
        </w:rPr>
        <w:t xml:space="preserve"> some medium tier phones) that do not incorporate USB PD or USB Type-C yet. This policy option would only have some minor operating costs for these manufacturers.</w:t>
      </w:r>
    </w:p>
    <w:p w14:paraId="46226BDB" w14:textId="77777777" w:rsidR="00084C36" w:rsidRPr="00167A1B" w:rsidRDefault="00084C36" w:rsidP="00084C36">
      <w:pPr>
        <w:pStyle w:val="bullet1"/>
        <w:rPr>
          <w:noProof w:val="0"/>
        </w:rPr>
      </w:pPr>
      <w:r w:rsidRPr="00167A1B">
        <w:rPr>
          <w:noProof w:val="0"/>
        </w:rPr>
        <w:t xml:space="preserve">Option 3 would completely rule out proprietary fast charging technologies at the EPS end (when sold bundled with phones), which would have a significant negative impact on innovation, and would be detrimental for the competitive position of some companies located out of the EU. </w:t>
      </w:r>
    </w:p>
    <w:p w14:paraId="31908BAC" w14:textId="1AF6464F" w:rsidR="00084C36" w:rsidRPr="00167A1B" w:rsidRDefault="00084C36" w:rsidP="00084C36">
      <w:pPr>
        <w:pStyle w:val="bullet1"/>
        <w:rPr>
          <w:noProof w:val="0"/>
        </w:rPr>
      </w:pPr>
      <w:r w:rsidRPr="00167A1B">
        <w:rPr>
          <w:noProof w:val="0"/>
        </w:rPr>
        <w:t xml:space="preserve">Options 4.a and 4.b, which mandate unbundling, would overall benefit the industry as their profits would increase. The most benefitted would be those </w:t>
      </w:r>
      <w:r w:rsidR="00045D43" w:rsidRPr="00167A1B">
        <w:rPr>
          <w:noProof w:val="0"/>
        </w:rPr>
        <w:t>distributors and retailers</w:t>
      </w:r>
      <w:r w:rsidRPr="00167A1B">
        <w:rPr>
          <w:noProof w:val="0"/>
        </w:rPr>
        <w:t xml:space="preserve">, whereas the most negatively affected would </w:t>
      </w:r>
      <w:proofErr w:type="gramStart"/>
      <w:r w:rsidRPr="00167A1B">
        <w:rPr>
          <w:noProof w:val="0"/>
        </w:rPr>
        <w:t>be  manufacturers</w:t>
      </w:r>
      <w:proofErr w:type="gramEnd"/>
      <w:r w:rsidRPr="00167A1B">
        <w:rPr>
          <w:noProof w:val="0"/>
        </w:rPr>
        <w:t xml:space="preserve"> of EPS/cables that are included in the box (they would need to find new commercial routes to reach consumers). However, given that unbundling is also happening in the baseline, the relative effect on the competitive landscape is negligible.</w:t>
      </w:r>
    </w:p>
    <w:p w14:paraId="114B1A88" w14:textId="77777777" w:rsidR="00084C36" w:rsidRPr="00167A1B" w:rsidRDefault="00084C36" w:rsidP="00084C36">
      <w:pPr>
        <w:pStyle w:val="bullet1"/>
        <w:rPr>
          <w:noProof w:val="0"/>
        </w:rPr>
      </w:pPr>
      <w:r w:rsidRPr="00167A1B">
        <w:rPr>
          <w:noProof w:val="0"/>
        </w:rPr>
        <w:t xml:space="preserve">Option 5 is a voluntary option, and as such it does not have any significant impacts on any of the categories, </w:t>
      </w:r>
      <w:proofErr w:type="gramStart"/>
      <w:r w:rsidRPr="00167A1B">
        <w:rPr>
          <w:noProof w:val="0"/>
        </w:rPr>
        <w:t>with the exception of</w:t>
      </w:r>
      <w:proofErr w:type="gramEnd"/>
      <w:r w:rsidRPr="00167A1B">
        <w:rPr>
          <w:noProof w:val="0"/>
        </w:rPr>
        <w:t xml:space="preserve"> cost for public authorities. As explained above, the costs from designing, implementing, and monitoring the label would be significant.</w:t>
      </w:r>
    </w:p>
    <w:p w14:paraId="103E6AAC" w14:textId="07B591DB" w:rsidR="008F65B2" w:rsidRPr="00167A1B" w:rsidRDefault="008F65B2" w:rsidP="008F65B2">
      <w:pPr>
        <w:pStyle w:val="BodyText1"/>
        <w:rPr>
          <w:noProof w:val="0"/>
        </w:rPr>
      </w:pPr>
    </w:p>
    <w:p w14:paraId="5BA93E52" w14:textId="77777777" w:rsidR="008F65B2" w:rsidRPr="00167A1B" w:rsidRDefault="008F65B2" w:rsidP="008F65B2">
      <w:pPr>
        <w:pStyle w:val="BodyText1"/>
        <w:rPr>
          <w:noProof w:val="0"/>
        </w:rPr>
      </w:pPr>
    </w:p>
    <w:p w14:paraId="1BB51EAB" w14:textId="3C031CE3" w:rsidR="00D30D44" w:rsidRPr="00167A1B" w:rsidRDefault="00D30D44" w:rsidP="009C1705">
      <w:pPr>
        <w:pStyle w:val="Title2"/>
        <w:outlineLvl w:val="1"/>
      </w:pPr>
      <w:bookmarkStart w:id="59" w:name="_Toc74319758"/>
      <w:r w:rsidRPr="00167A1B">
        <w:t xml:space="preserve">Social impacts </w:t>
      </w:r>
      <w:bookmarkEnd w:id="59"/>
    </w:p>
    <w:p w14:paraId="488DD1C9" w14:textId="77777777" w:rsidR="0047600E" w:rsidRPr="00167A1B" w:rsidRDefault="0047600E" w:rsidP="0047600E">
      <w:pPr>
        <w:pStyle w:val="BodyText1"/>
        <w:rPr>
          <w:noProof w:val="0"/>
        </w:rPr>
      </w:pPr>
      <w:r w:rsidRPr="00167A1B">
        <w:rPr>
          <w:noProof w:val="0"/>
        </w:rPr>
        <w:t>The most relevant (i.e. potentially significant) social impacts of the initiative, which are discussed in this chapter, are:</w:t>
      </w:r>
    </w:p>
    <w:p w14:paraId="03B5D5AE" w14:textId="57DE2C48" w:rsidR="0047600E" w:rsidRPr="00167A1B" w:rsidRDefault="0047600E" w:rsidP="0047600E">
      <w:pPr>
        <w:pStyle w:val="bullet1"/>
        <w:rPr>
          <w:noProof w:val="0"/>
        </w:rPr>
      </w:pPr>
      <w:r w:rsidRPr="00167A1B">
        <w:rPr>
          <w:noProof w:val="0"/>
        </w:rPr>
        <w:t>Consumer convenience benefits from increased harmonisation of charging solutions</w:t>
      </w:r>
    </w:p>
    <w:p w14:paraId="4A141A3A" w14:textId="4F99ABB6" w:rsidR="0047600E" w:rsidRPr="00167A1B" w:rsidRDefault="0047600E" w:rsidP="0047600E">
      <w:pPr>
        <w:pStyle w:val="bullet1"/>
        <w:rPr>
          <w:noProof w:val="0"/>
        </w:rPr>
      </w:pPr>
      <w:r w:rsidRPr="00167A1B">
        <w:rPr>
          <w:noProof w:val="0"/>
        </w:rPr>
        <w:t xml:space="preserve">Impacts on product safety (in terms of the risk of injury or damage to consumers) and on the illicit market for mobile phone chargers (which is a criminal activity). Note that, since </w:t>
      </w:r>
      <w:proofErr w:type="gramStart"/>
      <w:r w:rsidRPr="00167A1B">
        <w:rPr>
          <w:noProof w:val="0"/>
        </w:rPr>
        <w:t>both of these</w:t>
      </w:r>
      <w:proofErr w:type="gramEnd"/>
      <w:r w:rsidRPr="00167A1B">
        <w:rPr>
          <w:noProof w:val="0"/>
        </w:rPr>
        <w:t xml:space="preserve"> </w:t>
      </w:r>
    </w:p>
    <w:p w14:paraId="4A37A6E0" w14:textId="33AD63DE" w:rsidR="0047600E" w:rsidRPr="00167A1B" w:rsidRDefault="0047600E" w:rsidP="0047600E">
      <w:pPr>
        <w:pStyle w:val="BodyText1"/>
        <w:rPr>
          <w:noProof w:val="0"/>
        </w:rPr>
      </w:pPr>
      <w:r w:rsidRPr="00167A1B">
        <w:rPr>
          <w:noProof w:val="0"/>
        </w:rPr>
        <w:t xml:space="preserve">Please note that two other types of impacts (cost for consumers, employment) </w:t>
      </w:r>
      <w:r w:rsidR="00A81F28" w:rsidRPr="00167A1B">
        <w:rPr>
          <w:noProof w:val="0"/>
        </w:rPr>
        <w:t>that could also be understood</w:t>
      </w:r>
      <w:r w:rsidRPr="00167A1B">
        <w:rPr>
          <w:noProof w:val="0"/>
        </w:rPr>
        <w:t xml:space="preserve"> as </w:t>
      </w:r>
      <w:r w:rsidR="00A81F28" w:rsidRPr="00167A1B">
        <w:rPr>
          <w:noProof w:val="0"/>
        </w:rPr>
        <w:t>“</w:t>
      </w:r>
      <w:r w:rsidRPr="00167A1B">
        <w:rPr>
          <w:noProof w:val="0"/>
        </w:rPr>
        <w:t>social</w:t>
      </w:r>
      <w:r w:rsidR="00A81F28" w:rsidRPr="00167A1B">
        <w:rPr>
          <w:noProof w:val="0"/>
        </w:rPr>
        <w:t>”</w:t>
      </w:r>
      <w:r w:rsidRPr="00167A1B">
        <w:rPr>
          <w:noProof w:val="0"/>
        </w:rPr>
        <w:t xml:space="preserve"> impacts are discussed in the previous chapter instead, since their assessment is closely linked to economic impacts</w:t>
      </w:r>
      <w:r w:rsidR="00A81F28" w:rsidRPr="00167A1B">
        <w:rPr>
          <w:noProof w:val="0"/>
        </w:rPr>
        <w:t>.</w:t>
      </w:r>
    </w:p>
    <w:p w14:paraId="11A380B8" w14:textId="77777777" w:rsidR="0047600E" w:rsidRPr="00167A1B" w:rsidRDefault="0047600E" w:rsidP="00467033">
      <w:pPr>
        <w:pStyle w:val="BodyText1"/>
        <w:rPr>
          <w:noProof w:val="0"/>
        </w:rPr>
      </w:pPr>
    </w:p>
    <w:p w14:paraId="2D8F95E7" w14:textId="77777777" w:rsidR="0047600E" w:rsidRPr="00167A1B" w:rsidRDefault="0047600E" w:rsidP="0047600E">
      <w:pPr>
        <w:pStyle w:val="title3"/>
      </w:pPr>
      <w:r w:rsidRPr="00167A1B">
        <w:t>Consumer convenience</w:t>
      </w:r>
    </w:p>
    <w:p w14:paraId="48D76A3E" w14:textId="4E6F5DA5" w:rsidR="00D52349" w:rsidRPr="00167A1B" w:rsidRDefault="00D52349" w:rsidP="00D52349">
      <w:pPr>
        <w:pStyle w:val="BodyText1"/>
        <w:rPr>
          <w:noProof w:val="0"/>
          <w:szCs w:val="22"/>
        </w:rPr>
      </w:pPr>
      <w:r w:rsidRPr="00167A1B">
        <w:rPr>
          <w:noProof w:val="0"/>
          <w:szCs w:val="22"/>
        </w:rPr>
        <w:t>As described in detail in the first IA study</w:t>
      </w:r>
      <w:r w:rsidRPr="00167A1B">
        <w:rPr>
          <w:rStyle w:val="FootnoteReference"/>
          <w:noProof w:val="0"/>
          <w:sz w:val="22"/>
          <w:szCs w:val="22"/>
        </w:rPr>
        <w:footnoteReference w:id="122"/>
      </w:r>
      <w:r w:rsidRPr="00167A1B">
        <w:rPr>
          <w:noProof w:val="0"/>
          <w:szCs w:val="22"/>
        </w:rPr>
        <w:t xml:space="preserve">, our survey of a representative panel of consumers suggests that around eight in ten EU consumers have experienced some form of inconvenience in relation to mobile phone chargers. When considering different sources of inconvenience, between around one third and one half of EU consumers have experienced each of a series of issues causing them inconvenience at least once over the course of the last two years. Broadly speaking, the sources of consumer inconvenience identified via the survey can be divided into </w:t>
      </w:r>
      <w:r w:rsidRPr="00167A1B">
        <w:rPr>
          <w:b/>
          <w:bCs/>
          <w:noProof w:val="0"/>
          <w:szCs w:val="22"/>
        </w:rPr>
        <w:t>four sets of issues</w:t>
      </w:r>
      <w:r w:rsidRPr="00167A1B">
        <w:rPr>
          <w:noProof w:val="0"/>
          <w:szCs w:val="22"/>
        </w:rPr>
        <w:t>, with those experienced by the highest number of consumers listed first:</w:t>
      </w:r>
      <w:r w:rsidR="00144484" w:rsidRPr="00167A1B">
        <w:rPr>
          <w:rStyle w:val="FootnoteReference"/>
          <w:noProof w:val="0"/>
          <w:szCs w:val="22"/>
        </w:rPr>
        <w:footnoteReference w:id="123"/>
      </w:r>
      <w:r w:rsidRPr="00167A1B">
        <w:rPr>
          <w:noProof w:val="0"/>
          <w:szCs w:val="22"/>
        </w:rPr>
        <w:t xml:space="preserve"> </w:t>
      </w:r>
    </w:p>
    <w:p w14:paraId="0B139701" w14:textId="06E0B92D" w:rsidR="00D52349" w:rsidRPr="00167A1B" w:rsidRDefault="00D52349" w:rsidP="00827359">
      <w:pPr>
        <w:pStyle w:val="bullet1"/>
        <w:numPr>
          <w:ilvl w:val="0"/>
          <w:numId w:val="35"/>
        </w:numPr>
        <w:rPr>
          <w:bCs/>
          <w:noProof w:val="0"/>
        </w:rPr>
      </w:pPr>
      <w:r w:rsidRPr="00167A1B">
        <w:rPr>
          <w:bCs/>
          <w:noProof w:val="0"/>
        </w:rPr>
        <w:t>Inability to charge certain devices (as fast) with certain chargers</w:t>
      </w:r>
    </w:p>
    <w:p w14:paraId="0994C9F9" w14:textId="79155451" w:rsidR="00D52349" w:rsidRPr="00167A1B" w:rsidRDefault="00D52349" w:rsidP="00827359">
      <w:pPr>
        <w:pStyle w:val="bullet1"/>
        <w:numPr>
          <w:ilvl w:val="0"/>
          <w:numId w:val="35"/>
        </w:numPr>
        <w:rPr>
          <w:bCs/>
          <w:noProof w:val="0"/>
        </w:rPr>
      </w:pPr>
      <w:r w:rsidRPr="00167A1B">
        <w:rPr>
          <w:bCs/>
          <w:noProof w:val="0"/>
        </w:rPr>
        <w:lastRenderedPageBreak/>
        <w:t>Too many chargers</w:t>
      </w:r>
    </w:p>
    <w:p w14:paraId="2C15094F" w14:textId="75C8E8C2" w:rsidR="00D52349" w:rsidRPr="00167A1B" w:rsidRDefault="00D52349" w:rsidP="00827359">
      <w:pPr>
        <w:pStyle w:val="bullet1"/>
        <w:numPr>
          <w:ilvl w:val="0"/>
          <w:numId w:val="35"/>
        </w:numPr>
        <w:rPr>
          <w:bCs/>
          <w:noProof w:val="0"/>
        </w:rPr>
      </w:pPr>
      <w:r w:rsidRPr="00167A1B">
        <w:rPr>
          <w:bCs/>
          <w:noProof w:val="0"/>
        </w:rPr>
        <w:t>No access to a compatible charger</w:t>
      </w:r>
    </w:p>
    <w:p w14:paraId="3E12E9DA" w14:textId="62682103" w:rsidR="00D52349" w:rsidRPr="00167A1B" w:rsidRDefault="00D52349" w:rsidP="00827359">
      <w:pPr>
        <w:pStyle w:val="bullet1"/>
        <w:numPr>
          <w:ilvl w:val="0"/>
          <w:numId w:val="35"/>
        </w:numPr>
        <w:rPr>
          <w:bCs/>
          <w:noProof w:val="0"/>
        </w:rPr>
      </w:pPr>
      <w:r w:rsidRPr="00167A1B">
        <w:rPr>
          <w:bCs/>
          <w:noProof w:val="0"/>
        </w:rPr>
        <w:t>Confusion about which charger works with what</w:t>
      </w:r>
    </w:p>
    <w:p w14:paraId="2F2FBE96" w14:textId="01E430F1" w:rsidR="00144484" w:rsidRPr="00167A1B" w:rsidRDefault="00144484" w:rsidP="00D52349">
      <w:pPr>
        <w:pStyle w:val="BodyText1"/>
        <w:rPr>
          <w:noProof w:val="0"/>
        </w:rPr>
      </w:pPr>
      <w:r w:rsidRPr="00167A1B">
        <w:rPr>
          <w:noProof w:val="0"/>
        </w:rPr>
        <w:t>A</w:t>
      </w:r>
      <w:r w:rsidR="00D52349" w:rsidRPr="00167A1B">
        <w:rPr>
          <w:noProof w:val="0"/>
        </w:rPr>
        <w:t xml:space="preserve">nnoyance at having too many chargers for mobile phones and other portable devices, and at the lack of interoperability between them, appear to be the main sources of inconvenience, experienced at least occasionally by around half of consumers. Situations where consumers are unable to gain access to a suitable charger for their </w:t>
      </w:r>
      <w:proofErr w:type="gramStart"/>
      <w:r w:rsidR="00D52349" w:rsidRPr="00167A1B">
        <w:rPr>
          <w:noProof w:val="0"/>
        </w:rPr>
        <w:t>phone, or</w:t>
      </w:r>
      <w:proofErr w:type="gramEnd"/>
      <w:r w:rsidR="00D52349" w:rsidRPr="00167A1B">
        <w:rPr>
          <w:noProof w:val="0"/>
        </w:rPr>
        <w:t xml:space="preserve"> are confused about which charger can be used for which phone or device, occur relatively less frequently (around one in three consumers).</w:t>
      </w:r>
      <w:r w:rsidRPr="00167A1B">
        <w:rPr>
          <w:noProof w:val="0"/>
        </w:rPr>
        <w:t xml:space="preserve"> </w:t>
      </w:r>
      <w:r w:rsidR="00D52349" w:rsidRPr="00167A1B">
        <w:rPr>
          <w:noProof w:val="0"/>
        </w:rPr>
        <w:t xml:space="preserve">Nonetheless, the proportion of respondents who reported having experienced </w:t>
      </w:r>
      <w:r w:rsidR="00D52349" w:rsidRPr="00167A1B">
        <w:rPr>
          <w:i/>
          <w:noProof w:val="0"/>
        </w:rPr>
        <w:t>significant</w:t>
      </w:r>
      <w:r w:rsidR="00D52349" w:rsidRPr="00167A1B">
        <w:rPr>
          <w:noProof w:val="0"/>
        </w:rPr>
        <w:t xml:space="preserve"> issues was quite similar across </w:t>
      </w:r>
      <w:proofErr w:type="gramStart"/>
      <w:r w:rsidR="00D52349" w:rsidRPr="00167A1B">
        <w:rPr>
          <w:noProof w:val="0"/>
        </w:rPr>
        <w:t>all of</w:t>
      </w:r>
      <w:proofErr w:type="gramEnd"/>
      <w:r w:rsidR="00D52349" w:rsidRPr="00167A1B">
        <w:rPr>
          <w:noProof w:val="0"/>
        </w:rPr>
        <w:t xml:space="preserve"> the problems listed (between 15% and 22% of all respondents). It therefore appears justified to attach the same significance to each of the four sets of issues for the sake of the impact assessment. </w:t>
      </w:r>
    </w:p>
    <w:p w14:paraId="00E18913" w14:textId="48D839C2" w:rsidR="003F048C" w:rsidRPr="00167A1B" w:rsidRDefault="00144484" w:rsidP="00D52349">
      <w:pPr>
        <w:pStyle w:val="BodyText1"/>
        <w:rPr>
          <w:noProof w:val="0"/>
        </w:rPr>
      </w:pPr>
      <w:r w:rsidRPr="00167A1B">
        <w:rPr>
          <w:noProof w:val="0"/>
        </w:rPr>
        <w:t>In addition to these four</w:t>
      </w:r>
      <w:r w:rsidR="003F048C" w:rsidRPr="00167A1B">
        <w:rPr>
          <w:noProof w:val="0"/>
        </w:rPr>
        <w:t xml:space="preserve"> issues</w:t>
      </w:r>
      <w:r w:rsidRPr="00167A1B">
        <w:rPr>
          <w:noProof w:val="0"/>
        </w:rPr>
        <w:t>, this study considers a</w:t>
      </w:r>
      <w:r w:rsidRPr="00167A1B">
        <w:rPr>
          <w:b/>
          <w:bCs/>
          <w:noProof w:val="0"/>
        </w:rPr>
        <w:t xml:space="preserve"> fifth</w:t>
      </w:r>
      <w:r w:rsidR="003F048C" w:rsidRPr="00167A1B">
        <w:rPr>
          <w:noProof w:val="0"/>
        </w:rPr>
        <w:t xml:space="preserve"> </w:t>
      </w:r>
      <w:r w:rsidR="003F048C" w:rsidRPr="00167A1B">
        <w:rPr>
          <w:b/>
          <w:bCs/>
          <w:noProof w:val="0"/>
        </w:rPr>
        <w:t>source of inconvenience</w:t>
      </w:r>
      <w:r w:rsidRPr="00167A1B">
        <w:rPr>
          <w:noProof w:val="0"/>
        </w:rPr>
        <w:t xml:space="preserve">, namely, the potential convenience losses for consumers who expect / prefer to be provided with a charger </w:t>
      </w:r>
      <w:r w:rsidR="00BF7593" w:rsidRPr="00167A1B">
        <w:rPr>
          <w:noProof w:val="0"/>
        </w:rPr>
        <w:t>along with a new mobile phone they purchase, but have to purchase this separately under the “unbundling” scenarios (including the baseline, where some manufacturers have begun to unbundle voluntarily). According to the consumer survey carried out for this study</w:t>
      </w:r>
      <w:r w:rsidR="003F048C" w:rsidRPr="00167A1B">
        <w:rPr>
          <w:noProof w:val="0"/>
        </w:rPr>
        <w:t xml:space="preserve"> (for further details see Annex C)</w:t>
      </w:r>
      <w:r w:rsidR="00BF7593" w:rsidRPr="00167A1B">
        <w:rPr>
          <w:noProof w:val="0"/>
        </w:rPr>
        <w:t xml:space="preserve">, even after having been provided with basic information about the environmental impacts and interoperability of chargers, over 70% still responded that it was important for them that the EPS is </w:t>
      </w:r>
      <w:r w:rsidR="00BF7593" w:rsidRPr="00167A1B">
        <w:rPr>
          <w:noProof w:val="0"/>
          <w:lang w:eastAsia="en-GB"/>
        </w:rPr>
        <w:t>provided along with the phone</w:t>
      </w:r>
      <w:r w:rsidR="00BF7593" w:rsidRPr="00167A1B">
        <w:rPr>
          <w:noProof w:val="0"/>
        </w:rPr>
        <w:t xml:space="preserve"> (</w:t>
      </w:r>
      <w:r w:rsidR="00AC3CFD" w:rsidRPr="00167A1B">
        <w:rPr>
          <w:noProof w:val="0"/>
        </w:rPr>
        <w:t>including</w:t>
      </w:r>
      <w:r w:rsidR="00BF7593" w:rsidRPr="00167A1B">
        <w:rPr>
          <w:noProof w:val="0"/>
        </w:rPr>
        <w:t xml:space="preserve"> 27% who responded “very important”). The proportion for whom the provision of a cable was important were even higher (nearly 80%). Among the main reasons respondents gave for this </w:t>
      </w:r>
      <w:r w:rsidR="00BB2783" w:rsidRPr="00167A1B">
        <w:rPr>
          <w:noProof w:val="0"/>
        </w:rPr>
        <w:t xml:space="preserve">were </w:t>
      </w:r>
      <w:r w:rsidR="00BF7593" w:rsidRPr="00167A1B">
        <w:rPr>
          <w:noProof w:val="0"/>
        </w:rPr>
        <w:t xml:space="preserve">habit (“I am used to finding a complete product in the box” </w:t>
      </w:r>
      <w:r w:rsidR="003F048C" w:rsidRPr="00167A1B">
        <w:rPr>
          <w:noProof w:val="0"/>
        </w:rPr>
        <w:t>–</w:t>
      </w:r>
      <w:r w:rsidR="00BF7593" w:rsidRPr="00167A1B">
        <w:rPr>
          <w:noProof w:val="0"/>
        </w:rPr>
        <w:t xml:space="preserve"> </w:t>
      </w:r>
      <w:r w:rsidR="003F048C" w:rsidRPr="00167A1B">
        <w:rPr>
          <w:noProof w:val="0"/>
        </w:rPr>
        <w:t>46% for EPS, 54% for cable) and convenience (“This way I do not have to think about how I charge my phone” – 38% for EPS, 37% for cable). In view of this, it is perhaps unsurprising that 50% of respondents strongly agreed (and another 25% tended to agree) that “all mobile phones should be sold with a complete charging solution in the box”.</w:t>
      </w:r>
    </w:p>
    <w:p w14:paraId="175534E4" w14:textId="5ED2B92F" w:rsidR="003F048C" w:rsidRPr="00167A1B" w:rsidRDefault="003F048C" w:rsidP="003F048C">
      <w:pPr>
        <w:pStyle w:val="BodyText1"/>
        <w:rPr>
          <w:noProof w:val="0"/>
        </w:rPr>
      </w:pPr>
      <w:r w:rsidRPr="00167A1B">
        <w:rPr>
          <w:noProof w:val="0"/>
        </w:rPr>
        <w:t>On the other hand, among the minority of survey respondents for whom the inclusion of a charger was not (very) important, the main reason was convenience (“I already have enough EPS / cables at home”). And in an apparent contradiction to the preference for complete charging solutions in the box, slightly over half of respondents also agreed that “all mobile phone manufacturers / distributors should give customers the option of purchasing (or not) a new EPS and/or cable with new phones”.</w:t>
      </w:r>
      <w:r w:rsidR="006C4306" w:rsidRPr="00167A1B">
        <w:rPr>
          <w:noProof w:val="0"/>
        </w:rPr>
        <w:t xml:space="preserve"> In summary, the survey results suggest that </w:t>
      </w:r>
      <w:proofErr w:type="gramStart"/>
      <w:r w:rsidR="006C4306" w:rsidRPr="00167A1B">
        <w:rPr>
          <w:noProof w:val="0"/>
        </w:rPr>
        <w:t>the majority of</w:t>
      </w:r>
      <w:proofErr w:type="gramEnd"/>
      <w:r w:rsidR="006C4306" w:rsidRPr="00167A1B">
        <w:rPr>
          <w:noProof w:val="0"/>
        </w:rPr>
        <w:t xml:space="preserve"> consumers considers unbundling primarily as a source of inconvenience</w:t>
      </w:r>
      <w:r w:rsidR="00D67E38" w:rsidRPr="00167A1B">
        <w:rPr>
          <w:noProof w:val="0"/>
        </w:rPr>
        <w:t>; but around half nonetheless agree that consumers should be given a choice.</w:t>
      </w:r>
    </w:p>
    <w:p w14:paraId="430BB148" w14:textId="121841AA" w:rsidR="00D52349" w:rsidRPr="00167A1B" w:rsidRDefault="00D52349" w:rsidP="00D52349">
      <w:pPr>
        <w:pStyle w:val="BodyText1"/>
        <w:rPr>
          <w:noProof w:val="0"/>
        </w:rPr>
      </w:pPr>
      <w:r w:rsidRPr="00167A1B">
        <w:rPr>
          <w:noProof w:val="0"/>
        </w:rPr>
        <w:t xml:space="preserve">In the remainder of this section, we consider how the different policy options would be likely to affect consumer (in)convenience of the </w:t>
      </w:r>
      <w:r w:rsidR="00BF7593" w:rsidRPr="00167A1B">
        <w:rPr>
          <w:noProof w:val="0"/>
        </w:rPr>
        <w:t>five</w:t>
      </w:r>
      <w:r w:rsidRPr="00167A1B">
        <w:rPr>
          <w:noProof w:val="0"/>
        </w:rPr>
        <w:t xml:space="preserve"> main types outlined above. </w:t>
      </w:r>
      <w:r w:rsidR="004B29D2" w:rsidRPr="00167A1B">
        <w:rPr>
          <w:noProof w:val="0"/>
        </w:rPr>
        <w:t xml:space="preserve">The assessment builds on the analysis already carried out for the first IA study, complemented and updated by the analysis of the present study, including the information gleaned via the consumer survey and stakeholder interviews. </w:t>
      </w:r>
      <w:r w:rsidRPr="00167A1B">
        <w:rPr>
          <w:noProof w:val="0"/>
        </w:rPr>
        <w:t>The main results are summarised in the table below.</w:t>
      </w:r>
    </w:p>
    <w:p w14:paraId="14EDAE16" w14:textId="7D3C2E7F" w:rsidR="00D52349" w:rsidRPr="00167A1B" w:rsidRDefault="00D52349" w:rsidP="00D52349">
      <w:pPr>
        <w:pStyle w:val="BodyText1"/>
        <w:rPr>
          <w:noProof w:val="0"/>
        </w:rPr>
      </w:pPr>
    </w:p>
    <w:p w14:paraId="5C2E4882" w14:textId="761440EE" w:rsidR="00D52349" w:rsidRPr="00167A1B" w:rsidRDefault="00D52349" w:rsidP="00D52349">
      <w:pPr>
        <w:pStyle w:val="Caption"/>
      </w:pPr>
      <w:r w:rsidRPr="00167A1B">
        <w:t xml:space="preserve">Table </w:t>
      </w:r>
      <w:r w:rsidRPr="00167A1B">
        <w:fldChar w:fldCharType="begin"/>
      </w:r>
      <w:r w:rsidRPr="00167A1B">
        <w:instrText xml:space="preserve"> SEQ Table \* ARABIC </w:instrText>
      </w:r>
      <w:r w:rsidRPr="00167A1B">
        <w:fldChar w:fldCharType="separate"/>
      </w:r>
      <w:r w:rsidR="00953106" w:rsidRPr="00167A1B">
        <w:t>21</w:t>
      </w:r>
      <w:r w:rsidRPr="00167A1B">
        <w:fldChar w:fldCharType="end"/>
      </w:r>
      <w:r w:rsidRPr="00167A1B">
        <w:t>: Main effects of the policy options on consumer convenience</w:t>
      </w:r>
    </w:p>
    <w:tbl>
      <w:tblPr>
        <w:tblStyle w:val="TableGridLight"/>
        <w:tblW w:w="9209" w:type="dxa"/>
        <w:tblInd w:w="0" w:type="dxa"/>
        <w:tblLayout w:type="fixed"/>
        <w:tblCellMar>
          <w:top w:w="57" w:type="dxa"/>
          <w:left w:w="57" w:type="dxa"/>
          <w:bottom w:w="57" w:type="dxa"/>
          <w:right w:w="57" w:type="dxa"/>
        </w:tblCellMar>
        <w:tblLook w:val="04A0" w:firstRow="1" w:lastRow="0" w:firstColumn="1" w:lastColumn="0" w:noHBand="0" w:noVBand="1"/>
      </w:tblPr>
      <w:tblGrid>
        <w:gridCol w:w="1413"/>
        <w:gridCol w:w="1299"/>
        <w:gridCol w:w="1299"/>
        <w:gridCol w:w="1300"/>
        <w:gridCol w:w="1299"/>
        <w:gridCol w:w="1299"/>
        <w:gridCol w:w="1300"/>
      </w:tblGrid>
      <w:tr w:rsidR="00D52349" w:rsidRPr="00167A1B" w14:paraId="3B75E2EA" w14:textId="77777777" w:rsidTr="009E118A">
        <w:trPr>
          <w:cantSplit/>
          <w:tblHeader/>
        </w:trPr>
        <w:tc>
          <w:tcPr>
            <w:tcW w:w="1413" w:type="dxa"/>
          </w:tcPr>
          <w:p w14:paraId="7E37C415" w14:textId="77777777" w:rsidR="00D52349" w:rsidRPr="00167A1B" w:rsidRDefault="00D52349" w:rsidP="009E118A">
            <w:pPr>
              <w:pStyle w:val="BodyText1"/>
              <w:spacing w:before="0" w:after="0"/>
              <w:jc w:val="left"/>
              <w:rPr>
                <w:b/>
                <w:bCs/>
                <w:noProof w:val="0"/>
                <w:sz w:val="18"/>
                <w:szCs w:val="18"/>
              </w:rPr>
            </w:pPr>
            <w:r w:rsidRPr="00167A1B">
              <w:rPr>
                <w:b/>
                <w:bCs/>
                <w:noProof w:val="0"/>
                <w:sz w:val="18"/>
                <w:szCs w:val="18"/>
              </w:rPr>
              <w:t>Sources of inconvenience</w:t>
            </w:r>
          </w:p>
        </w:tc>
        <w:tc>
          <w:tcPr>
            <w:tcW w:w="1299" w:type="dxa"/>
          </w:tcPr>
          <w:p w14:paraId="3C6A4FF1" w14:textId="77777777" w:rsidR="00D52349" w:rsidRPr="00167A1B" w:rsidRDefault="00D52349" w:rsidP="009E118A">
            <w:pPr>
              <w:pStyle w:val="BodyText1"/>
              <w:spacing w:before="0" w:after="0"/>
              <w:jc w:val="center"/>
              <w:rPr>
                <w:b/>
                <w:bCs/>
                <w:noProof w:val="0"/>
                <w:sz w:val="18"/>
                <w:szCs w:val="18"/>
              </w:rPr>
            </w:pPr>
            <w:r w:rsidRPr="00167A1B">
              <w:rPr>
                <w:b/>
                <w:bCs/>
                <w:noProof w:val="0"/>
                <w:sz w:val="18"/>
                <w:szCs w:val="18"/>
              </w:rPr>
              <w:t>Option 1</w:t>
            </w:r>
          </w:p>
        </w:tc>
        <w:tc>
          <w:tcPr>
            <w:tcW w:w="1299" w:type="dxa"/>
          </w:tcPr>
          <w:p w14:paraId="5589A332" w14:textId="77777777" w:rsidR="00D52349" w:rsidRPr="00167A1B" w:rsidRDefault="00D52349" w:rsidP="009E118A">
            <w:pPr>
              <w:pStyle w:val="BodyText1"/>
              <w:spacing w:before="0" w:after="0"/>
              <w:jc w:val="center"/>
              <w:rPr>
                <w:b/>
                <w:bCs/>
                <w:noProof w:val="0"/>
                <w:sz w:val="18"/>
                <w:szCs w:val="18"/>
              </w:rPr>
            </w:pPr>
            <w:r w:rsidRPr="00167A1B">
              <w:rPr>
                <w:b/>
                <w:bCs/>
                <w:noProof w:val="0"/>
                <w:sz w:val="18"/>
                <w:szCs w:val="18"/>
              </w:rPr>
              <w:t>Option 2</w:t>
            </w:r>
          </w:p>
        </w:tc>
        <w:tc>
          <w:tcPr>
            <w:tcW w:w="1300" w:type="dxa"/>
          </w:tcPr>
          <w:p w14:paraId="1C469C6B" w14:textId="77777777" w:rsidR="00D52349" w:rsidRPr="00167A1B" w:rsidRDefault="00D52349" w:rsidP="009E118A">
            <w:pPr>
              <w:pStyle w:val="BodyText1"/>
              <w:spacing w:before="0" w:after="0"/>
              <w:jc w:val="center"/>
              <w:rPr>
                <w:b/>
                <w:bCs/>
                <w:noProof w:val="0"/>
                <w:sz w:val="18"/>
                <w:szCs w:val="18"/>
              </w:rPr>
            </w:pPr>
            <w:r w:rsidRPr="00167A1B">
              <w:rPr>
                <w:b/>
                <w:bCs/>
                <w:noProof w:val="0"/>
                <w:sz w:val="18"/>
                <w:szCs w:val="18"/>
              </w:rPr>
              <w:t>Option 3</w:t>
            </w:r>
          </w:p>
        </w:tc>
        <w:tc>
          <w:tcPr>
            <w:tcW w:w="1299" w:type="dxa"/>
          </w:tcPr>
          <w:p w14:paraId="5BEB73E2" w14:textId="59EE6FBF" w:rsidR="00D52349" w:rsidRPr="00167A1B" w:rsidRDefault="00D52349" w:rsidP="009E118A">
            <w:pPr>
              <w:pStyle w:val="BodyText1"/>
              <w:spacing w:before="0" w:after="0"/>
              <w:jc w:val="center"/>
              <w:rPr>
                <w:b/>
                <w:bCs/>
                <w:noProof w:val="0"/>
                <w:sz w:val="18"/>
                <w:szCs w:val="18"/>
              </w:rPr>
            </w:pPr>
            <w:r w:rsidRPr="00167A1B">
              <w:rPr>
                <w:b/>
                <w:bCs/>
                <w:noProof w:val="0"/>
                <w:sz w:val="18"/>
                <w:szCs w:val="18"/>
              </w:rPr>
              <w:t xml:space="preserve">Option </w:t>
            </w:r>
            <w:proofErr w:type="gramStart"/>
            <w:r w:rsidRPr="00167A1B">
              <w:rPr>
                <w:b/>
                <w:bCs/>
                <w:noProof w:val="0"/>
                <w:sz w:val="18"/>
                <w:szCs w:val="18"/>
              </w:rPr>
              <w:t>4.a</w:t>
            </w:r>
            <w:proofErr w:type="gramEnd"/>
          </w:p>
        </w:tc>
        <w:tc>
          <w:tcPr>
            <w:tcW w:w="1299" w:type="dxa"/>
          </w:tcPr>
          <w:p w14:paraId="2D4AFD7E" w14:textId="293F0C33" w:rsidR="00D52349" w:rsidRPr="00167A1B" w:rsidRDefault="00D52349" w:rsidP="009E118A">
            <w:pPr>
              <w:pStyle w:val="BodyText1"/>
              <w:spacing w:before="0" w:after="0"/>
              <w:jc w:val="center"/>
              <w:rPr>
                <w:b/>
                <w:bCs/>
                <w:noProof w:val="0"/>
                <w:sz w:val="18"/>
                <w:szCs w:val="18"/>
              </w:rPr>
            </w:pPr>
            <w:r w:rsidRPr="00167A1B">
              <w:rPr>
                <w:b/>
                <w:bCs/>
                <w:noProof w:val="0"/>
                <w:sz w:val="18"/>
                <w:szCs w:val="18"/>
              </w:rPr>
              <w:t xml:space="preserve">Option </w:t>
            </w:r>
            <w:proofErr w:type="gramStart"/>
            <w:r w:rsidRPr="00167A1B">
              <w:rPr>
                <w:b/>
                <w:bCs/>
                <w:noProof w:val="0"/>
                <w:sz w:val="18"/>
                <w:szCs w:val="18"/>
              </w:rPr>
              <w:t>4.b</w:t>
            </w:r>
            <w:proofErr w:type="gramEnd"/>
          </w:p>
        </w:tc>
        <w:tc>
          <w:tcPr>
            <w:tcW w:w="1300" w:type="dxa"/>
          </w:tcPr>
          <w:p w14:paraId="72C99C16" w14:textId="5FC896B8" w:rsidR="00D52349" w:rsidRPr="00167A1B" w:rsidRDefault="00D52349" w:rsidP="009E118A">
            <w:pPr>
              <w:pStyle w:val="BodyText1"/>
              <w:spacing w:before="0" w:after="0"/>
              <w:jc w:val="center"/>
              <w:rPr>
                <w:b/>
                <w:bCs/>
                <w:noProof w:val="0"/>
                <w:sz w:val="18"/>
                <w:szCs w:val="18"/>
              </w:rPr>
            </w:pPr>
            <w:r w:rsidRPr="00167A1B">
              <w:rPr>
                <w:b/>
                <w:bCs/>
                <w:noProof w:val="0"/>
                <w:sz w:val="18"/>
                <w:szCs w:val="18"/>
              </w:rPr>
              <w:t>Option 5</w:t>
            </w:r>
          </w:p>
        </w:tc>
      </w:tr>
      <w:tr w:rsidR="00D44173" w:rsidRPr="00167A1B" w14:paraId="58BE8CC3" w14:textId="77777777" w:rsidTr="001160E7">
        <w:trPr>
          <w:cantSplit/>
        </w:trPr>
        <w:tc>
          <w:tcPr>
            <w:tcW w:w="1413" w:type="dxa"/>
          </w:tcPr>
          <w:p w14:paraId="348F0CA4" w14:textId="77777777" w:rsidR="00D44173" w:rsidRPr="00167A1B" w:rsidRDefault="00D44173" w:rsidP="009E118A">
            <w:pPr>
              <w:pStyle w:val="BodyText1"/>
              <w:spacing w:before="0" w:after="0"/>
              <w:jc w:val="left"/>
              <w:rPr>
                <w:noProof w:val="0"/>
                <w:sz w:val="18"/>
                <w:szCs w:val="18"/>
              </w:rPr>
            </w:pPr>
            <w:r w:rsidRPr="00167A1B">
              <w:rPr>
                <w:noProof w:val="0"/>
                <w:sz w:val="18"/>
                <w:szCs w:val="18"/>
              </w:rPr>
              <w:t xml:space="preserve">a) Inability to charge certain devices (as fast) </w:t>
            </w:r>
          </w:p>
        </w:tc>
        <w:tc>
          <w:tcPr>
            <w:tcW w:w="1299" w:type="dxa"/>
          </w:tcPr>
          <w:p w14:paraId="4DA27A9A" w14:textId="77777777" w:rsidR="00D44173" w:rsidRPr="00167A1B" w:rsidRDefault="00D44173" w:rsidP="009E118A">
            <w:pPr>
              <w:pStyle w:val="Body"/>
              <w:numPr>
                <w:ilvl w:val="0"/>
                <w:numId w:val="28"/>
              </w:numPr>
              <w:jc w:val="center"/>
              <w:rPr>
                <w:sz w:val="18"/>
                <w:szCs w:val="18"/>
                <w:lang w:val="en-GB"/>
              </w:rPr>
            </w:pPr>
            <w:r w:rsidRPr="00167A1B">
              <w:rPr>
                <w:sz w:val="18"/>
                <w:szCs w:val="18"/>
                <w:lang w:val="en-GB"/>
              </w:rPr>
              <w:t>+</w:t>
            </w:r>
          </w:p>
          <w:p w14:paraId="6D4644CD" w14:textId="77777777" w:rsidR="00D44173" w:rsidRPr="00167A1B" w:rsidRDefault="00D44173" w:rsidP="009E118A">
            <w:pPr>
              <w:pStyle w:val="Body"/>
              <w:numPr>
                <w:ilvl w:val="0"/>
                <w:numId w:val="28"/>
              </w:numPr>
              <w:jc w:val="center"/>
              <w:rPr>
                <w:sz w:val="18"/>
                <w:szCs w:val="18"/>
                <w:lang w:val="en-GB"/>
              </w:rPr>
            </w:pPr>
          </w:p>
          <w:p w14:paraId="1A9D7101" w14:textId="3BCA6B07" w:rsidR="00D44173" w:rsidRPr="00167A1B" w:rsidRDefault="00D44173" w:rsidP="009E118A">
            <w:pPr>
              <w:pStyle w:val="BodyText1"/>
              <w:spacing w:before="0" w:after="0"/>
              <w:jc w:val="center"/>
              <w:rPr>
                <w:noProof w:val="0"/>
                <w:sz w:val="18"/>
                <w:szCs w:val="18"/>
              </w:rPr>
            </w:pPr>
            <w:bookmarkStart w:id="60" w:name="_Hlk25222186"/>
            <w:r w:rsidRPr="00167A1B">
              <w:rPr>
                <w:noProof w:val="0"/>
                <w:sz w:val="18"/>
                <w:szCs w:val="18"/>
              </w:rPr>
              <w:t>Enhanced ability to charge all phones</w:t>
            </w:r>
            <w:bookmarkEnd w:id="60"/>
            <w:r w:rsidRPr="00167A1B">
              <w:rPr>
                <w:noProof w:val="0"/>
                <w:sz w:val="18"/>
                <w:szCs w:val="18"/>
              </w:rPr>
              <w:t xml:space="preserve"> with the same cables</w:t>
            </w:r>
          </w:p>
        </w:tc>
        <w:tc>
          <w:tcPr>
            <w:tcW w:w="1299" w:type="dxa"/>
          </w:tcPr>
          <w:p w14:paraId="08746714" w14:textId="59A23AA0" w:rsidR="00D44173" w:rsidRPr="00167A1B" w:rsidRDefault="00D44173" w:rsidP="009E118A">
            <w:pPr>
              <w:pStyle w:val="Body"/>
              <w:numPr>
                <w:ilvl w:val="0"/>
                <w:numId w:val="28"/>
              </w:numPr>
              <w:jc w:val="center"/>
              <w:rPr>
                <w:rFonts w:ascii="Arial" w:hAnsi="Arial"/>
                <w:sz w:val="18"/>
                <w:szCs w:val="18"/>
                <w:lang w:val="en-GB"/>
              </w:rPr>
            </w:pPr>
            <w:r w:rsidRPr="00167A1B">
              <w:rPr>
                <w:rFonts w:ascii="Arial" w:hAnsi="Arial"/>
                <w:sz w:val="18"/>
                <w:szCs w:val="18"/>
                <w:lang w:val="en-GB"/>
              </w:rPr>
              <w:t>+</w:t>
            </w:r>
          </w:p>
          <w:p w14:paraId="3FAFF061" w14:textId="77777777" w:rsidR="00D44173" w:rsidRPr="00167A1B" w:rsidRDefault="00D44173" w:rsidP="009E118A">
            <w:pPr>
              <w:pStyle w:val="Body"/>
              <w:numPr>
                <w:ilvl w:val="0"/>
                <w:numId w:val="28"/>
              </w:numPr>
              <w:jc w:val="center"/>
              <w:rPr>
                <w:rFonts w:ascii="Arial" w:hAnsi="Arial"/>
                <w:sz w:val="18"/>
                <w:szCs w:val="18"/>
                <w:lang w:val="en-GB"/>
              </w:rPr>
            </w:pPr>
          </w:p>
          <w:p w14:paraId="763231B3" w14:textId="25CD8CE0" w:rsidR="00D44173" w:rsidRPr="00167A1B" w:rsidRDefault="00D44173" w:rsidP="009E118A">
            <w:pPr>
              <w:pStyle w:val="Body"/>
              <w:numPr>
                <w:ilvl w:val="0"/>
                <w:numId w:val="28"/>
              </w:numPr>
              <w:jc w:val="center"/>
              <w:rPr>
                <w:rFonts w:ascii="Arial" w:hAnsi="Arial"/>
                <w:sz w:val="18"/>
                <w:szCs w:val="18"/>
                <w:lang w:val="en-GB"/>
              </w:rPr>
            </w:pPr>
            <w:r w:rsidRPr="00167A1B">
              <w:rPr>
                <w:rFonts w:ascii="Arial" w:hAnsi="Arial"/>
                <w:sz w:val="18"/>
                <w:szCs w:val="18"/>
                <w:lang w:val="en-GB"/>
              </w:rPr>
              <w:t>Interoperability guaranteed, plus ability to charge all phones with the same cables</w:t>
            </w:r>
          </w:p>
        </w:tc>
        <w:tc>
          <w:tcPr>
            <w:tcW w:w="1300" w:type="dxa"/>
          </w:tcPr>
          <w:p w14:paraId="2D971249" w14:textId="1D4324A1" w:rsidR="00D44173" w:rsidRPr="00167A1B" w:rsidRDefault="00D44173" w:rsidP="009E118A">
            <w:pPr>
              <w:pStyle w:val="BodyText1"/>
              <w:spacing w:before="0" w:after="0"/>
              <w:jc w:val="center"/>
              <w:rPr>
                <w:noProof w:val="0"/>
                <w:sz w:val="18"/>
                <w:szCs w:val="18"/>
              </w:rPr>
            </w:pPr>
            <w:r w:rsidRPr="00167A1B">
              <w:rPr>
                <w:noProof w:val="0"/>
                <w:sz w:val="18"/>
                <w:szCs w:val="18"/>
              </w:rPr>
              <w:t>+</w:t>
            </w:r>
          </w:p>
          <w:p w14:paraId="38CB0B53" w14:textId="77777777" w:rsidR="00D44173" w:rsidRPr="00167A1B" w:rsidRDefault="00D44173" w:rsidP="009E118A">
            <w:pPr>
              <w:pStyle w:val="BodyText1"/>
              <w:spacing w:before="0" w:after="0"/>
              <w:jc w:val="center"/>
              <w:rPr>
                <w:noProof w:val="0"/>
                <w:sz w:val="18"/>
                <w:szCs w:val="18"/>
              </w:rPr>
            </w:pPr>
          </w:p>
          <w:p w14:paraId="784A3C2C" w14:textId="1773DF21" w:rsidR="00D44173" w:rsidRPr="00167A1B" w:rsidRDefault="00D44173" w:rsidP="009E118A">
            <w:pPr>
              <w:pStyle w:val="BodyText1"/>
              <w:spacing w:before="0" w:after="0"/>
              <w:jc w:val="center"/>
              <w:rPr>
                <w:noProof w:val="0"/>
                <w:sz w:val="18"/>
                <w:szCs w:val="18"/>
              </w:rPr>
            </w:pPr>
            <w:r w:rsidRPr="00167A1B">
              <w:rPr>
                <w:noProof w:val="0"/>
                <w:sz w:val="18"/>
                <w:szCs w:val="18"/>
              </w:rPr>
              <w:t xml:space="preserve">Interoperability guaranteed, but elimination of very fast charging proprietary EPS </w:t>
            </w:r>
          </w:p>
        </w:tc>
        <w:tc>
          <w:tcPr>
            <w:tcW w:w="2598" w:type="dxa"/>
            <w:gridSpan w:val="2"/>
          </w:tcPr>
          <w:p w14:paraId="3EE504E6" w14:textId="77777777" w:rsidR="00D44173" w:rsidRPr="00167A1B" w:rsidRDefault="00D44173" w:rsidP="009E118A">
            <w:pPr>
              <w:pStyle w:val="BodyText1"/>
              <w:spacing w:before="0" w:after="0"/>
              <w:jc w:val="center"/>
              <w:rPr>
                <w:noProof w:val="0"/>
                <w:sz w:val="18"/>
                <w:szCs w:val="18"/>
              </w:rPr>
            </w:pPr>
            <w:r w:rsidRPr="00167A1B">
              <w:rPr>
                <w:noProof w:val="0"/>
                <w:sz w:val="18"/>
                <w:szCs w:val="18"/>
              </w:rPr>
              <w:t>0</w:t>
            </w:r>
          </w:p>
          <w:p w14:paraId="72F9C34B" w14:textId="77777777" w:rsidR="00D44173" w:rsidRPr="00167A1B" w:rsidRDefault="00D44173" w:rsidP="009E118A">
            <w:pPr>
              <w:pStyle w:val="BodyText1"/>
              <w:spacing w:before="0" w:after="0"/>
              <w:jc w:val="center"/>
              <w:rPr>
                <w:noProof w:val="0"/>
                <w:sz w:val="18"/>
                <w:szCs w:val="18"/>
              </w:rPr>
            </w:pPr>
          </w:p>
          <w:p w14:paraId="5784D5D5" w14:textId="41744AF7" w:rsidR="00D44173" w:rsidRPr="00167A1B" w:rsidRDefault="00D44173" w:rsidP="00D44173">
            <w:pPr>
              <w:pStyle w:val="BodyText1"/>
              <w:spacing w:before="0" w:after="0"/>
              <w:jc w:val="center"/>
              <w:rPr>
                <w:noProof w:val="0"/>
                <w:sz w:val="18"/>
                <w:szCs w:val="18"/>
              </w:rPr>
            </w:pPr>
            <w:r w:rsidRPr="00167A1B">
              <w:rPr>
                <w:noProof w:val="0"/>
                <w:sz w:val="18"/>
                <w:szCs w:val="18"/>
              </w:rPr>
              <w:t>No impact on interoperability as such</w:t>
            </w:r>
          </w:p>
        </w:tc>
        <w:tc>
          <w:tcPr>
            <w:tcW w:w="1300" w:type="dxa"/>
          </w:tcPr>
          <w:p w14:paraId="6E4755AD" w14:textId="77777777" w:rsidR="00D44173" w:rsidRPr="00167A1B" w:rsidRDefault="00BB7AFD" w:rsidP="009E118A">
            <w:pPr>
              <w:pStyle w:val="BodyText1"/>
              <w:spacing w:before="0" w:after="0"/>
              <w:jc w:val="center"/>
              <w:rPr>
                <w:noProof w:val="0"/>
                <w:sz w:val="18"/>
                <w:szCs w:val="18"/>
              </w:rPr>
            </w:pPr>
            <w:r w:rsidRPr="00167A1B">
              <w:rPr>
                <w:noProof w:val="0"/>
                <w:sz w:val="18"/>
                <w:szCs w:val="18"/>
              </w:rPr>
              <w:t>0/+</w:t>
            </w:r>
          </w:p>
          <w:p w14:paraId="6A011C05" w14:textId="77777777" w:rsidR="009805C1" w:rsidRPr="00167A1B" w:rsidRDefault="009805C1" w:rsidP="009E118A">
            <w:pPr>
              <w:pStyle w:val="BodyText1"/>
              <w:spacing w:before="0" w:after="0"/>
              <w:jc w:val="center"/>
              <w:rPr>
                <w:noProof w:val="0"/>
                <w:sz w:val="18"/>
                <w:szCs w:val="18"/>
              </w:rPr>
            </w:pPr>
          </w:p>
          <w:p w14:paraId="0C19E6F9" w14:textId="0AEC470D" w:rsidR="009805C1" w:rsidRPr="00167A1B" w:rsidRDefault="009805C1" w:rsidP="009E118A">
            <w:pPr>
              <w:pStyle w:val="BodyText1"/>
              <w:spacing w:before="0" w:after="0"/>
              <w:jc w:val="center"/>
              <w:rPr>
                <w:noProof w:val="0"/>
                <w:sz w:val="18"/>
                <w:szCs w:val="18"/>
              </w:rPr>
            </w:pPr>
            <w:r w:rsidRPr="00167A1B">
              <w:rPr>
                <w:noProof w:val="0"/>
                <w:sz w:val="18"/>
                <w:szCs w:val="18"/>
              </w:rPr>
              <w:t>No impact on interoperability as such, but better consumer understanding</w:t>
            </w:r>
          </w:p>
        </w:tc>
      </w:tr>
      <w:tr w:rsidR="004B29D2" w:rsidRPr="00167A1B" w14:paraId="54D68AB9" w14:textId="77777777" w:rsidTr="009E118A">
        <w:trPr>
          <w:cantSplit/>
        </w:trPr>
        <w:tc>
          <w:tcPr>
            <w:tcW w:w="1413" w:type="dxa"/>
          </w:tcPr>
          <w:p w14:paraId="212AF86C" w14:textId="77777777" w:rsidR="004B29D2" w:rsidRPr="00167A1B" w:rsidRDefault="004B29D2" w:rsidP="009E118A">
            <w:pPr>
              <w:pStyle w:val="BodyText1"/>
              <w:spacing w:before="0" w:after="0"/>
              <w:jc w:val="left"/>
              <w:rPr>
                <w:noProof w:val="0"/>
                <w:sz w:val="18"/>
                <w:szCs w:val="18"/>
              </w:rPr>
            </w:pPr>
            <w:r w:rsidRPr="00167A1B">
              <w:rPr>
                <w:noProof w:val="0"/>
                <w:sz w:val="18"/>
                <w:szCs w:val="18"/>
              </w:rPr>
              <w:lastRenderedPageBreak/>
              <w:t>b) Too many chargers</w:t>
            </w:r>
          </w:p>
        </w:tc>
        <w:tc>
          <w:tcPr>
            <w:tcW w:w="3898" w:type="dxa"/>
            <w:gridSpan w:val="3"/>
          </w:tcPr>
          <w:p w14:paraId="0FD55798" w14:textId="77777777" w:rsidR="004B29D2" w:rsidRPr="00167A1B" w:rsidRDefault="004B29D2" w:rsidP="009E118A">
            <w:pPr>
              <w:pStyle w:val="Body"/>
              <w:numPr>
                <w:ilvl w:val="0"/>
                <w:numId w:val="28"/>
              </w:numPr>
              <w:jc w:val="center"/>
              <w:rPr>
                <w:sz w:val="18"/>
                <w:szCs w:val="18"/>
                <w:lang w:val="en-GB"/>
              </w:rPr>
            </w:pPr>
            <w:r w:rsidRPr="00167A1B">
              <w:rPr>
                <w:sz w:val="18"/>
                <w:szCs w:val="18"/>
                <w:lang w:val="en-GB"/>
              </w:rPr>
              <w:t>0</w:t>
            </w:r>
          </w:p>
          <w:p w14:paraId="068E1F84" w14:textId="77777777" w:rsidR="004B29D2" w:rsidRPr="00167A1B" w:rsidRDefault="004B29D2" w:rsidP="009E118A">
            <w:pPr>
              <w:pStyle w:val="Body"/>
              <w:numPr>
                <w:ilvl w:val="0"/>
                <w:numId w:val="28"/>
              </w:numPr>
              <w:jc w:val="center"/>
              <w:rPr>
                <w:sz w:val="18"/>
                <w:szCs w:val="18"/>
                <w:lang w:val="en-GB"/>
              </w:rPr>
            </w:pPr>
          </w:p>
          <w:p w14:paraId="51EF8FD8" w14:textId="155BAE66" w:rsidR="004B29D2" w:rsidRPr="00167A1B" w:rsidRDefault="004B29D2" w:rsidP="009E118A">
            <w:pPr>
              <w:pStyle w:val="BodyText1"/>
              <w:spacing w:before="0" w:after="0"/>
              <w:jc w:val="center"/>
              <w:rPr>
                <w:noProof w:val="0"/>
                <w:sz w:val="18"/>
                <w:szCs w:val="18"/>
              </w:rPr>
            </w:pPr>
            <w:r w:rsidRPr="00167A1B">
              <w:rPr>
                <w:noProof w:val="0"/>
                <w:sz w:val="18"/>
                <w:szCs w:val="18"/>
              </w:rPr>
              <w:t>No impact</w:t>
            </w:r>
          </w:p>
        </w:tc>
        <w:tc>
          <w:tcPr>
            <w:tcW w:w="1299" w:type="dxa"/>
          </w:tcPr>
          <w:p w14:paraId="14A65091" w14:textId="65023C76" w:rsidR="004B29D2" w:rsidRPr="00167A1B" w:rsidRDefault="004B29D2" w:rsidP="009E118A">
            <w:pPr>
              <w:pStyle w:val="BodyText1"/>
              <w:spacing w:before="0" w:after="0"/>
              <w:jc w:val="center"/>
              <w:rPr>
                <w:noProof w:val="0"/>
                <w:sz w:val="18"/>
                <w:szCs w:val="18"/>
              </w:rPr>
            </w:pPr>
            <w:r w:rsidRPr="00167A1B">
              <w:rPr>
                <w:noProof w:val="0"/>
                <w:sz w:val="18"/>
                <w:szCs w:val="18"/>
              </w:rPr>
              <w:t>+</w:t>
            </w:r>
          </w:p>
          <w:p w14:paraId="43ACE2E8" w14:textId="77777777" w:rsidR="00D44173" w:rsidRPr="00167A1B" w:rsidRDefault="00D44173" w:rsidP="009E118A">
            <w:pPr>
              <w:pStyle w:val="BodyText1"/>
              <w:spacing w:before="0" w:after="0"/>
              <w:jc w:val="center"/>
              <w:rPr>
                <w:noProof w:val="0"/>
                <w:sz w:val="18"/>
                <w:szCs w:val="18"/>
              </w:rPr>
            </w:pPr>
          </w:p>
          <w:p w14:paraId="6E6E20E4" w14:textId="0E646F84" w:rsidR="00D44173" w:rsidRPr="00167A1B" w:rsidRDefault="00D44173" w:rsidP="009E118A">
            <w:pPr>
              <w:pStyle w:val="BodyText1"/>
              <w:spacing w:before="0" w:after="0"/>
              <w:jc w:val="center"/>
              <w:rPr>
                <w:noProof w:val="0"/>
                <w:sz w:val="18"/>
                <w:szCs w:val="18"/>
              </w:rPr>
            </w:pPr>
            <w:r w:rsidRPr="00167A1B">
              <w:rPr>
                <w:noProof w:val="0"/>
                <w:sz w:val="18"/>
                <w:szCs w:val="18"/>
              </w:rPr>
              <w:t xml:space="preserve">Consumers no longer provided with unwanted EPS </w:t>
            </w:r>
          </w:p>
        </w:tc>
        <w:tc>
          <w:tcPr>
            <w:tcW w:w="1299" w:type="dxa"/>
          </w:tcPr>
          <w:p w14:paraId="50424E75" w14:textId="7083C13F" w:rsidR="004B29D2" w:rsidRPr="00167A1B" w:rsidRDefault="004B29D2" w:rsidP="009E118A">
            <w:pPr>
              <w:pStyle w:val="BodyText1"/>
              <w:spacing w:before="0" w:after="0"/>
              <w:jc w:val="center"/>
              <w:rPr>
                <w:noProof w:val="0"/>
                <w:sz w:val="18"/>
                <w:szCs w:val="18"/>
              </w:rPr>
            </w:pPr>
            <w:r w:rsidRPr="00167A1B">
              <w:rPr>
                <w:noProof w:val="0"/>
                <w:sz w:val="18"/>
                <w:szCs w:val="18"/>
              </w:rPr>
              <w:t>+</w:t>
            </w:r>
            <w:r w:rsidR="00363B74" w:rsidRPr="00167A1B">
              <w:rPr>
                <w:noProof w:val="0"/>
                <w:sz w:val="18"/>
                <w:szCs w:val="18"/>
              </w:rPr>
              <w:t>+</w:t>
            </w:r>
          </w:p>
          <w:p w14:paraId="22E467AB" w14:textId="77777777" w:rsidR="00D44173" w:rsidRPr="00167A1B" w:rsidRDefault="00D44173" w:rsidP="009E118A">
            <w:pPr>
              <w:pStyle w:val="BodyText1"/>
              <w:spacing w:before="0" w:after="0"/>
              <w:jc w:val="center"/>
              <w:rPr>
                <w:noProof w:val="0"/>
                <w:sz w:val="18"/>
                <w:szCs w:val="18"/>
              </w:rPr>
            </w:pPr>
          </w:p>
          <w:p w14:paraId="53FD7A30" w14:textId="6807C433" w:rsidR="00D44173" w:rsidRPr="00167A1B" w:rsidRDefault="00D44173" w:rsidP="009E118A">
            <w:pPr>
              <w:pStyle w:val="BodyText1"/>
              <w:spacing w:before="0" w:after="0"/>
              <w:jc w:val="center"/>
              <w:rPr>
                <w:noProof w:val="0"/>
                <w:sz w:val="18"/>
                <w:szCs w:val="18"/>
              </w:rPr>
            </w:pPr>
            <w:r w:rsidRPr="00167A1B">
              <w:rPr>
                <w:noProof w:val="0"/>
                <w:sz w:val="18"/>
                <w:szCs w:val="18"/>
              </w:rPr>
              <w:t>Consumers no longer provided with unwanted EPS or cables</w:t>
            </w:r>
          </w:p>
        </w:tc>
        <w:tc>
          <w:tcPr>
            <w:tcW w:w="1300" w:type="dxa"/>
          </w:tcPr>
          <w:p w14:paraId="1C2B68D5" w14:textId="77777777" w:rsidR="004B29D2" w:rsidRPr="00167A1B" w:rsidRDefault="009E118A" w:rsidP="009E118A">
            <w:pPr>
              <w:pStyle w:val="BodyText1"/>
              <w:spacing w:before="0" w:after="0"/>
              <w:jc w:val="center"/>
              <w:rPr>
                <w:noProof w:val="0"/>
                <w:sz w:val="18"/>
                <w:szCs w:val="18"/>
              </w:rPr>
            </w:pPr>
            <w:r w:rsidRPr="00167A1B">
              <w:rPr>
                <w:noProof w:val="0"/>
                <w:sz w:val="18"/>
                <w:szCs w:val="18"/>
              </w:rPr>
              <w:t>0/</w:t>
            </w:r>
            <w:r w:rsidR="004B29D2" w:rsidRPr="00167A1B">
              <w:rPr>
                <w:noProof w:val="0"/>
                <w:sz w:val="18"/>
                <w:szCs w:val="18"/>
              </w:rPr>
              <w:t>+</w:t>
            </w:r>
          </w:p>
          <w:p w14:paraId="5E5A12B5" w14:textId="77777777" w:rsidR="009805C1" w:rsidRPr="00167A1B" w:rsidRDefault="009805C1" w:rsidP="009E118A">
            <w:pPr>
              <w:pStyle w:val="BodyText1"/>
              <w:spacing w:before="0" w:after="0"/>
              <w:jc w:val="center"/>
              <w:rPr>
                <w:noProof w:val="0"/>
                <w:sz w:val="18"/>
                <w:szCs w:val="18"/>
              </w:rPr>
            </w:pPr>
          </w:p>
          <w:p w14:paraId="14A68F5C" w14:textId="49F1D542" w:rsidR="009805C1" w:rsidRPr="00167A1B" w:rsidRDefault="009805C1" w:rsidP="009E118A">
            <w:pPr>
              <w:pStyle w:val="BodyText1"/>
              <w:spacing w:before="0" w:after="0"/>
              <w:jc w:val="center"/>
              <w:rPr>
                <w:noProof w:val="0"/>
                <w:sz w:val="18"/>
                <w:szCs w:val="18"/>
              </w:rPr>
            </w:pPr>
            <w:r w:rsidRPr="00167A1B">
              <w:rPr>
                <w:noProof w:val="0"/>
                <w:sz w:val="18"/>
                <w:szCs w:val="18"/>
              </w:rPr>
              <w:t>Could help stimulate voluntary unbundling</w:t>
            </w:r>
          </w:p>
        </w:tc>
      </w:tr>
      <w:tr w:rsidR="009805C1" w:rsidRPr="00167A1B" w14:paraId="7D0F0531" w14:textId="77777777" w:rsidTr="001160E7">
        <w:trPr>
          <w:cantSplit/>
        </w:trPr>
        <w:tc>
          <w:tcPr>
            <w:tcW w:w="1413" w:type="dxa"/>
          </w:tcPr>
          <w:p w14:paraId="4594ADEE" w14:textId="77777777" w:rsidR="009805C1" w:rsidRPr="00167A1B" w:rsidRDefault="009805C1" w:rsidP="009805C1">
            <w:pPr>
              <w:pStyle w:val="BodyText1"/>
              <w:spacing w:before="0" w:after="0"/>
              <w:jc w:val="left"/>
              <w:rPr>
                <w:noProof w:val="0"/>
                <w:sz w:val="18"/>
                <w:szCs w:val="18"/>
              </w:rPr>
            </w:pPr>
            <w:r w:rsidRPr="00167A1B">
              <w:rPr>
                <w:noProof w:val="0"/>
                <w:sz w:val="18"/>
                <w:szCs w:val="18"/>
              </w:rPr>
              <w:t>c) No access to a compatible charger</w:t>
            </w:r>
          </w:p>
        </w:tc>
        <w:tc>
          <w:tcPr>
            <w:tcW w:w="1299" w:type="dxa"/>
          </w:tcPr>
          <w:p w14:paraId="0A89BA43" w14:textId="01050F3F" w:rsidR="009805C1" w:rsidRPr="00167A1B" w:rsidRDefault="009805C1" w:rsidP="009805C1">
            <w:pPr>
              <w:pStyle w:val="Body"/>
              <w:numPr>
                <w:ilvl w:val="0"/>
                <w:numId w:val="28"/>
              </w:numPr>
              <w:jc w:val="center"/>
              <w:rPr>
                <w:sz w:val="18"/>
                <w:szCs w:val="18"/>
                <w:lang w:val="en-GB"/>
              </w:rPr>
            </w:pPr>
            <w:r w:rsidRPr="00167A1B">
              <w:rPr>
                <w:sz w:val="18"/>
                <w:szCs w:val="18"/>
                <w:lang w:val="en-GB"/>
              </w:rPr>
              <w:t>+</w:t>
            </w:r>
          </w:p>
          <w:p w14:paraId="60BB4EEA" w14:textId="77777777" w:rsidR="009805C1" w:rsidRPr="00167A1B" w:rsidRDefault="009805C1" w:rsidP="009805C1">
            <w:pPr>
              <w:pStyle w:val="Body"/>
              <w:numPr>
                <w:ilvl w:val="0"/>
                <w:numId w:val="28"/>
              </w:numPr>
              <w:jc w:val="center"/>
              <w:rPr>
                <w:sz w:val="18"/>
                <w:szCs w:val="18"/>
                <w:lang w:val="en-GB"/>
              </w:rPr>
            </w:pPr>
          </w:p>
          <w:p w14:paraId="6F1861B8" w14:textId="0CCF5827" w:rsidR="009805C1" w:rsidRPr="00167A1B" w:rsidRDefault="009805C1" w:rsidP="009805C1">
            <w:pPr>
              <w:pStyle w:val="BodyText1"/>
              <w:spacing w:before="0" w:after="0"/>
              <w:jc w:val="center"/>
              <w:rPr>
                <w:noProof w:val="0"/>
                <w:sz w:val="18"/>
                <w:szCs w:val="18"/>
              </w:rPr>
            </w:pPr>
            <w:bookmarkStart w:id="61" w:name="_Hlk25222221"/>
            <w:r w:rsidRPr="00167A1B">
              <w:rPr>
                <w:noProof w:val="0"/>
                <w:sz w:val="18"/>
                <w:szCs w:val="18"/>
              </w:rPr>
              <w:t>Increases likelihood of finding compatible charger for all users</w:t>
            </w:r>
            <w:bookmarkEnd w:id="61"/>
          </w:p>
        </w:tc>
        <w:tc>
          <w:tcPr>
            <w:tcW w:w="2599" w:type="dxa"/>
            <w:gridSpan w:val="2"/>
          </w:tcPr>
          <w:p w14:paraId="3813736D" w14:textId="77777777" w:rsidR="009805C1" w:rsidRPr="00167A1B" w:rsidRDefault="009805C1" w:rsidP="009805C1">
            <w:pPr>
              <w:pStyle w:val="BodyText1"/>
              <w:spacing w:before="0" w:after="0"/>
              <w:jc w:val="center"/>
              <w:rPr>
                <w:noProof w:val="0"/>
                <w:sz w:val="18"/>
                <w:szCs w:val="18"/>
              </w:rPr>
            </w:pPr>
            <w:r w:rsidRPr="00167A1B">
              <w:rPr>
                <w:noProof w:val="0"/>
                <w:sz w:val="18"/>
                <w:szCs w:val="18"/>
              </w:rPr>
              <w:t>0/+</w:t>
            </w:r>
          </w:p>
          <w:p w14:paraId="5D3FFB15" w14:textId="77777777" w:rsidR="009805C1" w:rsidRPr="00167A1B" w:rsidRDefault="009805C1" w:rsidP="009805C1">
            <w:pPr>
              <w:pStyle w:val="BodyText1"/>
              <w:spacing w:before="0" w:after="0"/>
              <w:jc w:val="center"/>
              <w:rPr>
                <w:noProof w:val="0"/>
                <w:sz w:val="18"/>
                <w:szCs w:val="18"/>
              </w:rPr>
            </w:pPr>
          </w:p>
          <w:p w14:paraId="6498296B" w14:textId="7A903056" w:rsidR="009805C1" w:rsidRPr="00167A1B" w:rsidRDefault="009805C1" w:rsidP="009805C1">
            <w:pPr>
              <w:pStyle w:val="BodyText1"/>
              <w:spacing w:before="0" w:after="0"/>
              <w:jc w:val="center"/>
              <w:rPr>
                <w:noProof w:val="0"/>
                <w:sz w:val="18"/>
                <w:szCs w:val="18"/>
              </w:rPr>
            </w:pPr>
            <w:r w:rsidRPr="00167A1B">
              <w:rPr>
                <w:noProof w:val="0"/>
                <w:sz w:val="18"/>
                <w:szCs w:val="18"/>
              </w:rPr>
              <w:t>Very minor benefits due to faster elimination of USB micro-B connectors</w:t>
            </w:r>
          </w:p>
        </w:tc>
        <w:tc>
          <w:tcPr>
            <w:tcW w:w="2598" w:type="dxa"/>
            <w:gridSpan w:val="2"/>
          </w:tcPr>
          <w:p w14:paraId="0B7EFAF8" w14:textId="77777777" w:rsidR="009805C1" w:rsidRPr="00167A1B" w:rsidRDefault="009805C1" w:rsidP="009805C1">
            <w:pPr>
              <w:pStyle w:val="BodyText1"/>
              <w:spacing w:before="0" w:after="0"/>
              <w:jc w:val="center"/>
              <w:rPr>
                <w:noProof w:val="0"/>
                <w:sz w:val="18"/>
                <w:szCs w:val="18"/>
              </w:rPr>
            </w:pPr>
            <w:r w:rsidRPr="00167A1B">
              <w:rPr>
                <w:noProof w:val="0"/>
                <w:sz w:val="18"/>
                <w:szCs w:val="18"/>
              </w:rPr>
              <w:t>0</w:t>
            </w:r>
          </w:p>
          <w:p w14:paraId="216EB830" w14:textId="77777777" w:rsidR="009805C1" w:rsidRPr="00167A1B" w:rsidRDefault="009805C1" w:rsidP="009805C1">
            <w:pPr>
              <w:pStyle w:val="BodyText1"/>
              <w:spacing w:before="0" w:after="0"/>
              <w:jc w:val="center"/>
              <w:rPr>
                <w:noProof w:val="0"/>
                <w:sz w:val="18"/>
                <w:szCs w:val="18"/>
              </w:rPr>
            </w:pPr>
          </w:p>
          <w:p w14:paraId="05158A1C" w14:textId="2F9CD6D7" w:rsidR="009805C1" w:rsidRPr="00167A1B" w:rsidRDefault="009805C1" w:rsidP="009805C1">
            <w:pPr>
              <w:pStyle w:val="BodyText1"/>
              <w:spacing w:before="0" w:after="0"/>
              <w:jc w:val="center"/>
              <w:rPr>
                <w:noProof w:val="0"/>
                <w:sz w:val="18"/>
                <w:szCs w:val="18"/>
              </w:rPr>
            </w:pPr>
            <w:r w:rsidRPr="00167A1B">
              <w:rPr>
                <w:noProof w:val="0"/>
                <w:sz w:val="18"/>
                <w:szCs w:val="18"/>
              </w:rPr>
              <w:t>No impact on interoperability as such</w:t>
            </w:r>
          </w:p>
        </w:tc>
        <w:tc>
          <w:tcPr>
            <w:tcW w:w="1300" w:type="dxa"/>
          </w:tcPr>
          <w:p w14:paraId="4758A9E9" w14:textId="77777777" w:rsidR="009805C1" w:rsidRPr="00167A1B" w:rsidRDefault="009805C1" w:rsidP="009805C1">
            <w:pPr>
              <w:pStyle w:val="BodyText1"/>
              <w:spacing w:before="0" w:after="0"/>
              <w:jc w:val="center"/>
              <w:rPr>
                <w:noProof w:val="0"/>
                <w:sz w:val="18"/>
                <w:szCs w:val="18"/>
              </w:rPr>
            </w:pPr>
            <w:r w:rsidRPr="00167A1B">
              <w:rPr>
                <w:noProof w:val="0"/>
                <w:sz w:val="18"/>
                <w:szCs w:val="18"/>
              </w:rPr>
              <w:t>0/+</w:t>
            </w:r>
          </w:p>
          <w:p w14:paraId="2F7B2E35" w14:textId="77777777" w:rsidR="009805C1" w:rsidRPr="00167A1B" w:rsidRDefault="009805C1" w:rsidP="009805C1">
            <w:pPr>
              <w:pStyle w:val="BodyText1"/>
              <w:spacing w:before="0" w:after="0"/>
              <w:jc w:val="center"/>
              <w:rPr>
                <w:noProof w:val="0"/>
                <w:sz w:val="18"/>
                <w:szCs w:val="18"/>
              </w:rPr>
            </w:pPr>
          </w:p>
          <w:p w14:paraId="3ECDED22" w14:textId="23A86393" w:rsidR="009805C1" w:rsidRPr="00167A1B" w:rsidRDefault="009805C1" w:rsidP="009805C1">
            <w:pPr>
              <w:pStyle w:val="BodyText1"/>
              <w:spacing w:before="0" w:after="0"/>
              <w:jc w:val="center"/>
              <w:rPr>
                <w:noProof w:val="0"/>
                <w:sz w:val="18"/>
                <w:szCs w:val="18"/>
              </w:rPr>
            </w:pPr>
            <w:r w:rsidRPr="00167A1B">
              <w:rPr>
                <w:noProof w:val="0"/>
                <w:sz w:val="18"/>
                <w:szCs w:val="18"/>
              </w:rPr>
              <w:t>No impact on interoperability as such, but better consumer understanding</w:t>
            </w:r>
          </w:p>
        </w:tc>
      </w:tr>
      <w:tr w:rsidR="00D44173" w:rsidRPr="00167A1B" w14:paraId="7F5E8575" w14:textId="77777777" w:rsidTr="001160E7">
        <w:trPr>
          <w:cantSplit/>
        </w:trPr>
        <w:tc>
          <w:tcPr>
            <w:tcW w:w="1413" w:type="dxa"/>
          </w:tcPr>
          <w:p w14:paraId="444732D2" w14:textId="77777777" w:rsidR="00D44173" w:rsidRPr="00167A1B" w:rsidRDefault="00D44173" w:rsidP="009E118A">
            <w:pPr>
              <w:pStyle w:val="BodyText1"/>
              <w:spacing w:before="0" w:after="0"/>
              <w:jc w:val="left"/>
              <w:rPr>
                <w:noProof w:val="0"/>
                <w:sz w:val="18"/>
                <w:szCs w:val="18"/>
              </w:rPr>
            </w:pPr>
            <w:r w:rsidRPr="00167A1B">
              <w:rPr>
                <w:noProof w:val="0"/>
                <w:sz w:val="18"/>
                <w:szCs w:val="18"/>
              </w:rPr>
              <w:t xml:space="preserve">d) </w:t>
            </w:r>
            <w:bookmarkStart w:id="62" w:name="_Hlk25222291"/>
            <w:r w:rsidRPr="00167A1B">
              <w:rPr>
                <w:noProof w:val="0"/>
                <w:sz w:val="18"/>
                <w:szCs w:val="18"/>
              </w:rPr>
              <w:t>Confusion about which charger works with what</w:t>
            </w:r>
            <w:bookmarkEnd w:id="62"/>
          </w:p>
        </w:tc>
        <w:tc>
          <w:tcPr>
            <w:tcW w:w="1299" w:type="dxa"/>
          </w:tcPr>
          <w:p w14:paraId="15D9CA3D" w14:textId="77777777" w:rsidR="00D44173" w:rsidRPr="00167A1B" w:rsidRDefault="00D44173" w:rsidP="009E118A">
            <w:pPr>
              <w:pStyle w:val="Body"/>
              <w:numPr>
                <w:ilvl w:val="0"/>
                <w:numId w:val="28"/>
              </w:numPr>
              <w:jc w:val="center"/>
              <w:rPr>
                <w:sz w:val="18"/>
                <w:szCs w:val="18"/>
                <w:lang w:val="en-GB"/>
              </w:rPr>
            </w:pPr>
            <w:r w:rsidRPr="00167A1B">
              <w:rPr>
                <w:sz w:val="18"/>
                <w:szCs w:val="18"/>
                <w:lang w:val="en-GB"/>
              </w:rPr>
              <w:t>0</w:t>
            </w:r>
          </w:p>
          <w:p w14:paraId="5F3051FC" w14:textId="77777777" w:rsidR="00D44173" w:rsidRPr="00167A1B" w:rsidRDefault="00D44173" w:rsidP="009E118A">
            <w:pPr>
              <w:pStyle w:val="Body"/>
              <w:numPr>
                <w:ilvl w:val="0"/>
                <w:numId w:val="28"/>
              </w:numPr>
              <w:jc w:val="center"/>
              <w:rPr>
                <w:sz w:val="18"/>
                <w:szCs w:val="18"/>
                <w:lang w:val="en-GB"/>
              </w:rPr>
            </w:pPr>
          </w:p>
          <w:p w14:paraId="1E2CF4DD" w14:textId="73D0E440" w:rsidR="00D44173" w:rsidRPr="00167A1B" w:rsidRDefault="00D44173" w:rsidP="009E118A">
            <w:pPr>
              <w:pStyle w:val="BodyText1"/>
              <w:spacing w:before="0" w:after="0"/>
              <w:jc w:val="center"/>
              <w:rPr>
                <w:noProof w:val="0"/>
                <w:sz w:val="18"/>
                <w:szCs w:val="18"/>
              </w:rPr>
            </w:pPr>
            <w:r w:rsidRPr="00167A1B">
              <w:rPr>
                <w:noProof w:val="0"/>
                <w:sz w:val="18"/>
                <w:szCs w:val="18"/>
              </w:rPr>
              <w:t>Negligible impact, as confusion from connectors is very limited (except among the visually impaired)</w:t>
            </w:r>
          </w:p>
        </w:tc>
        <w:tc>
          <w:tcPr>
            <w:tcW w:w="2599" w:type="dxa"/>
            <w:gridSpan w:val="2"/>
          </w:tcPr>
          <w:p w14:paraId="59CFF2F6" w14:textId="77777777" w:rsidR="00D44173" w:rsidRPr="00167A1B" w:rsidRDefault="00D44173" w:rsidP="009E118A">
            <w:pPr>
              <w:pStyle w:val="BodyText1"/>
              <w:spacing w:before="0" w:after="0"/>
              <w:jc w:val="center"/>
              <w:rPr>
                <w:noProof w:val="0"/>
                <w:sz w:val="18"/>
                <w:szCs w:val="18"/>
              </w:rPr>
            </w:pPr>
            <w:r w:rsidRPr="00167A1B">
              <w:rPr>
                <w:noProof w:val="0"/>
                <w:sz w:val="18"/>
                <w:szCs w:val="18"/>
              </w:rPr>
              <w:t>+</w:t>
            </w:r>
          </w:p>
          <w:p w14:paraId="19A8AD33" w14:textId="77777777" w:rsidR="00D44173" w:rsidRPr="00167A1B" w:rsidRDefault="00D44173" w:rsidP="009E118A">
            <w:pPr>
              <w:pStyle w:val="BodyText1"/>
              <w:spacing w:before="0" w:after="0"/>
              <w:jc w:val="center"/>
              <w:rPr>
                <w:noProof w:val="0"/>
                <w:sz w:val="18"/>
                <w:szCs w:val="18"/>
              </w:rPr>
            </w:pPr>
          </w:p>
          <w:p w14:paraId="2806AF1D" w14:textId="21248CB1" w:rsidR="00D44173" w:rsidRPr="00167A1B" w:rsidRDefault="00D44173" w:rsidP="00B80900">
            <w:pPr>
              <w:pStyle w:val="BodyText1"/>
              <w:spacing w:before="0" w:after="0"/>
              <w:jc w:val="center"/>
              <w:rPr>
                <w:noProof w:val="0"/>
                <w:sz w:val="18"/>
                <w:szCs w:val="18"/>
              </w:rPr>
            </w:pPr>
            <w:r w:rsidRPr="00167A1B">
              <w:rPr>
                <w:noProof w:val="0"/>
                <w:sz w:val="18"/>
                <w:szCs w:val="18"/>
              </w:rPr>
              <w:t>Mainly from effective flanking measures (information requirements)</w:t>
            </w:r>
          </w:p>
        </w:tc>
        <w:tc>
          <w:tcPr>
            <w:tcW w:w="2598" w:type="dxa"/>
            <w:gridSpan w:val="2"/>
          </w:tcPr>
          <w:p w14:paraId="6D3E653C" w14:textId="77777777" w:rsidR="00D44173" w:rsidRPr="00167A1B" w:rsidRDefault="00D44173" w:rsidP="00D44173">
            <w:pPr>
              <w:pStyle w:val="BodyText1"/>
              <w:spacing w:before="0" w:after="0"/>
              <w:jc w:val="center"/>
              <w:rPr>
                <w:noProof w:val="0"/>
                <w:sz w:val="18"/>
                <w:szCs w:val="18"/>
              </w:rPr>
            </w:pPr>
            <w:r w:rsidRPr="00167A1B">
              <w:rPr>
                <w:noProof w:val="0"/>
                <w:sz w:val="18"/>
                <w:szCs w:val="18"/>
              </w:rPr>
              <w:t>0</w:t>
            </w:r>
          </w:p>
          <w:p w14:paraId="0DBEB140" w14:textId="77777777" w:rsidR="00D44173" w:rsidRPr="00167A1B" w:rsidRDefault="00D44173" w:rsidP="00D44173">
            <w:pPr>
              <w:pStyle w:val="BodyText1"/>
              <w:spacing w:before="0" w:after="0"/>
              <w:jc w:val="center"/>
              <w:rPr>
                <w:noProof w:val="0"/>
                <w:sz w:val="18"/>
                <w:szCs w:val="18"/>
              </w:rPr>
            </w:pPr>
          </w:p>
          <w:p w14:paraId="4B1853BD" w14:textId="67A2A0DD" w:rsidR="00D44173" w:rsidRPr="00167A1B" w:rsidRDefault="00D44173" w:rsidP="00D44173">
            <w:pPr>
              <w:pStyle w:val="BodyText1"/>
              <w:spacing w:before="0" w:after="0"/>
              <w:jc w:val="center"/>
              <w:rPr>
                <w:noProof w:val="0"/>
                <w:sz w:val="18"/>
                <w:szCs w:val="18"/>
              </w:rPr>
            </w:pPr>
            <w:r w:rsidRPr="00167A1B">
              <w:rPr>
                <w:noProof w:val="0"/>
                <w:sz w:val="18"/>
                <w:szCs w:val="18"/>
              </w:rPr>
              <w:t>No impact on interoperability as such</w:t>
            </w:r>
          </w:p>
        </w:tc>
        <w:tc>
          <w:tcPr>
            <w:tcW w:w="1300" w:type="dxa"/>
          </w:tcPr>
          <w:p w14:paraId="4CF9A7CC" w14:textId="77777777" w:rsidR="00D44173" w:rsidRPr="00167A1B" w:rsidRDefault="00D44173" w:rsidP="009E118A">
            <w:pPr>
              <w:pStyle w:val="BodyText1"/>
              <w:spacing w:before="0" w:after="0"/>
              <w:jc w:val="center"/>
              <w:rPr>
                <w:noProof w:val="0"/>
                <w:sz w:val="18"/>
                <w:szCs w:val="18"/>
              </w:rPr>
            </w:pPr>
            <w:r w:rsidRPr="00167A1B">
              <w:rPr>
                <w:noProof w:val="0"/>
                <w:sz w:val="18"/>
                <w:szCs w:val="18"/>
              </w:rPr>
              <w:t>+</w:t>
            </w:r>
          </w:p>
          <w:p w14:paraId="444AE3E8" w14:textId="77777777" w:rsidR="009805C1" w:rsidRPr="00167A1B" w:rsidRDefault="009805C1" w:rsidP="009E118A">
            <w:pPr>
              <w:pStyle w:val="BodyText1"/>
              <w:spacing w:before="0" w:after="0"/>
              <w:jc w:val="center"/>
              <w:rPr>
                <w:noProof w:val="0"/>
                <w:sz w:val="18"/>
                <w:szCs w:val="18"/>
              </w:rPr>
            </w:pPr>
          </w:p>
          <w:p w14:paraId="549F53CB" w14:textId="457DEECE" w:rsidR="009805C1" w:rsidRPr="00167A1B" w:rsidRDefault="009805C1" w:rsidP="009E118A">
            <w:pPr>
              <w:pStyle w:val="BodyText1"/>
              <w:spacing w:before="0" w:after="0"/>
              <w:jc w:val="center"/>
              <w:rPr>
                <w:noProof w:val="0"/>
                <w:sz w:val="18"/>
                <w:szCs w:val="18"/>
              </w:rPr>
            </w:pPr>
            <w:r w:rsidRPr="00167A1B">
              <w:rPr>
                <w:noProof w:val="0"/>
                <w:sz w:val="18"/>
                <w:szCs w:val="18"/>
              </w:rPr>
              <w:t>Minor benefit – could be major if scheme universally used and accepted by consumers</w:t>
            </w:r>
          </w:p>
        </w:tc>
      </w:tr>
      <w:tr w:rsidR="004B29D2" w:rsidRPr="00167A1B" w14:paraId="118FB4D3" w14:textId="77777777" w:rsidTr="009E118A">
        <w:trPr>
          <w:cantSplit/>
        </w:trPr>
        <w:tc>
          <w:tcPr>
            <w:tcW w:w="1413" w:type="dxa"/>
          </w:tcPr>
          <w:p w14:paraId="67406465" w14:textId="1F3E97BE" w:rsidR="004B29D2" w:rsidRPr="00167A1B" w:rsidRDefault="004B29D2" w:rsidP="009E118A">
            <w:pPr>
              <w:pStyle w:val="BodyText1"/>
              <w:spacing w:before="0" w:after="0"/>
              <w:jc w:val="left"/>
              <w:rPr>
                <w:noProof w:val="0"/>
                <w:sz w:val="18"/>
                <w:szCs w:val="18"/>
              </w:rPr>
            </w:pPr>
            <w:r w:rsidRPr="00167A1B">
              <w:rPr>
                <w:noProof w:val="0"/>
                <w:sz w:val="18"/>
                <w:szCs w:val="18"/>
              </w:rPr>
              <w:t>e) Absence of charger</w:t>
            </w:r>
          </w:p>
        </w:tc>
        <w:tc>
          <w:tcPr>
            <w:tcW w:w="3898" w:type="dxa"/>
            <w:gridSpan w:val="3"/>
          </w:tcPr>
          <w:p w14:paraId="48B284C1" w14:textId="17F3BEA9" w:rsidR="004B29D2" w:rsidRPr="00167A1B" w:rsidRDefault="004B29D2" w:rsidP="009E118A">
            <w:pPr>
              <w:pStyle w:val="BodyText1"/>
              <w:spacing w:before="0" w:after="0"/>
              <w:jc w:val="center"/>
              <w:rPr>
                <w:noProof w:val="0"/>
                <w:sz w:val="18"/>
                <w:szCs w:val="18"/>
              </w:rPr>
            </w:pPr>
            <w:r w:rsidRPr="00167A1B">
              <w:rPr>
                <w:noProof w:val="0"/>
                <w:sz w:val="18"/>
                <w:szCs w:val="18"/>
              </w:rPr>
              <w:t>0</w:t>
            </w:r>
          </w:p>
          <w:p w14:paraId="039BB024" w14:textId="77777777" w:rsidR="004B29D2" w:rsidRPr="00167A1B" w:rsidRDefault="004B29D2" w:rsidP="009E118A">
            <w:pPr>
              <w:pStyle w:val="BodyText1"/>
              <w:spacing w:before="0" w:after="0"/>
              <w:jc w:val="center"/>
              <w:rPr>
                <w:noProof w:val="0"/>
                <w:sz w:val="18"/>
                <w:szCs w:val="18"/>
              </w:rPr>
            </w:pPr>
          </w:p>
          <w:p w14:paraId="3D5322D5" w14:textId="06C10842" w:rsidR="004B29D2" w:rsidRPr="00167A1B" w:rsidRDefault="004B29D2" w:rsidP="009E118A">
            <w:pPr>
              <w:pStyle w:val="BodyText1"/>
              <w:spacing w:before="0" w:after="0"/>
              <w:jc w:val="center"/>
              <w:rPr>
                <w:noProof w:val="0"/>
                <w:sz w:val="18"/>
                <w:szCs w:val="18"/>
              </w:rPr>
            </w:pPr>
            <w:r w:rsidRPr="00167A1B">
              <w:rPr>
                <w:noProof w:val="0"/>
                <w:sz w:val="18"/>
                <w:szCs w:val="18"/>
              </w:rPr>
              <w:t>No impact</w:t>
            </w:r>
          </w:p>
        </w:tc>
        <w:tc>
          <w:tcPr>
            <w:tcW w:w="1299" w:type="dxa"/>
          </w:tcPr>
          <w:p w14:paraId="57F79B20" w14:textId="77777777" w:rsidR="004B29D2" w:rsidRPr="00167A1B" w:rsidRDefault="004B29D2" w:rsidP="009E118A">
            <w:pPr>
              <w:pStyle w:val="BodyText1"/>
              <w:spacing w:before="0" w:after="0"/>
              <w:jc w:val="center"/>
              <w:rPr>
                <w:noProof w:val="0"/>
                <w:sz w:val="18"/>
                <w:szCs w:val="18"/>
              </w:rPr>
            </w:pPr>
            <w:r w:rsidRPr="00167A1B">
              <w:rPr>
                <w:noProof w:val="0"/>
                <w:sz w:val="18"/>
                <w:szCs w:val="18"/>
              </w:rPr>
              <w:t>-</w:t>
            </w:r>
            <w:r w:rsidR="00D44173" w:rsidRPr="00167A1B">
              <w:rPr>
                <w:noProof w:val="0"/>
                <w:sz w:val="18"/>
                <w:szCs w:val="18"/>
              </w:rPr>
              <w:t>-</w:t>
            </w:r>
          </w:p>
          <w:p w14:paraId="125910DB" w14:textId="77777777" w:rsidR="00BB7AFD" w:rsidRPr="00167A1B" w:rsidRDefault="00BB7AFD" w:rsidP="009E118A">
            <w:pPr>
              <w:pStyle w:val="BodyText1"/>
              <w:spacing w:before="0" w:after="0"/>
              <w:jc w:val="center"/>
              <w:rPr>
                <w:noProof w:val="0"/>
                <w:sz w:val="18"/>
                <w:szCs w:val="18"/>
              </w:rPr>
            </w:pPr>
          </w:p>
          <w:p w14:paraId="396C1255" w14:textId="2620A43C" w:rsidR="00BB7AFD" w:rsidRPr="00167A1B" w:rsidRDefault="00BB7AFD" w:rsidP="009E118A">
            <w:pPr>
              <w:pStyle w:val="BodyText1"/>
              <w:spacing w:before="0" w:after="0"/>
              <w:jc w:val="center"/>
              <w:rPr>
                <w:noProof w:val="0"/>
                <w:sz w:val="18"/>
                <w:szCs w:val="18"/>
              </w:rPr>
            </w:pPr>
            <w:r w:rsidRPr="00167A1B">
              <w:rPr>
                <w:noProof w:val="0"/>
                <w:sz w:val="18"/>
                <w:szCs w:val="18"/>
              </w:rPr>
              <w:t>Major inconvenience for those who prefer to be provided with an EPS</w:t>
            </w:r>
          </w:p>
        </w:tc>
        <w:tc>
          <w:tcPr>
            <w:tcW w:w="1299" w:type="dxa"/>
          </w:tcPr>
          <w:p w14:paraId="0F18BE6C" w14:textId="77777777" w:rsidR="004B29D2" w:rsidRPr="00167A1B" w:rsidRDefault="004B29D2" w:rsidP="009E118A">
            <w:pPr>
              <w:pStyle w:val="BodyText1"/>
              <w:spacing w:before="0" w:after="0"/>
              <w:jc w:val="center"/>
              <w:rPr>
                <w:noProof w:val="0"/>
                <w:sz w:val="18"/>
                <w:szCs w:val="18"/>
              </w:rPr>
            </w:pPr>
            <w:r w:rsidRPr="00167A1B">
              <w:rPr>
                <w:noProof w:val="0"/>
                <w:sz w:val="18"/>
                <w:szCs w:val="18"/>
              </w:rPr>
              <w:t>--</w:t>
            </w:r>
          </w:p>
          <w:p w14:paraId="224C589B" w14:textId="77777777" w:rsidR="00BB7AFD" w:rsidRPr="00167A1B" w:rsidRDefault="00BB7AFD" w:rsidP="009E118A">
            <w:pPr>
              <w:pStyle w:val="BodyText1"/>
              <w:spacing w:before="0" w:after="0"/>
              <w:jc w:val="center"/>
              <w:rPr>
                <w:noProof w:val="0"/>
                <w:sz w:val="18"/>
                <w:szCs w:val="18"/>
              </w:rPr>
            </w:pPr>
          </w:p>
          <w:p w14:paraId="02080F44" w14:textId="04731BC4" w:rsidR="00BB7AFD" w:rsidRPr="00167A1B" w:rsidRDefault="00BB7AFD" w:rsidP="009E118A">
            <w:pPr>
              <w:pStyle w:val="BodyText1"/>
              <w:spacing w:before="0" w:after="0"/>
              <w:jc w:val="center"/>
              <w:rPr>
                <w:noProof w:val="0"/>
                <w:sz w:val="18"/>
                <w:szCs w:val="18"/>
              </w:rPr>
            </w:pPr>
            <w:r w:rsidRPr="00167A1B">
              <w:rPr>
                <w:noProof w:val="0"/>
                <w:sz w:val="18"/>
                <w:szCs w:val="18"/>
              </w:rPr>
              <w:t>Major inconvenience for those who prefer to be provided with an EPS and cable</w:t>
            </w:r>
          </w:p>
        </w:tc>
        <w:tc>
          <w:tcPr>
            <w:tcW w:w="1300" w:type="dxa"/>
          </w:tcPr>
          <w:p w14:paraId="11A67F7A" w14:textId="77777777" w:rsidR="004B29D2" w:rsidRPr="00167A1B" w:rsidRDefault="004B29D2" w:rsidP="009E118A">
            <w:pPr>
              <w:pStyle w:val="BodyText1"/>
              <w:spacing w:before="0" w:after="0"/>
              <w:jc w:val="center"/>
              <w:rPr>
                <w:noProof w:val="0"/>
                <w:sz w:val="18"/>
                <w:szCs w:val="18"/>
              </w:rPr>
            </w:pPr>
            <w:r w:rsidRPr="00167A1B">
              <w:rPr>
                <w:noProof w:val="0"/>
                <w:sz w:val="18"/>
                <w:szCs w:val="18"/>
              </w:rPr>
              <w:t>0</w:t>
            </w:r>
            <w:r w:rsidR="009E118A" w:rsidRPr="00167A1B">
              <w:rPr>
                <w:noProof w:val="0"/>
                <w:sz w:val="18"/>
                <w:szCs w:val="18"/>
              </w:rPr>
              <w:t>/-</w:t>
            </w:r>
          </w:p>
          <w:p w14:paraId="18A0F8F9" w14:textId="77777777" w:rsidR="009805C1" w:rsidRPr="00167A1B" w:rsidRDefault="009805C1" w:rsidP="009E118A">
            <w:pPr>
              <w:pStyle w:val="BodyText1"/>
              <w:spacing w:before="0" w:after="0"/>
              <w:jc w:val="center"/>
              <w:rPr>
                <w:noProof w:val="0"/>
                <w:sz w:val="18"/>
                <w:szCs w:val="18"/>
              </w:rPr>
            </w:pPr>
          </w:p>
          <w:p w14:paraId="0A3E42A7" w14:textId="0783E55E" w:rsidR="009805C1" w:rsidRPr="00167A1B" w:rsidRDefault="009805C1" w:rsidP="009E118A">
            <w:pPr>
              <w:pStyle w:val="BodyText1"/>
              <w:spacing w:before="0" w:after="0"/>
              <w:jc w:val="center"/>
              <w:rPr>
                <w:noProof w:val="0"/>
                <w:sz w:val="18"/>
                <w:szCs w:val="18"/>
              </w:rPr>
            </w:pPr>
            <w:r w:rsidRPr="00167A1B">
              <w:rPr>
                <w:noProof w:val="0"/>
                <w:sz w:val="18"/>
                <w:szCs w:val="18"/>
              </w:rPr>
              <w:t>Could help stimulate voluntary unbundling</w:t>
            </w:r>
          </w:p>
        </w:tc>
      </w:tr>
      <w:tr w:rsidR="00D52349" w:rsidRPr="00167A1B" w14:paraId="68C6045F" w14:textId="77777777" w:rsidTr="009E118A">
        <w:trPr>
          <w:cantSplit/>
        </w:trPr>
        <w:tc>
          <w:tcPr>
            <w:tcW w:w="1413" w:type="dxa"/>
          </w:tcPr>
          <w:p w14:paraId="6832DD3A" w14:textId="77777777" w:rsidR="00D52349" w:rsidRPr="00167A1B" w:rsidRDefault="00D52349" w:rsidP="009E118A">
            <w:pPr>
              <w:pStyle w:val="BodyText1"/>
              <w:spacing w:before="0" w:after="0"/>
              <w:jc w:val="left"/>
              <w:rPr>
                <w:noProof w:val="0"/>
                <w:sz w:val="18"/>
                <w:szCs w:val="18"/>
              </w:rPr>
            </w:pPr>
            <w:r w:rsidRPr="00167A1B">
              <w:rPr>
                <w:noProof w:val="0"/>
                <w:sz w:val="18"/>
                <w:szCs w:val="18"/>
              </w:rPr>
              <w:t>Overall effect on consumer convenience</w:t>
            </w:r>
          </w:p>
        </w:tc>
        <w:tc>
          <w:tcPr>
            <w:tcW w:w="1299" w:type="dxa"/>
          </w:tcPr>
          <w:p w14:paraId="025DE080" w14:textId="62092B10" w:rsidR="00D52349" w:rsidRPr="00167A1B" w:rsidRDefault="00BB2783" w:rsidP="009E118A">
            <w:pPr>
              <w:pStyle w:val="BodyText1"/>
              <w:spacing w:before="0" w:after="0"/>
              <w:jc w:val="center"/>
              <w:rPr>
                <w:bCs/>
                <w:noProof w:val="0"/>
                <w:sz w:val="18"/>
                <w:szCs w:val="18"/>
              </w:rPr>
            </w:pPr>
            <w:r w:rsidRPr="00167A1B">
              <w:rPr>
                <w:bCs/>
                <w:noProof w:val="0"/>
                <w:sz w:val="18"/>
                <w:szCs w:val="18"/>
              </w:rPr>
              <w:t>+</w:t>
            </w:r>
          </w:p>
        </w:tc>
        <w:tc>
          <w:tcPr>
            <w:tcW w:w="1299" w:type="dxa"/>
          </w:tcPr>
          <w:p w14:paraId="667A4D96" w14:textId="04B65C17" w:rsidR="00D52349" w:rsidRPr="00167A1B" w:rsidRDefault="009E118A" w:rsidP="009E118A">
            <w:pPr>
              <w:pStyle w:val="BodyText1"/>
              <w:spacing w:before="0" w:after="0"/>
              <w:jc w:val="center"/>
              <w:rPr>
                <w:bCs/>
                <w:noProof w:val="0"/>
                <w:sz w:val="18"/>
                <w:szCs w:val="18"/>
              </w:rPr>
            </w:pPr>
            <w:r w:rsidRPr="00167A1B">
              <w:rPr>
                <w:bCs/>
                <w:noProof w:val="0"/>
                <w:sz w:val="18"/>
                <w:szCs w:val="18"/>
              </w:rPr>
              <w:t>+</w:t>
            </w:r>
          </w:p>
        </w:tc>
        <w:tc>
          <w:tcPr>
            <w:tcW w:w="1300" w:type="dxa"/>
          </w:tcPr>
          <w:p w14:paraId="7CFF7172" w14:textId="1176E6CA" w:rsidR="00D52349" w:rsidRPr="00167A1B" w:rsidRDefault="00D44173" w:rsidP="009E118A">
            <w:pPr>
              <w:pStyle w:val="BodyText1"/>
              <w:spacing w:before="0" w:after="0"/>
              <w:jc w:val="center"/>
              <w:rPr>
                <w:bCs/>
                <w:noProof w:val="0"/>
                <w:sz w:val="18"/>
                <w:szCs w:val="18"/>
              </w:rPr>
            </w:pPr>
            <w:r w:rsidRPr="00167A1B">
              <w:rPr>
                <w:bCs/>
                <w:noProof w:val="0"/>
                <w:sz w:val="18"/>
                <w:szCs w:val="18"/>
              </w:rPr>
              <w:t>+</w:t>
            </w:r>
          </w:p>
        </w:tc>
        <w:tc>
          <w:tcPr>
            <w:tcW w:w="1299" w:type="dxa"/>
          </w:tcPr>
          <w:p w14:paraId="6EB02037" w14:textId="70323A23" w:rsidR="00D52349" w:rsidRPr="00167A1B" w:rsidRDefault="009E118A" w:rsidP="009E118A">
            <w:pPr>
              <w:pStyle w:val="BodyText1"/>
              <w:spacing w:before="0" w:after="0"/>
              <w:jc w:val="center"/>
              <w:rPr>
                <w:bCs/>
                <w:noProof w:val="0"/>
                <w:sz w:val="18"/>
                <w:szCs w:val="18"/>
              </w:rPr>
            </w:pPr>
            <w:r w:rsidRPr="00167A1B">
              <w:rPr>
                <w:bCs/>
                <w:noProof w:val="0"/>
                <w:sz w:val="18"/>
                <w:szCs w:val="18"/>
              </w:rPr>
              <w:t>-</w:t>
            </w:r>
            <w:r w:rsidR="00DF0328" w:rsidRPr="00167A1B">
              <w:rPr>
                <w:bCs/>
                <w:noProof w:val="0"/>
                <w:sz w:val="18"/>
                <w:szCs w:val="18"/>
              </w:rPr>
              <w:t>/--</w:t>
            </w:r>
          </w:p>
        </w:tc>
        <w:tc>
          <w:tcPr>
            <w:tcW w:w="1299" w:type="dxa"/>
          </w:tcPr>
          <w:p w14:paraId="6D61EE27" w14:textId="1404A692" w:rsidR="00D52349" w:rsidRPr="00167A1B" w:rsidRDefault="009E118A" w:rsidP="009E118A">
            <w:pPr>
              <w:pStyle w:val="BodyText1"/>
              <w:spacing w:before="0" w:after="0"/>
              <w:jc w:val="center"/>
              <w:rPr>
                <w:bCs/>
                <w:noProof w:val="0"/>
                <w:sz w:val="18"/>
                <w:szCs w:val="18"/>
              </w:rPr>
            </w:pPr>
            <w:r w:rsidRPr="00167A1B">
              <w:rPr>
                <w:bCs/>
                <w:noProof w:val="0"/>
                <w:sz w:val="18"/>
                <w:szCs w:val="18"/>
              </w:rPr>
              <w:t>-</w:t>
            </w:r>
            <w:r w:rsidR="00D44173" w:rsidRPr="00167A1B">
              <w:rPr>
                <w:bCs/>
                <w:noProof w:val="0"/>
                <w:sz w:val="18"/>
                <w:szCs w:val="18"/>
              </w:rPr>
              <w:t>-</w:t>
            </w:r>
          </w:p>
        </w:tc>
        <w:tc>
          <w:tcPr>
            <w:tcW w:w="1300" w:type="dxa"/>
          </w:tcPr>
          <w:p w14:paraId="75D0DD48" w14:textId="56E445F0" w:rsidR="00D52349" w:rsidRPr="00167A1B" w:rsidRDefault="00456375" w:rsidP="009E118A">
            <w:pPr>
              <w:pStyle w:val="BodyText1"/>
              <w:spacing w:before="0" w:after="0"/>
              <w:jc w:val="center"/>
              <w:rPr>
                <w:bCs/>
                <w:noProof w:val="0"/>
                <w:sz w:val="18"/>
                <w:szCs w:val="18"/>
              </w:rPr>
            </w:pPr>
            <w:r w:rsidRPr="00167A1B">
              <w:rPr>
                <w:bCs/>
                <w:noProof w:val="0"/>
                <w:sz w:val="18"/>
                <w:szCs w:val="18"/>
              </w:rPr>
              <w:t>+</w:t>
            </w:r>
          </w:p>
        </w:tc>
      </w:tr>
    </w:tbl>
    <w:p w14:paraId="08158DE4" w14:textId="1BD48D9E" w:rsidR="00D52349" w:rsidRPr="00167A1B" w:rsidRDefault="00D52349" w:rsidP="00BB2783">
      <w:pPr>
        <w:pStyle w:val="BodyText1"/>
        <w:spacing w:before="0" w:after="0"/>
        <w:rPr>
          <w:noProof w:val="0"/>
        </w:rPr>
      </w:pPr>
    </w:p>
    <w:tbl>
      <w:tblPr>
        <w:tblStyle w:val="TableGridLight"/>
        <w:tblW w:w="9072"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4"/>
        <w:gridCol w:w="1814"/>
        <w:gridCol w:w="1815"/>
        <w:gridCol w:w="1814"/>
        <w:gridCol w:w="1815"/>
      </w:tblGrid>
      <w:tr w:rsidR="00BB2783" w:rsidRPr="00167A1B" w14:paraId="5E64EB59" w14:textId="77777777" w:rsidTr="004B29D2">
        <w:trPr>
          <w:trHeight w:val="210"/>
        </w:trPr>
        <w:tc>
          <w:tcPr>
            <w:tcW w:w="1814" w:type="dxa"/>
          </w:tcPr>
          <w:p w14:paraId="13B31D70" w14:textId="77777777" w:rsidR="00BB2783" w:rsidRPr="00167A1B" w:rsidRDefault="00BB2783" w:rsidP="00BB2783">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 Major positive impact</w:t>
            </w:r>
          </w:p>
        </w:tc>
        <w:tc>
          <w:tcPr>
            <w:tcW w:w="1814" w:type="dxa"/>
          </w:tcPr>
          <w:p w14:paraId="597D1FD6" w14:textId="77777777" w:rsidR="00BB2783" w:rsidRPr="00167A1B" w:rsidRDefault="00BB2783" w:rsidP="00BB2783">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 Minor positive impact</w:t>
            </w:r>
          </w:p>
        </w:tc>
        <w:tc>
          <w:tcPr>
            <w:tcW w:w="1815" w:type="dxa"/>
          </w:tcPr>
          <w:p w14:paraId="303B3FE4" w14:textId="77777777" w:rsidR="00BB2783" w:rsidRPr="00167A1B" w:rsidRDefault="00BB2783" w:rsidP="00BB2783">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0 No or negligible impact</w:t>
            </w:r>
          </w:p>
        </w:tc>
        <w:tc>
          <w:tcPr>
            <w:tcW w:w="1814" w:type="dxa"/>
          </w:tcPr>
          <w:p w14:paraId="6C0EDDED" w14:textId="77777777" w:rsidR="00BB2783" w:rsidRPr="00167A1B" w:rsidRDefault="00BB2783" w:rsidP="00BB2783">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 Minor negative impact</w:t>
            </w:r>
          </w:p>
        </w:tc>
        <w:tc>
          <w:tcPr>
            <w:tcW w:w="1815" w:type="dxa"/>
          </w:tcPr>
          <w:p w14:paraId="1164AD9C" w14:textId="77777777" w:rsidR="00BB2783" w:rsidRPr="00167A1B" w:rsidRDefault="00BB2783" w:rsidP="00BB2783">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 Major negative impact</w:t>
            </w:r>
          </w:p>
        </w:tc>
      </w:tr>
    </w:tbl>
    <w:p w14:paraId="2CE81709" w14:textId="237969D4" w:rsidR="009D1E55" w:rsidRPr="00167A1B" w:rsidRDefault="009D1E55" w:rsidP="009D1E55">
      <w:pPr>
        <w:pStyle w:val="Subtitle10"/>
        <w:rPr>
          <w:noProof w:val="0"/>
        </w:rPr>
      </w:pPr>
      <w:r w:rsidRPr="00167A1B">
        <w:rPr>
          <w:noProof w:val="0"/>
        </w:rPr>
        <w:t>Option 1</w:t>
      </w:r>
    </w:p>
    <w:p w14:paraId="769E1041" w14:textId="532E2D49" w:rsidR="004B29D2" w:rsidRPr="00167A1B" w:rsidRDefault="00DF74DC" w:rsidP="00467033">
      <w:pPr>
        <w:pStyle w:val="BodyText1"/>
        <w:rPr>
          <w:noProof w:val="0"/>
        </w:rPr>
      </w:pPr>
      <w:r w:rsidRPr="00167A1B">
        <w:rPr>
          <w:noProof w:val="0"/>
        </w:rPr>
        <w:t xml:space="preserve">As described in more detail in the first IA study, common </w:t>
      </w:r>
      <w:r w:rsidR="00A53C86" w:rsidRPr="00167A1B">
        <w:rPr>
          <w:noProof w:val="0"/>
        </w:rPr>
        <w:t xml:space="preserve">(USB Type-C) </w:t>
      </w:r>
      <w:r w:rsidRPr="00167A1B">
        <w:rPr>
          <w:noProof w:val="0"/>
        </w:rPr>
        <w:t xml:space="preserve">connectors at the device </w:t>
      </w:r>
      <w:r w:rsidR="00A53C86" w:rsidRPr="00167A1B">
        <w:rPr>
          <w:noProof w:val="0"/>
        </w:rPr>
        <w:t xml:space="preserve">end </w:t>
      </w:r>
      <w:r w:rsidRPr="00167A1B">
        <w:rPr>
          <w:noProof w:val="0"/>
        </w:rPr>
        <w:t xml:space="preserve">would provide </w:t>
      </w:r>
      <w:r w:rsidRPr="00167A1B">
        <w:rPr>
          <w:b/>
          <w:bCs/>
          <w:noProof w:val="0"/>
        </w:rPr>
        <w:t>minor</w:t>
      </w:r>
      <w:r w:rsidRPr="00167A1B">
        <w:rPr>
          <w:noProof w:val="0"/>
        </w:rPr>
        <w:t xml:space="preserve"> benefits in terms of enhanced consumer convenience. This option would increase the likelihood that consumers – especially Apple users – who are unable to access their own charger (e.g. because they are travelling) are able to find a compatible third-party charger (problem </w:t>
      </w:r>
      <w:r w:rsidRPr="00167A1B">
        <w:rPr>
          <w:b/>
          <w:bCs/>
          <w:noProof w:val="0"/>
        </w:rPr>
        <w:t>c</w:t>
      </w:r>
      <w:r w:rsidRPr="00167A1B">
        <w:rPr>
          <w:noProof w:val="0"/>
        </w:rPr>
        <w:t xml:space="preserve"> above) – but as noted </w:t>
      </w:r>
      <w:r w:rsidR="009306A6" w:rsidRPr="00167A1B">
        <w:rPr>
          <w:noProof w:val="0"/>
        </w:rPr>
        <w:t>in the first IA study</w:t>
      </w:r>
      <w:r w:rsidR="009306A6" w:rsidRPr="00167A1B">
        <w:rPr>
          <w:rStyle w:val="FootnoteReference"/>
          <w:noProof w:val="0"/>
        </w:rPr>
        <w:footnoteReference w:id="124"/>
      </w:r>
      <w:r w:rsidRPr="00167A1B">
        <w:rPr>
          <w:noProof w:val="0"/>
        </w:rPr>
        <w:t xml:space="preserve">, this is a relatively infrequent occurrence. It would also enhance convenience to a limited extent by enabling users to charge all phones with the same cables (problem </w:t>
      </w:r>
      <w:r w:rsidR="004B29D2" w:rsidRPr="00167A1B">
        <w:rPr>
          <w:b/>
          <w:bCs/>
          <w:noProof w:val="0"/>
        </w:rPr>
        <w:t>a</w:t>
      </w:r>
      <w:r w:rsidRPr="00167A1B">
        <w:rPr>
          <w:noProof w:val="0"/>
        </w:rPr>
        <w:t>).</w:t>
      </w:r>
      <w:r w:rsidR="00A53C86" w:rsidRPr="00167A1B">
        <w:rPr>
          <w:noProof w:val="0"/>
        </w:rPr>
        <w:t xml:space="preserve"> </w:t>
      </w:r>
      <w:r w:rsidR="004B29D2" w:rsidRPr="00167A1B">
        <w:rPr>
          <w:noProof w:val="0"/>
        </w:rPr>
        <w:t>This option would have no significant effect on the remaining source of inconvenience.</w:t>
      </w:r>
    </w:p>
    <w:p w14:paraId="7877F8C5" w14:textId="31A06D45" w:rsidR="0047600E" w:rsidRPr="00167A1B" w:rsidRDefault="0047600E" w:rsidP="00467033">
      <w:pPr>
        <w:pStyle w:val="BodyText1"/>
        <w:rPr>
          <w:noProof w:val="0"/>
        </w:rPr>
      </w:pPr>
    </w:p>
    <w:p w14:paraId="1446C51D" w14:textId="797E1BA5" w:rsidR="00DF74DC" w:rsidRPr="00167A1B" w:rsidRDefault="00DF74DC" w:rsidP="00DF74DC">
      <w:pPr>
        <w:pStyle w:val="Subtitle10"/>
        <w:rPr>
          <w:noProof w:val="0"/>
        </w:rPr>
      </w:pPr>
      <w:r w:rsidRPr="00167A1B">
        <w:rPr>
          <w:noProof w:val="0"/>
        </w:rPr>
        <w:lastRenderedPageBreak/>
        <w:t>Option 2</w:t>
      </w:r>
    </w:p>
    <w:p w14:paraId="22120D81" w14:textId="6CC2650A" w:rsidR="00A53C86" w:rsidRPr="00167A1B" w:rsidRDefault="00A53C86" w:rsidP="00DF74DC">
      <w:pPr>
        <w:pStyle w:val="BodyText1"/>
        <w:rPr>
          <w:noProof w:val="0"/>
          <w:szCs w:val="22"/>
        </w:rPr>
      </w:pPr>
      <w:r w:rsidRPr="00167A1B">
        <w:rPr>
          <w:noProof w:val="0"/>
          <w:szCs w:val="22"/>
        </w:rPr>
        <w:t>This option, by ensuring that all mobile phones incorporate communication protocols that are compatible with USB charging technology (USB Type-C, as well as USB PD for phones that can charge at over 15 W), would have the following impacts on the main sources of consumer inconvenience:</w:t>
      </w:r>
    </w:p>
    <w:p w14:paraId="4B53A992" w14:textId="77777777" w:rsidR="00EE4F2C" w:rsidRPr="00167A1B" w:rsidRDefault="00EE4F2C" w:rsidP="00EE4F2C">
      <w:pPr>
        <w:pStyle w:val="BodyText1"/>
        <w:numPr>
          <w:ilvl w:val="0"/>
          <w:numId w:val="36"/>
        </w:numPr>
        <w:rPr>
          <w:noProof w:val="0"/>
          <w:szCs w:val="22"/>
        </w:rPr>
      </w:pPr>
      <w:r w:rsidRPr="00167A1B">
        <w:rPr>
          <w:b/>
          <w:bCs/>
          <w:noProof w:val="0"/>
          <w:szCs w:val="22"/>
        </w:rPr>
        <w:t>Inability to charge certain devices (as fast)</w:t>
      </w:r>
      <w:r w:rsidRPr="00167A1B">
        <w:rPr>
          <w:noProof w:val="0"/>
          <w:szCs w:val="22"/>
        </w:rPr>
        <w:t xml:space="preserve">: Minor positive impact, mainly for users of lower-tier phones. </w:t>
      </w:r>
      <w:r w:rsidRPr="00167A1B">
        <w:rPr>
          <w:noProof w:val="0"/>
        </w:rPr>
        <w:t>Based on the information at our disposal (for details see Annex B), all “fast-charging” mobile phones that are currently on the market (including those that include proprietary fast charging technology) already display some degree of compatibility with USB PD, meaning they take advantage of this technology when connected to a USB PD EPS. Therefore, it is unlikely that this option would materially alter the status quo in terms of the communication protocols that are incorporated in the current generation of “fast charging” mobile phones, or affect consumers’ ability to charge different phones with different EPS (seeing as interoperability is already near universal) or the speed of charge. However, it would make this interoperability mandatory (as opposed to merely voluntary), thereby ensuring it remains the case for future generations of phones. In addition, it would lead to a significant change in lower-tier, typically non-fast charging phones, which would have to incorporate USB Type-C, meaning all USB micro-B receptacles (estimated to still be used in around 30% of all mobile phones sold in the EU in 2020) would be replaced with USB Type-C ones by the time the rules come into force (i.e. significantly faster than in the baseline scenario). Like option 1, this would enhance convenience to a limited extent (though it would come at a cost, as the additional cost of this technology would be passed on to consumers). If communicated effectively, it could also enhance consumer awareness of the (near) universal interoperability of phones with USB chargers.</w:t>
      </w:r>
    </w:p>
    <w:p w14:paraId="393BB249" w14:textId="118C6BE8" w:rsidR="00006186" w:rsidRPr="00167A1B" w:rsidRDefault="00006186" w:rsidP="00827359">
      <w:pPr>
        <w:pStyle w:val="BodyText1"/>
        <w:numPr>
          <w:ilvl w:val="0"/>
          <w:numId w:val="36"/>
        </w:numPr>
        <w:rPr>
          <w:noProof w:val="0"/>
          <w:szCs w:val="22"/>
        </w:rPr>
      </w:pPr>
      <w:r w:rsidRPr="00167A1B">
        <w:rPr>
          <w:b/>
          <w:bCs/>
          <w:noProof w:val="0"/>
          <w:szCs w:val="22"/>
        </w:rPr>
        <w:t>Too many chargers</w:t>
      </w:r>
      <w:r w:rsidRPr="00167A1B">
        <w:rPr>
          <w:noProof w:val="0"/>
          <w:szCs w:val="22"/>
        </w:rPr>
        <w:t>: No impact, as this option per se is not expected to lead to any additional unbundling.</w:t>
      </w:r>
    </w:p>
    <w:p w14:paraId="53144EAA" w14:textId="412873BE" w:rsidR="00006186" w:rsidRPr="00167A1B" w:rsidRDefault="005B4A09" w:rsidP="00827359">
      <w:pPr>
        <w:pStyle w:val="BodyText1"/>
        <w:numPr>
          <w:ilvl w:val="0"/>
          <w:numId w:val="36"/>
        </w:numPr>
        <w:rPr>
          <w:noProof w:val="0"/>
          <w:szCs w:val="22"/>
        </w:rPr>
      </w:pPr>
      <w:r w:rsidRPr="00167A1B">
        <w:rPr>
          <w:b/>
          <w:bCs/>
          <w:noProof w:val="0"/>
          <w:szCs w:val="22"/>
        </w:rPr>
        <w:t>No access to a compatible charger</w:t>
      </w:r>
      <w:r w:rsidRPr="00167A1B">
        <w:rPr>
          <w:noProof w:val="0"/>
          <w:szCs w:val="22"/>
        </w:rPr>
        <w:t xml:space="preserve">: </w:t>
      </w:r>
      <w:r w:rsidRPr="00167A1B">
        <w:rPr>
          <w:noProof w:val="0"/>
        </w:rPr>
        <w:t>Negligible / minor positive impact. In view of the near universal interoperability, access to a compatible EPS is generally not a problem in practice. In situations where consumers require access to a third-party charger, the main interoperability barrier tends to be the connector. Thus, by speeding up the existing trend towards using USB Type-C instead of USB micro-B connectors, this option would enhance convenience</w:t>
      </w:r>
      <w:r w:rsidR="008B11A5" w:rsidRPr="00167A1B">
        <w:rPr>
          <w:noProof w:val="0"/>
        </w:rPr>
        <w:t>, mainly</w:t>
      </w:r>
      <w:r w:rsidRPr="00167A1B">
        <w:rPr>
          <w:noProof w:val="0"/>
        </w:rPr>
        <w:t xml:space="preserve"> for users of </w:t>
      </w:r>
      <w:r w:rsidR="008B11A5" w:rsidRPr="00167A1B">
        <w:rPr>
          <w:noProof w:val="0"/>
        </w:rPr>
        <w:t>lower-tier phones. However,</w:t>
      </w:r>
      <w:r w:rsidRPr="00167A1B">
        <w:rPr>
          <w:noProof w:val="0"/>
        </w:rPr>
        <w:t xml:space="preserve"> the number of occasions in which consumers find themselves in this situation, and would benefit from this option (i.e. </w:t>
      </w:r>
      <w:r w:rsidR="008B11A5" w:rsidRPr="00167A1B">
        <w:rPr>
          <w:noProof w:val="0"/>
        </w:rPr>
        <w:t xml:space="preserve">have a phone with a USB micro-B receptacle, but the only accessible cables have a USB </w:t>
      </w:r>
      <w:r w:rsidR="00B80900" w:rsidRPr="00167A1B">
        <w:rPr>
          <w:noProof w:val="0"/>
        </w:rPr>
        <w:t>Type-C</w:t>
      </w:r>
      <w:r w:rsidR="008B11A5" w:rsidRPr="00167A1B">
        <w:rPr>
          <w:noProof w:val="0"/>
        </w:rPr>
        <w:t xml:space="preserve"> connector, or vice versa</w:t>
      </w:r>
      <w:r w:rsidRPr="00167A1B">
        <w:rPr>
          <w:noProof w:val="0"/>
        </w:rPr>
        <w:t>), is likely to be very small</w:t>
      </w:r>
      <w:r w:rsidR="008B11A5" w:rsidRPr="00167A1B">
        <w:rPr>
          <w:noProof w:val="0"/>
        </w:rPr>
        <w:t>, and further decrease over time as the transition continues at its “natural” pace under the baseline scenario</w:t>
      </w:r>
      <w:r w:rsidRPr="00167A1B">
        <w:rPr>
          <w:noProof w:val="0"/>
        </w:rPr>
        <w:t>.</w:t>
      </w:r>
      <w:r w:rsidR="008B11A5" w:rsidRPr="00167A1B">
        <w:rPr>
          <w:noProof w:val="0"/>
        </w:rPr>
        <w:t xml:space="preserve"> It should be noted again that, under this option, Apple phones could continue to use proprietary (Lightning) connectors.</w:t>
      </w:r>
    </w:p>
    <w:p w14:paraId="105A3121" w14:textId="6FF1EEB8" w:rsidR="005B4A09" w:rsidRPr="00167A1B" w:rsidRDefault="005B4A09" w:rsidP="00827359">
      <w:pPr>
        <w:pStyle w:val="BodyText1"/>
        <w:numPr>
          <w:ilvl w:val="0"/>
          <w:numId w:val="36"/>
        </w:numPr>
        <w:rPr>
          <w:noProof w:val="0"/>
          <w:szCs w:val="22"/>
        </w:rPr>
      </w:pPr>
      <w:r w:rsidRPr="00167A1B">
        <w:rPr>
          <w:b/>
          <w:bCs/>
          <w:noProof w:val="0"/>
          <w:szCs w:val="22"/>
        </w:rPr>
        <w:t xml:space="preserve">Confusion about which charger works with what: </w:t>
      </w:r>
      <w:r w:rsidR="008B11A5" w:rsidRPr="00167A1B">
        <w:rPr>
          <w:noProof w:val="0"/>
          <w:szCs w:val="22"/>
        </w:rPr>
        <w:t>Minor positive impact.</w:t>
      </w:r>
      <w:r w:rsidR="008B11A5" w:rsidRPr="00167A1B">
        <w:rPr>
          <w:b/>
          <w:bCs/>
          <w:noProof w:val="0"/>
          <w:szCs w:val="22"/>
        </w:rPr>
        <w:t xml:space="preserve"> </w:t>
      </w:r>
      <w:r w:rsidR="008B11A5" w:rsidRPr="00167A1B">
        <w:rPr>
          <w:noProof w:val="0"/>
          <w:szCs w:val="22"/>
        </w:rPr>
        <w:t>The confusion is mainly the results of consumers’ lack of awareness of the already near universal compatibility between modern phones and EPS. Thus, any positive effects from this option would be due not to enhanced interoperability per se, but to the accompanying information requirements to highlight the USB Type-C / USB PD compatibility of both phones and EPS. If implemented effectively, the provision of such information (</w:t>
      </w:r>
      <w:r w:rsidR="00B80900" w:rsidRPr="00167A1B">
        <w:rPr>
          <w:noProof w:val="0"/>
          <w:szCs w:val="22"/>
        </w:rPr>
        <w:t>and</w:t>
      </w:r>
      <w:r w:rsidR="008B11A5" w:rsidRPr="00167A1B">
        <w:rPr>
          <w:noProof w:val="0"/>
          <w:szCs w:val="22"/>
        </w:rPr>
        <w:t xml:space="preserve"> of the fact that interoperability is </w:t>
      </w:r>
      <w:r w:rsidR="008B11A5" w:rsidRPr="00167A1B">
        <w:rPr>
          <w:i/>
          <w:iCs/>
          <w:noProof w:val="0"/>
          <w:szCs w:val="22"/>
        </w:rPr>
        <w:t>obligatory</w:t>
      </w:r>
      <w:r w:rsidR="008B11A5" w:rsidRPr="00167A1B">
        <w:rPr>
          <w:noProof w:val="0"/>
          <w:szCs w:val="22"/>
        </w:rPr>
        <w:t xml:space="preserve"> for phones) could </w:t>
      </w:r>
      <w:r w:rsidR="001336E1" w:rsidRPr="00167A1B">
        <w:rPr>
          <w:noProof w:val="0"/>
          <w:szCs w:val="22"/>
        </w:rPr>
        <w:t>increase consumer understanding of compatibility (including in terms of safety and speed), and thereby reduce confusion.</w:t>
      </w:r>
      <w:r w:rsidR="008B11A5" w:rsidRPr="00167A1B">
        <w:rPr>
          <w:noProof w:val="0"/>
          <w:szCs w:val="22"/>
        </w:rPr>
        <w:t xml:space="preserve"> </w:t>
      </w:r>
      <w:r w:rsidR="001336E1" w:rsidRPr="00167A1B">
        <w:rPr>
          <w:noProof w:val="0"/>
          <w:szCs w:val="22"/>
        </w:rPr>
        <w:t>However, according to many industry stakeholders interviewed for this study, the amount of attention consumers typically pay to this kind of information should not be over-estimated.</w:t>
      </w:r>
    </w:p>
    <w:p w14:paraId="31917CB4" w14:textId="24B51741" w:rsidR="005B4A09" w:rsidRPr="00167A1B" w:rsidRDefault="005B4A09" w:rsidP="00827359">
      <w:pPr>
        <w:pStyle w:val="BodyText1"/>
        <w:numPr>
          <w:ilvl w:val="0"/>
          <w:numId w:val="36"/>
        </w:numPr>
        <w:rPr>
          <w:noProof w:val="0"/>
          <w:szCs w:val="22"/>
        </w:rPr>
      </w:pPr>
      <w:r w:rsidRPr="00167A1B">
        <w:rPr>
          <w:b/>
          <w:bCs/>
          <w:noProof w:val="0"/>
          <w:szCs w:val="22"/>
        </w:rPr>
        <w:t xml:space="preserve">Absence of charger: </w:t>
      </w:r>
      <w:r w:rsidR="008B11A5" w:rsidRPr="00167A1B">
        <w:rPr>
          <w:noProof w:val="0"/>
          <w:szCs w:val="22"/>
        </w:rPr>
        <w:t>No impact, as this option per se is not expected to lead to any additional unbundling.</w:t>
      </w:r>
    </w:p>
    <w:p w14:paraId="357391D9" w14:textId="4E9242CD" w:rsidR="00DF74DC" w:rsidRPr="00167A1B" w:rsidRDefault="00DF74DC" w:rsidP="00DF74DC">
      <w:pPr>
        <w:pStyle w:val="BodyText1"/>
        <w:rPr>
          <w:noProof w:val="0"/>
        </w:rPr>
      </w:pPr>
    </w:p>
    <w:p w14:paraId="1E4D4AA9" w14:textId="0AD3E9F2" w:rsidR="00DF74DC" w:rsidRPr="00167A1B" w:rsidRDefault="00DF74DC" w:rsidP="00DF74DC">
      <w:pPr>
        <w:pStyle w:val="Subtitle10"/>
        <w:rPr>
          <w:noProof w:val="0"/>
        </w:rPr>
      </w:pPr>
      <w:r w:rsidRPr="00167A1B">
        <w:rPr>
          <w:noProof w:val="0"/>
        </w:rPr>
        <w:lastRenderedPageBreak/>
        <w:t>Option 3</w:t>
      </w:r>
    </w:p>
    <w:p w14:paraId="7EC2A3BB" w14:textId="6EA87B1B" w:rsidR="00DF74DC" w:rsidRPr="00167A1B" w:rsidRDefault="005602C7" w:rsidP="00467033">
      <w:pPr>
        <w:pStyle w:val="BodyText1"/>
        <w:rPr>
          <w:noProof w:val="0"/>
          <w:szCs w:val="22"/>
        </w:rPr>
      </w:pPr>
      <w:r w:rsidRPr="00167A1B">
        <w:rPr>
          <w:noProof w:val="0"/>
        </w:rPr>
        <w:t xml:space="preserve">This option, by </w:t>
      </w:r>
      <w:r w:rsidRPr="00167A1B">
        <w:rPr>
          <w:noProof w:val="0"/>
          <w:szCs w:val="22"/>
        </w:rPr>
        <w:t>requiring all EPS that are bundled with mobile phones to be compliant with USB interoperability specifications and communication methods (specifically, IEC 63002:2021), would affect consumer convenience in the following ways:</w:t>
      </w:r>
    </w:p>
    <w:p w14:paraId="25DCBD57" w14:textId="2AE5A7DF" w:rsidR="005602C7" w:rsidRPr="00167A1B" w:rsidRDefault="005602C7" w:rsidP="00827359">
      <w:pPr>
        <w:pStyle w:val="BodyText1"/>
        <w:numPr>
          <w:ilvl w:val="0"/>
          <w:numId w:val="37"/>
        </w:numPr>
        <w:rPr>
          <w:noProof w:val="0"/>
          <w:szCs w:val="22"/>
        </w:rPr>
      </w:pPr>
      <w:bookmarkStart w:id="63" w:name="_Hlk69804643"/>
      <w:r w:rsidRPr="00167A1B">
        <w:rPr>
          <w:b/>
          <w:bCs/>
          <w:noProof w:val="0"/>
          <w:szCs w:val="22"/>
        </w:rPr>
        <w:t>Inability to charge certain devices (as fast)</w:t>
      </w:r>
      <w:r w:rsidRPr="00167A1B">
        <w:rPr>
          <w:noProof w:val="0"/>
          <w:szCs w:val="22"/>
        </w:rPr>
        <w:t>: Minor positive impact overall, potentially major for some users, but negative for others</w:t>
      </w:r>
      <w:r w:rsidRPr="00167A1B">
        <w:rPr>
          <w:noProof w:val="0"/>
        </w:rPr>
        <w:t>. Like option 2 above, option 3 would further cement and guarantee the high degree of interoperability that already exists. In addition, it would oblige manufacturers whose EPS currently rely on proprietary fast-</w:t>
      </w:r>
      <w:proofErr w:type="spellStart"/>
      <w:r w:rsidR="00AC3CFD" w:rsidRPr="00167A1B">
        <w:rPr>
          <w:noProof w:val="0"/>
        </w:rPr>
        <w:t>charging</w:t>
      </w:r>
      <w:proofErr w:type="spellEnd"/>
      <w:r w:rsidRPr="00167A1B">
        <w:rPr>
          <w:noProof w:val="0"/>
        </w:rPr>
        <w:t xml:space="preserve"> technology (and revert to basic USB BC when connected to a phone that does not incorporate the same technology) to change to USB PD. This would mean that these EPS could also be used to charge phones from other manufacturers at a significantly higher speed than is currently the case, thereby increasing versatility and consequently convenience for consumers. On the other hand, </w:t>
      </w:r>
      <w:r w:rsidR="00AC3CFD" w:rsidRPr="00167A1B">
        <w:rPr>
          <w:noProof w:val="0"/>
        </w:rPr>
        <w:t xml:space="preserve">it is not entirely clear whether USB PD is able to achieve the same very fast charging performance that some of the proprietary technologies can provide (for details see section 2.1). The manufacturers in question argue that their proprietary technologies achieve better performance than USB PD (though some other industry stakeholders </w:t>
      </w:r>
      <w:proofErr w:type="gramStart"/>
      <w:r w:rsidR="00AC3CFD" w:rsidRPr="00167A1B">
        <w:rPr>
          <w:noProof w:val="0"/>
        </w:rPr>
        <w:t>disagree, or</w:t>
      </w:r>
      <w:proofErr w:type="gramEnd"/>
      <w:r w:rsidR="00AC3CFD" w:rsidRPr="00167A1B">
        <w:rPr>
          <w:noProof w:val="0"/>
        </w:rPr>
        <w:t xml:space="preserve"> attribute the higher speeds solely to higher power outputs, which could also be achieved via USB PD). If the manufacturers of proprietary fast charging technologies are to be believed, then this option would deprive customers of certain brands (including Huawei and Oppo) of access to very fast charging EPS, which would obviously inconvenience those customers who value very fast charging.</w:t>
      </w:r>
    </w:p>
    <w:bookmarkEnd w:id="63"/>
    <w:p w14:paraId="205869D4" w14:textId="77777777" w:rsidR="005602C7" w:rsidRPr="00167A1B" w:rsidRDefault="005602C7" w:rsidP="00827359">
      <w:pPr>
        <w:pStyle w:val="BodyText1"/>
        <w:numPr>
          <w:ilvl w:val="0"/>
          <w:numId w:val="37"/>
        </w:numPr>
        <w:rPr>
          <w:noProof w:val="0"/>
          <w:szCs w:val="22"/>
        </w:rPr>
      </w:pPr>
      <w:r w:rsidRPr="00167A1B">
        <w:rPr>
          <w:b/>
          <w:bCs/>
          <w:noProof w:val="0"/>
          <w:szCs w:val="22"/>
        </w:rPr>
        <w:t>Too many chargers</w:t>
      </w:r>
      <w:r w:rsidRPr="00167A1B">
        <w:rPr>
          <w:noProof w:val="0"/>
          <w:szCs w:val="22"/>
        </w:rPr>
        <w:t>: No impact, as this option per se is not expected to lead to any additional unbundling.</w:t>
      </w:r>
    </w:p>
    <w:p w14:paraId="7AE0BED5" w14:textId="7D50C293" w:rsidR="005602C7" w:rsidRPr="00167A1B" w:rsidRDefault="005602C7" w:rsidP="00827359">
      <w:pPr>
        <w:pStyle w:val="BodyText1"/>
        <w:numPr>
          <w:ilvl w:val="0"/>
          <w:numId w:val="37"/>
        </w:numPr>
        <w:rPr>
          <w:noProof w:val="0"/>
          <w:szCs w:val="22"/>
        </w:rPr>
      </w:pPr>
      <w:r w:rsidRPr="00167A1B">
        <w:rPr>
          <w:b/>
          <w:bCs/>
          <w:noProof w:val="0"/>
          <w:szCs w:val="22"/>
        </w:rPr>
        <w:t>No access to a compatible charger</w:t>
      </w:r>
      <w:r w:rsidRPr="00167A1B">
        <w:rPr>
          <w:noProof w:val="0"/>
          <w:szCs w:val="22"/>
        </w:rPr>
        <w:t xml:space="preserve">: Negligible / minor positive impact </w:t>
      </w:r>
      <w:r w:rsidR="00934CB8" w:rsidRPr="00167A1B">
        <w:rPr>
          <w:noProof w:val="0"/>
          <w:szCs w:val="22"/>
        </w:rPr>
        <w:t>due to the faster elimination of USB micro-B connectors, as outlined under option 2 above.</w:t>
      </w:r>
    </w:p>
    <w:p w14:paraId="1B05E2E6" w14:textId="3CD0D23A" w:rsidR="005602C7" w:rsidRPr="00167A1B" w:rsidRDefault="005602C7" w:rsidP="00827359">
      <w:pPr>
        <w:pStyle w:val="BodyText1"/>
        <w:numPr>
          <w:ilvl w:val="0"/>
          <w:numId w:val="37"/>
        </w:numPr>
        <w:rPr>
          <w:noProof w:val="0"/>
          <w:szCs w:val="22"/>
        </w:rPr>
      </w:pPr>
      <w:r w:rsidRPr="00167A1B">
        <w:rPr>
          <w:b/>
          <w:bCs/>
          <w:noProof w:val="0"/>
          <w:szCs w:val="22"/>
        </w:rPr>
        <w:t xml:space="preserve">Confusion about which charger works with what: </w:t>
      </w:r>
      <w:r w:rsidRPr="00167A1B">
        <w:rPr>
          <w:noProof w:val="0"/>
          <w:szCs w:val="22"/>
        </w:rPr>
        <w:t>Minor positive impact</w:t>
      </w:r>
      <w:r w:rsidR="00934CB8" w:rsidRPr="00167A1B">
        <w:rPr>
          <w:noProof w:val="0"/>
          <w:szCs w:val="22"/>
        </w:rPr>
        <w:t xml:space="preserve"> due </w:t>
      </w:r>
      <w:r w:rsidRPr="00167A1B">
        <w:rPr>
          <w:noProof w:val="0"/>
          <w:szCs w:val="22"/>
        </w:rPr>
        <w:t>to the accompanying information requirements to highlight the USB Type-C / USB PD compatibility of both phones and EPS</w:t>
      </w:r>
      <w:r w:rsidR="00934CB8" w:rsidRPr="00167A1B">
        <w:rPr>
          <w:noProof w:val="0"/>
          <w:szCs w:val="22"/>
        </w:rPr>
        <w:t xml:space="preserve">, as outlined under option 2 above. </w:t>
      </w:r>
    </w:p>
    <w:p w14:paraId="4BDE4C39" w14:textId="77777777" w:rsidR="005602C7" w:rsidRPr="00167A1B" w:rsidRDefault="005602C7" w:rsidP="00827359">
      <w:pPr>
        <w:pStyle w:val="BodyText1"/>
        <w:numPr>
          <w:ilvl w:val="0"/>
          <w:numId w:val="37"/>
        </w:numPr>
        <w:rPr>
          <w:noProof w:val="0"/>
          <w:szCs w:val="22"/>
        </w:rPr>
      </w:pPr>
      <w:r w:rsidRPr="00167A1B">
        <w:rPr>
          <w:b/>
          <w:bCs/>
          <w:noProof w:val="0"/>
          <w:szCs w:val="22"/>
        </w:rPr>
        <w:t xml:space="preserve">Absence of charger: </w:t>
      </w:r>
      <w:r w:rsidRPr="00167A1B">
        <w:rPr>
          <w:noProof w:val="0"/>
          <w:szCs w:val="22"/>
        </w:rPr>
        <w:t>No impact, as this option per se is not expected to lead to any additional unbundling.</w:t>
      </w:r>
    </w:p>
    <w:p w14:paraId="63A7B4AC" w14:textId="33CB1D6D" w:rsidR="00DF74DC" w:rsidRPr="00167A1B" w:rsidRDefault="00DF74DC" w:rsidP="00467033">
      <w:pPr>
        <w:pStyle w:val="BodyText1"/>
        <w:rPr>
          <w:noProof w:val="0"/>
        </w:rPr>
      </w:pPr>
    </w:p>
    <w:p w14:paraId="1234AA81" w14:textId="2ABFD6F0" w:rsidR="00DF74DC" w:rsidRPr="00167A1B" w:rsidRDefault="00DF74DC" w:rsidP="00DF74DC">
      <w:pPr>
        <w:pStyle w:val="Subtitle10"/>
        <w:rPr>
          <w:noProof w:val="0"/>
        </w:rPr>
      </w:pPr>
      <w:r w:rsidRPr="00167A1B">
        <w:rPr>
          <w:noProof w:val="0"/>
        </w:rPr>
        <w:t>Option 4.a</w:t>
      </w:r>
    </w:p>
    <w:p w14:paraId="1CA56DFC" w14:textId="3F6BF086" w:rsidR="00DF74DC" w:rsidRPr="00167A1B" w:rsidRDefault="00D44173" w:rsidP="00467033">
      <w:pPr>
        <w:pStyle w:val="BodyText1"/>
        <w:rPr>
          <w:noProof w:val="0"/>
        </w:rPr>
      </w:pPr>
      <w:r w:rsidRPr="00167A1B">
        <w:rPr>
          <w:noProof w:val="0"/>
        </w:rPr>
        <w:t>This option would make unbundling of EPS mandatory, and thereby have the following effects on consumer convenience:</w:t>
      </w:r>
    </w:p>
    <w:p w14:paraId="42BD6151" w14:textId="2FBA9731" w:rsidR="00D44173" w:rsidRPr="00167A1B" w:rsidRDefault="00D44173" w:rsidP="00827359">
      <w:pPr>
        <w:pStyle w:val="BodyText1"/>
        <w:numPr>
          <w:ilvl w:val="0"/>
          <w:numId w:val="38"/>
        </w:numPr>
        <w:rPr>
          <w:noProof w:val="0"/>
          <w:szCs w:val="22"/>
        </w:rPr>
      </w:pPr>
      <w:r w:rsidRPr="00167A1B">
        <w:rPr>
          <w:b/>
          <w:bCs/>
          <w:noProof w:val="0"/>
          <w:szCs w:val="22"/>
        </w:rPr>
        <w:t>Inability to charge certain devices (as fast)</w:t>
      </w:r>
      <w:r w:rsidRPr="00167A1B">
        <w:rPr>
          <w:noProof w:val="0"/>
          <w:szCs w:val="22"/>
        </w:rPr>
        <w:t>: No impact, as this option per se would not affect the current situation as regards interoperability. It is possible that it would encourage or oblige consumers to pay more attention to charging technology (as they would need to decide w</w:t>
      </w:r>
      <w:r w:rsidR="00273829" w:rsidRPr="00167A1B">
        <w:rPr>
          <w:noProof w:val="0"/>
          <w:szCs w:val="22"/>
        </w:rPr>
        <w:t xml:space="preserve">hether to acquire a new EPS with their phones, and if so, which), thereby enhancing their understanding of charging interoperability and performance considerations. On the other hand, it could also lead some consumers to </w:t>
      </w:r>
      <w:r w:rsidR="00BB0357" w:rsidRPr="00167A1B">
        <w:rPr>
          <w:noProof w:val="0"/>
          <w:szCs w:val="22"/>
        </w:rPr>
        <w:t xml:space="preserve">continue to use an existing, non-fast charging EPS, or </w:t>
      </w:r>
      <w:r w:rsidR="00273829" w:rsidRPr="00167A1B">
        <w:rPr>
          <w:noProof w:val="0"/>
          <w:szCs w:val="22"/>
        </w:rPr>
        <w:t xml:space="preserve">choose to purchase the cheapest available EPS, thereby depriving them of faster solutions that might otherwise be supplied “in the box”. On balance, it appears appropriate to assume these possible effects would </w:t>
      </w:r>
      <w:proofErr w:type="gramStart"/>
      <w:r w:rsidR="00273829" w:rsidRPr="00167A1B">
        <w:rPr>
          <w:noProof w:val="0"/>
          <w:szCs w:val="22"/>
        </w:rPr>
        <w:t>more or less cancel</w:t>
      </w:r>
      <w:proofErr w:type="gramEnd"/>
      <w:r w:rsidR="00273829" w:rsidRPr="00167A1B">
        <w:rPr>
          <w:noProof w:val="0"/>
          <w:szCs w:val="22"/>
        </w:rPr>
        <w:t xml:space="preserve"> each other out, and overall, there would be no significant impact on consumers’ ability to charge certain devices with certain EPS.</w:t>
      </w:r>
    </w:p>
    <w:p w14:paraId="764B2BF3" w14:textId="58DA48BA" w:rsidR="00D44173" w:rsidRPr="00167A1B" w:rsidRDefault="00D44173" w:rsidP="00827359">
      <w:pPr>
        <w:pStyle w:val="BodyText1"/>
        <w:numPr>
          <w:ilvl w:val="0"/>
          <w:numId w:val="38"/>
        </w:numPr>
        <w:rPr>
          <w:noProof w:val="0"/>
          <w:szCs w:val="22"/>
        </w:rPr>
      </w:pPr>
      <w:r w:rsidRPr="00167A1B">
        <w:rPr>
          <w:b/>
          <w:bCs/>
          <w:noProof w:val="0"/>
          <w:szCs w:val="22"/>
        </w:rPr>
        <w:t>Too many chargers</w:t>
      </w:r>
      <w:r w:rsidRPr="00167A1B">
        <w:rPr>
          <w:noProof w:val="0"/>
          <w:szCs w:val="22"/>
        </w:rPr>
        <w:t xml:space="preserve">: </w:t>
      </w:r>
      <w:r w:rsidR="00BB0357" w:rsidRPr="00167A1B">
        <w:rPr>
          <w:noProof w:val="0"/>
          <w:szCs w:val="22"/>
        </w:rPr>
        <w:t xml:space="preserve">Minor positive impact. For obvious reasons, mandatory unbundling would provide those consumers who feel they already have too many chargers with the opportunity to continue to use an existing EPS, rather than acquire a new one with their new phone. This would generate convenience benefits for these </w:t>
      </w:r>
      <w:r w:rsidR="00BB0357" w:rsidRPr="00167A1B">
        <w:rPr>
          <w:noProof w:val="0"/>
          <w:szCs w:val="22"/>
        </w:rPr>
        <w:lastRenderedPageBreak/>
        <w:t xml:space="preserve">users, although, given that very few survey respondents classified the inconvenience from having too many chargers as significant, these benefits </w:t>
      </w:r>
      <w:r w:rsidR="00363B74" w:rsidRPr="00167A1B">
        <w:rPr>
          <w:noProof w:val="0"/>
          <w:szCs w:val="22"/>
        </w:rPr>
        <w:t>would be minor rather than major.</w:t>
      </w:r>
    </w:p>
    <w:p w14:paraId="3CE20D14" w14:textId="12D36284" w:rsidR="00D44173" w:rsidRPr="00167A1B" w:rsidRDefault="00D44173" w:rsidP="00827359">
      <w:pPr>
        <w:pStyle w:val="BodyText1"/>
        <w:numPr>
          <w:ilvl w:val="0"/>
          <w:numId w:val="38"/>
        </w:numPr>
        <w:rPr>
          <w:noProof w:val="0"/>
          <w:szCs w:val="22"/>
        </w:rPr>
      </w:pPr>
      <w:r w:rsidRPr="00167A1B">
        <w:rPr>
          <w:b/>
          <w:bCs/>
          <w:noProof w:val="0"/>
          <w:szCs w:val="22"/>
        </w:rPr>
        <w:t>No access to a compatible charger</w:t>
      </w:r>
      <w:r w:rsidRPr="00167A1B">
        <w:rPr>
          <w:noProof w:val="0"/>
          <w:szCs w:val="22"/>
        </w:rPr>
        <w:t>:</w:t>
      </w:r>
      <w:r w:rsidR="00BB0357" w:rsidRPr="00167A1B">
        <w:rPr>
          <w:noProof w:val="0"/>
          <w:szCs w:val="22"/>
        </w:rPr>
        <w:t xml:space="preserve"> No impact, as this option is not expected to affect the types of chargers sold / used.</w:t>
      </w:r>
    </w:p>
    <w:p w14:paraId="471C7F39" w14:textId="57D25DE4" w:rsidR="00D44173" w:rsidRPr="00167A1B" w:rsidRDefault="00D44173" w:rsidP="00827359">
      <w:pPr>
        <w:pStyle w:val="BodyText1"/>
        <w:numPr>
          <w:ilvl w:val="0"/>
          <w:numId w:val="38"/>
        </w:numPr>
        <w:rPr>
          <w:noProof w:val="0"/>
          <w:szCs w:val="22"/>
        </w:rPr>
      </w:pPr>
      <w:r w:rsidRPr="00167A1B">
        <w:rPr>
          <w:b/>
          <w:bCs/>
          <w:noProof w:val="0"/>
          <w:szCs w:val="22"/>
        </w:rPr>
        <w:t xml:space="preserve">Confusion about which charger works with what: </w:t>
      </w:r>
      <w:r w:rsidR="00BB0357" w:rsidRPr="00167A1B">
        <w:rPr>
          <w:noProof w:val="0"/>
          <w:szCs w:val="22"/>
        </w:rPr>
        <w:t>No impact, for the reasons outlined under point a above.</w:t>
      </w:r>
    </w:p>
    <w:p w14:paraId="2B498812" w14:textId="7171A0BB" w:rsidR="00D44173" w:rsidRPr="00167A1B" w:rsidRDefault="00D44173" w:rsidP="00827359">
      <w:pPr>
        <w:pStyle w:val="BodyText1"/>
        <w:numPr>
          <w:ilvl w:val="0"/>
          <w:numId w:val="38"/>
        </w:numPr>
        <w:rPr>
          <w:noProof w:val="0"/>
          <w:szCs w:val="22"/>
        </w:rPr>
      </w:pPr>
      <w:r w:rsidRPr="00167A1B">
        <w:rPr>
          <w:b/>
          <w:bCs/>
          <w:noProof w:val="0"/>
          <w:szCs w:val="22"/>
        </w:rPr>
        <w:t>Absence of charger:</w:t>
      </w:r>
      <w:r w:rsidR="00363B74" w:rsidRPr="00167A1B">
        <w:rPr>
          <w:noProof w:val="0"/>
          <w:szCs w:val="22"/>
        </w:rPr>
        <w:t xml:space="preserve"> Major negative impact. As noted previously, </w:t>
      </w:r>
      <w:proofErr w:type="gramStart"/>
      <w:r w:rsidR="00363B74" w:rsidRPr="00167A1B">
        <w:rPr>
          <w:noProof w:val="0"/>
          <w:szCs w:val="22"/>
        </w:rPr>
        <w:t>the majority of</w:t>
      </w:r>
      <w:proofErr w:type="gramEnd"/>
      <w:r w:rsidR="00363B74" w:rsidRPr="00167A1B">
        <w:rPr>
          <w:noProof w:val="0"/>
          <w:szCs w:val="22"/>
        </w:rPr>
        <w:t xml:space="preserve"> consumers surveyed expressed a preference for being provided with a charger along with a new phone. For these consumers, unbundling represents an inconvenience. In view of the survey results, this is likely to be more significant, and affect a larger number of consumers, than the benefits outlined under point b above. Furthermore (as discussed under the economic impacts in section 5.2), some consumers are likely to end up paying slightly more for their EPS, at least in the short term, until competitive market pressures eventually force vendors to “price in” the absence of the EPS and thus lower the price of their phones.</w:t>
      </w:r>
    </w:p>
    <w:p w14:paraId="70569A96" w14:textId="45755551" w:rsidR="00DF74DC" w:rsidRPr="00167A1B" w:rsidRDefault="00DF74DC" w:rsidP="00467033">
      <w:pPr>
        <w:pStyle w:val="BodyText1"/>
        <w:rPr>
          <w:noProof w:val="0"/>
        </w:rPr>
      </w:pPr>
    </w:p>
    <w:p w14:paraId="4156E2C3" w14:textId="637AA595" w:rsidR="00DF74DC" w:rsidRPr="00167A1B" w:rsidRDefault="00DF74DC" w:rsidP="00DF74DC">
      <w:pPr>
        <w:pStyle w:val="Subtitle10"/>
        <w:rPr>
          <w:noProof w:val="0"/>
        </w:rPr>
      </w:pPr>
      <w:r w:rsidRPr="00167A1B">
        <w:rPr>
          <w:noProof w:val="0"/>
        </w:rPr>
        <w:t>Option 4.b</w:t>
      </w:r>
    </w:p>
    <w:p w14:paraId="732F3153" w14:textId="0868C426" w:rsidR="00DF74DC" w:rsidRPr="00167A1B" w:rsidRDefault="00363B74" w:rsidP="00467033">
      <w:pPr>
        <w:pStyle w:val="BodyText1"/>
        <w:rPr>
          <w:noProof w:val="0"/>
        </w:rPr>
      </w:pPr>
      <w:r w:rsidRPr="00167A1B">
        <w:rPr>
          <w:noProof w:val="0"/>
        </w:rPr>
        <w:t xml:space="preserve">This option would extend mandatory unbundling to the cable as well as the EPS. Its impacts on consumers would be very similar to those of option 4.a, but both the </w:t>
      </w:r>
      <w:r w:rsidR="003577F4" w:rsidRPr="00167A1B">
        <w:rPr>
          <w:noProof w:val="0"/>
        </w:rPr>
        <w:t>positive and the negative impacts would be amplified</w:t>
      </w:r>
      <w:r w:rsidR="000F6747" w:rsidRPr="00167A1B">
        <w:rPr>
          <w:noProof w:val="0"/>
        </w:rPr>
        <w:t xml:space="preserve"> – both because it would the scope of the intervention would be increased, and because it would affect a much greater number of devices and thus users (the baseline scenario already foresees nearly 50% of phones being shipped without EPS by 2023, but none without cables)</w:t>
      </w:r>
      <w:r w:rsidR="003577F4" w:rsidRPr="00167A1B">
        <w:rPr>
          <w:noProof w:val="0"/>
        </w:rPr>
        <w:t>.</w:t>
      </w:r>
    </w:p>
    <w:p w14:paraId="5CC1A415" w14:textId="50372C65" w:rsidR="003577F4" w:rsidRPr="00167A1B" w:rsidRDefault="003577F4" w:rsidP="003577F4">
      <w:pPr>
        <w:pStyle w:val="BodyText1"/>
        <w:rPr>
          <w:noProof w:val="0"/>
        </w:rPr>
      </w:pPr>
      <w:r w:rsidRPr="00167A1B">
        <w:rPr>
          <w:noProof w:val="0"/>
        </w:rPr>
        <w:t xml:space="preserve">On the positive side (problem b), the fact that consumers would no longer be supplied with new cables by default would further reduce clutter and thus inconvenience for those consumers who feel they have too many chargers. It would also have the added benefit of extending consumer choice to the </w:t>
      </w:r>
      <w:proofErr w:type="gramStart"/>
      <w:r w:rsidRPr="00167A1B">
        <w:rPr>
          <w:noProof w:val="0"/>
        </w:rPr>
        <w:t>cables, and</w:t>
      </w:r>
      <w:proofErr w:type="gramEnd"/>
      <w:r w:rsidRPr="00167A1B">
        <w:rPr>
          <w:noProof w:val="0"/>
        </w:rPr>
        <w:t xml:space="preserve"> avoiding the provision of cables that are not the user’s preferred choice. For example, under the current unbundling initiatives (and probably under option 4.a), most phones are shipped with a USB Type-C to Type-C cable. This means that consumers who may wish to continue to use their old EPS with a USB Type-A receptacle may not be able to do so, and be forced to buy a new one, unless they also have a compatible cable in stock.</w:t>
      </w:r>
    </w:p>
    <w:p w14:paraId="0C1C4CE2" w14:textId="14E7F985" w:rsidR="00DF74DC" w:rsidRPr="00167A1B" w:rsidRDefault="003577F4" w:rsidP="00467033">
      <w:pPr>
        <w:pStyle w:val="BodyText1"/>
        <w:rPr>
          <w:noProof w:val="0"/>
        </w:rPr>
      </w:pPr>
      <w:r w:rsidRPr="00167A1B">
        <w:rPr>
          <w:noProof w:val="0"/>
        </w:rPr>
        <w:t xml:space="preserve">On the other hand, the inconvenience for consumers who prefer “bundled” solutions would also be greater than under option 4.a, given the survey shows that consumers find the cable even more important than the EPS (which is likely due to the typically shorter lifespan / higher risk of breakage of cables, and/or the fact that cables can also be used for data transfer). </w:t>
      </w:r>
      <w:r w:rsidR="000F6747" w:rsidRPr="00167A1B">
        <w:rPr>
          <w:noProof w:val="0"/>
        </w:rPr>
        <w:t>The fact that no major manufacturer has voluntarily unbundled cables from phones to date also suggests that they are more concerned about the reaction from consumers to this than they are about unbundling the EPS only.</w:t>
      </w:r>
    </w:p>
    <w:p w14:paraId="55036168" w14:textId="77777777" w:rsidR="000F6747" w:rsidRPr="00167A1B" w:rsidRDefault="000F6747" w:rsidP="00467033">
      <w:pPr>
        <w:pStyle w:val="BodyText1"/>
        <w:rPr>
          <w:noProof w:val="0"/>
        </w:rPr>
      </w:pPr>
    </w:p>
    <w:p w14:paraId="0079C656" w14:textId="1DB3F978" w:rsidR="00DF74DC" w:rsidRPr="00167A1B" w:rsidRDefault="00DF74DC" w:rsidP="00DF74DC">
      <w:pPr>
        <w:pStyle w:val="Subtitle10"/>
        <w:rPr>
          <w:noProof w:val="0"/>
        </w:rPr>
      </w:pPr>
      <w:r w:rsidRPr="00167A1B">
        <w:rPr>
          <w:noProof w:val="0"/>
        </w:rPr>
        <w:t>Option 5</w:t>
      </w:r>
    </w:p>
    <w:p w14:paraId="74F739AA" w14:textId="6E724624" w:rsidR="00601FCB" w:rsidRPr="00167A1B" w:rsidRDefault="00601FCB" w:rsidP="00BB7AFD">
      <w:pPr>
        <w:pStyle w:val="BodyText1"/>
        <w:rPr>
          <w:noProof w:val="0"/>
          <w:szCs w:val="22"/>
        </w:rPr>
      </w:pPr>
      <w:r w:rsidRPr="00167A1B">
        <w:rPr>
          <w:noProof w:val="0"/>
        </w:rPr>
        <w:t xml:space="preserve">The impacts of a voluntary interoperability labelling scheme are especially difficult to anticipate, given the uncertainties around the scheme’s exact design features, industry participation and consumer reactions. In the </w:t>
      </w:r>
      <w:r w:rsidR="00BB7AFD" w:rsidRPr="00167A1B">
        <w:rPr>
          <w:noProof w:val="0"/>
        </w:rPr>
        <w:t>best-case</w:t>
      </w:r>
      <w:r w:rsidRPr="00167A1B">
        <w:rPr>
          <w:noProof w:val="0"/>
        </w:rPr>
        <w:t xml:space="preserve"> scenario, such a scheme could have a significant positive impact on consumer awareness of which charger works with which devices, and thus their convenience. In the </w:t>
      </w:r>
      <w:r w:rsidR="00BB7AFD" w:rsidRPr="00167A1B">
        <w:rPr>
          <w:noProof w:val="0"/>
        </w:rPr>
        <w:t>worst-case</w:t>
      </w:r>
      <w:r w:rsidRPr="00167A1B">
        <w:rPr>
          <w:noProof w:val="0"/>
        </w:rPr>
        <w:t xml:space="preserve"> scenario, </w:t>
      </w:r>
      <w:r w:rsidR="00BB7AFD" w:rsidRPr="00167A1B">
        <w:rPr>
          <w:noProof w:val="0"/>
        </w:rPr>
        <w:t xml:space="preserve">the scheme could fail to generate any impacts (if none of the major manufacturer chooses to label their products, and/or the pessimistic view of the amount of attention consumers pay to them turned out to be true). In what follows, we assume a “mid-range” scenario with majority industry participation and a modest effect on </w:t>
      </w:r>
    </w:p>
    <w:p w14:paraId="582C9723" w14:textId="7D83BE0E" w:rsidR="00BB7AFD" w:rsidRPr="00167A1B" w:rsidRDefault="00BB7AFD" w:rsidP="00827359">
      <w:pPr>
        <w:pStyle w:val="BodyText1"/>
        <w:numPr>
          <w:ilvl w:val="0"/>
          <w:numId w:val="39"/>
        </w:numPr>
        <w:rPr>
          <w:noProof w:val="0"/>
          <w:szCs w:val="22"/>
        </w:rPr>
      </w:pPr>
      <w:r w:rsidRPr="00167A1B">
        <w:rPr>
          <w:b/>
          <w:bCs/>
          <w:noProof w:val="0"/>
          <w:szCs w:val="22"/>
        </w:rPr>
        <w:lastRenderedPageBreak/>
        <w:t>Inability to charge certain devices (as fast)</w:t>
      </w:r>
      <w:r w:rsidRPr="00167A1B">
        <w:rPr>
          <w:noProof w:val="0"/>
          <w:szCs w:val="22"/>
        </w:rPr>
        <w:t xml:space="preserve">: Very minor positive impact, due not to enhanced interoperability as such, but to a better consumer awareness of </w:t>
      </w:r>
      <w:r w:rsidR="00B8425B" w:rsidRPr="00167A1B">
        <w:rPr>
          <w:noProof w:val="0"/>
          <w:szCs w:val="22"/>
        </w:rPr>
        <w:t xml:space="preserve">key aspects of interoperability and performance, for those products that are marked with the “USB charging” label. </w:t>
      </w:r>
    </w:p>
    <w:p w14:paraId="41AEF50D" w14:textId="2C84F7FA" w:rsidR="00BB7AFD" w:rsidRPr="00167A1B" w:rsidRDefault="00BB7AFD" w:rsidP="00827359">
      <w:pPr>
        <w:pStyle w:val="BodyText1"/>
        <w:numPr>
          <w:ilvl w:val="0"/>
          <w:numId w:val="39"/>
        </w:numPr>
        <w:rPr>
          <w:noProof w:val="0"/>
          <w:szCs w:val="22"/>
        </w:rPr>
      </w:pPr>
      <w:r w:rsidRPr="00167A1B">
        <w:rPr>
          <w:b/>
          <w:bCs/>
          <w:noProof w:val="0"/>
          <w:szCs w:val="22"/>
        </w:rPr>
        <w:t>Too many chargers</w:t>
      </w:r>
      <w:r w:rsidRPr="00167A1B">
        <w:rPr>
          <w:noProof w:val="0"/>
          <w:szCs w:val="22"/>
        </w:rPr>
        <w:t xml:space="preserve">: </w:t>
      </w:r>
      <w:r w:rsidR="00B8425B" w:rsidRPr="00167A1B">
        <w:rPr>
          <w:noProof w:val="0"/>
          <w:szCs w:val="22"/>
        </w:rPr>
        <w:t>Very m</w:t>
      </w:r>
      <w:r w:rsidRPr="00167A1B">
        <w:rPr>
          <w:noProof w:val="0"/>
          <w:szCs w:val="22"/>
        </w:rPr>
        <w:t>inor positive impact</w:t>
      </w:r>
      <w:r w:rsidR="00B8425B" w:rsidRPr="00167A1B">
        <w:rPr>
          <w:noProof w:val="0"/>
          <w:szCs w:val="22"/>
        </w:rPr>
        <w:t xml:space="preserve">, based on the assumption that, over time, an enhanced consumer understanding of interoperability could sway additional manufacturers to offer unbundled solutions, and better enable consumers to take advantage of these (i.e. to continue to use an existing compatible charger). </w:t>
      </w:r>
    </w:p>
    <w:p w14:paraId="6FFBDDAB" w14:textId="3D2A08D7" w:rsidR="00BB7AFD" w:rsidRPr="00167A1B" w:rsidRDefault="00BB7AFD" w:rsidP="00827359">
      <w:pPr>
        <w:pStyle w:val="BodyText1"/>
        <w:numPr>
          <w:ilvl w:val="0"/>
          <w:numId w:val="39"/>
        </w:numPr>
        <w:rPr>
          <w:noProof w:val="0"/>
          <w:szCs w:val="22"/>
        </w:rPr>
      </w:pPr>
      <w:r w:rsidRPr="00167A1B">
        <w:rPr>
          <w:b/>
          <w:bCs/>
          <w:noProof w:val="0"/>
          <w:szCs w:val="22"/>
        </w:rPr>
        <w:t>No access to a compatible charger</w:t>
      </w:r>
      <w:r w:rsidRPr="00167A1B">
        <w:rPr>
          <w:noProof w:val="0"/>
          <w:szCs w:val="22"/>
        </w:rPr>
        <w:t xml:space="preserve">: </w:t>
      </w:r>
      <w:r w:rsidR="00B8425B" w:rsidRPr="00167A1B">
        <w:rPr>
          <w:noProof w:val="0"/>
          <w:szCs w:val="22"/>
        </w:rPr>
        <w:t>Very minor positive</w:t>
      </w:r>
      <w:r w:rsidRPr="00167A1B">
        <w:rPr>
          <w:noProof w:val="0"/>
          <w:szCs w:val="22"/>
        </w:rPr>
        <w:t xml:space="preserve"> impact</w:t>
      </w:r>
      <w:r w:rsidR="00B8425B" w:rsidRPr="00167A1B">
        <w:rPr>
          <w:noProof w:val="0"/>
          <w:szCs w:val="22"/>
        </w:rPr>
        <w:t xml:space="preserve"> – although this option would not affect the supply of compatible chargers as such, the scheme – if applied widely – could enhance consumer confidence to use an available, labelled, compatible charger that they might otherwise have been reluctant to use due to residual interoperability or safety concerns.</w:t>
      </w:r>
      <w:r w:rsidRPr="00167A1B">
        <w:rPr>
          <w:noProof w:val="0"/>
          <w:szCs w:val="22"/>
        </w:rPr>
        <w:t xml:space="preserve"> </w:t>
      </w:r>
    </w:p>
    <w:p w14:paraId="2C73E32E" w14:textId="378C822E" w:rsidR="00BB7AFD" w:rsidRPr="00167A1B" w:rsidRDefault="00BB7AFD" w:rsidP="00827359">
      <w:pPr>
        <w:pStyle w:val="BodyText1"/>
        <w:numPr>
          <w:ilvl w:val="0"/>
          <w:numId w:val="39"/>
        </w:numPr>
        <w:rPr>
          <w:noProof w:val="0"/>
          <w:szCs w:val="22"/>
        </w:rPr>
      </w:pPr>
      <w:r w:rsidRPr="00167A1B">
        <w:rPr>
          <w:b/>
          <w:bCs/>
          <w:noProof w:val="0"/>
          <w:szCs w:val="22"/>
        </w:rPr>
        <w:t xml:space="preserve">Confusion about which charger works with what: </w:t>
      </w:r>
      <w:r w:rsidR="00B8425B" w:rsidRPr="00167A1B">
        <w:rPr>
          <w:noProof w:val="0"/>
          <w:szCs w:val="22"/>
        </w:rPr>
        <w:t>Minor positive impact</w:t>
      </w:r>
      <w:r w:rsidR="009805C1" w:rsidRPr="00167A1B">
        <w:rPr>
          <w:noProof w:val="0"/>
          <w:szCs w:val="22"/>
        </w:rPr>
        <w:t xml:space="preserve">, as a widely used scheme, with labels on (the packaging of) many EPS and phones could contribute significantly to reducing consumer confusion. On the other hand, it would be over-optimistic to expect a major positive impact, given the labels are unlikely to be used on all products (e.g. manufacturers with proprietary fast charging technology may choose not to label their EPS, rather than with the most basic “USB charging” label), and many consumers are likely to be marginally interested at best. </w:t>
      </w:r>
    </w:p>
    <w:p w14:paraId="74DF3180" w14:textId="05E6D66B" w:rsidR="00BB7AFD" w:rsidRPr="00167A1B" w:rsidRDefault="00BB7AFD" w:rsidP="00827359">
      <w:pPr>
        <w:pStyle w:val="BodyText1"/>
        <w:numPr>
          <w:ilvl w:val="0"/>
          <w:numId w:val="39"/>
        </w:numPr>
        <w:rPr>
          <w:noProof w:val="0"/>
          <w:szCs w:val="22"/>
        </w:rPr>
      </w:pPr>
      <w:r w:rsidRPr="00167A1B">
        <w:rPr>
          <w:b/>
          <w:bCs/>
          <w:noProof w:val="0"/>
          <w:szCs w:val="22"/>
        </w:rPr>
        <w:t>Absence of charger:</w:t>
      </w:r>
      <w:r w:rsidRPr="00167A1B">
        <w:rPr>
          <w:noProof w:val="0"/>
          <w:szCs w:val="22"/>
        </w:rPr>
        <w:t xml:space="preserve"> </w:t>
      </w:r>
      <w:r w:rsidR="00B8425B" w:rsidRPr="00167A1B">
        <w:rPr>
          <w:noProof w:val="0"/>
          <w:szCs w:val="22"/>
        </w:rPr>
        <w:t>Very minor negative impact</w:t>
      </w:r>
      <w:r w:rsidR="009805C1" w:rsidRPr="00167A1B">
        <w:rPr>
          <w:noProof w:val="0"/>
          <w:szCs w:val="22"/>
        </w:rPr>
        <w:t>, for the reasons outlined under point b above.</w:t>
      </w:r>
    </w:p>
    <w:p w14:paraId="366CD8B6" w14:textId="235131B0" w:rsidR="00DF74DC" w:rsidRPr="00167A1B" w:rsidRDefault="00DF74DC" w:rsidP="00467033">
      <w:pPr>
        <w:pStyle w:val="BodyText1"/>
        <w:rPr>
          <w:noProof w:val="0"/>
        </w:rPr>
      </w:pPr>
    </w:p>
    <w:p w14:paraId="7CEBF0BF" w14:textId="30F9D681" w:rsidR="003136EB" w:rsidRPr="00167A1B" w:rsidRDefault="003136EB" w:rsidP="00BB7AFD">
      <w:pPr>
        <w:pStyle w:val="Subtitle10"/>
        <w:rPr>
          <w:noProof w:val="0"/>
        </w:rPr>
      </w:pPr>
      <w:r w:rsidRPr="00167A1B">
        <w:rPr>
          <w:noProof w:val="0"/>
        </w:rPr>
        <w:t>Summary</w:t>
      </w:r>
    </w:p>
    <w:p w14:paraId="105B3208" w14:textId="745384D6" w:rsidR="009805C1" w:rsidRPr="00167A1B" w:rsidRDefault="009805C1" w:rsidP="009805C1">
      <w:pPr>
        <w:pStyle w:val="BodyText1"/>
        <w:rPr>
          <w:noProof w:val="0"/>
        </w:rPr>
      </w:pPr>
      <w:r w:rsidRPr="00167A1B">
        <w:rPr>
          <w:b/>
          <w:bCs/>
          <w:noProof w:val="0"/>
        </w:rPr>
        <w:t>Overall, options 1, 2, 3 and 5 would provide for minor improvements in consumer convenience.</w:t>
      </w:r>
      <w:r w:rsidRPr="00167A1B">
        <w:rPr>
          <w:noProof w:val="0"/>
        </w:rPr>
        <w:t xml:space="preserve"> Each would </w:t>
      </w:r>
      <w:r w:rsidR="004A65C5" w:rsidRPr="00167A1B">
        <w:rPr>
          <w:noProof w:val="0"/>
        </w:rPr>
        <w:t>alleviate certain sources of inconvenience</w:t>
      </w:r>
      <w:r w:rsidRPr="00167A1B">
        <w:rPr>
          <w:noProof w:val="0"/>
        </w:rPr>
        <w:t xml:space="preserve"> for specific consumer groups </w:t>
      </w:r>
      <w:r w:rsidR="004A65C5" w:rsidRPr="00167A1B">
        <w:rPr>
          <w:noProof w:val="0"/>
        </w:rPr>
        <w:t>– making it difficult to conclude which would bring the greatest benefits overall:</w:t>
      </w:r>
      <w:r w:rsidRPr="00167A1B">
        <w:rPr>
          <w:noProof w:val="0"/>
        </w:rPr>
        <w:t xml:space="preserve"> </w:t>
      </w:r>
    </w:p>
    <w:p w14:paraId="7B0ACF18" w14:textId="034F3D39" w:rsidR="003136EB" w:rsidRPr="00167A1B" w:rsidRDefault="003136EB" w:rsidP="003136EB">
      <w:pPr>
        <w:pStyle w:val="bullet1"/>
        <w:rPr>
          <w:noProof w:val="0"/>
        </w:rPr>
      </w:pPr>
      <w:r w:rsidRPr="00167A1B">
        <w:rPr>
          <w:noProof w:val="0"/>
        </w:rPr>
        <w:t>Option 1 –</w:t>
      </w:r>
      <w:r w:rsidR="004A65C5" w:rsidRPr="00167A1B">
        <w:rPr>
          <w:noProof w:val="0"/>
        </w:rPr>
        <w:t xml:space="preserve"> the full harmonisation of receptacles on the devices would enhance convenience by enabling users to charge all phones with the same </w:t>
      </w:r>
      <w:proofErr w:type="gramStart"/>
      <w:r w:rsidR="004A65C5" w:rsidRPr="00167A1B">
        <w:rPr>
          <w:noProof w:val="0"/>
        </w:rPr>
        <w:t>cables, and</w:t>
      </w:r>
      <w:proofErr w:type="gramEnd"/>
      <w:r w:rsidR="004A65C5" w:rsidRPr="00167A1B">
        <w:rPr>
          <w:noProof w:val="0"/>
        </w:rPr>
        <w:t xml:space="preserve"> increase the likelihood that those who are unable to access their own charger are able to find a compatible third-party charger.</w:t>
      </w:r>
    </w:p>
    <w:p w14:paraId="09B24F00" w14:textId="71CBA1DF" w:rsidR="003136EB" w:rsidRPr="00167A1B" w:rsidRDefault="003136EB" w:rsidP="003136EB">
      <w:pPr>
        <w:pStyle w:val="bullet1"/>
        <w:rPr>
          <w:noProof w:val="0"/>
        </w:rPr>
      </w:pPr>
      <w:r w:rsidRPr="00167A1B">
        <w:rPr>
          <w:noProof w:val="0"/>
        </w:rPr>
        <w:t xml:space="preserve">Option 2 – </w:t>
      </w:r>
      <w:r w:rsidR="004A65C5" w:rsidRPr="00167A1B">
        <w:rPr>
          <w:noProof w:val="0"/>
        </w:rPr>
        <w:t xml:space="preserve">requiring phones to be interoperable with USB Type-C and (where relevant) USB PD specifications would mean the already near universal interoperability </w:t>
      </w:r>
      <w:r w:rsidR="00285234" w:rsidRPr="00167A1B">
        <w:rPr>
          <w:noProof w:val="0"/>
        </w:rPr>
        <w:t xml:space="preserve">with USB chargers </w:t>
      </w:r>
      <w:r w:rsidR="004A65C5" w:rsidRPr="00167A1B">
        <w:rPr>
          <w:noProof w:val="0"/>
        </w:rPr>
        <w:t xml:space="preserve">that exists today remains guaranteed in the </w:t>
      </w:r>
      <w:proofErr w:type="gramStart"/>
      <w:r w:rsidR="004A65C5" w:rsidRPr="00167A1B">
        <w:rPr>
          <w:noProof w:val="0"/>
        </w:rPr>
        <w:t>future, and</w:t>
      </w:r>
      <w:proofErr w:type="gramEnd"/>
      <w:r w:rsidR="004A65C5" w:rsidRPr="00167A1B">
        <w:rPr>
          <w:noProof w:val="0"/>
        </w:rPr>
        <w:t xml:space="preserve"> would help to enhance </w:t>
      </w:r>
      <w:r w:rsidRPr="00167A1B">
        <w:rPr>
          <w:noProof w:val="0"/>
        </w:rPr>
        <w:t xml:space="preserve">consumer awareness </w:t>
      </w:r>
      <w:r w:rsidR="004A65C5" w:rsidRPr="00167A1B">
        <w:rPr>
          <w:noProof w:val="0"/>
        </w:rPr>
        <w:t xml:space="preserve">of this </w:t>
      </w:r>
      <w:r w:rsidRPr="00167A1B">
        <w:rPr>
          <w:noProof w:val="0"/>
        </w:rPr>
        <w:t>(if effectively communicated)</w:t>
      </w:r>
      <w:r w:rsidR="004A65C5" w:rsidRPr="00167A1B">
        <w:rPr>
          <w:noProof w:val="0"/>
        </w:rPr>
        <w:t xml:space="preserve">. It would </w:t>
      </w:r>
      <w:r w:rsidR="00285234" w:rsidRPr="00167A1B">
        <w:rPr>
          <w:noProof w:val="0"/>
        </w:rPr>
        <w:t xml:space="preserve">also increase convenience by </w:t>
      </w:r>
      <w:r w:rsidR="004A65C5" w:rsidRPr="00167A1B">
        <w:rPr>
          <w:noProof w:val="0"/>
        </w:rPr>
        <w:t>eliminat</w:t>
      </w:r>
      <w:r w:rsidR="00285234" w:rsidRPr="00167A1B">
        <w:rPr>
          <w:noProof w:val="0"/>
        </w:rPr>
        <w:t>ing</w:t>
      </w:r>
      <w:r w:rsidR="004A65C5" w:rsidRPr="00167A1B">
        <w:rPr>
          <w:noProof w:val="0"/>
        </w:rPr>
        <w:t xml:space="preserve"> USB micro-B connectors faster than would otherwise be the case</w:t>
      </w:r>
      <w:r w:rsidR="00285234" w:rsidRPr="00167A1B">
        <w:rPr>
          <w:noProof w:val="0"/>
        </w:rPr>
        <w:t>.</w:t>
      </w:r>
    </w:p>
    <w:p w14:paraId="2C0DD1BD" w14:textId="7379F94B" w:rsidR="00285234" w:rsidRPr="00167A1B" w:rsidRDefault="00285234" w:rsidP="003136EB">
      <w:pPr>
        <w:pStyle w:val="bullet1"/>
        <w:rPr>
          <w:noProof w:val="0"/>
        </w:rPr>
      </w:pPr>
      <w:r w:rsidRPr="00167A1B">
        <w:rPr>
          <w:noProof w:val="0"/>
        </w:rPr>
        <w:t xml:space="preserve">Option 3 – requiring EPS to be compliant with USB interoperability specifications would have very similar effects to option 2, but would place further restrictions on the use of proprietary charging technology, which would be likely to result in greater convenience for some users, but reduced convenience for others (those who place a high value on </w:t>
      </w:r>
      <w:r w:rsidRPr="00167A1B">
        <w:rPr>
          <w:i/>
          <w:iCs/>
          <w:noProof w:val="0"/>
        </w:rPr>
        <w:t>very</w:t>
      </w:r>
      <w:r w:rsidRPr="00167A1B">
        <w:rPr>
          <w:noProof w:val="0"/>
        </w:rPr>
        <w:t xml:space="preserve"> fast charging solutions).</w:t>
      </w:r>
    </w:p>
    <w:p w14:paraId="76E081EB" w14:textId="3BB2A018" w:rsidR="005F7099" w:rsidRPr="00167A1B" w:rsidRDefault="005F7099" w:rsidP="003136EB">
      <w:pPr>
        <w:pStyle w:val="bullet1"/>
        <w:rPr>
          <w:noProof w:val="0"/>
        </w:rPr>
      </w:pPr>
      <w:r w:rsidRPr="00167A1B">
        <w:rPr>
          <w:noProof w:val="0"/>
        </w:rPr>
        <w:t xml:space="preserve">Option 5 </w:t>
      </w:r>
      <w:r w:rsidR="00285234" w:rsidRPr="00167A1B">
        <w:rPr>
          <w:noProof w:val="0"/>
        </w:rPr>
        <w:t>–</w:t>
      </w:r>
      <w:r w:rsidRPr="00167A1B">
        <w:rPr>
          <w:noProof w:val="0"/>
        </w:rPr>
        <w:t xml:space="preserve"> </w:t>
      </w:r>
      <w:r w:rsidR="006C32AD" w:rsidRPr="00167A1B">
        <w:rPr>
          <w:noProof w:val="0"/>
        </w:rPr>
        <w:t>a voluntary labelling scheme could increase consumer convenience by enhancing their awareness of interoperability, and thereby also help stimulate demand for unbundled solutions; but the significance of these effects is subject to a very high degree of uncertainty.</w:t>
      </w:r>
    </w:p>
    <w:p w14:paraId="2BC269E3" w14:textId="18EBE0B5" w:rsidR="00DF74DC" w:rsidRPr="00167A1B" w:rsidRDefault="004A65C5" w:rsidP="00467033">
      <w:pPr>
        <w:pStyle w:val="BodyText1"/>
        <w:rPr>
          <w:noProof w:val="0"/>
        </w:rPr>
      </w:pPr>
      <w:r w:rsidRPr="00167A1B">
        <w:rPr>
          <w:noProof w:val="0"/>
        </w:rPr>
        <w:t>On the other hand,</w:t>
      </w:r>
      <w:r w:rsidRPr="00167A1B">
        <w:rPr>
          <w:b/>
          <w:bCs/>
          <w:noProof w:val="0"/>
        </w:rPr>
        <w:t xml:space="preserve"> mandatory unbundling (options 4.a and 4.b) would entail a minor reduction in consumer convenience overall</w:t>
      </w:r>
      <w:r w:rsidRPr="00167A1B">
        <w:rPr>
          <w:noProof w:val="0"/>
        </w:rPr>
        <w:t xml:space="preserve">, given that, although a significant number of consumers </w:t>
      </w:r>
      <w:r w:rsidR="00550ACC" w:rsidRPr="00167A1B">
        <w:rPr>
          <w:noProof w:val="0"/>
        </w:rPr>
        <w:t>find it inconvenient to have</w:t>
      </w:r>
      <w:r w:rsidRPr="00167A1B">
        <w:rPr>
          <w:noProof w:val="0"/>
        </w:rPr>
        <w:t xml:space="preserve"> too many chargers, a clear majority nonetheless finds </w:t>
      </w:r>
      <w:r w:rsidRPr="00167A1B">
        <w:rPr>
          <w:noProof w:val="0"/>
        </w:rPr>
        <w:lastRenderedPageBreak/>
        <w:t>it convenient (and therefore prefers) to be provided with a new EPS and cable along with new phones.</w:t>
      </w:r>
    </w:p>
    <w:p w14:paraId="2C1831A8" w14:textId="77777777" w:rsidR="00550ACC" w:rsidRPr="00167A1B" w:rsidRDefault="00550ACC" w:rsidP="00467033">
      <w:pPr>
        <w:pStyle w:val="BodyText1"/>
        <w:rPr>
          <w:noProof w:val="0"/>
        </w:rPr>
      </w:pPr>
    </w:p>
    <w:p w14:paraId="5C60237D" w14:textId="77777777" w:rsidR="00EE4F2C" w:rsidRPr="00167A1B" w:rsidRDefault="00EE4F2C" w:rsidP="00EE4F2C">
      <w:pPr>
        <w:pStyle w:val="title3"/>
        <w:numPr>
          <w:ilvl w:val="2"/>
          <w:numId w:val="59"/>
        </w:numPr>
      </w:pPr>
      <w:r w:rsidRPr="00167A1B">
        <w:t>Product safety and illicit markets</w:t>
      </w:r>
    </w:p>
    <w:p w14:paraId="6F3E686B" w14:textId="77777777" w:rsidR="00EE4F2C" w:rsidRPr="00167A1B" w:rsidRDefault="00EE4F2C" w:rsidP="00EE4F2C">
      <w:pPr>
        <w:pStyle w:val="BodyText1"/>
        <w:rPr>
          <w:noProof w:val="0"/>
          <w:szCs w:val="22"/>
        </w:rPr>
      </w:pPr>
      <w:r w:rsidRPr="00167A1B">
        <w:rPr>
          <w:noProof w:val="0"/>
          <w:szCs w:val="22"/>
        </w:rPr>
        <w:t xml:space="preserve">The section assesses the likely effects of each option on product safety and the market for sub-standard and/or counterfeit chargers. It is based on the analysis carried out for the first IA study (which reviewed the most relevant sources of secondary data on these issues), updated with new findings based on the consumer survey and stakeholder interviews carried out as part of the second IA study. As outlined previously (see section 2.1), the problems in this area are primarily a result of the difficulty of effective control of segments of the standalone </w:t>
      </w:r>
      <w:proofErr w:type="gramStart"/>
      <w:r w:rsidRPr="00167A1B">
        <w:rPr>
          <w:noProof w:val="0"/>
          <w:szCs w:val="22"/>
        </w:rPr>
        <w:t>chargers</w:t>
      </w:r>
      <w:proofErr w:type="gramEnd"/>
      <w:r w:rsidRPr="00167A1B">
        <w:rPr>
          <w:noProof w:val="0"/>
          <w:szCs w:val="22"/>
        </w:rPr>
        <w:t xml:space="preserve"> market, and of enforcing the applicable safety and IPR rules. The “common charger” initiative is not intended to address these problems, but it is nonetheless important to consider if and how it might affect its future evolution. </w:t>
      </w:r>
    </w:p>
    <w:p w14:paraId="72A7F318" w14:textId="494951A2" w:rsidR="004D49F1" w:rsidRPr="00167A1B" w:rsidRDefault="004D49F1" w:rsidP="004D49F1">
      <w:pPr>
        <w:pStyle w:val="BodyText1"/>
        <w:rPr>
          <w:b/>
          <w:bCs/>
          <w:noProof w:val="0"/>
          <w:szCs w:val="22"/>
        </w:rPr>
      </w:pPr>
      <w:r w:rsidRPr="00167A1B">
        <w:rPr>
          <w:noProof w:val="0"/>
          <w:szCs w:val="22"/>
        </w:rPr>
        <w:t xml:space="preserve">Most of the impacts in this area stem from changes to the </w:t>
      </w:r>
      <w:r w:rsidRPr="00167A1B">
        <w:rPr>
          <w:i/>
          <w:iCs/>
          <w:noProof w:val="0"/>
          <w:szCs w:val="22"/>
        </w:rPr>
        <w:t>size</w:t>
      </w:r>
      <w:r w:rsidRPr="00167A1B">
        <w:rPr>
          <w:noProof w:val="0"/>
          <w:szCs w:val="22"/>
        </w:rPr>
        <w:t xml:space="preserve"> of the stand-alone charger market – essentially, if more stand-alone chargers are sold, the likelihood is high that a part of the increase in sales will be substandard and/or counterfeit. </w:t>
      </w:r>
      <w:r w:rsidR="001B6248" w:rsidRPr="00167A1B">
        <w:rPr>
          <w:noProof w:val="0"/>
          <w:szCs w:val="22"/>
        </w:rPr>
        <w:t>But</w:t>
      </w:r>
      <w:r w:rsidR="006F5672" w:rsidRPr="00167A1B">
        <w:rPr>
          <w:noProof w:val="0"/>
          <w:szCs w:val="22"/>
        </w:rPr>
        <w:t xml:space="preserve"> </w:t>
      </w:r>
      <w:r w:rsidR="001B6248" w:rsidRPr="00167A1B">
        <w:rPr>
          <w:noProof w:val="0"/>
          <w:szCs w:val="22"/>
        </w:rPr>
        <w:t>we have also considered whether any of the</w:t>
      </w:r>
      <w:r w:rsidR="006F5672" w:rsidRPr="00167A1B">
        <w:rPr>
          <w:noProof w:val="0"/>
          <w:szCs w:val="22"/>
        </w:rPr>
        <w:t xml:space="preserve"> options also have the potential to</w:t>
      </w:r>
      <w:r w:rsidRPr="00167A1B">
        <w:rPr>
          <w:noProof w:val="0"/>
          <w:szCs w:val="22"/>
        </w:rPr>
        <w:t xml:space="preserve"> affect the </w:t>
      </w:r>
      <w:r w:rsidRPr="00167A1B">
        <w:rPr>
          <w:i/>
          <w:iCs/>
          <w:noProof w:val="0"/>
          <w:szCs w:val="22"/>
        </w:rPr>
        <w:t>characteristics</w:t>
      </w:r>
      <w:r w:rsidRPr="00167A1B">
        <w:rPr>
          <w:noProof w:val="0"/>
          <w:szCs w:val="22"/>
        </w:rPr>
        <w:t xml:space="preserve"> of the stand-alone charger market, i.e. make it inherently more or less difficult, or </w:t>
      </w:r>
      <w:proofErr w:type="gramStart"/>
      <w:r w:rsidRPr="00167A1B">
        <w:rPr>
          <w:noProof w:val="0"/>
          <w:szCs w:val="22"/>
        </w:rPr>
        <w:t>more or less attractive</w:t>
      </w:r>
      <w:proofErr w:type="gramEnd"/>
      <w:r w:rsidRPr="00167A1B">
        <w:rPr>
          <w:noProof w:val="0"/>
          <w:szCs w:val="22"/>
        </w:rPr>
        <w:t>, to produce or distribute substandard stand-alone chargers.</w:t>
      </w:r>
    </w:p>
    <w:p w14:paraId="469BACD4" w14:textId="05050D0F" w:rsidR="004D49F1" w:rsidRPr="00167A1B" w:rsidRDefault="002C784F" w:rsidP="004D49F1">
      <w:pPr>
        <w:pStyle w:val="BodyText1"/>
        <w:rPr>
          <w:noProof w:val="0"/>
          <w:szCs w:val="22"/>
        </w:rPr>
      </w:pPr>
      <w:r w:rsidRPr="00167A1B">
        <w:rPr>
          <w:noProof w:val="0"/>
          <w:szCs w:val="22"/>
        </w:rPr>
        <w:t>Regarding the current (baseline) situation, a</w:t>
      </w:r>
      <w:r w:rsidR="004D49F1" w:rsidRPr="00167A1B">
        <w:rPr>
          <w:noProof w:val="0"/>
          <w:szCs w:val="22"/>
        </w:rPr>
        <w:t xml:space="preserve">s noted previously, </w:t>
      </w:r>
      <w:r w:rsidRPr="00167A1B">
        <w:rPr>
          <w:noProof w:val="0"/>
          <w:szCs w:val="22"/>
        </w:rPr>
        <w:t>there</w:t>
      </w:r>
      <w:r w:rsidR="004D49F1" w:rsidRPr="00167A1B">
        <w:rPr>
          <w:noProof w:val="0"/>
          <w:szCs w:val="22"/>
        </w:rPr>
        <w:t xml:space="preserve"> appears to be a substantial market for substandard and/or counterfeit stand-alone chargers, especially online. However, there are no sources to estimate the </w:t>
      </w:r>
      <w:r w:rsidRPr="00167A1B">
        <w:rPr>
          <w:i/>
          <w:iCs/>
          <w:noProof w:val="0"/>
          <w:szCs w:val="22"/>
        </w:rPr>
        <w:t>absolute</w:t>
      </w:r>
      <w:r w:rsidRPr="00167A1B">
        <w:rPr>
          <w:noProof w:val="0"/>
          <w:szCs w:val="22"/>
        </w:rPr>
        <w:t xml:space="preserve"> </w:t>
      </w:r>
      <w:r w:rsidR="004D49F1" w:rsidRPr="00167A1B">
        <w:rPr>
          <w:noProof w:val="0"/>
          <w:szCs w:val="22"/>
        </w:rPr>
        <w:t xml:space="preserve">size of this market with even a minimum amount of precision. </w:t>
      </w:r>
      <w:r w:rsidRPr="00167A1B">
        <w:rPr>
          <w:noProof w:val="0"/>
          <w:szCs w:val="22"/>
        </w:rPr>
        <w:t xml:space="preserve">However, in </w:t>
      </w:r>
      <w:r w:rsidRPr="00167A1B">
        <w:rPr>
          <w:i/>
          <w:iCs/>
          <w:noProof w:val="0"/>
          <w:szCs w:val="22"/>
        </w:rPr>
        <w:t>relative</w:t>
      </w:r>
      <w:r w:rsidRPr="00167A1B">
        <w:rPr>
          <w:noProof w:val="0"/>
          <w:szCs w:val="22"/>
        </w:rPr>
        <w:t xml:space="preserve"> terms, it seems reasonable to</w:t>
      </w:r>
      <w:r w:rsidR="004D49F1" w:rsidRPr="00167A1B">
        <w:rPr>
          <w:noProof w:val="0"/>
          <w:szCs w:val="22"/>
        </w:rPr>
        <w:t xml:space="preserve"> assume that any increase in the </w:t>
      </w:r>
      <w:r w:rsidR="004D49F1" w:rsidRPr="00167A1B">
        <w:rPr>
          <w:i/>
          <w:iCs/>
          <w:noProof w:val="0"/>
          <w:szCs w:val="22"/>
        </w:rPr>
        <w:t>size</w:t>
      </w:r>
      <w:r w:rsidR="004D49F1" w:rsidRPr="00167A1B">
        <w:rPr>
          <w:noProof w:val="0"/>
          <w:szCs w:val="22"/>
        </w:rPr>
        <w:t xml:space="preserve"> of</w:t>
      </w:r>
      <w:r w:rsidRPr="00167A1B">
        <w:rPr>
          <w:noProof w:val="0"/>
          <w:szCs w:val="22"/>
        </w:rPr>
        <w:t xml:space="preserve"> the stand-alone </w:t>
      </w:r>
      <w:proofErr w:type="gramStart"/>
      <w:r w:rsidRPr="00167A1B">
        <w:rPr>
          <w:noProof w:val="0"/>
          <w:szCs w:val="22"/>
        </w:rPr>
        <w:t>chargers</w:t>
      </w:r>
      <w:proofErr w:type="gramEnd"/>
      <w:r w:rsidRPr="00167A1B">
        <w:rPr>
          <w:noProof w:val="0"/>
          <w:szCs w:val="22"/>
        </w:rPr>
        <w:t xml:space="preserve"> market</w:t>
      </w:r>
      <w:r w:rsidR="004D49F1" w:rsidRPr="00167A1B">
        <w:rPr>
          <w:noProof w:val="0"/>
          <w:szCs w:val="22"/>
        </w:rPr>
        <w:t xml:space="preserve"> is likely to lead to a comparable increase in the substandard and/or counterfeit market. As such, the growing level of unbundling, and the consequent increase in demand for stand-alone chargers, is expected to already be leading to a minor increase of the risks, compared to previous years.</w:t>
      </w:r>
    </w:p>
    <w:p w14:paraId="5D42111D" w14:textId="09439BC2" w:rsidR="004D49F1" w:rsidRPr="00167A1B" w:rsidRDefault="004D49F1" w:rsidP="004D49F1">
      <w:pPr>
        <w:pStyle w:val="BodyText1"/>
        <w:rPr>
          <w:noProof w:val="0"/>
          <w:szCs w:val="22"/>
        </w:rPr>
      </w:pPr>
      <w:r w:rsidRPr="00167A1B">
        <w:rPr>
          <w:noProof w:val="0"/>
          <w:szCs w:val="22"/>
        </w:rPr>
        <w:t>Based on the consumer survey, it would appear reasonable to assume that in the region of 5-10% of all stand-alone EPS bought separately in the EU, and approximately 10-15% of cables, are counterfeit: of all respondents who had bought a stand-alone EPS within the last 24 months, 5% were either sure or suspected it was fake; 71% were sure or at least confident it was genuine, with the remainder (24%) unsure. Of those who bought a stand-alone cable, 8% were sure or suspected it was fake, 65% were sure or confident it was genuine, and 27% were unsure.</w:t>
      </w:r>
      <w:r w:rsidR="001160E7" w:rsidRPr="00167A1B">
        <w:rPr>
          <w:noProof w:val="0"/>
          <w:szCs w:val="22"/>
        </w:rPr>
        <w:t xml:space="preserve"> If we apply these ratios to the sales estimates in our stock model, the result is approx. 5-10 million counterfeit EPS, and approx. 15-20 million counterfeit cables, sold in the EU per year. </w:t>
      </w:r>
    </w:p>
    <w:p w14:paraId="18DBE658" w14:textId="22A8459E" w:rsidR="004D49F1" w:rsidRPr="00167A1B" w:rsidRDefault="004D49F1" w:rsidP="004D49F1">
      <w:pPr>
        <w:pStyle w:val="BodyText1"/>
        <w:rPr>
          <w:noProof w:val="0"/>
          <w:szCs w:val="22"/>
        </w:rPr>
      </w:pPr>
      <w:r w:rsidRPr="00167A1B">
        <w:rPr>
          <w:noProof w:val="0"/>
          <w:szCs w:val="22"/>
        </w:rPr>
        <w:t xml:space="preserve">As regards product safety issues, 1% of survey respondents who had bought a stand-alone EPS or cable in the last 24 months reported it had caused safety issues (e.g. electrical shock, fire…), while 3% reported it had damaged their mobile phone. 5% of those who had bought an EPS, and 7% of those who had bought a cable, reported that it broke / become unusable shortly after it was bought. This suggests that problems caused by substandard chargers are not that infrequent, although </w:t>
      </w:r>
      <w:r w:rsidRPr="00167A1B">
        <w:rPr>
          <w:i/>
          <w:iCs/>
          <w:noProof w:val="0"/>
          <w:szCs w:val="22"/>
        </w:rPr>
        <w:t>serious</w:t>
      </w:r>
      <w:r w:rsidRPr="00167A1B">
        <w:rPr>
          <w:noProof w:val="0"/>
          <w:szCs w:val="22"/>
        </w:rPr>
        <w:t xml:space="preserve"> product safety issues are relatively rare. Nonetheless, extrapolating from the survey responses, it may well be that hundreds of thousands of EU consumers face product safety risks due to substandard chargers each year. </w:t>
      </w:r>
    </w:p>
    <w:p w14:paraId="4DD92053" w14:textId="06A92387" w:rsidR="002C784F" w:rsidRPr="00167A1B" w:rsidRDefault="002C784F" w:rsidP="002C784F">
      <w:pPr>
        <w:pStyle w:val="BodyText1"/>
        <w:rPr>
          <w:noProof w:val="0"/>
        </w:rPr>
      </w:pPr>
      <w:r w:rsidRPr="00167A1B">
        <w:rPr>
          <w:noProof w:val="0"/>
        </w:rPr>
        <w:t>The remainder of this section outlines the likely effects of the different policy options on the market for substandard and/or counterfeit chargers, and consequently on product safety risks. The main results are summarised in the table below.</w:t>
      </w:r>
    </w:p>
    <w:p w14:paraId="1C8D8FDF" w14:textId="77777777" w:rsidR="004D49F1" w:rsidRPr="00167A1B" w:rsidRDefault="004D49F1" w:rsidP="0047600E">
      <w:pPr>
        <w:pStyle w:val="BodyText1"/>
        <w:rPr>
          <w:noProof w:val="0"/>
        </w:rPr>
      </w:pPr>
    </w:p>
    <w:tbl>
      <w:tblPr>
        <w:tblStyle w:val="TableGridLight"/>
        <w:tblW w:w="9209" w:type="dxa"/>
        <w:tblInd w:w="0" w:type="dxa"/>
        <w:tblLayout w:type="fixed"/>
        <w:tblCellMar>
          <w:top w:w="57" w:type="dxa"/>
          <w:left w:w="57" w:type="dxa"/>
          <w:bottom w:w="57" w:type="dxa"/>
          <w:right w:w="57" w:type="dxa"/>
        </w:tblCellMar>
        <w:tblLook w:val="04A0" w:firstRow="1" w:lastRow="0" w:firstColumn="1" w:lastColumn="0" w:noHBand="0" w:noVBand="1"/>
      </w:tblPr>
      <w:tblGrid>
        <w:gridCol w:w="1413"/>
        <w:gridCol w:w="1299"/>
        <w:gridCol w:w="1299"/>
        <w:gridCol w:w="1300"/>
        <w:gridCol w:w="1299"/>
        <w:gridCol w:w="1299"/>
        <w:gridCol w:w="1300"/>
      </w:tblGrid>
      <w:tr w:rsidR="004D49F1" w:rsidRPr="00167A1B" w14:paraId="529749D9" w14:textId="77777777" w:rsidTr="001160E7">
        <w:trPr>
          <w:cantSplit/>
          <w:tblHeader/>
        </w:trPr>
        <w:tc>
          <w:tcPr>
            <w:tcW w:w="1413" w:type="dxa"/>
          </w:tcPr>
          <w:p w14:paraId="65D1A701" w14:textId="2BD2A740" w:rsidR="004D49F1" w:rsidRPr="00167A1B" w:rsidRDefault="004D49F1" w:rsidP="001160E7">
            <w:pPr>
              <w:pStyle w:val="BodyText1"/>
              <w:spacing w:before="0" w:after="0"/>
              <w:jc w:val="left"/>
              <w:rPr>
                <w:b/>
                <w:bCs/>
                <w:noProof w:val="0"/>
                <w:sz w:val="18"/>
                <w:szCs w:val="18"/>
              </w:rPr>
            </w:pPr>
          </w:p>
        </w:tc>
        <w:tc>
          <w:tcPr>
            <w:tcW w:w="1299" w:type="dxa"/>
          </w:tcPr>
          <w:p w14:paraId="3700CEDE" w14:textId="77777777" w:rsidR="004D49F1" w:rsidRPr="00167A1B" w:rsidRDefault="004D49F1" w:rsidP="001160E7">
            <w:pPr>
              <w:pStyle w:val="BodyText1"/>
              <w:spacing w:before="0" w:after="0"/>
              <w:jc w:val="center"/>
              <w:rPr>
                <w:b/>
                <w:bCs/>
                <w:noProof w:val="0"/>
                <w:sz w:val="18"/>
                <w:szCs w:val="18"/>
              </w:rPr>
            </w:pPr>
            <w:r w:rsidRPr="00167A1B">
              <w:rPr>
                <w:b/>
                <w:bCs/>
                <w:noProof w:val="0"/>
                <w:sz w:val="18"/>
                <w:szCs w:val="18"/>
              </w:rPr>
              <w:t>Option 1</w:t>
            </w:r>
          </w:p>
        </w:tc>
        <w:tc>
          <w:tcPr>
            <w:tcW w:w="1299" w:type="dxa"/>
          </w:tcPr>
          <w:p w14:paraId="350CFE01" w14:textId="77777777" w:rsidR="004D49F1" w:rsidRPr="00167A1B" w:rsidRDefault="004D49F1" w:rsidP="001160E7">
            <w:pPr>
              <w:pStyle w:val="BodyText1"/>
              <w:spacing w:before="0" w:after="0"/>
              <w:jc w:val="center"/>
              <w:rPr>
                <w:b/>
                <w:bCs/>
                <w:noProof w:val="0"/>
                <w:sz w:val="18"/>
                <w:szCs w:val="18"/>
              </w:rPr>
            </w:pPr>
            <w:r w:rsidRPr="00167A1B">
              <w:rPr>
                <w:b/>
                <w:bCs/>
                <w:noProof w:val="0"/>
                <w:sz w:val="18"/>
                <w:szCs w:val="18"/>
              </w:rPr>
              <w:t>Option 2</w:t>
            </w:r>
          </w:p>
        </w:tc>
        <w:tc>
          <w:tcPr>
            <w:tcW w:w="1300" w:type="dxa"/>
          </w:tcPr>
          <w:p w14:paraId="4E7940A8" w14:textId="77777777" w:rsidR="004D49F1" w:rsidRPr="00167A1B" w:rsidRDefault="004D49F1" w:rsidP="001160E7">
            <w:pPr>
              <w:pStyle w:val="BodyText1"/>
              <w:spacing w:before="0" w:after="0"/>
              <w:jc w:val="center"/>
              <w:rPr>
                <w:b/>
                <w:bCs/>
                <w:noProof w:val="0"/>
                <w:sz w:val="18"/>
                <w:szCs w:val="18"/>
              </w:rPr>
            </w:pPr>
            <w:r w:rsidRPr="00167A1B">
              <w:rPr>
                <w:b/>
                <w:bCs/>
                <w:noProof w:val="0"/>
                <w:sz w:val="18"/>
                <w:szCs w:val="18"/>
              </w:rPr>
              <w:t>Option 3</w:t>
            </w:r>
          </w:p>
        </w:tc>
        <w:tc>
          <w:tcPr>
            <w:tcW w:w="1299" w:type="dxa"/>
          </w:tcPr>
          <w:p w14:paraId="1CB25423" w14:textId="77777777" w:rsidR="004D49F1" w:rsidRPr="00167A1B" w:rsidRDefault="004D49F1" w:rsidP="001160E7">
            <w:pPr>
              <w:pStyle w:val="BodyText1"/>
              <w:spacing w:before="0" w:after="0"/>
              <w:jc w:val="center"/>
              <w:rPr>
                <w:b/>
                <w:bCs/>
                <w:noProof w:val="0"/>
                <w:sz w:val="18"/>
                <w:szCs w:val="18"/>
              </w:rPr>
            </w:pPr>
            <w:r w:rsidRPr="00167A1B">
              <w:rPr>
                <w:b/>
                <w:bCs/>
                <w:noProof w:val="0"/>
                <w:sz w:val="18"/>
                <w:szCs w:val="18"/>
              </w:rPr>
              <w:t xml:space="preserve">Option </w:t>
            </w:r>
            <w:proofErr w:type="gramStart"/>
            <w:r w:rsidRPr="00167A1B">
              <w:rPr>
                <w:b/>
                <w:bCs/>
                <w:noProof w:val="0"/>
                <w:sz w:val="18"/>
                <w:szCs w:val="18"/>
              </w:rPr>
              <w:t>4.a</w:t>
            </w:r>
            <w:proofErr w:type="gramEnd"/>
          </w:p>
        </w:tc>
        <w:tc>
          <w:tcPr>
            <w:tcW w:w="1299" w:type="dxa"/>
          </w:tcPr>
          <w:p w14:paraId="005273CC" w14:textId="77777777" w:rsidR="004D49F1" w:rsidRPr="00167A1B" w:rsidRDefault="004D49F1" w:rsidP="001160E7">
            <w:pPr>
              <w:pStyle w:val="BodyText1"/>
              <w:spacing w:before="0" w:after="0"/>
              <w:jc w:val="center"/>
              <w:rPr>
                <w:b/>
                <w:bCs/>
                <w:noProof w:val="0"/>
                <w:sz w:val="18"/>
                <w:szCs w:val="18"/>
              </w:rPr>
            </w:pPr>
            <w:r w:rsidRPr="00167A1B">
              <w:rPr>
                <w:b/>
                <w:bCs/>
                <w:noProof w:val="0"/>
                <w:sz w:val="18"/>
                <w:szCs w:val="18"/>
              </w:rPr>
              <w:t xml:space="preserve">Option </w:t>
            </w:r>
            <w:proofErr w:type="gramStart"/>
            <w:r w:rsidRPr="00167A1B">
              <w:rPr>
                <w:b/>
                <w:bCs/>
                <w:noProof w:val="0"/>
                <w:sz w:val="18"/>
                <w:szCs w:val="18"/>
              </w:rPr>
              <w:t>4.b</w:t>
            </w:r>
            <w:proofErr w:type="gramEnd"/>
          </w:p>
        </w:tc>
        <w:tc>
          <w:tcPr>
            <w:tcW w:w="1300" w:type="dxa"/>
          </w:tcPr>
          <w:p w14:paraId="76310B9C" w14:textId="77777777" w:rsidR="004D49F1" w:rsidRPr="00167A1B" w:rsidRDefault="004D49F1" w:rsidP="001160E7">
            <w:pPr>
              <w:pStyle w:val="BodyText1"/>
              <w:spacing w:before="0" w:after="0"/>
              <w:jc w:val="center"/>
              <w:rPr>
                <w:b/>
                <w:bCs/>
                <w:noProof w:val="0"/>
                <w:sz w:val="18"/>
                <w:szCs w:val="18"/>
              </w:rPr>
            </w:pPr>
            <w:r w:rsidRPr="00167A1B">
              <w:rPr>
                <w:b/>
                <w:bCs/>
                <w:noProof w:val="0"/>
                <w:sz w:val="18"/>
                <w:szCs w:val="18"/>
              </w:rPr>
              <w:t>Option 5</w:t>
            </w:r>
          </w:p>
        </w:tc>
      </w:tr>
      <w:tr w:rsidR="004D49F1" w:rsidRPr="00167A1B" w14:paraId="6BCF2409" w14:textId="77777777" w:rsidTr="001160E7">
        <w:trPr>
          <w:cantSplit/>
        </w:trPr>
        <w:tc>
          <w:tcPr>
            <w:tcW w:w="1413" w:type="dxa"/>
          </w:tcPr>
          <w:p w14:paraId="4E615FA0" w14:textId="6A1EED99" w:rsidR="004D49F1" w:rsidRPr="00167A1B" w:rsidRDefault="004D49F1" w:rsidP="001160E7">
            <w:pPr>
              <w:pStyle w:val="BodyText1"/>
              <w:spacing w:before="0" w:after="0"/>
              <w:jc w:val="left"/>
              <w:rPr>
                <w:noProof w:val="0"/>
                <w:sz w:val="18"/>
                <w:szCs w:val="18"/>
              </w:rPr>
            </w:pPr>
            <w:r w:rsidRPr="00167A1B">
              <w:rPr>
                <w:noProof w:val="0"/>
                <w:sz w:val="18"/>
                <w:szCs w:val="18"/>
              </w:rPr>
              <w:t>Impact on product safety &amp; illicit markets</w:t>
            </w:r>
          </w:p>
        </w:tc>
        <w:tc>
          <w:tcPr>
            <w:tcW w:w="1299" w:type="dxa"/>
          </w:tcPr>
          <w:p w14:paraId="321B1697" w14:textId="77777777" w:rsidR="004D49F1" w:rsidRPr="00167A1B" w:rsidRDefault="00B37F55" w:rsidP="001160E7">
            <w:pPr>
              <w:pStyle w:val="BodyText1"/>
              <w:spacing w:before="0" w:after="0"/>
              <w:jc w:val="center"/>
              <w:rPr>
                <w:bCs/>
                <w:noProof w:val="0"/>
                <w:sz w:val="18"/>
                <w:szCs w:val="18"/>
              </w:rPr>
            </w:pPr>
            <w:r w:rsidRPr="00167A1B">
              <w:rPr>
                <w:bCs/>
                <w:noProof w:val="0"/>
                <w:sz w:val="18"/>
                <w:szCs w:val="18"/>
              </w:rPr>
              <w:t>0/</w:t>
            </w:r>
            <w:r w:rsidR="00DE3FF6" w:rsidRPr="00167A1B">
              <w:rPr>
                <w:bCs/>
                <w:noProof w:val="0"/>
                <w:sz w:val="18"/>
                <w:szCs w:val="18"/>
              </w:rPr>
              <w:t>+</w:t>
            </w:r>
          </w:p>
          <w:p w14:paraId="781CBF33" w14:textId="77777777" w:rsidR="00BA23CF" w:rsidRPr="00167A1B" w:rsidRDefault="00BA23CF" w:rsidP="001160E7">
            <w:pPr>
              <w:pStyle w:val="BodyText1"/>
              <w:spacing w:before="0" w:after="0"/>
              <w:jc w:val="center"/>
              <w:rPr>
                <w:bCs/>
                <w:noProof w:val="0"/>
                <w:sz w:val="18"/>
                <w:szCs w:val="18"/>
              </w:rPr>
            </w:pPr>
          </w:p>
          <w:p w14:paraId="089E4E33" w14:textId="6B93B482" w:rsidR="00BA23CF" w:rsidRPr="00167A1B" w:rsidRDefault="00BA23CF" w:rsidP="001160E7">
            <w:pPr>
              <w:pStyle w:val="BodyText1"/>
              <w:spacing w:before="0" w:after="0"/>
              <w:jc w:val="center"/>
              <w:rPr>
                <w:bCs/>
                <w:noProof w:val="0"/>
                <w:sz w:val="18"/>
                <w:szCs w:val="18"/>
              </w:rPr>
            </w:pPr>
            <w:r w:rsidRPr="00167A1B">
              <w:rPr>
                <w:bCs/>
                <w:noProof w:val="0"/>
                <w:sz w:val="18"/>
                <w:szCs w:val="18"/>
              </w:rPr>
              <w:t>Elimination of proprietary connectors likely to lead to a small reduction in stand-alone cable sales</w:t>
            </w:r>
          </w:p>
        </w:tc>
        <w:tc>
          <w:tcPr>
            <w:tcW w:w="1299" w:type="dxa"/>
          </w:tcPr>
          <w:p w14:paraId="42BE4203" w14:textId="77777777" w:rsidR="004D49F1" w:rsidRPr="00167A1B" w:rsidRDefault="00B37F55" w:rsidP="001160E7">
            <w:pPr>
              <w:pStyle w:val="BodyText1"/>
              <w:spacing w:before="0" w:after="0"/>
              <w:jc w:val="center"/>
              <w:rPr>
                <w:bCs/>
                <w:noProof w:val="0"/>
                <w:sz w:val="18"/>
                <w:szCs w:val="18"/>
              </w:rPr>
            </w:pPr>
            <w:r w:rsidRPr="00167A1B">
              <w:rPr>
                <w:bCs/>
                <w:noProof w:val="0"/>
                <w:sz w:val="18"/>
                <w:szCs w:val="18"/>
              </w:rPr>
              <w:t>0</w:t>
            </w:r>
            <w:r w:rsidR="00583158" w:rsidRPr="00167A1B">
              <w:rPr>
                <w:bCs/>
                <w:noProof w:val="0"/>
                <w:sz w:val="18"/>
                <w:szCs w:val="18"/>
              </w:rPr>
              <w:t>/+</w:t>
            </w:r>
          </w:p>
          <w:p w14:paraId="0562FEE3" w14:textId="77777777" w:rsidR="00BA23CF" w:rsidRPr="00167A1B" w:rsidRDefault="00BA23CF" w:rsidP="001160E7">
            <w:pPr>
              <w:pStyle w:val="BodyText1"/>
              <w:spacing w:before="0" w:after="0"/>
              <w:jc w:val="center"/>
              <w:rPr>
                <w:bCs/>
                <w:noProof w:val="0"/>
                <w:sz w:val="18"/>
                <w:szCs w:val="18"/>
              </w:rPr>
            </w:pPr>
          </w:p>
          <w:p w14:paraId="3C2AC289" w14:textId="1FB34534" w:rsidR="00BA23CF" w:rsidRPr="00167A1B" w:rsidRDefault="00BA23CF" w:rsidP="001160E7">
            <w:pPr>
              <w:pStyle w:val="BodyText1"/>
              <w:spacing w:before="0" w:after="0"/>
              <w:jc w:val="center"/>
              <w:rPr>
                <w:bCs/>
                <w:noProof w:val="0"/>
                <w:sz w:val="18"/>
                <w:szCs w:val="18"/>
              </w:rPr>
            </w:pPr>
            <w:r w:rsidRPr="00167A1B">
              <w:rPr>
                <w:bCs/>
                <w:noProof w:val="0"/>
                <w:sz w:val="18"/>
                <w:szCs w:val="18"/>
              </w:rPr>
              <w:t>Faster in-the-box EPS likely to lead to a small reduction in stand-alone EPS and cable sales</w:t>
            </w:r>
          </w:p>
        </w:tc>
        <w:tc>
          <w:tcPr>
            <w:tcW w:w="1300" w:type="dxa"/>
          </w:tcPr>
          <w:p w14:paraId="6B9225D1" w14:textId="77777777" w:rsidR="004D49F1" w:rsidRPr="00167A1B" w:rsidRDefault="00B37F55" w:rsidP="001160E7">
            <w:pPr>
              <w:pStyle w:val="BodyText1"/>
              <w:spacing w:before="0" w:after="0"/>
              <w:jc w:val="center"/>
              <w:rPr>
                <w:bCs/>
                <w:noProof w:val="0"/>
                <w:sz w:val="18"/>
                <w:szCs w:val="18"/>
              </w:rPr>
            </w:pPr>
            <w:r w:rsidRPr="00167A1B">
              <w:rPr>
                <w:bCs/>
                <w:noProof w:val="0"/>
                <w:sz w:val="18"/>
                <w:szCs w:val="18"/>
              </w:rPr>
              <w:t>0</w:t>
            </w:r>
            <w:r w:rsidR="00583158" w:rsidRPr="00167A1B">
              <w:rPr>
                <w:bCs/>
                <w:noProof w:val="0"/>
                <w:sz w:val="18"/>
                <w:szCs w:val="18"/>
              </w:rPr>
              <w:t>/+</w:t>
            </w:r>
          </w:p>
          <w:p w14:paraId="01F4F6EF" w14:textId="77777777" w:rsidR="00BA23CF" w:rsidRPr="00167A1B" w:rsidRDefault="00BA23CF" w:rsidP="001160E7">
            <w:pPr>
              <w:pStyle w:val="BodyText1"/>
              <w:spacing w:before="0" w:after="0"/>
              <w:jc w:val="center"/>
              <w:rPr>
                <w:bCs/>
                <w:noProof w:val="0"/>
                <w:sz w:val="18"/>
                <w:szCs w:val="18"/>
              </w:rPr>
            </w:pPr>
          </w:p>
          <w:p w14:paraId="4F75CA99" w14:textId="2DB1D27E" w:rsidR="00BA23CF" w:rsidRPr="00167A1B" w:rsidRDefault="00BA23CF" w:rsidP="001160E7">
            <w:pPr>
              <w:pStyle w:val="BodyText1"/>
              <w:spacing w:before="0" w:after="0"/>
              <w:jc w:val="center"/>
              <w:rPr>
                <w:bCs/>
                <w:noProof w:val="0"/>
                <w:sz w:val="18"/>
                <w:szCs w:val="18"/>
              </w:rPr>
            </w:pPr>
            <w:r w:rsidRPr="00167A1B">
              <w:rPr>
                <w:bCs/>
                <w:noProof w:val="0"/>
                <w:sz w:val="18"/>
                <w:szCs w:val="18"/>
              </w:rPr>
              <w:t>Faster in-the-box EPS likely to lead to a small reduction in stand-alone EPS and cable sales</w:t>
            </w:r>
          </w:p>
        </w:tc>
        <w:tc>
          <w:tcPr>
            <w:tcW w:w="1299" w:type="dxa"/>
          </w:tcPr>
          <w:p w14:paraId="2F414D87" w14:textId="03B3AA87" w:rsidR="004D49F1" w:rsidRPr="00167A1B" w:rsidRDefault="00B37F55" w:rsidP="001160E7">
            <w:pPr>
              <w:pStyle w:val="BodyText1"/>
              <w:spacing w:before="0" w:after="0"/>
              <w:jc w:val="center"/>
              <w:rPr>
                <w:bCs/>
                <w:noProof w:val="0"/>
                <w:sz w:val="18"/>
                <w:szCs w:val="18"/>
              </w:rPr>
            </w:pPr>
            <w:r w:rsidRPr="00167A1B">
              <w:rPr>
                <w:bCs/>
                <w:noProof w:val="0"/>
                <w:sz w:val="18"/>
                <w:szCs w:val="18"/>
              </w:rPr>
              <w:t>-</w:t>
            </w:r>
            <w:r w:rsidR="00DF0328" w:rsidRPr="00167A1B">
              <w:rPr>
                <w:bCs/>
                <w:noProof w:val="0"/>
                <w:sz w:val="18"/>
                <w:szCs w:val="18"/>
              </w:rPr>
              <w:t>/--</w:t>
            </w:r>
          </w:p>
          <w:p w14:paraId="1F49EB4E" w14:textId="77777777" w:rsidR="00BA23CF" w:rsidRPr="00167A1B" w:rsidRDefault="00BA23CF" w:rsidP="001160E7">
            <w:pPr>
              <w:pStyle w:val="BodyText1"/>
              <w:spacing w:before="0" w:after="0"/>
              <w:jc w:val="center"/>
              <w:rPr>
                <w:bCs/>
                <w:noProof w:val="0"/>
                <w:sz w:val="18"/>
                <w:szCs w:val="18"/>
              </w:rPr>
            </w:pPr>
          </w:p>
          <w:p w14:paraId="74EA3EB3" w14:textId="6E99F60A" w:rsidR="00BA23CF" w:rsidRPr="00167A1B" w:rsidRDefault="00BA23CF" w:rsidP="001160E7">
            <w:pPr>
              <w:pStyle w:val="BodyText1"/>
              <w:spacing w:before="0" w:after="0"/>
              <w:jc w:val="center"/>
              <w:rPr>
                <w:bCs/>
                <w:noProof w:val="0"/>
                <w:sz w:val="18"/>
                <w:szCs w:val="18"/>
              </w:rPr>
            </w:pPr>
            <w:r w:rsidRPr="00167A1B">
              <w:rPr>
                <w:bCs/>
                <w:noProof w:val="0"/>
                <w:sz w:val="18"/>
                <w:szCs w:val="18"/>
              </w:rPr>
              <w:t>Higher stand-alone EPS sales imply increased risks</w:t>
            </w:r>
          </w:p>
        </w:tc>
        <w:tc>
          <w:tcPr>
            <w:tcW w:w="1299" w:type="dxa"/>
          </w:tcPr>
          <w:p w14:paraId="2803B960" w14:textId="77777777" w:rsidR="004D49F1" w:rsidRPr="00167A1B" w:rsidRDefault="00B37F55" w:rsidP="001160E7">
            <w:pPr>
              <w:pStyle w:val="BodyText1"/>
              <w:spacing w:before="0" w:after="0"/>
              <w:jc w:val="center"/>
              <w:rPr>
                <w:bCs/>
                <w:noProof w:val="0"/>
                <w:sz w:val="18"/>
                <w:szCs w:val="18"/>
              </w:rPr>
            </w:pPr>
            <w:r w:rsidRPr="00167A1B">
              <w:rPr>
                <w:bCs/>
                <w:noProof w:val="0"/>
                <w:sz w:val="18"/>
                <w:szCs w:val="18"/>
              </w:rPr>
              <w:t>--</w:t>
            </w:r>
          </w:p>
          <w:p w14:paraId="2D23716F" w14:textId="77777777" w:rsidR="00BA23CF" w:rsidRPr="00167A1B" w:rsidRDefault="00BA23CF" w:rsidP="001160E7">
            <w:pPr>
              <w:pStyle w:val="BodyText1"/>
              <w:spacing w:before="0" w:after="0"/>
              <w:jc w:val="center"/>
              <w:rPr>
                <w:bCs/>
                <w:noProof w:val="0"/>
                <w:sz w:val="18"/>
                <w:szCs w:val="18"/>
              </w:rPr>
            </w:pPr>
          </w:p>
          <w:p w14:paraId="5974412D" w14:textId="20CC3043" w:rsidR="00BA23CF" w:rsidRPr="00167A1B" w:rsidRDefault="00BA23CF" w:rsidP="001160E7">
            <w:pPr>
              <w:pStyle w:val="BodyText1"/>
              <w:spacing w:before="0" w:after="0"/>
              <w:jc w:val="center"/>
              <w:rPr>
                <w:bCs/>
                <w:noProof w:val="0"/>
                <w:sz w:val="18"/>
                <w:szCs w:val="18"/>
              </w:rPr>
            </w:pPr>
            <w:r w:rsidRPr="00167A1B">
              <w:rPr>
                <w:bCs/>
                <w:noProof w:val="0"/>
                <w:sz w:val="18"/>
                <w:szCs w:val="18"/>
              </w:rPr>
              <w:t>Higher stand-alone EPS and cable sales imply increased risks</w:t>
            </w:r>
          </w:p>
        </w:tc>
        <w:tc>
          <w:tcPr>
            <w:tcW w:w="1300" w:type="dxa"/>
          </w:tcPr>
          <w:p w14:paraId="55AEE448" w14:textId="77777777" w:rsidR="004D49F1" w:rsidRPr="00167A1B" w:rsidRDefault="00B37F55" w:rsidP="001160E7">
            <w:pPr>
              <w:pStyle w:val="BodyText1"/>
              <w:spacing w:before="0" w:after="0"/>
              <w:jc w:val="center"/>
              <w:rPr>
                <w:bCs/>
                <w:noProof w:val="0"/>
                <w:sz w:val="18"/>
                <w:szCs w:val="18"/>
              </w:rPr>
            </w:pPr>
            <w:r w:rsidRPr="00167A1B">
              <w:rPr>
                <w:bCs/>
                <w:noProof w:val="0"/>
                <w:sz w:val="18"/>
                <w:szCs w:val="18"/>
              </w:rPr>
              <w:t>0/+</w:t>
            </w:r>
          </w:p>
          <w:p w14:paraId="75D400FA" w14:textId="77777777" w:rsidR="00BA23CF" w:rsidRPr="00167A1B" w:rsidRDefault="00BA23CF" w:rsidP="001160E7">
            <w:pPr>
              <w:pStyle w:val="BodyText1"/>
              <w:spacing w:before="0" w:after="0"/>
              <w:jc w:val="center"/>
              <w:rPr>
                <w:bCs/>
                <w:noProof w:val="0"/>
                <w:sz w:val="18"/>
                <w:szCs w:val="18"/>
              </w:rPr>
            </w:pPr>
          </w:p>
          <w:p w14:paraId="5BF547C4" w14:textId="72E246AC" w:rsidR="00BA23CF" w:rsidRPr="00167A1B" w:rsidRDefault="00BA23CF" w:rsidP="001160E7">
            <w:pPr>
              <w:pStyle w:val="BodyText1"/>
              <w:spacing w:before="0" w:after="0"/>
              <w:jc w:val="center"/>
              <w:rPr>
                <w:bCs/>
                <w:noProof w:val="0"/>
                <w:sz w:val="18"/>
                <w:szCs w:val="18"/>
              </w:rPr>
            </w:pPr>
            <w:r w:rsidRPr="00167A1B">
              <w:rPr>
                <w:bCs/>
                <w:noProof w:val="0"/>
                <w:sz w:val="18"/>
                <w:szCs w:val="18"/>
              </w:rPr>
              <w:t>Potential shift towards labelled, and hence safer, stand-alone EPS</w:t>
            </w:r>
          </w:p>
        </w:tc>
      </w:tr>
    </w:tbl>
    <w:p w14:paraId="3AB4C7CF" w14:textId="77777777" w:rsidR="004D49F1" w:rsidRPr="00167A1B" w:rsidRDefault="004D49F1" w:rsidP="004D49F1">
      <w:pPr>
        <w:pStyle w:val="BodyText1"/>
        <w:spacing w:before="0" w:after="0"/>
        <w:rPr>
          <w:noProof w:val="0"/>
        </w:rPr>
      </w:pPr>
      <w:bookmarkStart w:id="64" w:name="_Hlk70063180"/>
    </w:p>
    <w:tbl>
      <w:tblPr>
        <w:tblStyle w:val="TableGridLight"/>
        <w:tblW w:w="9072"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4"/>
        <w:gridCol w:w="1814"/>
        <w:gridCol w:w="1815"/>
        <w:gridCol w:w="1814"/>
        <w:gridCol w:w="1815"/>
      </w:tblGrid>
      <w:tr w:rsidR="004D49F1" w:rsidRPr="00167A1B" w14:paraId="7C4D183B" w14:textId="77777777" w:rsidTr="001160E7">
        <w:trPr>
          <w:trHeight w:val="210"/>
        </w:trPr>
        <w:tc>
          <w:tcPr>
            <w:tcW w:w="1814" w:type="dxa"/>
          </w:tcPr>
          <w:p w14:paraId="44622ADD" w14:textId="77777777" w:rsidR="004D49F1" w:rsidRPr="00167A1B" w:rsidRDefault="004D49F1" w:rsidP="001160E7">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 Major positive impact</w:t>
            </w:r>
          </w:p>
        </w:tc>
        <w:tc>
          <w:tcPr>
            <w:tcW w:w="1814" w:type="dxa"/>
          </w:tcPr>
          <w:p w14:paraId="051331E3" w14:textId="77777777" w:rsidR="004D49F1" w:rsidRPr="00167A1B" w:rsidRDefault="004D49F1" w:rsidP="001160E7">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 Minor positive impact</w:t>
            </w:r>
          </w:p>
        </w:tc>
        <w:tc>
          <w:tcPr>
            <w:tcW w:w="1815" w:type="dxa"/>
          </w:tcPr>
          <w:p w14:paraId="4C6D7D86" w14:textId="77777777" w:rsidR="004D49F1" w:rsidRPr="00167A1B" w:rsidRDefault="004D49F1" w:rsidP="001160E7">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0 No or negligible impact</w:t>
            </w:r>
          </w:p>
        </w:tc>
        <w:tc>
          <w:tcPr>
            <w:tcW w:w="1814" w:type="dxa"/>
          </w:tcPr>
          <w:p w14:paraId="1F755007" w14:textId="77777777" w:rsidR="004D49F1" w:rsidRPr="00167A1B" w:rsidRDefault="004D49F1" w:rsidP="001160E7">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 Minor negative impact</w:t>
            </w:r>
          </w:p>
        </w:tc>
        <w:tc>
          <w:tcPr>
            <w:tcW w:w="1815" w:type="dxa"/>
          </w:tcPr>
          <w:p w14:paraId="728BE7EB" w14:textId="77777777" w:rsidR="004D49F1" w:rsidRPr="00167A1B" w:rsidRDefault="004D49F1" w:rsidP="001160E7">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 Major negative impact</w:t>
            </w:r>
          </w:p>
        </w:tc>
      </w:tr>
    </w:tbl>
    <w:p w14:paraId="34A784FF" w14:textId="77777777" w:rsidR="004D49F1" w:rsidRPr="00167A1B" w:rsidRDefault="004D49F1" w:rsidP="004D49F1">
      <w:pPr>
        <w:pStyle w:val="BodyText1"/>
        <w:rPr>
          <w:noProof w:val="0"/>
        </w:rPr>
      </w:pPr>
    </w:p>
    <w:bookmarkEnd w:id="64"/>
    <w:p w14:paraId="19A60454" w14:textId="77777777" w:rsidR="004D49F1" w:rsidRPr="00167A1B" w:rsidRDefault="004D49F1" w:rsidP="004D49F1">
      <w:pPr>
        <w:pStyle w:val="Subtitle10"/>
        <w:rPr>
          <w:noProof w:val="0"/>
        </w:rPr>
      </w:pPr>
      <w:r w:rsidRPr="00167A1B">
        <w:rPr>
          <w:noProof w:val="0"/>
        </w:rPr>
        <w:t>Option 1</w:t>
      </w:r>
    </w:p>
    <w:p w14:paraId="1358E8E7" w14:textId="303F097C" w:rsidR="004D49F1" w:rsidRPr="00167A1B" w:rsidRDefault="004D49F1" w:rsidP="00DD5942">
      <w:pPr>
        <w:pStyle w:val="BodyText1"/>
        <w:rPr>
          <w:noProof w:val="0"/>
        </w:rPr>
      </w:pPr>
      <w:bookmarkStart w:id="65" w:name="_Hlk69824145"/>
      <w:r w:rsidRPr="00167A1B">
        <w:rPr>
          <w:noProof w:val="0"/>
        </w:rPr>
        <w:t xml:space="preserve">This option could lead to a small reduction of the sale of substandard </w:t>
      </w:r>
      <w:r w:rsidR="00DE3FF6" w:rsidRPr="00167A1B">
        <w:rPr>
          <w:noProof w:val="0"/>
        </w:rPr>
        <w:t>cables</w:t>
      </w:r>
      <w:r w:rsidRPr="00167A1B">
        <w:rPr>
          <w:noProof w:val="0"/>
        </w:rPr>
        <w:t xml:space="preserve">. According to the consumer panel survey, users of phones with proprietary (i.e. Lightning) connectors purchase slightly </w:t>
      </w:r>
      <w:r w:rsidR="00DE3FF6" w:rsidRPr="00167A1B">
        <w:rPr>
          <w:noProof w:val="0"/>
        </w:rPr>
        <w:t xml:space="preserve">(approx. 27%) </w:t>
      </w:r>
      <w:r w:rsidRPr="00167A1B">
        <w:rPr>
          <w:noProof w:val="0"/>
        </w:rPr>
        <w:t>more stand-alone chargers than users of phones with USB connectors. The elimination of proprietary connectors could be expected to eliminate this difference</w:t>
      </w:r>
      <w:r w:rsidR="00DE3FF6" w:rsidRPr="00167A1B">
        <w:rPr>
          <w:noProof w:val="0"/>
        </w:rPr>
        <w:t xml:space="preserve"> (given that Apple users would have a bigger pool of cables with USB Type-C connectors to draw from when they need an additional cable)</w:t>
      </w:r>
      <w:r w:rsidRPr="00167A1B">
        <w:rPr>
          <w:noProof w:val="0"/>
        </w:rPr>
        <w:t xml:space="preserve">, thus leading to a small (about </w:t>
      </w:r>
      <w:r w:rsidR="00DE3FF6" w:rsidRPr="00167A1B">
        <w:rPr>
          <w:noProof w:val="0"/>
        </w:rPr>
        <w:t>5</w:t>
      </w:r>
      <w:r w:rsidRPr="00167A1B">
        <w:rPr>
          <w:noProof w:val="0"/>
        </w:rPr>
        <w:t xml:space="preserve">%) reduction in sales of stand-alone </w:t>
      </w:r>
      <w:r w:rsidR="00DE3FF6" w:rsidRPr="00167A1B">
        <w:rPr>
          <w:noProof w:val="0"/>
        </w:rPr>
        <w:t>cables</w:t>
      </w:r>
      <w:r w:rsidRPr="00167A1B">
        <w:rPr>
          <w:noProof w:val="0"/>
        </w:rPr>
        <w:t xml:space="preserve"> and, by extension, a similar reduction in the substandard market, leading to a small positive impact on overall product safety.</w:t>
      </w:r>
    </w:p>
    <w:bookmarkEnd w:id="65"/>
    <w:p w14:paraId="4C458983" w14:textId="54EB9D24" w:rsidR="004D49F1" w:rsidRPr="00167A1B" w:rsidRDefault="004D49F1" w:rsidP="00DD5942">
      <w:pPr>
        <w:pStyle w:val="BodyText1"/>
        <w:rPr>
          <w:noProof w:val="0"/>
        </w:rPr>
      </w:pPr>
      <w:r w:rsidRPr="00167A1B">
        <w:rPr>
          <w:noProof w:val="0"/>
        </w:rPr>
        <w:t xml:space="preserve">As regards the safety of </w:t>
      </w:r>
      <w:r w:rsidRPr="00167A1B">
        <w:rPr>
          <w:i/>
          <w:iCs/>
          <w:noProof w:val="0"/>
        </w:rPr>
        <w:t>in-the-box</w:t>
      </w:r>
      <w:r w:rsidRPr="00167A1B">
        <w:rPr>
          <w:noProof w:val="0"/>
        </w:rPr>
        <w:t xml:space="preserve"> chargers, a common universal USB Type-C connector at the phone end would have no impact on product safety. Safety risks from in-the-box cables are negligible to begin with, and there is nothing to suggest this option would make any difference in this respect.</w:t>
      </w:r>
    </w:p>
    <w:p w14:paraId="3A0600C9" w14:textId="77777777" w:rsidR="004D49F1" w:rsidRPr="00167A1B" w:rsidRDefault="004D49F1" w:rsidP="004D49F1">
      <w:pPr>
        <w:pStyle w:val="BodyText1"/>
        <w:rPr>
          <w:noProof w:val="0"/>
        </w:rPr>
      </w:pPr>
    </w:p>
    <w:p w14:paraId="6BE00193" w14:textId="77777777" w:rsidR="004D49F1" w:rsidRPr="00167A1B" w:rsidRDefault="004D49F1" w:rsidP="004D49F1">
      <w:pPr>
        <w:pStyle w:val="Subtitle10"/>
        <w:rPr>
          <w:noProof w:val="0"/>
        </w:rPr>
      </w:pPr>
      <w:r w:rsidRPr="00167A1B">
        <w:rPr>
          <w:noProof w:val="0"/>
        </w:rPr>
        <w:t>Option 2</w:t>
      </w:r>
    </w:p>
    <w:p w14:paraId="02927A23" w14:textId="7E5C72EF" w:rsidR="00DD5942" w:rsidRPr="00167A1B" w:rsidRDefault="00DE3FF6" w:rsidP="004D49F1">
      <w:pPr>
        <w:pStyle w:val="BodyText1"/>
        <w:rPr>
          <w:noProof w:val="0"/>
        </w:rPr>
      </w:pPr>
      <w:r w:rsidRPr="00167A1B">
        <w:rPr>
          <w:noProof w:val="0"/>
        </w:rPr>
        <w:t>T</w:t>
      </w:r>
      <w:r w:rsidR="00DD5942" w:rsidRPr="00167A1B">
        <w:rPr>
          <w:noProof w:val="0"/>
        </w:rPr>
        <w:t xml:space="preserve">his option </w:t>
      </w:r>
      <w:r w:rsidRPr="00167A1B">
        <w:rPr>
          <w:noProof w:val="0"/>
        </w:rPr>
        <w:t xml:space="preserve">would be likely to lead to a </w:t>
      </w:r>
      <w:r w:rsidR="001C419C" w:rsidRPr="00167A1B">
        <w:rPr>
          <w:noProof w:val="0"/>
        </w:rPr>
        <w:t xml:space="preserve">very </w:t>
      </w:r>
      <w:r w:rsidRPr="00167A1B">
        <w:rPr>
          <w:noProof w:val="0"/>
        </w:rPr>
        <w:t>small decrease in stand-alone charger sales, given that we expect in-the-box EPS would be slightly more likely to be fast charging (at 15 W or more), thus reducing the need for some consumers to purchase faster stand-alone EPS. We estimate the effect would be a 4% reduction in stand-alone EPS sales, and a 3% reduction in stand-alone cable sales (given that many consumers buy both at the same time, so any reduction in EPS sales is likely to also lead to a reduction in cable sales). T</w:t>
      </w:r>
      <w:r w:rsidR="00DD5942" w:rsidRPr="00167A1B">
        <w:rPr>
          <w:noProof w:val="0"/>
        </w:rPr>
        <w:t xml:space="preserve">his </w:t>
      </w:r>
      <w:r w:rsidRPr="00167A1B">
        <w:rPr>
          <w:noProof w:val="0"/>
        </w:rPr>
        <w:t xml:space="preserve">would result in a reduction of substandard and/or counterfeit sales on a similar scale, and thus to a </w:t>
      </w:r>
      <w:r w:rsidR="001C419C" w:rsidRPr="00167A1B">
        <w:rPr>
          <w:noProof w:val="0"/>
        </w:rPr>
        <w:t xml:space="preserve">very small </w:t>
      </w:r>
      <w:r w:rsidRPr="00167A1B">
        <w:rPr>
          <w:noProof w:val="0"/>
        </w:rPr>
        <w:t xml:space="preserve">reduction in product safety risks. </w:t>
      </w:r>
    </w:p>
    <w:p w14:paraId="467F812B" w14:textId="77777777" w:rsidR="00DD5942" w:rsidRPr="00167A1B" w:rsidRDefault="00DD5942" w:rsidP="004D49F1">
      <w:pPr>
        <w:pStyle w:val="BodyText1"/>
        <w:rPr>
          <w:noProof w:val="0"/>
        </w:rPr>
      </w:pPr>
    </w:p>
    <w:p w14:paraId="20B48481" w14:textId="77777777" w:rsidR="004D49F1" w:rsidRPr="00167A1B" w:rsidRDefault="004D49F1" w:rsidP="004D49F1">
      <w:pPr>
        <w:pStyle w:val="Subtitle10"/>
        <w:rPr>
          <w:noProof w:val="0"/>
        </w:rPr>
      </w:pPr>
      <w:r w:rsidRPr="00167A1B">
        <w:rPr>
          <w:noProof w:val="0"/>
        </w:rPr>
        <w:t>Option 3</w:t>
      </w:r>
    </w:p>
    <w:p w14:paraId="5F14CE58" w14:textId="25F4852F" w:rsidR="00DD5942" w:rsidRPr="00167A1B" w:rsidRDefault="001C419C" w:rsidP="00DD5942">
      <w:pPr>
        <w:pStyle w:val="BodyText1"/>
        <w:rPr>
          <w:noProof w:val="0"/>
        </w:rPr>
      </w:pPr>
      <w:r w:rsidRPr="00167A1B">
        <w:rPr>
          <w:noProof w:val="0"/>
        </w:rPr>
        <w:t>We expect the impact of this option to be identical to that of option 2 above, i.e. a very small reduction in substandard and/or counterfeit EPS and cable sales (based on the expectation that mandatory compliance of in-the-box EPS with IEC 63002:2021 would lead to more of them being fast charging).</w:t>
      </w:r>
    </w:p>
    <w:p w14:paraId="52F7F8FA" w14:textId="78A93FE3" w:rsidR="001C419C" w:rsidRPr="00167A1B" w:rsidRDefault="001C419C" w:rsidP="00DD5942">
      <w:pPr>
        <w:pStyle w:val="BodyText1"/>
        <w:rPr>
          <w:noProof w:val="0"/>
        </w:rPr>
      </w:pPr>
      <w:r w:rsidRPr="00167A1B">
        <w:rPr>
          <w:noProof w:val="0"/>
        </w:rPr>
        <w:t>It should be noted that, although IEC 63002:2021 also contains information regarding consumer safety, this merely reiterates existing specifications, and is not expected to affect the safety of in-the-box OEM EPS (which are extremely low risk to begin with).</w:t>
      </w:r>
    </w:p>
    <w:p w14:paraId="77D91C04" w14:textId="77777777" w:rsidR="00DD5942" w:rsidRPr="00167A1B" w:rsidRDefault="00DD5942" w:rsidP="004D49F1">
      <w:pPr>
        <w:pStyle w:val="BodyText1"/>
        <w:rPr>
          <w:noProof w:val="0"/>
        </w:rPr>
      </w:pPr>
    </w:p>
    <w:p w14:paraId="42767DF4" w14:textId="77777777" w:rsidR="004D49F1" w:rsidRPr="00167A1B" w:rsidRDefault="004D49F1" w:rsidP="004D49F1">
      <w:pPr>
        <w:pStyle w:val="Subtitle10"/>
        <w:rPr>
          <w:noProof w:val="0"/>
        </w:rPr>
      </w:pPr>
      <w:r w:rsidRPr="00167A1B">
        <w:rPr>
          <w:noProof w:val="0"/>
        </w:rPr>
        <w:lastRenderedPageBreak/>
        <w:t>Option 4.a</w:t>
      </w:r>
    </w:p>
    <w:p w14:paraId="63B40251" w14:textId="6743BB59" w:rsidR="00DD5942" w:rsidRPr="00167A1B" w:rsidRDefault="00DD5942" w:rsidP="00DD5942">
      <w:pPr>
        <w:pStyle w:val="BodyText1"/>
        <w:rPr>
          <w:noProof w:val="0"/>
          <w:szCs w:val="22"/>
        </w:rPr>
      </w:pPr>
      <w:r w:rsidRPr="00167A1B">
        <w:rPr>
          <w:noProof w:val="0"/>
          <w:szCs w:val="22"/>
        </w:rPr>
        <w:t xml:space="preserve">Higher rates of unbundling would obviously result in increased sales of stand-alone chargers. </w:t>
      </w:r>
      <w:bookmarkStart w:id="66" w:name="_Hlk69829374"/>
      <w:r w:rsidRPr="00167A1B">
        <w:rPr>
          <w:noProof w:val="0"/>
          <w:szCs w:val="22"/>
        </w:rPr>
        <w:t>Our estimate is that, for every EPS that is unbundled (i.e. not purchased along with a new phone), an additional 0.</w:t>
      </w:r>
      <w:r w:rsidR="00F333F1" w:rsidRPr="00167A1B">
        <w:rPr>
          <w:noProof w:val="0"/>
          <w:szCs w:val="22"/>
        </w:rPr>
        <w:t>39</w:t>
      </w:r>
      <w:r w:rsidRPr="00167A1B">
        <w:rPr>
          <w:noProof w:val="0"/>
          <w:szCs w:val="22"/>
        </w:rPr>
        <w:t xml:space="preserve"> are purchased separately</w:t>
      </w:r>
      <w:r w:rsidR="00F333F1" w:rsidRPr="00167A1B">
        <w:rPr>
          <w:noProof w:val="0"/>
          <w:szCs w:val="22"/>
        </w:rPr>
        <w:t xml:space="preserve"> </w:t>
      </w:r>
      <w:bookmarkEnd w:id="66"/>
      <w:r w:rsidR="00F333F1" w:rsidRPr="00167A1B">
        <w:rPr>
          <w:noProof w:val="0"/>
          <w:szCs w:val="22"/>
        </w:rPr>
        <w:t>(for how this was derived, see section 3.1)</w:t>
      </w:r>
      <w:r w:rsidRPr="00167A1B">
        <w:rPr>
          <w:noProof w:val="0"/>
          <w:szCs w:val="22"/>
        </w:rPr>
        <w:t xml:space="preserve">. A proportion of these are likely to be substandard and/or counterfeit. </w:t>
      </w:r>
    </w:p>
    <w:p w14:paraId="0BC9D670" w14:textId="5A066F21" w:rsidR="00DD5942" w:rsidRPr="00167A1B" w:rsidRDefault="00DD5942" w:rsidP="00DD5942">
      <w:pPr>
        <w:pStyle w:val="BodyText1"/>
        <w:rPr>
          <w:noProof w:val="0"/>
          <w:szCs w:val="22"/>
        </w:rPr>
      </w:pPr>
      <w:r w:rsidRPr="00167A1B">
        <w:rPr>
          <w:noProof w:val="0"/>
          <w:szCs w:val="22"/>
        </w:rPr>
        <w:t xml:space="preserve">The consumer survey provides some pointers to estimate how high this proportion is likely to be. Respondents to the second consumer survey were asked what they would do if offered an optional EPS along with an unbundled phone (at a price of either €14.90 for a basic EPS, or €19.90 for a </w:t>
      </w:r>
      <w:r w:rsidR="001B6248" w:rsidRPr="00167A1B">
        <w:rPr>
          <w:noProof w:val="0"/>
          <w:szCs w:val="22"/>
        </w:rPr>
        <w:t>fast-charging</w:t>
      </w:r>
      <w:r w:rsidRPr="00167A1B">
        <w:rPr>
          <w:noProof w:val="0"/>
          <w:szCs w:val="22"/>
        </w:rPr>
        <w:t xml:space="preserve"> EPS). 10.5% of those who said they would buy an EPS along with the phone</w:t>
      </w:r>
      <w:r w:rsidRPr="00167A1B">
        <w:rPr>
          <w:rStyle w:val="FootnoteReference"/>
          <w:noProof w:val="0"/>
          <w:sz w:val="22"/>
          <w:szCs w:val="22"/>
        </w:rPr>
        <w:footnoteReference w:id="125"/>
      </w:r>
      <w:r w:rsidRPr="00167A1B">
        <w:rPr>
          <w:noProof w:val="0"/>
          <w:szCs w:val="22"/>
        </w:rPr>
        <w:t xml:space="preserve"> (rather than continue to use one they already own) indicated they would not buy either of the ones being offered, </w:t>
      </w:r>
      <w:proofErr w:type="gramStart"/>
      <w:r w:rsidRPr="00167A1B">
        <w:rPr>
          <w:noProof w:val="0"/>
          <w:szCs w:val="22"/>
        </w:rPr>
        <w:t>but ”look</w:t>
      </w:r>
      <w:proofErr w:type="gramEnd"/>
      <w:r w:rsidRPr="00167A1B">
        <w:rPr>
          <w:noProof w:val="0"/>
          <w:szCs w:val="22"/>
        </w:rPr>
        <w:t xml:space="preserve"> for a cheaper EPS from another provider”. These are the consumers who would be most likely to purchase a substandard and/or counterfeit charger, and the figure thus provides a sense for the increase in the product safety as well as IPR infringement issues that may be caused by greater unbundling.</w:t>
      </w:r>
    </w:p>
    <w:p w14:paraId="7EB8427D" w14:textId="59344793" w:rsidR="00DD5942" w:rsidRPr="00167A1B" w:rsidRDefault="00DD5942" w:rsidP="00DD5942">
      <w:pPr>
        <w:pStyle w:val="BodyText1"/>
        <w:rPr>
          <w:noProof w:val="0"/>
          <w:szCs w:val="22"/>
        </w:rPr>
      </w:pPr>
      <w:r w:rsidRPr="00167A1B">
        <w:rPr>
          <w:noProof w:val="0"/>
          <w:szCs w:val="22"/>
        </w:rPr>
        <w:t xml:space="preserve">In other words, based on the survey, around 10% of buyers of additional stand-alone EPS would look for a cheap, non-OEM option – although how many of these would end up </w:t>
      </w:r>
      <w:proofErr w:type="gramStart"/>
      <w:r w:rsidRPr="00167A1B">
        <w:rPr>
          <w:noProof w:val="0"/>
          <w:szCs w:val="22"/>
        </w:rPr>
        <w:t>actually buying</w:t>
      </w:r>
      <w:proofErr w:type="gramEnd"/>
      <w:r w:rsidRPr="00167A1B">
        <w:rPr>
          <w:noProof w:val="0"/>
          <w:szCs w:val="22"/>
        </w:rPr>
        <w:t xml:space="preserve"> substandard and/or counterfeit products is impossible to say.</w:t>
      </w:r>
    </w:p>
    <w:p w14:paraId="70FE37EA" w14:textId="77777777" w:rsidR="00DD5942" w:rsidRPr="00167A1B" w:rsidRDefault="00DD5942" w:rsidP="004D49F1">
      <w:pPr>
        <w:pStyle w:val="BodyText1"/>
        <w:rPr>
          <w:noProof w:val="0"/>
        </w:rPr>
      </w:pPr>
    </w:p>
    <w:p w14:paraId="0ABE6D7D" w14:textId="77777777" w:rsidR="004D49F1" w:rsidRPr="00167A1B" w:rsidRDefault="004D49F1" w:rsidP="004D49F1">
      <w:pPr>
        <w:pStyle w:val="Subtitle10"/>
        <w:rPr>
          <w:noProof w:val="0"/>
        </w:rPr>
      </w:pPr>
      <w:r w:rsidRPr="00167A1B">
        <w:rPr>
          <w:noProof w:val="0"/>
        </w:rPr>
        <w:t>Option 4.b</w:t>
      </w:r>
    </w:p>
    <w:p w14:paraId="3780AEE3" w14:textId="06F70DA9" w:rsidR="004D49F1" w:rsidRPr="00167A1B" w:rsidRDefault="00BA23CF" w:rsidP="004D49F1">
      <w:pPr>
        <w:pStyle w:val="BodyText1"/>
        <w:rPr>
          <w:noProof w:val="0"/>
        </w:rPr>
      </w:pPr>
      <w:r w:rsidRPr="00167A1B">
        <w:rPr>
          <w:noProof w:val="0"/>
        </w:rPr>
        <w:t>The effects of this option would be the same as those of option 4.a, but also extend to the cables. In other words, mandatory unbundling would be expected to lead to a relatively small increase in the sale of substandard and/or counterfeit EPS and cables.</w:t>
      </w:r>
    </w:p>
    <w:p w14:paraId="5903C533" w14:textId="77777777" w:rsidR="00BA23CF" w:rsidRPr="00167A1B" w:rsidRDefault="00BA23CF" w:rsidP="004D49F1">
      <w:pPr>
        <w:pStyle w:val="BodyText1"/>
        <w:rPr>
          <w:noProof w:val="0"/>
        </w:rPr>
      </w:pPr>
    </w:p>
    <w:p w14:paraId="5EC21009" w14:textId="77777777" w:rsidR="004D49F1" w:rsidRPr="00167A1B" w:rsidRDefault="004D49F1" w:rsidP="004D49F1">
      <w:pPr>
        <w:pStyle w:val="Subtitle10"/>
        <w:rPr>
          <w:noProof w:val="0"/>
        </w:rPr>
      </w:pPr>
      <w:r w:rsidRPr="00167A1B">
        <w:rPr>
          <w:noProof w:val="0"/>
        </w:rPr>
        <w:t>Option 5</w:t>
      </w:r>
    </w:p>
    <w:p w14:paraId="2AE88CCD" w14:textId="763FCA0C" w:rsidR="00DD5942" w:rsidRPr="00167A1B" w:rsidRDefault="00DD5942" w:rsidP="00DD5942">
      <w:pPr>
        <w:pStyle w:val="BodyText1"/>
        <w:rPr>
          <w:noProof w:val="0"/>
        </w:rPr>
      </w:pPr>
      <w:r w:rsidRPr="00167A1B">
        <w:rPr>
          <w:noProof w:val="0"/>
        </w:rPr>
        <w:t xml:space="preserve">The product safety impacts of this option would depend on how the labelling scheme and logo are managed and “policed”. If the scheme is widely adopted, and the logo is subject to strict compliance tests, then it could contribute to reducing demand for sub-standard and/or counterfeit stand-alone EPS, and thereby reduce product safety risks. This is because, presumably, manufacturers of sub-standard or counterfeit EPS would prefer not to subject their products to compliance / compatibility </w:t>
      </w:r>
      <w:proofErr w:type="gramStart"/>
      <w:r w:rsidRPr="00167A1B">
        <w:rPr>
          <w:noProof w:val="0"/>
        </w:rPr>
        <w:t>testing, and</w:t>
      </w:r>
      <w:proofErr w:type="gramEnd"/>
      <w:r w:rsidRPr="00167A1B">
        <w:rPr>
          <w:noProof w:val="0"/>
        </w:rPr>
        <w:t xml:space="preserve"> could therefore not carry the logo (at least not legally). Assuming significant numbers of consumers are aware of the logo and take it into account in their purchasing decisions, this could shift demand towards legitimate, safe, compatible EPS. However, as noted previously, this is subject to a high degree of uncertainty, given the lack of clarity about the exact parameters of such a scheme and its acceptance by industry and consumers.</w:t>
      </w:r>
    </w:p>
    <w:p w14:paraId="4237EB04" w14:textId="77777777" w:rsidR="00DD5942" w:rsidRPr="00167A1B" w:rsidRDefault="00DD5942" w:rsidP="00DD5942">
      <w:pPr>
        <w:pStyle w:val="BodyText1"/>
        <w:rPr>
          <w:noProof w:val="0"/>
        </w:rPr>
      </w:pPr>
    </w:p>
    <w:p w14:paraId="62419B98" w14:textId="77777777" w:rsidR="004D49F1" w:rsidRPr="00167A1B" w:rsidRDefault="004D49F1" w:rsidP="004D49F1">
      <w:pPr>
        <w:pStyle w:val="Subtitle10"/>
        <w:rPr>
          <w:noProof w:val="0"/>
        </w:rPr>
      </w:pPr>
      <w:r w:rsidRPr="00167A1B">
        <w:rPr>
          <w:noProof w:val="0"/>
        </w:rPr>
        <w:t>Summary</w:t>
      </w:r>
    </w:p>
    <w:p w14:paraId="34FAD087" w14:textId="64EF899E" w:rsidR="00DD5942" w:rsidRPr="00167A1B" w:rsidRDefault="00DD5942" w:rsidP="00467033">
      <w:pPr>
        <w:pStyle w:val="BodyText1"/>
        <w:rPr>
          <w:noProof w:val="0"/>
        </w:rPr>
      </w:pPr>
      <w:r w:rsidRPr="00167A1B">
        <w:rPr>
          <w:noProof w:val="0"/>
        </w:rPr>
        <w:t xml:space="preserve">The risks regarding product safety and the counterfeit market are directly related to the size of the stand-alone charger market. This is already growing under the baseline scenario due to the voluntary unbundling measures that have already been adopted by some </w:t>
      </w:r>
      <w:proofErr w:type="gramStart"/>
      <w:r w:rsidRPr="00167A1B">
        <w:rPr>
          <w:noProof w:val="0"/>
        </w:rPr>
        <w:t>manufacturers, and</w:t>
      </w:r>
      <w:proofErr w:type="gramEnd"/>
      <w:r w:rsidRPr="00167A1B">
        <w:rPr>
          <w:noProof w:val="0"/>
        </w:rPr>
        <w:t xml:space="preserve"> are expected to become more widespread going forward. On top of this, option</w:t>
      </w:r>
      <w:r w:rsidR="002065F2" w:rsidRPr="00167A1B">
        <w:rPr>
          <w:noProof w:val="0"/>
        </w:rPr>
        <w:t>s</w:t>
      </w:r>
      <w:r w:rsidRPr="00167A1B">
        <w:rPr>
          <w:noProof w:val="0"/>
        </w:rPr>
        <w:t xml:space="preserve"> 4</w:t>
      </w:r>
      <w:r w:rsidR="002065F2" w:rsidRPr="00167A1B">
        <w:rPr>
          <w:noProof w:val="0"/>
        </w:rPr>
        <w:t>.a and 4.b</w:t>
      </w:r>
      <w:r w:rsidRPr="00167A1B">
        <w:rPr>
          <w:noProof w:val="0"/>
        </w:rPr>
        <w:t xml:space="preserve"> (mandatory unbundling) would </w:t>
      </w:r>
      <w:r w:rsidR="00F74735" w:rsidRPr="00167A1B">
        <w:rPr>
          <w:noProof w:val="0"/>
        </w:rPr>
        <w:t>lead to significant increases</w:t>
      </w:r>
      <w:r w:rsidRPr="00167A1B">
        <w:rPr>
          <w:noProof w:val="0"/>
        </w:rPr>
        <w:t xml:space="preserve"> </w:t>
      </w:r>
      <w:r w:rsidR="00F74735" w:rsidRPr="00167A1B">
        <w:rPr>
          <w:noProof w:val="0"/>
        </w:rPr>
        <w:t>i</w:t>
      </w:r>
      <w:r w:rsidRPr="00167A1B">
        <w:rPr>
          <w:noProof w:val="0"/>
        </w:rPr>
        <w:t xml:space="preserve">n the stand-alone </w:t>
      </w:r>
      <w:r w:rsidR="002065F2" w:rsidRPr="00167A1B">
        <w:rPr>
          <w:noProof w:val="0"/>
        </w:rPr>
        <w:t>charger</w:t>
      </w:r>
      <w:r w:rsidRPr="00167A1B">
        <w:rPr>
          <w:noProof w:val="0"/>
        </w:rPr>
        <w:t xml:space="preserve"> market, and thus generate </w:t>
      </w:r>
      <w:r w:rsidR="00F74735" w:rsidRPr="00167A1B">
        <w:rPr>
          <w:noProof w:val="0"/>
        </w:rPr>
        <w:t>safety and IPR</w:t>
      </w:r>
      <w:r w:rsidRPr="00167A1B">
        <w:rPr>
          <w:noProof w:val="0"/>
        </w:rPr>
        <w:t xml:space="preserve"> concerns and risks. </w:t>
      </w:r>
      <w:r w:rsidR="00F74735" w:rsidRPr="00167A1B">
        <w:rPr>
          <w:noProof w:val="0"/>
        </w:rPr>
        <w:t>By contrast, o</w:t>
      </w:r>
      <w:r w:rsidRPr="00167A1B">
        <w:rPr>
          <w:noProof w:val="0"/>
        </w:rPr>
        <w:t>ptions 1</w:t>
      </w:r>
      <w:r w:rsidR="00BA23CF" w:rsidRPr="00167A1B">
        <w:rPr>
          <w:noProof w:val="0"/>
        </w:rPr>
        <w:t>,</w:t>
      </w:r>
      <w:r w:rsidRPr="00167A1B">
        <w:rPr>
          <w:noProof w:val="0"/>
        </w:rPr>
        <w:t xml:space="preserve"> 2 </w:t>
      </w:r>
      <w:r w:rsidR="002065F2" w:rsidRPr="00167A1B">
        <w:rPr>
          <w:noProof w:val="0"/>
        </w:rPr>
        <w:t xml:space="preserve">and 3 </w:t>
      </w:r>
      <w:r w:rsidR="00BA23CF" w:rsidRPr="00167A1B">
        <w:rPr>
          <w:noProof w:val="0"/>
        </w:rPr>
        <w:t xml:space="preserve">are expected to lead to small reductions in the stand-alone EPS and/or cable sales, and thus </w:t>
      </w:r>
      <w:r w:rsidR="00BA23CF" w:rsidRPr="00167A1B">
        <w:rPr>
          <w:noProof w:val="0"/>
        </w:rPr>
        <w:lastRenderedPageBreak/>
        <w:t xml:space="preserve">have a very small positive impact </w:t>
      </w:r>
      <w:r w:rsidRPr="00167A1B">
        <w:rPr>
          <w:noProof w:val="0"/>
        </w:rPr>
        <w:t xml:space="preserve">on product safety. Finally, option 5 is the only option that could lead to a positive change in the </w:t>
      </w:r>
      <w:r w:rsidRPr="00167A1B">
        <w:rPr>
          <w:i/>
          <w:iCs/>
          <w:noProof w:val="0"/>
        </w:rPr>
        <w:t>characteristics</w:t>
      </w:r>
      <w:r w:rsidRPr="00167A1B">
        <w:rPr>
          <w:noProof w:val="0"/>
        </w:rPr>
        <w:t xml:space="preserve"> </w:t>
      </w:r>
      <w:r w:rsidR="002065F2" w:rsidRPr="00167A1B">
        <w:rPr>
          <w:noProof w:val="0"/>
        </w:rPr>
        <w:t xml:space="preserve">(as opposed to the </w:t>
      </w:r>
      <w:r w:rsidR="002065F2" w:rsidRPr="00167A1B">
        <w:rPr>
          <w:i/>
          <w:iCs/>
          <w:noProof w:val="0"/>
        </w:rPr>
        <w:t>size</w:t>
      </w:r>
      <w:r w:rsidR="002065F2" w:rsidRPr="00167A1B">
        <w:rPr>
          <w:noProof w:val="0"/>
        </w:rPr>
        <w:t xml:space="preserve">) </w:t>
      </w:r>
      <w:r w:rsidRPr="00167A1B">
        <w:rPr>
          <w:noProof w:val="0"/>
        </w:rPr>
        <w:t xml:space="preserve">of the </w:t>
      </w:r>
      <w:r w:rsidR="00BA23CF" w:rsidRPr="00167A1B">
        <w:rPr>
          <w:noProof w:val="0"/>
        </w:rPr>
        <w:t xml:space="preserve">stand-alone charger </w:t>
      </w:r>
      <w:r w:rsidRPr="00167A1B">
        <w:rPr>
          <w:noProof w:val="0"/>
        </w:rPr>
        <w:t>market, shifting demand towards “safer” EPS that carry the label; but the actual effectiveness of such a scheme is subject to a high degree of uncertainty.</w:t>
      </w:r>
    </w:p>
    <w:p w14:paraId="2BB83D87" w14:textId="77777777" w:rsidR="0047600E" w:rsidRPr="00167A1B" w:rsidRDefault="0047600E" w:rsidP="00467033">
      <w:pPr>
        <w:pStyle w:val="BodyText1"/>
        <w:rPr>
          <w:noProof w:val="0"/>
        </w:rPr>
      </w:pPr>
    </w:p>
    <w:p w14:paraId="2642D39A" w14:textId="77777777" w:rsidR="0075122B" w:rsidRPr="00167A1B" w:rsidRDefault="0075122B" w:rsidP="008F65B2">
      <w:pPr>
        <w:pStyle w:val="BodyText1"/>
        <w:rPr>
          <w:noProof w:val="0"/>
        </w:rPr>
      </w:pPr>
    </w:p>
    <w:p w14:paraId="0E6654A6" w14:textId="15E09F08" w:rsidR="00D30D44" w:rsidRPr="00167A1B" w:rsidRDefault="00D30D44" w:rsidP="009C1705">
      <w:pPr>
        <w:pStyle w:val="Title2"/>
        <w:outlineLvl w:val="1"/>
      </w:pPr>
      <w:bookmarkStart w:id="67" w:name="_Toc74319759"/>
      <w:r w:rsidRPr="00167A1B">
        <w:t>Considerations for implementation</w:t>
      </w:r>
      <w:bookmarkEnd w:id="67"/>
    </w:p>
    <w:p w14:paraId="6541BF8F" w14:textId="5246C794" w:rsidR="008F65B2" w:rsidRPr="00167A1B" w:rsidRDefault="00BA1998" w:rsidP="008F65B2">
      <w:pPr>
        <w:pStyle w:val="BodyText1"/>
        <w:rPr>
          <w:noProof w:val="0"/>
        </w:rPr>
      </w:pPr>
      <w:r w:rsidRPr="00167A1B">
        <w:rPr>
          <w:noProof w:val="0"/>
        </w:rPr>
        <w:t>In this section, we consider a set of other elements that may affect the effectiveness of the policy options, but aren’t directly related to their environmental, economic or social impacts. This includes:</w:t>
      </w:r>
    </w:p>
    <w:p w14:paraId="76BF58BC" w14:textId="59A06BEA" w:rsidR="00BA1998" w:rsidRPr="00167A1B" w:rsidRDefault="00BA1998" w:rsidP="008F65B2">
      <w:pPr>
        <w:pStyle w:val="bullet1"/>
        <w:rPr>
          <w:noProof w:val="0"/>
        </w:rPr>
      </w:pPr>
      <w:r w:rsidRPr="00167A1B">
        <w:rPr>
          <w:noProof w:val="0"/>
        </w:rPr>
        <w:t>Technical feasibility: Are there any significant risks, concerns or question marks about the option’s feasibility from a technical point of view?</w:t>
      </w:r>
    </w:p>
    <w:p w14:paraId="4904D735" w14:textId="2FA19F22" w:rsidR="00BA1998" w:rsidRPr="00167A1B" w:rsidRDefault="00BA1998" w:rsidP="008F65B2">
      <w:pPr>
        <w:pStyle w:val="bullet1"/>
        <w:rPr>
          <w:noProof w:val="0"/>
        </w:rPr>
      </w:pPr>
      <w:r w:rsidRPr="00167A1B">
        <w:rPr>
          <w:noProof w:val="0"/>
        </w:rPr>
        <w:t>Acceptability: How do the relevant key stakeholders view the option? Who would support it, and who would be opposed?</w:t>
      </w:r>
    </w:p>
    <w:p w14:paraId="3B2CC153" w14:textId="64A1FF67" w:rsidR="00BA1998" w:rsidRPr="00167A1B" w:rsidRDefault="00BA1998" w:rsidP="008F65B2">
      <w:pPr>
        <w:pStyle w:val="bullet1"/>
        <w:rPr>
          <w:noProof w:val="0"/>
        </w:rPr>
      </w:pPr>
      <w:r w:rsidRPr="00167A1B">
        <w:rPr>
          <w:noProof w:val="0"/>
        </w:rPr>
        <w:t>Scope for voluntary action: Could the option potentially be implemented via self-regulation, i.e. a voluntary industry commitment – and if so, what would be the main advantages as well as disadvantages or risks?</w:t>
      </w:r>
    </w:p>
    <w:p w14:paraId="3B3346A8" w14:textId="092B3E61" w:rsidR="008F65B2" w:rsidRPr="00167A1B" w:rsidRDefault="00BA1998" w:rsidP="008F65B2">
      <w:pPr>
        <w:pStyle w:val="BodyText1"/>
        <w:rPr>
          <w:noProof w:val="0"/>
        </w:rPr>
      </w:pPr>
      <w:r w:rsidRPr="00167A1B">
        <w:rPr>
          <w:noProof w:val="0"/>
        </w:rPr>
        <w:t xml:space="preserve">This section builds on and </w:t>
      </w:r>
      <w:proofErr w:type="gramStart"/>
      <w:r w:rsidRPr="00167A1B">
        <w:rPr>
          <w:noProof w:val="0"/>
        </w:rPr>
        <w:t>updates, but</w:t>
      </w:r>
      <w:proofErr w:type="gramEnd"/>
      <w:r w:rsidRPr="00167A1B">
        <w:rPr>
          <w:noProof w:val="0"/>
        </w:rPr>
        <w:t xml:space="preserve"> does not repeat all aspects discussed in section 5.5. of the first IA study.</w:t>
      </w:r>
    </w:p>
    <w:p w14:paraId="5B04B72C" w14:textId="6F243777" w:rsidR="00BA1998" w:rsidRPr="00167A1B" w:rsidRDefault="00BA1998" w:rsidP="008F65B2">
      <w:pPr>
        <w:pStyle w:val="BodyText1"/>
        <w:rPr>
          <w:noProof w:val="0"/>
        </w:rPr>
      </w:pPr>
    </w:p>
    <w:p w14:paraId="10A5D356" w14:textId="50A26811" w:rsidR="00BA1998" w:rsidRPr="00167A1B" w:rsidRDefault="00BA1998" w:rsidP="00BA1998">
      <w:pPr>
        <w:pStyle w:val="Subtitle10"/>
        <w:rPr>
          <w:noProof w:val="0"/>
        </w:rPr>
      </w:pPr>
      <w:r w:rsidRPr="00167A1B">
        <w:rPr>
          <w:noProof w:val="0"/>
        </w:rPr>
        <w:t>Option 1</w:t>
      </w:r>
      <w:r w:rsidR="00AC14A2" w:rsidRPr="00167A1B">
        <w:rPr>
          <w:noProof w:val="0"/>
        </w:rPr>
        <w:t xml:space="preserve"> (Harmonise connectors on mobile phones)</w:t>
      </w:r>
    </w:p>
    <w:p w14:paraId="4DD42CFB" w14:textId="381B97A4" w:rsidR="00BA1998" w:rsidRPr="00167A1B" w:rsidRDefault="00BA1998" w:rsidP="00BA1998">
      <w:pPr>
        <w:pStyle w:val="Subtitle20"/>
        <w:rPr>
          <w:noProof w:val="0"/>
        </w:rPr>
      </w:pPr>
      <w:r w:rsidRPr="00167A1B">
        <w:rPr>
          <w:noProof w:val="0"/>
        </w:rPr>
        <w:t>Technical feasibility</w:t>
      </w:r>
    </w:p>
    <w:p w14:paraId="49D9A8EC" w14:textId="0CB70230" w:rsidR="00C65E79" w:rsidRPr="00167A1B" w:rsidRDefault="00C65E79" w:rsidP="00C65E79">
      <w:pPr>
        <w:pStyle w:val="BodyText1"/>
        <w:rPr>
          <w:noProof w:val="0"/>
        </w:rPr>
      </w:pPr>
      <w:r w:rsidRPr="00167A1B">
        <w:rPr>
          <w:noProof w:val="0"/>
        </w:rPr>
        <w:t xml:space="preserve">As discussed in greater detail in the first IA study, defining USB Type-C as the common connector between all mobile phones and the charging cable assembly is entirely feasible from a technical point of view. USB Type-C is a relatively mature technology backed by an international standard (IEC 62680-1-3). There are no doubts it provides a high-quality charging (as well as data transfer) solution for mobile phones, and the fact that (in combination with USB PD) it </w:t>
      </w:r>
      <w:proofErr w:type="gramStart"/>
      <w:r w:rsidRPr="00167A1B">
        <w:rPr>
          <w:noProof w:val="0"/>
        </w:rPr>
        <w:t>is capable of providing</w:t>
      </w:r>
      <w:proofErr w:type="gramEnd"/>
      <w:r w:rsidRPr="00167A1B">
        <w:rPr>
          <w:noProof w:val="0"/>
        </w:rPr>
        <w:t xml:space="preserve"> up to 100W of power leaves ample room for further development of fast charging solutions.</w:t>
      </w:r>
    </w:p>
    <w:p w14:paraId="190E04C5" w14:textId="706791EC" w:rsidR="00C65E79" w:rsidRPr="00167A1B" w:rsidRDefault="00C65E79" w:rsidP="00BA1998">
      <w:pPr>
        <w:pStyle w:val="BodyText1"/>
        <w:rPr>
          <w:noProof w:val="0"/>
        </w:rPr>
      </w:pPr>
      <w:r w:rsidRPr="00167A1B">
        <w:rPr>
          <w:noProof w:val="0"/>
        </w:rPr>
        <w:t xml:space="preserve">The only significant concern in this respect is precisely the fact that USB Type-C is already at such a relatively mature stage of its likely life cycle. While there are currently no concrete indications of a possible successor to USB Type-C, it appears quite possible that a new generation of connectors will begin to appear around the mid-2020s, if not sooner. This may limit the practical usefulness (and some of the positive impacts) of any attempts to prescribe USB Type-C as the common </w:t>
      </w:r>
      <w:proofErr w:type="gramStart"/>
      <w:r w:rsidRPr="00167A1B">
        <w:rPr>
          <w:noProof w:val="0"/>
        </w:rPr>
        <w:t>connector, and</w:t>
      </w:r>
      <w:proofErr w:type="gramEnd"/>
      <w:r w:rsidRPr="00167A1B">
        <w:rPr>
          <w:noProof w:val="0"/>
        </w:rPr>
        <w:t xml:space="preserve"> means provisions for an eventual shift to a possible successor technology need to be duly considered when pursuing this option.</w:t>
      </w:r>
    </w:p>
    <w:p w14:paraId="4CCE7E05" w14:textId="5EEA9DFA" w:rsidR="00BA1998" w:rsidRPr="00167A1B" w:rsidRDefault="00BA1998" w:rsidP="00BA1998">
      <w:pPr>
        <w:pStyle w:val="Subtitle20"/>
        <w:rPr>
          <w:noProof w:val="0"/>
        </w:rPr>
      </w:pPr>
      <w:r w:rsidRPr="00167A1B">
        <w:rPr>
          <w:noProof w:val="0"/>
        </w:rPr>
        <w:t>Acceptability</w:t>
      </w:r>
    </w:p>
    <w:p w14:paraId="024DE327" w14:textId="6108FB65" w:rsidR="00C65E79" w:rsidRPr="00167A1B" w:rsidRDefault="00C65E79" w:rsidP="00C65E79">
      <w:pPr>
        <w:pStyle w:val="BodyText1"/>
        <w:rPr>
          <w:noProof w:val="0"/>
        </w:rPr>
      </w:pPr>
      <w:r w:rsidRPr="00167A1B">
        <w:rPr>
          <w:noProof w:val="0"/>
        </w:rPr>
        <w:t xml:space="preserve">Based on the responses to the 2019 public consultation, option 1 would be popular among EU citizens, with 76% responding they would be satisfied with a single standard connector on the phone end (and 77% with single standard connectors on both ends). </w:t>
      </w:r>
    </w:p>
    <w:p w14:paraId="30A1453B" w14:textId="69F54658" w:rsidR="00C65E79" w:rsidRPr="00167A1B" w:rsidRDefault="00C65E79" w:rsidP="00C65E79">
      <w:pPr>
        <w:pStyle w:val="BodyText1"/>
        <w:rPr>
          <w:noProof w:val="0"/>
        </w:rPr>
      </w:pPr>
      <w:r w:rsidRPr="00167A1B">
        <w:rPr>
          <w:noProof w:val="0"/>
        </w:rPr>
        <w:t xml:space="preserve">The stakeholder survey conducted as part of this study also suggests that a majority of stakeholders in each of the main categories would support this option – with support strongest among responding public authorities, followed by civil society organisation; and even a majority of </w:t>
      </w:r>
      <w:r w:rsidR="00131781" w:rsidRPr="00167A1B">
        <w:rPr>
          <w:noProof w:val="0"/>
        </w:rPr>
        <w:t>private companies</w:t>
      </w:r>
      <w:r w:rsidRPr="00167A1B">
        <w:rPr>
          <w:noProof w:val="0"/>
        </w:rPr>
        <w:t xml:space="preserve"> in favour of a common (USB Type-C) </w:t>
      </w:r>
      <w:r w:rsidR="00131781" w:rsidRPr="00167A1B">
        <w:rPr>
          <w:noProof w:val="0"/>
        </w:rPr>
        <w:t xml:space="preserve">connectors, and of the EU legislating to bring this about (for details see Annex </w:t>
      </w:r>
      <w:r w:rsidR="005C02B0" w:rsidRPr="00167A1B">
        <w:rPr>
          <w:noProof w:val="0"/>
        </w:rPr>
        <w:t>C</w:t>
      </w:r>
      <w:r w:rsidR="00131781" w:rsidRPr="00167A1B">
        <w:rPr>
          <w:noProof w:val="0"/>
        </w:rPr>
        <w:t xml:space="preserve">). However, it needs to be noted that </w:t>
      </w:r>
      <w:r w:rsidR="00131781" w:rsidRPr="00167A1B">
        <w:rPr>
          <w:noProof w:val="0"/>
        </w:rPr>
        <w:lastRenderedPageBreak/>
        <w:t xml:space="preserve">views among industry respondents (companies) varied greatly: </w:t>
      </w:r>
      <w:r w:rsidR="00D328B6" w:rsidRPr="00167A1B">
        <w:rPr>
          <w:noProof w:val="0"/>
        </w:rPr>
        <w:t xml:space="preserve">the majority (around six out of ten) of the 14 mobile phone manufacturers and closely related companies that responded to the survey did </w:t>
      </w:r>
      <w:r w:rsidR="00D328B6" w:rsidRPr="00167A1B">
        <w:rPr>
          <w:i/>
          <w:iCs/>
          <w:noProof w:val="0"/>
        </w:rPr>
        <w:t>not</w:t>
      </w:r>
      <w:r w:rsidR="00D328B6" w:rsidRPr="00167A1B">
        <w:rPr>
          <w:noProof w:val="0"/>
        </w:rPr>
        <w:t xml:space="preserve"> agree that all mobile phones should have the same connector (USB Type-C), or that the EU should adopt legislation to this effect (seven out of ten). It was only because of the high levels of agreement among companies from other sectors (such as retail or manufacture of other non-related products) that industry stakeholders </w:t>
      </w:r>
      <w:proofErr w:type="gramStart"/>
      <w:r w:rsidR="00D328B6" w:rsidRPr="00167A1B">
        <w:rPr>
          <w:noProof w:val="0"/>
        </w:rPr>
        <w:t>as a whole agreed</w:t>
      </w:r>
      <w:proofErr w:type="gramEnd"/>
      <w:r w:rsidR="00D328B6" w:rsidRPr="00167A1B">
        <w:rPr>
          <w:noProof w:val="0"/>
        </w:rPr>
        <w:t xml:space="preserve"> with these options.</w:t>
      </w:r>
    </w:p>
    <w:p w14:paraId="7CEBEF72" w14:textId="5056082A" w:rsidR="00C65E79" w:rsidRPr="00167A1B" w:rsidRDefault="00131781" w:rsidP="00BA1998">
      <w:pPr>
        <w:pStyle w:val="BodyText1"/>
        <w:rPr>
          <w:noProof w:val="0"/>
        </w:rPr>
      </w:pPr>
      <w:r w:rsidRPr="00167A1B">
        <w:rPr>
          <w:noProof w:val="0"/>
        </w:rPr>
        <w:t>The interviews carried out as part of both studies helped shed further light on the positions of the “core” industry stakeholders. While the majority of manufacturers of mobile phone and similar devices were not opposed to USB Type-C as the common device-end connector (and some were actively in favour of any move in this direction), a minority was opposed to this, claiming it would limit their ability to provide customers with the best technical and design solution in each specific case. In any case, even among those in favour of harmonising connectors, there was a strong preference for achieving this via a voluntary approach, due to the widely held concerns among industry of how regulation would constrain future innovation.</w:t>
      </w:r>
    </w:p>
    <w:p w14:paraId="5318B1B6" w14:textId="62C2379C" w:rsidR="00BA1998" w:rsidRPr="00167A1B" w:rsidRDefault="00BA1998" w:rsidP="00BA1998">
      <w:pPr>
        <w:pStyle w:val="Subtitle20"/>
        <w:rPr>
          <w:noProof w:val="0"/>
        </w:rPr>
      </w:pPr>
      <w:r w:rsidRPr="00167A1B">
        <w:rPr>
          <w:noProof w:val="0"/>
        </w:rPr>
        <w:t>Scope for voluntary action</w:t>
      </w:r>
    </w:p>
    <w:p w14:paraId="78495F3F" w14:textId="51DEEE44" w:rsidR="00BA1998" w:rsidRPr="00167A1B" w:rsidRDefault="00C7067E" w:rsidP="00C7067E">
      <w:pPr>
        <w:pStyle w:val="BodyText1"/>
        <w:rPr>
          <w:noProof w:val="0"/>
        </w:rPr>
      </w:pPr>
      <w:r w:rsidRPr="00167A1B">
        <w:rPr>
          <w:noProof w:val="0"/>
        </w:rPr>
        <w:t>In principle, it would be possible to achieve the desired outcome – namely the exclusive use of USB Type-C receptacles in all mobile phones – via a voluntary commitment by the industry. The 2009 MoU, which was signed by all major mobile phone manufacturers at the time, included a similar commitment. However, in view of the strong opposition from at least one key player (Apple), it seems unlikely at the present time that option 1 could form part of a renewed voluntary agreement. If such an agreement could nonetheless be reached, it would be important to scrutinise in depth a number of key elements to ensure its effectiveness, in particular the signatories, the product scope and timeframe, and the mechanisms to ensure compliance (these elements are discussed in greater detail in the first IA study report).</w:t>
      </w:r>
    </w:p>
    <w:p w14:paraId="446B6BB9" w14:textId="77777777" w:rsidR="00BA1998" w:rsidRPr="00167A1B" w:rsidRDefault="00BA1998" w:rsidP="00BA1998">
      <w:pPr>
        <w:pStyle w:val="BodyText1"/>
        <w:rPr>
          <w:noProof w:val="0"/>
        </w:rPr>
      </w:pPr>
    </w:p>
    <w:p w14:paraId="5FCE702C" w14:textId="3D6A1A98" w:rsidR="00BA1998" w:rsidRPr="00167A1B" w:rsidRDefault="00BA1998" w:rsidP="00BA1998">
      <w:pPr>
        <w:pStyle w:val="Subtitle10"/>
        <w:rPr>
          <w:noProof w:val="0"/>
        </w:rPr>
      </w:pPr>
      <w:r w:rsidRPr="00167A1B">
        <w:rPr>
          <w:noProof w:val="0"/>
        </w:rPr>
        <w:t>Option</w:t>
      </w:r>
      <w:r w:rsidR="00AC14A2" w:rsidRPr="00167A1B">
        <w:rPr>
          <w:noProof w:val="0"/>
        </w:rPr>
        <w:t>s</w:t>
      </w:r>
      <w:r w:rsidRPr="00167A1B">
        <w:rPr>
          <w:noProof w:val="0"/>
        </w:rPr>
        <w:t xml:space="preserve"> 2</w:t>
      </w:r>
      <w:r w:rsidR="00AC14A2" w:rsidRPr="00167A1B">
        <w:rPr>
          <w:noProof w:val="0"/>
        </w:rPr>
        <w:t xml:space="preserve"> and 3 (Interoperability requirements for mobile phones or EPS)</w:t>
      </w:r>
    </w:p>
    <w:p w14:paraId="73AFCFAF" w14:textId="77777777" w:rsidR="00BA1998" w:rsidRPr="00167A1B" w:rsidRDefault="00BA1998" w:rsidP="00BA1998">
      <w:pPr>
        <w:pStyle w:val="Subtitle20"/>
        <w:rPr>
          <w:noProof w:val="0"/>
        </w:rPr>
      </w:pPr>
      <w:r w:rsidRPr="00167A1B">
        <w:rPr>
          <w:noProof w:val="0"/>
        </w:rPr>
        <w:t>Technical feasibility</w:t>
      </w:r>
    </w:p>
    <w:p w14:paraId="3ABF50E7" w14:textId="27B7F0BE" w:rsidR="00BA1998" w:rsidRPr="00167A1B" w:rsidRDefault="00255D3C" w:rsidP="00BA1998">
      <w:pPr>
        <w:pStyle w:val="BodyText1"/>
        <w:rPr>
          <w:noProof w:val="0"/>
          <w:szCs w:val="22"/>
        </w:rPr>
      </w:pPr>
      <w:r w:rsidRPr="00167A1B">
        <w:rPr>
          <w:noProof w:val="0"/>
        </w:rPr>
        <w:t xml:space="preserve">In principle, there are no </w:t>
      </w:r>
      <w:r w:rsidR="002D2943" w:rsidRPr="00167A1B">
        <w:rPr>
          <w:noProof w:val="0"/>
        </w:rPr>
        <w:t>significant</w:t>
      </w:r>
      <w:r w:rsidRPr="00167A1B">
        <w:rPr>
          <w:noProof w:val="0"/>
        </w:rPr>
        <w:t xml:space="preserve"> technical concerns or risks as regards </w:t>
      </w:r>
      <w:r w:rsidR="00AC14A2" w:rsidRPr="00167A1B">
        <w:rPr>
          <w:noProof w:val="0"/>
        </w:rPr>
        <w:t>either</w:t>
      </w:r>
      <w:r w:rsidRPr="00167A1B">
        <w:rPr>
          <w:noProof w:val="0"/>
        </w:rPr>
        <w:t xml:space="preserve"> option</w:t>
      </w:r>
      <w:r w:rsidR="00AC14A2" w:rsidRPr="00167A1B">
        <w:rPr>
          <w:noProof w:val="0"/>
        </w:rPr>
        <w:t xml:space="preserve"> 2</w:t>
      </w:r>
      <w:r w:rsidRPr="00167A1B">
        <w:rPr>
          <w:noProof w:val="0"/>
        </w:rPr>
        <w:t xml:space="preserve"> (</w:t>
      </w:r>
      <w:r w:rsidRPr="00167A1B">
        <w:rPr>
          <w:noProof w:val="0"/>
          <w:szCs w:val="22"/>
        </w:rPr>
        <w:t>regulating to ensure all mobile phones incorporate communication protocols that are compatible with USB Type-C and, where relevant, USB PD specifications)</w:t>
      </w:r>
      <w:r w:rsidR="00AC14A2" w:rsidRPr="00167A1B">
        <w:rPr>
          <w:noProof w:val="0"/>
          <w:szCs w:val="22"/>
        </w:rPr>
        <w:t xml:space="preserve"> or option 3 (which would </w:t>
      </w:r>
      <w:r w:rsidR="00AC14A2" w:rsidRPr="00167A1B">
        <w:rPr>
          <w:noProof w:val="0"/>
        </w:rPr>
        <w:t>require EPS for mobile phones to comply with USB interoperability guidelines)</w:t>
      </w:r>
      <w:r w:rsidRPr="00167A1B">
        <w:rPr>
          <w:noProof w:val="0"/>
          <w:szCs w:val="22"/>
        </w:rPr>
        <w:t xml:space="preserve">. </w:t>
      </w:r>
      <w:r w:rsidR="00AC14A2" w:rsidRPr="00167A1B">
        <w:rPr>
          <w:noProof w:val="0"/>
          <w:szCs w:val="22"/>
        </w:rPr>
        <w:t>These options</w:t>
      </w:r>
      <w:r w:rsidRPr="00167A1B">
        <w:rPr>
          <w:noProof w:val="0"/>
          <w:szCs w:val="22"/>
        </w:rPr>
        <w:t xml:space="preserve"> are based on internationally recognised standards (IEC 62680-1-3</w:t>
      </w:r>
      <w:r w:rsidR="00AC14A2" w:rsidRPr="00167A1B">
        <w:rPr>
          <w:noProof w:val="0"/>
          <w:szCs w:val="22"/>
        </w:rPr>
        <w:t>,</w:t>
      </w:r>
      <w:r w:rsidRPr="00167A1B">
        <w:rPr>
          <w:noProof w:val="0"/>
          <w:szCs w:val="22"/>
        </w:rPr>
        <w:t xml:space="preserve"> IEC 62680-1-2</w:t>
      </w:r>
      <w:r w:rsidR="00AC14A2" w:rsidRPr="00167A1B">
        <w:rPr>
          <w:noProof w:val="0"/>
          <w:szCs w:val="22"/>
        </w:rPr>
        <w:t xml:space="preserve"> and, in the case of option 3, IEC 63002</w:t>
      </w:r>
      <w:r w:rsidRPr="00167A1B">
        <w:rPr>
          <w:noProof w:val="0"/>
          <w:szCs w:val="22"/>
        </w:rPr>
        <w:t>)</w:t>
      </w:r>
      <w:r w:rsidR="00A2300B" w:rsidRPr="00167A1B">
        <w:rPr>
          <w:noProof w:val="0"/>
          <w:szCs w:val="22"/>
        </w:rPr>
        <w:t>. T</w:t>
      </w:r>
      <w:r w:rsidRPr="00167A1B">
        <w:rPr>
          <w:noProof w:val="0"/>
          <w:szCs w:val="22"/>
        </w:rPr>
        <w:t>he fact that the majority of higher and medium-tier mobile phones</w:t>
      </w:r>
      <w:r w:rsidR="00A2300B" w:rsidRPr="00167A1B">
        <w:rPr>
          <w:noProof w:val="0"/>
          <w:szCs w:val="22"/>
        </w:rPr>
        <w:t xml:space="preserve"> </w:t>
      </w:r>
      <w:r w:rsidRPr="00167A1B">
        <w:rPr>
          <w:noProof w:val="0"/>
          <w:szCs w:val="22"/>
        </w:rPr>
        <w:t xml:space="preserve">are already interoperable with </w:t>
      </w:r>
      <w:r w:rsidR="00A2300B" w:rsidRPr="00167A1B">
        <w:rPr>
          <w:noProof w:val="0"/>
          <w:szCs w:val="22"/>
        </w:rPr>
        <w:t xml:space="preserve">USB PD </w:t>
      </w:r>
      <w:r w:rsidRPr="00167A1B">
        <w:rPr>
          <w:noProof w:val="0"/>
          <w:szCs w:val="22"/>
        </w:rPr>
        <w:t xml:space="preserve">confirms there are no technical barriers </w:t>
      </w:r>
      <w:r w:rsidR="00A2300B" w:rsidRPr="00167A1B">
        <w:rPr>
          <w:noProof w:val="0"/>
          <w:szCs w:val="22"/>
        </w:rPr>
        <w:t xml:space="preserve">to this option </w:t>
      </w:r>
      <w:r w:rsidRPr="00167A1B">
        <w:rPr>
          <w:noProof w:val="0"/>
          <w:szCs w:val="22"/>
        </w:rPr>
        <w:t>per se.</w:t>
      </w:r>
      <w:r w:rsidR="00A2300B" w:rsidRPr="00167A1B">
        <w:rPr>
          <w:noProof w:val="0"/>
          <w:szCs w:val="22"/>
        </w:rPr>
        <w:t xml:space="preserve"> Similarly, the EPS supplied by many major manufacturers are already fully compliant with IEC 63002.</w:t>
      </w:r>
    </w:p>
    <w:p w14:paraId="006FDE56" w14:textId="31343DE4" w:rsidR="00255D3C" w:rsidRPr="00167A1B" w:rsidRDefault="00A2300B" w:rsidP="00BA1998">
      <w:pPr>
        <w:pStyle w:val="BodyText1"/>
        <w:rPr>
          <w:noProof w:val="0"/>
          <w:szCs w:val="22"/>
        </w:rPr>
      </w:pPr>
      <w:proofErr w:type="gramStart"/>
      <w:r w:rsidRPr="00167A1B">
        <w:rPr>
          <w:noProof w:val="0"/>
          <w:szCs w:val="22"/>
        </w:rPr>
        <w:t>Specifically</w:t>
      </w:r>
      <w:proofErr w:type="gramEnd"/>
      <w:r w:rsidRPr="00167A1B">
        <w:rPr>
          <w:noProof w:val="0"/>
          <w:szCs w:val="22"/>
        </w:rPr>
        <w:t xml:space="preserve"> with regard to option 2, t</w:t>
      </w:r>
      <w:r w:rsidR="00255D3C" w:rsidRPr="00167A1B">
        <w:rPr>
          <w:noProof w:val="0"/>
          <w:szCs w:val="22"/>
        </w:rPr>
        <w:t xml:space="preserve">he only issue that would need to be explored and defined in further </w:t>
      </w:r>
      <w:r w:rsidR="002D2943" w:rsidRPr="00167A1B">
        <w:rPr>
          <w:noProof w:val="0"/>
          <w:szCs w:val="22"/>
        </w:rPr>
        <w:t>detail</w:t>
      </w:r>
      <w:r w:rsidR="00255D3C" w:rsidRPr="00167A1B">
        <w:rPr>
          <w:noProof w:val="0"/>
          <w:szCs w:val="22"/>
        </w:rPr>
        <w:t xml:space="preserve"> is precisely which parts of the specifications should be made “essential requirements” for all mobile phones. A priori, the intention under this option would merely </w:t>
      </w:r>
      <w:r w:rsidR="002D2943" w:rsidRPr="00167A1B">
        <w:rPr>
          <w:noProof w:val="0"/>
          <w:szCs w:val="22"/>
        </w:rPr>
        <w:t xml:space="preserve">be </w:t>
      </w:r>
      <w:r w:rsidR="00255D3C" w:rsidRPr="00167A1B">
        <w:rPr>
          <w:noProof w:val="0"/>
          <w:szCs w:val="22"/>
        </w:rPr>
        <w:t xml:space="preserve">to ensure interoperability, not to ban proprietary add-ons. This means </w:t>
      </w:r>
      <w:r w:rsidR="00255D3C" w:rsidRPr="00167A1B">
        <w:rPr>
          <w:i/>
          <w:iCs/>
          <w:noProof w:val="0"/>
          <w:szCs w:val="22"/>
        </w:rPr>
        <w:t>full</w:t>
      </w:r>
      <w:r w:rsidR="00255D3C" w:rsidRPr="00167A1B">
        <w:rPr>
          <w:noProof w:val="0"/>
          <w:szCs w:val="22"/>
        </w:rPr>
        <w:t xml:space="preserve"> compliance with the USB Type-C and USB PD specifications</w:t>
      </w:r>
      <w:r w:rsidR="002D2943" w:rsidRPr="00167A1B">
        <w:rPr>
          <w:noProof w:val="0"/>
          <w:szCs w:val="22"/>
        </w:rPr>
        <w:t xml:space="preserve"> (as is required for USB IF certification) </w:t>
      </w:r>
      <w:r w:rsidR="00255D3C" w:rsidRPr="00167A1B">
        <w:rPr>
          <w:noProof w:val="0"/>
          <w:szCs w:val="22"/>
        </w:rPr>
        <w:t xml:space="preserve">should not be required. </w:t>
      </w:r>
      <w:r w:rsidR="00255D3C" w:rsidRPr="00167A1B">
        <w:rPr>
          <w:noProof w:val="0"/>
          <w:szCs w:val="16"/>
        </w:rPr>
        <w:t>It may therefore be necessary to issue a mandate to a body such as CEN-CENELEC to define a new standard that achieves this purpose.</w:t>
      </w:r>
      <w:r w:rsidR="00255D3C" w:rsidRPr="00167A1B">
        <w:rPr>
          <w:noProof w:val="0"/>
          <w:szCs w:val="22"/>
        </w:rPr>
        <w:t xml:space="preserve"> </w:t>
      </w:r>
    </w:p>
    <w:p w14:paraId="27819D1A" w14:textId="1182468E" w:rsidR="00A2300B" w:rsidRPr="00167A1B" w:rsidRDefault="00A2300B" w:rsidP="00BA1998">
      <w:pPr>
        <w:pStyle w:val="BodyText1"/>
        <w:rPr>
          <w:noProof w:val="0"/>
          <w:szCs w:val="22"/>
        </w:rPr>
      </w:pPr>
      <w:r w:rsidRPr="00167A1B">
        <w:rPr>
          <w:noProof w:val="0"/>
        </w:rPr>
        <w:t xml:space="preserve">By contrast, under option 3, </w:t>
      </w:r>
      <w:r w:rsidRPr="00167A1B">
        <w:rPr>
          <w:noProof w:val="0"/>
          <w:szCs w:val="22"/>
        </w:rPr>
        <w:t xml:space="preserve">interoperability of EPS would be ensured via a reference to compliance with the international standard IEC 63002:2021, which provides “interoperability specifications and communication method” for EPS. As noted previously, this standard </w:t>
      </w:r>
      <w:r w:rsidR="00926F06" w:rsidRPr="00167A1B">
        <w:rPr>
          <w:noProof w:val="0"/>
          <w:szCs w:val="22"/>
        </w:rPr>
        <w:t>was</w:t>
      </w:r>
      <w:r w:rsidRPr="00167A1B">
        <w:rPr>
          <w:noProof w:val="0"/>
          <w:szCs w:val="22"/>
        </w:rPr>
        <w:t xml:space="preserve"> updated and strengthened very recently by the USB-IF; its publication was pending at the time of writing, but the study team was provided with (confidential) access to a preview version in </w:t>
      </w:r>
      <w:r w:rsidRPr="00167A1B">
        <w:rPr>
          <w:noProof w:val="0"/>
          <w:szCs w:val="22"/>
        </w:rPr>
        <w:lastRenderedPageBreak/>
        <w:t xml:space="preserve">mid-April 2021. It would be advisable to subject the final version, once published, to an in-depth expert review in order to </w:t>
      </w:r>
      <w:r w:rsidR="00926F06" w:rsidRPr="00167A1B">
        <w:rPr>
          <w:noProof w:val="0"/>
          <w:szCs w:val="22"/>
        </w:rPr>
        <w:t>ensure</w:t>
      </w:r>
      <w:r w:rsidRPr="00167A1B">
        <w:rPr>
          <w:noProof w:val="0"/>
          <w:szCs w:val="22"/>
        </w:rPr>
        <w:t xml:space="preserve"> it is “fit” for the purpose envisaged here.</w:t>
      </w:r>
    </w:p>
    <w:p w14:paraId="68D64449" w14:textId="3171AEA0" w:rsidR="00A2300B" w:rsidRPr="00167A1B" w:rsidRDefault="00A2300B" w:rsidP="00BA1998">
      <w:pPr>
        <w:pStyle w:val="BodyText1"/>
        <w:rPr>
          <w:noProof w:val="0"/>
        </w:rPr>
      </w:pPr>
      <w:r w:rsidRPr="00167A1B">
        <w:rPr>
          <w:noProof w:val="0"/>
        </w:rPr>
        <w:t xml:space="preserve">It is also important to reiterate that option 3 as defined here would only apply to EPS sold “in the box” with mobile phones. </w:t>
      </w:r>
      <w:r w:rsidR="00926F06" w:rsidRPr="00167A1B">
        <w:rPr>
          <w:noProof w:val="0"/>
        </w:rPr>
        <w:t>The extent to which it could also serve as the basis for a “universal” EPS (for use with potentially any device) in future would need to be assessed further.</w:t>
      </w:r>
    </w:p>
    <w:p w14:paraId="588F9026" w14:textId="77777777" w:rsidR="00BA1998" w:rsidRPr="00167A1B" w:rsidRDefault="00BA1998" w:rsidP="00BA1998">
      <w:pPr>
        <w:pStyle w:val="Subtitle20"/>
        <w:rPr>
          <w:noProof w:val="0"/>
        </w:rPr>
      </w:pPr>
      <w:r w:rsidRPr="00167A1B">
        <w:rPr>
          <w:noProof w:val="0"/>
        </w:rPr>
        <w:t>Acceptability</w:t>
      </w:r>
    </w:p>
    <w:p w14:paraId="1699E0AB" w14:textId="5A3F838B" w:rsidR="00BA1998" w:rsidRPr="00167A1B" w:rsidRDefault="00926F06" w:rsidP="00BA1998">
      <w:pPr>
        <w:pStyle w:val="BodyText1"/>
        <w:rPr>
          <w:noProof w:val="0"/>
        </w:rPr>
      </w:pPr>
      <w:r w:rsidRPr="00167A1B">
        <w:rPr>
          <w:noProof w:val="0"/>
        </w:rPr>
        <w:t xml:space="preserve">The vast majority (85%) of respondents to the stakeholder survey, including nearly all </w:t>
      </w:r>
      <w:r w:rsidR="00CD348B" w:rsidRPr="00167A1B">
        <w:rPr>
          <w:noProof w:val="0"/>
        </w:rPr>
        <w:t>public authorities, civil society organisations and private citizens,</w:t>
      </w:r>
      <w:r w:rsidRPr="00167A1B">
        <w:rPr>
          <w:noProof w:val="0"/>
        </w:rPr>
        <w:t xml:space="preserve"> agreed (many of them “strongly”) with the principle that all EPS for mobile phones should be interoperable with all mobile phones, based on compliance with relevant USB (incl. USB PD) standards. Around three quarters also agreed that the EU should legislate to ensure this. Again, </w:t>
      </w:r>
      <w:r w:rsidR="00CD348B" w:rsidRPr="00167A1B">
        <w:rPr>
          <w:noProof w:val="0"/>
        </w:rPr>
        <w:t>the responses of industry (private company) respondents differed significantly from the rest, with most mobile phone manufacturers opposed, while most companies from other, less “core” sectors were in favour (for details see Annex C).</w:t>
      </w:r>
    </w:p>
    <w:p w14:paraId="51A64795" w14:textId="7D5C7B4A" w:rsidR="00CD348B" w:rsidRPr="00167A1B" w:rsidRDefault="00CD348B" w:rsidP="00BA1998">
      <w:pPr>
        <w:pStyle w:val="BodyText1"/>
        <w:rPr>
          <w:noProof w:val="0"/>
        </w:rPr>
      </w:pPr>
      <w:r w:rsidRPr="00167A1B">
        <w:rPr>
          <w:noProof w:val="0"/>
        </w:rPr>
        <w:t xml:space="preserve">During interviews, representatives of public authorities, consumer and environmental organisations tended to emphasise the benefits of guaranteed interoperability. Most industry stakeholders, on the other hand, expressed opposition to making compliance with USB specifications mandatory, based on the conviction that the near universal interoperability that already exists is proof that market forces are sufficient to ensure compatibility with USB technology, and that regulation was unnecessary, and potentially damaging (because it risked stifling innovation and depriving consumers of access to different, potentially faster, more efficient, or otherwise “better” fast charging technologies). However, there were also marked differences of opinion among phone manufacturers: while those that have invested heavily in proprietary charging technology tended to be most </w:t>
      </w:r>
      <w:r w:rsidR="00C31512" w:rsidRPr="00167A1B">
        <w:rPr>
          <w:noProof w:val="0"/>
        </w:rPr>
        <w:t>critical of possible regulation, some of those who already rely exclusively on USB PD for fast charging expressed an openness in principle to exploring how interoperability and/or compliance with common communication protocols could be guaranteed and enforced.</w:t>
      </w:r>
    </w:p>
    <w:p w14:paraId="284CB1F3" w14:textId="77777777" w:rsidR="00BA1998" w:rsidRPr="00167A1B" w:rsidRDefault="00BA1998" w:rsidP="00BA1998">
      <w:pPr>
        <w:pStyle w:val="Subtitle20"/>
        <w:rPr>
          <w:noProof w:val="0"/>
        </w:rPr>
      </w:pPr>
      <w:r w:rsidRPr="00167A1B">
        <w:rPr>
          <w:noProof w:val="0"/>
        </w:rPr>
        <w:t>Scope for voluntary action</w:t>
      </w:r>
    </w:p>
    <w:p w14:paraId="0C80CB29" w14:textId="346B1A6A" w:rsidR="001E56A7" w:rsidRPr="00167A1B" w:rsidRDefault="001E56A7" w:rsidP="001E56A7">
      <w:pPr>
        <w:pStyle w:val="BodyText1"/>
        <w:rPr>
          <w:noProof w:val="0"/>
        </w:rPr>
      </w:pPr>
      <w:r w:rsidRPr="00167A1B">
        <w:rPr>
          <w:noProof w:val="0"/>
        </w:rPr>
        <w:t xml:space="preserve">It is worth remembering that, as part of the 2009 MoU, the signatories committed to </w:t>
      </w:r>
      <w:r w:rsidR="001B6248" w:rsidRPr="00167A1B">
        <w:rPr>
          <w:noProof w:val="0"/>
        </w:rPr>
        <w:t>ensuring</w:t>
      </w:r>
      <w:r w:rsidRPr="00167A1B">
        <w:rPr>
          <w:noProof w:val="0"/>
        </w:rPr>
        <w:t xml:space="preserve"> that “each EPS […] placed by them on the market for use with Mobile Phones is a Common EPS”, i.e. complied with the technical specifications and standards (in particular IEC 62684) developed as a result of the MoU. A similar commitment to the latest standards could be envisaged in principle. However, the existence of different fast charging technologies complicates matters, and means </w:t>
      </w:r>
      <w:proofErr w:type="gramStart"/>
      <w:r w:rsidRPr="00167A1B">
        <w:rPr>
          <w:noProof w:val="0"/>
        </w:rPr>
        <w:t>in particular those</w:t>
      </w:r>
      <w:proofErr w:type="gramEnd"/>
      <w:r w:rsidRPr="00167A1B">
        <w:rPr>
          <w:noProof w:val="0"/>
        </w:rPr>
        <w:t xml:space="preserve"> manufacturers for whom proprietary fast charging solutions represent an important part of their offer to customers would almost certainly be reluctant to sign up to such a commitment. This is especially the case for option 3, which, by requiring compliance with IEC 63002, would effectively prevent manufacturers from incorporating any fast charging technologies other than USB PD in their EPS.</w:t>
      </w:r>
    </w:p>
    <w:p w14:paraId="66DFB32F" w14:textId="35CB9887" w:rsidR="001E56A7" w:rsidRPr="00167A1B" w:rsidRDefault="001E56A7" w:rsidP="001E56A7">
      <w:pPr>
        <w:pStyle w:val="BodyText1"/>
        <w:rPr>
          <w:noProof w:val="0"/>
        </w:rPr>
      </w:pPr>
      <w:r w:rsidRPr="00167A1B">
        <w:rPr>
          <w:noProof w:val="0"/>
        </w:rPr>
        <w:t>Option 2 is a slightly different matter</w:t>
      </w:r>
      <w:r w:rsidR="00E74F60" w:rsidRPr="00167A1B">
        <w:rPr>
          <w:noProof w:val="0"/>
        </w:rPr>
        <w:t>. I</w:t>
      </w:r>
      <w:r w:rsidRPr="00167A1B">
        <w:rPr>
          <w:noProof w:val="0"/>
        </w:rPr>
        <w:t xml:space="preserve">t would </w:t>
      </w:r>
      <w:r w:rsidR="00E74F60" w:rsidRPr="00167A1B">
        <w:rPr>
          <w:noProof w:val="0"/>
        </w:rPr>
        <w:t xml:space="preserve">require the incorporation of at least USB Type-C in all mobile phones, as well as USB PD in all those that can be charged with more than 15 W. But it would leave open the possibility for including other technologies as well – which is what manufacturers such as Huawei are already doing in many of their phones. Therefore, if the “essential requirements” (see under technical </w:t>
      </w:r>
      <w:r w:rsidR="001B6248" w:rsidRPr="00167A1B">
        <w:rPr>
          <w:noProof w:val="0"/>
        </w:rPr>
        <w:t>feasibility</w:t>
      </w:r>
      <w:r w:rsidR="00E74F60" w:rsidRPr="00167A1B">
        <w:rPr>
          <w:noProof w:val="0"/>
        </w:rPr>
        <w:t xml:space="preserve"> above) are defined in a way that does not restrict the use of proprietary fast charging solutions alongside USB PD, it may be possible for the industry as a whole to agree to comply with these on a voluntary basis.</w:t>
      </w:r>
    </w:p>
    <w:p w14:paraId="097A9DF7" w14:textId="77777777" w:rsidR="00BA1998" w:rsidRPr="00167A1B" w:rsidRDefault="00BA1998" w:rsidP="00BA1998">
      <w:pPr>
        <w:pStyle w:val="BodyText1"/>
        <w:rPr>
          <w:noProof w:val="0"/>
        </w:rPr>
      </w:pPr>
    </w:p>
    <w:p w14:paraId="400ACBD2" w14:textId="3DA65758" w:rsidR="00BA1998" w:rsidRPr="00167A1B" w:rsidRDefault="00BA1998" w:rsidP="00BA1998">
      <w:pPr>
        <w:pStyle w:val="Subtitle10"/>
        <w:rPr>
          <w:noProof w:val="0"/>
        </w:rPr>
      </w:pPr>
      <w:r w:rsidRPr="00167A1B">
        <w:rPr>
          <w:noProof w:val="0"/>
        </w:rPr>
        <w:lastRenderedPageBreak/>
        <w:t>Option</w:t>
      </w:r>
      <w:r w:rsidR="00926F06" w:rsidRPr="00167A1B">
        <w:rPr>
          <w:noProof w:val="0"/>
        </w:rPr>
        <w:t>s</w:t>
      </w:r>
      <w:r w:rsidRPr="00167A1B">
        <w:rPr>
          <w:noProof w:val="0"/>
        </w:rPr>
        <w:t xml:space="preserve"> 4.a</w:t>
      </w:r>
      <w:r w:rsidR="00926F06" w:rsidRPr="00167A1B">
        <w:rPr>
          <w:noProof w:val="0"/>
        </w:rPr>
        <w:t xml:space="preserve"> and 4.b (Mandatory unbundling)</w:t>
      </w:r>
    </w:p>
    <w:p w14:paraId="6052604C" w14:textId="77777777" w:rsidR="00BA1998" w:rsidRPr="00167A1B" w:rsidRDefault="00BA1998" w:rsidP="00BA1998">
      <w:pPr>
        <w:pStyle w:val="Subtitle20"/>
        <w:rPr>
          <w:noProof w:val="0"/>
        </w:rPr>
      </w:pPr>
      <w:r w:rsidRPr="00167A1B">
        <w:rPr>
          <w:noProof w:val="0"/>
        </w:rPr>
        <w:t>Technical feasibility</w:t>
      </w:r>
    </w:p>
    <w:p w14:paraId="5345234B" w14:textId="45B1CB9B" w:rsidR="00BA1998" w:rsidRPr="00167A1B" w:rsidRDefault="0098066A" w:rsidP="00BA1998">
      <w:pPr>
        <w:pStyle w:val="BodyText1"/>
        <w:rPr>
          <w:noProof w:val="0"/>
        </w:rPr>
      </w:pPr>
      <w:r w:rsidRPr="00167A1B">
        <w:rPr>
          <w:noProof w:val="0"/>
        </w:rPr>
        <w:t xml:space="preserve">Unbundled solutions (i.e. mobile phones that do not include an EPS) are already being offered by several major manufacturers, so there can be no doubt about the technical feasibility of option 4.a. Unbundling the cables as well (option 4.b) would be another step in this direction; </w:t>
      </w:r>
      <w:r w:rsidR="00B3101B" w:rsidRPr="00167A1B">
        <w:rPr>
          <w:noProof w:val="0"/>
        </w:rPr>
        <w:t>there is currently one niche manufacturer (Fairphone) that offers phones without cables in Europe, and reports no technical difficulties as a result.</w:t>
      </w:r>
    </w:p>
    <w:p w14:paraId="1E67CC5D" w14:textId="77777777" w:rsidR="00BA1998" w:rsidRPr="00167A1B" w:rsidRDefault="00BA1998" w:rsidP="00BA1998">
      <w:pPr>
        <w:pStyle w:val="Subtitle20"/>
        <w:rPr>
          <w:noProof w:val="0"/>
        </w:rPr>
      </w:pPr>
      <w:r w:rsidRPr="00167A1B">
        <w:rPr>
          <w:noProof w:val="0"/>
        </w:rPr>
        <w:t>Acceptability</w:t>
      </w:r>
    </w:p>
    <w:p w14:paraId="68F1A217" w14:textId="77777777" w:rsidR="00223F54" w:rsidRPr="00167A1B" w:rsidRDefault="00223F54" w:rsidP="00223F54">
      <w:pPr>
        <w:pStyle w:val="BodyText1"/>
        <w:rPr>
          <w:noProof w:val="0"/>
          <w:szCs w:val="22"/>
        </w:rPr>
      </w:pPr>
      <w:r w:rsidRPr="00167A1B">
        <w:rPr>
          <w:noProof w:val="0"/>
          <w:szCs w:val="22"/>
        </w:rPr>
        <w:t>The extent to which consumers are prepared to accept mandatory unbundling remains to be seen. As already discussed in section 5.3, the survey conducted for this study shows clearly that the majority of consumers considers it important that an EPS and cable are provided along with new mobile phones they purchase, and agrees that all mobile phones should be sold with a complete charging solution in the box. Fewer than one in three agreed that all mobile phones should be sold with a cable but no EPS (option 4.a), and fewer than one in four agreed they should be sold without an EPS or cable (option 4.b) (for details see Annex C).</w:t>
      </w:r>
    </w:p>
    <w:p w14:paraId="33FF7B72" w14:textId="5F1C69D8" w:rsidR="00B3101B" w:rsidRPr="00167A1B" w:rsidRDefault="00B3101B" w:rsidP="00BA1998">
      <w:pPr>
        <w:pStyle w:val="BodyText1"/>
        <w:rPr>
          <w:noProof w:val="0"/>
        </w:rPr>
      </w:pPr>
      <w:r w:rsidRPr="00167A1B">
        <w:rPr>
          <w:noProof w:val="0"/>
        </w:rPr>
        <w:t xml:space="preserve">On the other hand, </w:t>
      </w:r>
      <w:r w:rsidR="008A623A" w:rsidRPr="00167A1B">
        <w:rPr>
          <w:noProof w:val="0"/>
        </w:rPr>
        <w:t xml:space="preserve">while detailed market data for 2021 is not yet available, </w:t>
      </w:r>
      <w:proofErr w:type="gramStart"/>
      <w:r w:rsidRPr="00167A1B">
        <w:rPr>
          <w:noProof w:val="0"/>
        </w:rPr>
        <w:t>it is clear that consumers</w:t>
      </w:r>
      <w:proofErr w:type="gramEnd"/>
      <w:r w:rsidRPr="00167A1B">
        <w:rPr>
          <w:noProof w:val="0"/>
        </w:rPr>
        <w:t xml:space="preserve"> have not </w:t>
      </w:r>
      <w:r w:rsidR="008A623A" w:rsidRPr="00167A1B">
        <w:rPr>
          <w:noProof w:val="0"/>
        </w:rPr>
        <w:t xml:space="preserve">entirely </w:t>
      </w:r>
      <w:r w:rsidRPr="00167A1B">
        <w:rPr>
          <w:noProof w:val="0"/>
        </w:rPr>
        <w:t xml:space="preserve">stopped buying Apple or Samsung phones that do not include an EPS. </w:t>
      </w:r>
      <w:r w:rsidR="008A623A" w:rsidRPr="00167A1B">
        <w:rPr>
          <w:noProof w:val="0"/>
        </w:rPr>
        <w:t>And in the consumer survey, a little over half of respondents agreed (and only 15% disagreed) that all mobile phone manufacturers / distributors should give customers the option of purchasing (or not) a new EPS and/or cable with new phones. This suggests that consumer acceptance is partly a question of how such an intervention is perceived – if it is seen as giving customers more choice, it is likely to be far more palatable than if it is seen as the EU “taking away” free chargers. In this context, it is also worth mentioning the fact that in Brazil, the consumer watchdog Procon-SP fined Apple for removing the EPS from its phones, since it considers the charger a “necessary and essential accessory for the phones’ functioning</w:t>
      </w:r>
      <w:r w:rsidR="003F426C" w:rsidRPr="00167A1B">
        <w:rPr>
          <w:noProof w:val="0"/>
        </w:rPr>
        <w:t>”</w:t>
      </w:r>
      <w:r w:rsidR="008A623A" w:rsidRPr="00167A1B">
        <w:rPr>
          <w:noProof w:val="0"/>
        </w:rPr>
        <w:t xml:space="preserve">, and </w:t>
      </w:r>
      <w:r w:rsidR="003F426C" w:rsidRPr="00167A1B">
        <w:rPr>
          <w:noProof w:val="0"/>
        </w:rPr>
        <w:t xml:space="preserve">therefore deems </w:t>
      </w:r>
      <w:r w:rsidR="008A623A" w:rsidRPr="00167A1B">
        <w:rPr>
          <w:noProof w:val="0"/>
        </w:rPr>
        <w:t xml:space="preserve">its removal </w:t>
      </w:r>
      <w:r w:rsidR="003F426C" w:rsidRPr="00167A1B">
        <w:rPr>
          <w:noProof w:val="0"/>
        </w:rPr>
        <w:t xml:space="preserve">constitutes </w:t>
      </w:r>
      <w:r w:rsidR="008A623A" w:rsidRPr="00167A1B">
        <w:rPr>
          <w:noProof w:val="0"/>
        </w:rPr>
        <w:t>a violation of the country’s Consumer Defence Code.</w:t>
      </w:r>
      <w:r w:rsidR="008A623A" w:rsidRPr="00167A1B">
        <w:rPr>
          <w:rStyle w:val="FootnoteReference"/>
          <w:noProof w:val="0"/>
        </w:rPr>
        <w:footnoteReference w:id="126"/>
      </w:r>
    </w:p>
    <w:p w14:paraId="0620DE78" w14:textId="7CE411E6" w:rsidR="007D1F84" w:rsidRPr="00167A1B" w:rsidRDefault="007D1F84" w:rsidP="00BA1998">
      <w:pPr>
        <w:pStyle w:val="BodyText1"/>
        <w:rPr>
          <w:noProof w:val="0"/>
        </w:rPr>
      </w:pPr>
      <w:proofErr w:type="gramStart"/>
      <w:r w:rsidRPr="00167A1B">
        <w:rPr>
          <w:noProof w:val="0"/>
        </w:rPr>
        <w:t>The majority of</w:t>
      </w:r>
      <w:proofErr w:type="gramEnd"/>
      <w:r w:rsidRPr="00167A1B">
        <w:rPr>
          <w:noProof w:val="0"/>
        </w:rPr>
        <w:t xml:space="preserve"> stakeholder survey respondents representing public authorities, civil society organisations, and private citizens preferred the option of obliging all manufacturers / distributors to give customers the choice of whether or not to purchase a new EPS and/or cable with a new phone. However, six out of ten industry (private company) respondents felt that each mobile phone manufacturer / distributor should be free to choose how they the sell their phones and chargers (i.e. what to include in the box). None of the other “unbundling” options (all phones to be sold with a complete charging solution, with only an EPS, or with neither EPS nor cable in the box) was supported by </w:t>
      </w:r>
      <w:proofErr w:type="gramStart"/>
      <w:r w:rsidRPr="00167A1B">
        <w:rPr>
          <w:noProof w:val="0"/>
        </w:rPr>
        <w:t>a majority of</w:t>
      </w:r>
      <w:proofErr w:type="gramEnd"/>
      <w:r w:rsidRPr="00167A1B">
        <w:rPr>
          <w:noProof w:val="0"/>
        </w:rPr>
        <w:t xml:space="preserve"> respondents from any stakeholder group. </w:t>
      </w:r>
    </w:p>
    <w:p w14:paraId="66804D50" w14:textId="4D20B977" w:rsidR="009C1334" w:rsidRPr="00167A1B" w:rsidRDefault="009C1334" w:rsidP="00BA1998">
      <w:pPr>
        <w:pStyle w:val="BodyText1"/>
        <w:rPr>
          <w:noProof w:val="0"/>
        </w:rPr>
      </w:pPr>
      <w:r w:rsidRPr="00167A1B">
        <w:rPr>
          <w:noProof w:val="0"/>
        </w:rPr>
        <w:t xml:space="preserve">Following on from this, stakeholder survey respondents were asked to express their agreement or disagreement with a range of policy options. Slightly under half (46%) agreed the EU should adopt legislation to ensure mobile phones are no longer sold with a charging solution in the box. Respondents from public authorities, civil society organisations, and private citizens were very slightly in favour of this, while </w:t>
      </w:r>
      <w:proofErr w:type="gramStart"/>
      <w:r w:rsidRPr="00167A1B">
        <w:rPr>
          <w:noProof w:val="0"/>
        </w:rPr>
        <w:t>the majority of</w:t>
      </w:r>
      <w:proofErr w:type="gramEnd"/>
      <w:r w:rsidRPr="00167A1B">
        <w:rPr>
          <w:noProof w:val="0"/>
        </w:rPr>
        <w:t xml:space="preserve"> private companies were against.</w:t>
      </w:r>
    </w:p>
    <w:p w14:paraId="7B77DD79" w14:textId="3FB797FB" w:rsidR="009C1334" w:rsidRPr="00167A1B" w:rsidRDefault="009C1334" w:rsidP="00BA1998">
      <w:pPr>
        <w:pStyle w:val="BodyText1"/>
        <w:rPr>
          <w:noProof w:val="0"/>
        </w:rPr>
      </w:pPr>
      <w:r w:rsidRPr="00167A1B">
        <w:rPr>
          <w:noProof w:val="0"/>
        </w:rPr>
        <w:t xml:space="preserve">In both their survey responses and in interviews, mobile manufacturers unanimously spoke out against mandatory unbundling. Even those who had already unbundled EPS from (some or </w:t>
      </w:r>
      <w:proofErr w:type="gramStart"/>
      <w:r w:rsidRPr="00167A1B">
        <w:rPr>
          <w:noProof w:val="0"/>
        </w:rPr>
        <w:t>all of</w:t>
      </w:r>
      <w:proofErr w:type="gramEnd"/>
      <w:r w:rsidRPr="00167A1B">
        <w:rPr>
          <w:noProof w:val="0"/>
        </w:rPr>
        <w:t xml:space="preserve">) their phones opposed regulating to make this mandatory, noting that, while they expected environmental benefits, there were also drawbacks to unbundling. Several described the current voluntary unbundling initiatives as an experiment, and noted that, </w:t>
      </w:r>
      <w:r w:rsidR="00601F49" w:rsidRPr="00167A1B">
        <w:rPr>
          <w:noProof w:val="0"/>
        </w:rPr>
        <w:t xml:space="preserve">while they hoped they would be successful, this ultimately depended on the reaction of consumers. Therefore, they reserved the right to re-assess the situation as and when </w:t>
      </w:r>
      <w:proofErr w:type="gramStart"/>
      <w:r w:rsidR="00601F49" w:rsidRPr="00167A1B">
        <w:rPr>
          <w:noProof w:val="0"/>
        </w:rPr>
        <w:t>required, and</w:t>
      </w:r>
      <w:proofErr w:type="gramEnd"/>
      <w:r w:rsidR="00601F49" w:rsidRPr="00167A1B">
        <w:rPr>
          <w:noProof w:val="0"/>
        </w:rPr>
        <w:t xml:space="preserve"> felt that being obliged to unbundle would be an unjustified and unnecessary intervention in the market.</w:t>
      </w:r>
      <w:r w:rsidRPr="00167A1B">
        <w:rPr>
          <w:noProof w:val="0"/>
        </w:rPr>
        <w:t xml:space="preserve"> </w:t>
      </w:r>
      <w:r w:rsidR="00601F49" w:rsidRPr="00167A1B">
        <w:rPr>
          <w:noProof w:val="0"/>
        </w:rPr>
        <w:t xml:space="preserve">Most </w:t>
      </w:r>
      <w:r w:rsidR="00601F49" w:rsidRPr="00167A1B">
        <w:rPr>
          <w:noProof w:val="0"/>
        </w:rPr>
        <w:lastRenderedPageBreak/>
        <w:t xml:space="preserve">also felt strongly that unbundling of cables would not be in their or in their customers’ best interest </w:t>
      </w:r>
      <w:proofErr w:type="gramStart"/>
      <w:r w:rsidR="00601F49" w:rsidRPr="00167A1B">
        <w:rPr>
          <w:noProof w:val="0"/>
        </w:rPr>
        <w:t>at this point in time</w:t>
      </w:r>
      <w:proofErr w:type="gramEnd"/>
      <w:r w:rsidR="00601F49" w:rsidRPr="00167A1B">
        <w:rPr>
          <w:noProof w:val="0"/>
        </w:rPr>
        <w:t>.</w:t>
      </w:r>
    </w:p>
    <w:p w14:paraId="209216AA" w14:textId="77777777" w:rsidR="00BA1998" w:rsidRPr="00167A1B" w:rsidRDefault="00BA1998" w:rsidP="00BA1998">
      <w:pPr>
        <w:pStyle w:val="Subtitle20"/>
        <w:rPr>
          <w:noProof w:val="0"/>
        </w:rPr>
      </w:pPr>
      <w:r w:rsidRPr="00167A1B">
        <w:rPr>
          <w:noProof w:val="0"/>
        </w:rPr>
        <w:t>Scope for voluntary action</w:t>
      </w:r>
    </w:p>
    <w:p w14:paraId="1F7C3D5E" w14:textId="6342363F" w:rsidR="00BA1998" w:rsidRPr="00167A1B" w:rsidRDefault="00601F49" w:rsidP="00BA1998">
      <w:pPr>
        <w:pStyle w:val="BodyText1"/>
        <w:rPr>
          <w:noProof w:val="0"/>
        </w:rPr>
      </w:pPr>
      <w:r w:rsidRPr="00167A1B">
        <w:rPr>
          <w:noProof w:val="0"/>
        </w:rPr>
        <w:t xml:space="preserve">Although some major manufacturers have recently begun to offer unbundled solutions, and others reported considering following suit </w:t>
      </w:r>
      <w:proofErr w:type="gramStart"/>
      <w:r w:rsidRPr="00167A1B">
        <w:rPr>
          <w:noProof w:val="0"/>
        </w:rPr>
        <w:t>in the near future</w:t>
      </w:r>
      <w:proofErr w:type="gramEnd"/>
      <w:r w:rsidRPr="00167A1B">
        <w:rPr>
          <w:noProof w:val="0"/>
        </w:rPr>
        <w:t xml:space="preserve">, it nonetheless </w:t>
      </w:r>
      <w:r w:rsidR="007952E6" w:rsidRPr="00167A1B">
        <w:rPr>
          <w:noProof w:val="0"/>
        </w:rPr>
        <w:t>seems</w:t>
      </w:r>
      <w:r w:rsidRPr="00167A1B">
        <w:rPr>
          <w:noProof w:val="0"/>
        </w:rPr>
        <w:t xml:space="preserve"> doubtful an industry consensus to commit to voluntary unbundling could emerge in the near future. At the present time, all major market players appear to be studying the reaction of consumers to the unbundled products that have recently been </w:t>
      </w:r>
      <w:proofErr w:type="gramStart"/>
      <w:r w:rsidRPr="00167A1B">
        <w:rPr>
          <w:noProof w:val="0"/>
        </w:rPr>
        <w:t>launched, and</w:t>
      </w:r>
      <w:proofErr w:type="gramEnd"/>
      <w:r w:rsidRPr="00167A1B">
        <w:rPr>
          <w:noProof w:val="0"/>
        </w:rPr>
        <w:t xml:space="preserve"> considering which approach (bundled or unbundled) is likely to offer them a competitive advantage, commercial and/or reputational benefits. Therefore, it is very unlikely that all major manufacturers would voluntarily commit to unbundle EPS, or even EPS and cables. Of course, this could change quickly, depending on the commercial success of unbundled products – but at present, the information obtained during the interviews conducted for this study suggests that most manufacturers are keen to keep their options open, rather than commit </w:t>
      </w:r>
      <w:r w:rsidR="00DD43F8" w:rsidRPr="00167A1B">
        <w:rPr>
          <w:noProof w:val="0"/>
        </w:rPr>
        <w:t xml:space="preserve">themselves </w:t>
      </w:r>
      <w:r w:rsidRPr="00167A1B">
        <w:rPr>
          <w:noProof w:val="0"/>
        </w:rPr>
        <w:t>to continue</w:t>
      </w:r>
      <w:r w:rsidR="00DD43F8" w:rsidRPr="00167A1B">
        <w:rPr>
          <w:noProof w:val="0"/>
        </w:rPr>
        <w:t xml:space="preserve"> (in some cases)</w:t>
      </w:r>
      <w:r w:rsidRPr="00167A1B">
        <w:rPr>
          <w:noProof w:val="0"/>
        </w:rPr>
        <w:t xml:space="preserve"> or start </w:t>
      </w:r>
      <w:r w:rsidR="00DD43F8" w:rsidRPr="00167A1B">
        <w:rPr>
          <w:noProof w:val="0"/>
        </w:rPr>
        <w:t xml:space="preserve">(in others) </w:t>
      </w:r>
      <w:r w:rsidRPr="00167A1B">
        <w:rPr>
          <w:noProof w:val="0"/>
        </w:rPr>
        <w:t>unbundling.</w:t>
      </w:r>
    </w:p>
    <w:p w14:paraId="761FFFD5" w14:textId="77777777" w:rsidR="00BA1998" w:rsidRPr="00167A1B" w:rsidRDefault="00BA1998" w:rsidP="00BA1998">
      <w:pPr>
        <w:pStyle w:val="BodyText1"/>
        <w:rPr>
          <w:noProof w:val="0"/>
        </w:rPr>
      </w:pPr>
    </w:p>
    <w:p w14:paraId="44A6806B" w14:textId="77777777" w:rsidR="00BA1998" w:rsidRPr="00167A1B" w:rsidRDefault="00BA1998" w:rsidP="00BA1998">
      <w:pPr>
        <w:pStyle w:val="Subtitle10"/>
        <w:rPr>
          <w:noProof w:val="0"/>
        </w:rPr>
      </w:pPr>
      <w:r w:rsidRPr="00167A1B">
        <w:rPr>
          <w:noProof w:val="0"/>
        </w:rPr>
        <w:t>Option 5</w:t>
      </w:r>
    </w:p>
    <w:p w14:paraId="75E98C16" w14:textId="77777777" w:rsidR="00BA1998" w:rsidRPr="00167A1B" w:rsidRDefault="00BA1998" w:rsidP="00BA1998">
      <w:pPr>
        <w:pStyle w:val="Subtitle20"/>
        <w:rPr>
          <w:noProof w:val="0"/>
        </w:rPr>
      </w:pPr>
      <w:r w:rsidRPr="00167A1B">
        <w:rPr>
          <w:noProof w:val="0"/>
        </w:rPr>
        <w:t>Technical feasibility</w:t>
      </w:r>
    </w:p>
    <w:p w14:paraId="1BB01324" w14:textId="20882B09" w:rsidR="00BA1998" w:rsidRPr="00167A1B" w:rsidRDefault="00C13A6C" w:rsidP="00BA1998">
      <w:pPr>
        <w:pStyle w:val="BodyText1"/>
        <w:rPr>
          <w:noProof w:val="0"/>
        </w:rPr>
      </w:pPr>
      <w:r w:rsidRPr="00167A1B">
        <w:rPr>
          <w:noProof w:val="0"/>
        </w:rPr>
        <w:t xml:space="preserve">As discussed previously (see section 3.2), a labelling scheme to </w:t>
      </w:r>
      <w:r w:rsidRPr="00167A1B">
        <w:rPr>
          <w:noProof w:val="0"/>
          <w:szCs w:val="22"/>
        </w:rPr>
        <w:t>raise consumer awareness of the interoperability of EPS and phones with relevant USB specifications, and thereby to stimulate demand for and supply of unbundled solutions</w:t>
      </w:r>
      <w:r w:rsidRPr="00167A1B">
        <w:rPr>
          <w:noProof w:val="0"/>
        </w:rPr>
        <w:t>, is certainly technically feasible. Nonetheless, its exact design features, and how to maximise both the buy-in from relevant industry stakeholders and the scheme’s effectiveness vis-à-vis consumers, would need to be considered very carefully, in more detail than is possible within the scope of this study, and in c</w:t>
      </w:r>
      <w:r w:rsidR="00970B8A" w:rsidRPr="00167A1B">
        <w:rPr>
          <w:noProof w:val="0"/>
        </w:rPr>
        <w:t>lose cooperation with stakeholders. This includes questions of the design and placement of the logo / label (potentially including electronic labels); the exact requirements and specifications of products that can carry the label; who runs, and who monitors and polices the scheme.</w:t>
      </w:r>
      <w:r w:rsidRPr="00167A1B">
        <w:rPr>
          <w:noProof w:val="0"/>
        </w:rPr>
        <w:t xml:space="preserve"> </w:t>
      </w:r>
      <w:r w:rsidR="00970B8A" w:rsidRPr="00167A1B">
        <w:rPr>
          <w:noProof w:val="0"/>
        </w:rPr>
        <w:t xml:space="preserve">Therefore, it needs to be acknowledged again that, while the </w:t>
      </w:r>
      <w:r w:rsidR="00970B8A" w:rsidRPr="00167A1B">
        <w:rPr>
          <w:i/>
          <w:iCs/>
          <w:noProof w:val="0"/>
        </w:rPr>
        <w:t>technical</w:t>
      </w:r>
      <w:r w:rsidR="00970B8A" w:rsidRPr="00167A1B">
        <w:rPr>
          <w:noProof w:val="0"/>
        </w:rPr>
        <w:t xml:space="preserve"> feasibility of such a scheme is not in doubt, its </w:t>
      </w:r>
      <w:r w:rsidR="00970B8A" w:rsidRPr="00167A1B">
        <w:rPr>
          <w:i/>
          <w:iCs/>
          <w:noProof w:val="0"/>
        </w:rPr>
        <w:t>practical</w:t>
      </w:r>
      <w:r w:rsidR="00970B8A" w:rsidRPr="00167A1B">
        <w:rPr>
          <w:noProof w:val="0"/>
        </w:rPr>
        <w:t xml:space="preserve"> and </w:t>
      </w:r>
      <w:r w:rsidR="00970B8A" w:rsidRPr="00167A1B">
        <w:rPr>
          <w:i/>
          <w:iCs/>
          <w:noProof w:val="0"/>
        </w:rPr>
        <w:t>commercial</w:t>
      </w:r>
      <w:r w:rsidR="00970B8A" w:rsidRPr="00167A1B">
        <w:rPr>
          <w:noProof w:val="0"/>
        </w:rPr>
        <w:t xml:space="preserve"> feasibility would need to be analysed further.</w:t>
      </w:r>
    </w:p>
    <w:p w14:paraId="4CDB1C53" w14:textId="77777777" w:rsidR="00BA1998" w:rsidRPr="00167A1B" w:rsidRDefault="00BA1998" w:rsidP="00BA1998">
      <w:pPr>
        <w:pStyle w:val="Subtitle20"/>
        <w:rPr>
          <w:noProof w:val="0"/>
        </w:rPr>
      </w:pPr>
      <w:r w:rsidRPr="00167A1B">
        <w:rPr>
          <w:noProof w:val="0"/>
        </w:rPr>
        <w:t>Acceptability</w:t>
      </w:r>
    </w:p>
    <w:p w14:paraId="02D67E64" w14:textId="79BB6790" w:rsidR="00557805" w:rsidRPr="00167A1B" w:rsidRDefault="00970B8A" w:rsidP="00BA1998">
      <w:pPr>
        <w:pStyle w:val="BodyText1"/>
        <w:rPr>
          <w:noProof w:val="0"/>
        </w:rPr>
      </w:pPr>
      <w:r w:rsidRPr="00167A1B">
        <w:rPr>
          <w:noProof w:val="0"/>
        </w:rPr>
        <w:t xml:space="preserve">In the consumer survey, more than half (56%) of respondents “strongly agreed” that the public needs more information on chargers, their interoperability and environmental impact; and on top of this, nearly a third (31%) “tended to agree” with this. Very similar proportions of respondents to the stakeholder survey (53% and 29%, respectively) also “strongly agreed” or “tended to agree” that EU citizens should be provided with more information on the fact that most modern chargers are interoperable with all mobile phones (as well as many other devices). However, stakeholder support was less strong for the specific idea of a labelling scheme: around two out of three public authority and civil society organisation respondents agreed that a new labelling scheme should be created to </w:t>
      </w:r>
      <w:r w:rsidR="00557805" w:rsidRPr="00167A1B">
        <w:rPr>
          <w:noProof w:val="0"/>
        </w:rPr>
        <w:t>help EU citizens understand which chargers can be used with which devices; but only half of private company respondents felt the same way.</w:t>
      </w:r>
    </w:p>
    <w:p w14:paraId="0CDA8A9A" w14:textId="2B358320" w:rsidR="00BA1998" w:rsidRPr="00167A1B" w:rsidRDefault="00557805" w:rsidP="00BA1998">
      <w:pPr>
        <w:pStyle w:val="BodyText1"/>
        <w:rPr>
          <w:noProof w:val="0"/>
        </w:rPr>
      </w:pPr>
      <w:r w:rsidRPr="00167A1B">
        <w:rPr>
          <w:noProof w:val="0"/>
        </w:rPr>
        <w:t xml:space="preserve">During interviews, several stakeholders from across different groups expressed support for such a scheme. However, mobile phone manufacturers and industry associations were mostly sceptical of the idea, citing concerns around the effectiveness of the scheme – since, according to many, market research shows that consumers pay very little attention to such logos (the </w:t>
      </w:r>
      <w:r w:rsidRPr="00167A1B">
        <w:rPr>
          <w:noProof w:val="0"/>
        </w:rPr>
        <w:lastRenderedPageBreak/>
        <w:t>many different variations of USB logos that already exist being a case in point</w:t>
      </w:r>
      <w:r w:rsidRPr="00167A1B">
        <w:rPr>
          <w:rStyle w:val="FootnoteReference"/>
          <w:noProof w:val="0"/>
        </w:rPr>
        <w:footnoteReference w:id="127"/>
      </w:r>
      <w:r w:rsidRPr="00167A1B">
        <w:rPr>
          <w:noProof w:val="0"/>
        </w:rPr>
        <w:t>), and many products already carry too many logos and labels.</w:t>
      </w:r>
    </w:p>
    <w:p w14:paraId="3703DF62" w14:textId="77777777" w:rsidR="00BA1998" w:rsidRPr="00167A1B" w:rsidRDefault="00BA1998" w:rsidP="00BA1998">
      <w:pPr>
        <w:pStyle w:val="Subtitle20"/>
        <w:rPr>
          <w:noProof w:val="0"/>
        </w:rPr>
      </w:pPr>
      <w:r w:rsidRPr="00167A1B">
        <w:rPr>
          <w:noProof w:val="0"/>
        </w:rPr>
        <w:t>Scope for voluntary action</w:t>
      </w:r>
    </w:p>
    <w:p w14:paraId="2A9D773D" w14:textId="48714745" w:rsidR="00BA1998" w:rsidRPr="00167A1B" w:rsidRDefault="00557805" w:rsidP="00BA1998">
      <w:pPr>
        <w:pStyle w:val="BodyText1"/>
        <w:rPr>
          <w:noProof w:val="0"/>
        </w:rPr>
      </w:pPr>
      <w:r w:rsidRPr="00167A1B">
        <w:rPr>
          <w:noProof w:val="0"/>
        </w:rPr>
        <w:t xml:space="preserve">This is conceived as a voluntary option – manufacturers could freely choose to apply the label to some or all of their eligible </w:t>
      </w:r>
      <w:proofErr w:type="gramStart"/>
      <w:r w:rsidRPr="00167A1B">
        <w:rPr>
          <w:noProof w:val="0"/>
        </w:rPr>
        <w:t>products, and</w:t>
      </w:r>
      <w:proofErr w:type="gramEnd"/>
      <w:r w:rsidRPr="00167A1B">
        <w:rPr>
          <w:noProof w:val="0"/>
        </w:rPr>
        <w:t xml:space="preserve"> would remain free to produce non-compliant EPS and phones that would not be eligible for the label.</w:t>
      </w:r>
    </w:p>
    <w:p w14:paraId="3CC8026D" w14:textId="1DA6B476" w:rsidR="00557805" w:rsidRPr="00167A1B" w:rsidRDefault="00557805" w:rsidP="00BA1998">
      <w:pPr>
        <w:pStyle w:val="BodyText1"/>
        <w:rPr>
          <w:noProof w:val="0"/>
        </w:rPr>
      </w:pPr>
      <w:r w:rsidRPr="00167A1B">
        <w:rPr>
          <w:noProof w:val="0"/>
        </w:rPr>
        <w:t xml:space="preserve">It may be worth considering whether there would be scope for a </w:t>
      </w:r>
      <w:r w:rsidRPr="00167A1B">
        <w:rPr>
          <w:i/>
          <w:iCs/>
          <w:noProof w:val="0"/>
        </w:rPr>
        <w:t>mandatory</w:t>
      </w:r>
      <w:r w:rsidRPr="00167A1B">
        <w:rPr>
          <w:noProof w:val="0"/>
        </w:rPr>
        <w:t xml:space="preserve"> labelling scheme instead. </w:t>
      </w:r>
      <w:r w:rsidR="00EA4803" w:rsidRPr="00167A1B">
        <w:rPr>
          <w:noProof w:val="0"/>
        </w:rPr>
        <w:t>But</w:t>
      </w:r>
      <w:r w:rsidRPr="00167A1B">
        <w:rPr>
          <w:noProof w:val="0"/>
        </w:rPr>
        <w:t xml:space="preserve"> it is difficult to envisage how this would work in practice</w:t>
      </w:r>
      <w:r w:rsidR="00EA4803" w:rsidRPr="00167A1B">
        <w:rPr>
          <w:noProof w:val="0"/>
        </w:rPr>
        <w:t>:</w:t>
      </w:r>
      <w:r w:rsidRPr="00167A1B">
        <w:rPr>
          <w:noProof w:val="0"/>
        </w:rPr>
        <w:t xml:space="preserve"> surely, it would not </w:t>
      </w:r>
      <w:r w:rsidR="00EA4803" w:rsidRPr="00167A1B">
        <w:rPr>
          <w:noProof w:val="0"/>
        </w:rPr>
        <w:t>be appropriate</w:t>
      </w:r>
      <w:r w:rsidRPr="00167A1B">
        <w:rPr>
          <w:noProof w:val="0"/>
        </w:rPr>
        <w:t xml:space="preserve"> to </w:t>
      </w:r>
      <w:r w:rsidRPr="00167A1B">
        <w:rPr>
          <w:i/>
          <w:iCs/>
          <w:noProof w:val="0"/>
        </w:rPr>
        <w:t>force</w:t>
      </w:r>
      <w:r w:rsidRPr="00167A1B">
        <w:rPr>
          <w:noProof w:val="0"/>
        </w:rPr>
        <w:t xml:space="preserve"> compliant products to carry the label, </w:t>
      </w:r>
      <w:r w:rsidR="00EA4803" w:rsidRPr="00167A1B">
        <w:rPr>
          <w:noProof w:val="0"/>
        </w:rPr>
        <w:t>without also making compliance mandatory?</w:t>
      </w:r>
    </w:p>
    <w:p w14:paraId="082FEF78" w14:textId="193EE694" w:rsidR="00EA4803" w:rsidRPr="00167A1B" w:rsidRDefault="00EA4803" w:rsidP="00BA1998">
      <w:pPr>
        <w:pStyle w:val="BodyText1"/>
        <w:rPr>
          <w:noProof w:val="0"/>
        </w:rPr>
      </w:pPr>
      <w:r w:rsidRPr="00167A1B">
        <w:rPr>
          <w:noProof w:val="0"/>
        </w:rPr>
        <w:t>In view of this, a mandatory scheme could potentially be envisaged in combination with one of the mandatory interoperability options discussed previously (option 2 or 3). In this case, it would essentially become a flanking measure (i.e. part of the information requirements briefly mentioned as part of these options). In this case, all mobile phones (option 2) or EPS sold with mobile phones (option 3) could be obliged to carry the label, in order to convey their compliance with the interoperability requirement. At the same time, it could be envisaged that other products could also use the label, on a voluntary basis.</w:t>
      </w:r>
    </w:p>
    <w:p w14:paraId="14131345" w14:textId="77777777" w:rsidR="00BA1998" w:rsidRPr="00167A1B" w:rsidRDefault="00BA1998" w:rsidP="00BA1998">
      <w:pPr>
        <w:pStyle w:val="BodyText1"/>
        <w:rPr>
          <w:noProof w:val="0"/>
        </w:rPr>
      </w:pPr>
    </w:p>
    <w:p w14:paraId="42604A7B" w14:textId="5F73F4A2" w:rsidR="008F65B2" w:rsidRPr="00167A1B" w:rsidRDefault="008F65B2">
      <w:pPr>
        <w:spacing w:after="0"/>
        <w:jc w:val="left"/>
        <w:rPr>
          <w:rFonts w:ascii="Arial" w:hAnsi="Arial"/>
          <w:sz w:val="22"/>
        </w:rPr>
      </w:pPr>
      <w:r w:rsidRPr="00167A1B">
        <w:br w:type="page"/>
      </w:r>
    </w:p>
    <w:p w14:paraId="06CA2592" w14:textId="59D96A77" w:rsidR="00D30D44" w:rsidRPr="00167A1B" w:rsidRDefault="00D30D44" w:rsidP="00630BCE">
      <w:pPr>
        <w:pStyle w:val="Title1"/>
        <w:outlineLvl w:val="0"/>
      </w:pPr>
      <w:bookmarkStart w:id="68" w:name="_Toc74319760"/>
      <w:r w:rsidRPr="00167A1B">
        <w:lastRenderedPageBreak/>
        <w:t>Impact assessment for other portable electronic devices</w:t>
      </w:r>
      <w:bookmarkEnd w:id="68"/>
      <w:r w:rsidRPr="00167A1B">
        <w:t xml:space="preserve"> </w:t>
      </w:r>
    </w:p>
    <w:p w14:paraId="04D639C4" w14:textId="5F56EEFB" w:rsidR="008F65B2" w:rsidRPr="00167A1B" w:rsidRDefault="007F3DFC" w:rsidP="008F65B2">
      <w:pPr>
        <w:pStyle w:val="BodyText1"/>
        <w:rPr>
          <w:noProof w:val="0"/>
        </w:rPr>
      </w:pPr>
      <w:r w:rsidRPr="00167A1B">
        <w:rPr>
          <w:noProof w:val="0"/>
        </w:rPr>
        <w:t xml:space="preserve">This chapter considers an initiative with a broader scope, including not only mobile phones, but also suitable other portable electronic devices. It discusses which categories of devices each of the policy options as defined previously could potentially apply to (section 6.1); presents key data on the baseline for other devices (6.2); discusses whether a “narrow” initiative that only applies to mobile phones would nonetheless be likely to have </w:t>
      </w:r>
      <w:r w:rsidRPr="00167A1B">
        <w:rPr>
          <w:i/>
          <w:iCs/>
          <w:noProof w:val="0"/>
        </w:rPr>
        <w:t>indirect</w:t>
      </w:r>
      <w:r w:rsidRPr="00167A1B">
        <w:rPr>
          <w:noProof w:val="0"/>
        </w:rPr>
        <w:t xml:space="preserve"> impacts on other devices and their chargers (6.3); and finally, assesses the </w:t>
      </w:r>
      <w:r w:rsidRPr="00167A1B">
        <w:rPr>
          <w:i/>
          <w:iCs/>
          <w:noProof w:val="0"/>
        </w:rPr>
        <w:t>direct</w:t>
      </w:r>
      <w:r w:rsidRPr="00167A1B">
        <w:rPr>
          <w:noProof w:val="0"/>
        </w:rPr>
        <w:t xml:space="preserve"> impacts that would result from broadening the scope of the initiative to (certain types of) other devices (6.4). </w:t>
      </w:r>
    </w:p>
    <w:p w14:paraId="69ED7FEF" w14:textId="77777777" w:rsidR="007F3DFC" w:rsidRPr="00167A1B" w:rsidRDefault="007F3DFC" w:rsidP="008F65B2">
      <w:pPr>
        <w:pStyle w:val="BodyText1"/>
        <w:rPr>
          <w:noProof w:val="0"/>
        </w:rPr>
      </w:pPr>
    </w:p>
    <w:p w14:paraId="14100D89" w14:textId="26C0824A" w:rsidR="00D30D44" w:rsidRPr="00167A1B" w:rsidRDefault="008B4225" w:rsidP="009C1705">
      <w:pPr>
        <w:pStyle w:val="Title2"/>
        <w:outlineLvl w:val="1"/>
      </w:pPr>
      <w:bookmarkStart w:id="69" w:name="_Toc74319761"/>
      <w:r w:rsidRPr="00167A1B">
        <w:t>Scope of the impact assessment</w:t>
      </w:r>
      <w:bookmarkEnd w:id="69"/>
      <w:r w:rsidR="00D30D44" w:rsidRPr="00167A1B">
        <w:t xml:space="preserve"> </w:t>
      </w:r>
    </w:p>
    <w:p w14:paraId="319C1D0E" w14:textId="77777777" w:rsidR="008B4225" w:rsidRPr="00167A1B" w:rsidRDefault="008B4225" w:rsidP="008B4225">
      <w:pPr>
        <w:pStyle w:val="BodyText1"/>
        <w:rPr>
          <w:noProof w:val="0"/>
          <w:szCs w:val="22"/>
        </w:rPr>
      </w:pPr>
      <w:r w:rsidRPr="00167A1B">
        <w:rPr>
          <w:noProof w:val="0"/>
          <w:szCs w:val="22"/>
        </w:rPr>
        <w:t>During the inception phase, the study team developed a mapping of 186 mobile phones and 192 other portable electronic devices,</w:t>
      </w:r>
      <w:r w:rsidRPr="00167A1B">
        <w:rPr>
          <w:rStyle w:val="FootnoteReference"/>
          <w:noProof w:val="0"/>
          <w:sz w:val="22"/>
          <w:szCs w:val="22"/>
        </w:rPr>
        <w:footnoteReference w:id="128"/>
      </w:r>
      <w:r w:rsidRPr="00167A1B">
        <w:rPr>
          <w:noProof w:val="0"/>
          <w:szCs w:val="22"/>
        </w:rPr>
        <w:t xml:space="preserve"> tracking their charging characteristics and market trends. Based on the mapping, devices were categorised into three priority groups using the following criteria</w:t>
      </w:r>
      <w:r w:rsidRPr="00167A1B">
        <w:rPr>
          <w:rStyle w:val="FootnoteReference"/>
          <w:noProof w:val="0"/>
          <w:sz w:val="22"/>
          <w:szCs w:val="22"/>
        </w:rPr>
        <w:footnoteReference w:id="129"/>
      </w:r>
      <w:r w:rsidRPr="00167A1B">
        <w:rPr>
          <w:noProof w:val="0"/>
          <w:szCs w:val="22"/>
        </w:rPr>
        <w:t>:</w:t>
      </w:r>
    </w:p>
    <w:p w14:paraId="4D1374BB" w14:textId="77777777" w:rsidR="008B4225" w:rsidRPr="00167A1B" w:rsidRDefault="008B4225" w:rsidP="008B4225">
      <w:pPr>
        <w:pStyle w:val="bullet1"/>
        <w:rPr>
          <w:noProof w:val="0"/>
          <w:szCs w:val="22"/>
        </w:rPr>
      </w:pPr>
      <w:r w:rsidRPr="00167A1B">
        <w:rPr>
          <w:noProof w:val="0"/>
          <w:szCs w:val="22"/>
        </w:rPr>
        <w:t xml:space="preserve">The extent to which charging characteristics of other devices are </w:t>
      </w:r>
      <w:proofErr w:type="gramStart"/>
      <w:r w:rsidRPr="00167A1B">
        <w:rPr>
          <w:noProof w:val="0"/>
          <w:szCs w:val="22"/>
        </w:rPr>
        <w:t>similar to</w:t>
      </w:r>
      <w:proofErr w:type="gramEnd"/>
      <w:r w:rsidRPr="00167A1B">
        <w:rPr>
          <w:noProof w:val="0"/>
          <w:szCs w:val="22"/>
        </w:rPr>
        <w:t xml:space="preserve"> mobile phones, excluding from the analysis those for which the assumptions for mobile phone chargers could not be extrapolated;</w:t>
      </w:r>
    </w:p>
    <w:p w14:paraId="7E72112E" w14:textId="77777777" w:rsidR="008B4225" w:rsidRPr="00167A1B" w:rsidRDefault="008B4225" w:rsidP="008B4225">
      <w:pPr>
        <w:pStyle w:val="bullet1"/>
        <w:rPr>
          <w:noProof w:val="0"/>
          <w:szCs w:val="22"/>
        </w:rPr>
      </w:pPr>
      <w:r w:rsidRPr="00167A1B">
        <w:rPr>
          <w:noProof w:val="0"/>
          <w:szCs w:val="22"/>
        </w:rPr>
        <w:t>The extent to which unbundling already exists, de-prioritising those that are already sold unbundled;</w:t>
      </w:r>
    </w:p>
    <w:p w14:paraId="790A1D73" w14:textId="77777777" w:rsidR="008B4225" w:rsidRPr="00167A1B" w:rsidRDefault="008B4225" w:rsidP="008B4225">
      <w:pPr>
        <w:pStyle w:val="bullet1"/>
        <w:rPr>
          <w:noProof w:val="0"/>
          <w:szCs w:val="22"/>
        </w:rPr>
      </w:pPr>
      <w:r w:rsidRPr="00167A1B">
        <w:rPr>
          <w:noProof w:val="0"/>
          <w:szCs w:val="22"/>
        </w:rPr>
        <w:t>The trend of sales of the products, prioritising those devices with a high growth trend.</w:t>
      </w:r>
    </w:p>
    <w:p w14:paraId="1418BBD7" w14:textId="77777777" w:rsidR="008B4225" w:rsidRPr="00167A1B" w:rsidRDefault="008B4225" w:rsidP="008B4225">
      <w:pPr>
        <w:pStyle w:val="BodyText1"/>
        <w:rPr>
          <w:noProof w:val="0"/>
          <w:szCs w:val="22"/>
        </w:rPr>
      </w:pPr>
      <w:r w:rsidRPr="00167A1B">
        <w:rPr>
          <w:noProof w:val="0"/>
          <w:szCs w:val="22"/>
        </w:rPr>
        <w:t>Based on the mapping and the analysis of market data, tablets and cameras were classified as the devices with the highest priority; hearing devices and hand-held videogame consoles were classified as medium priority; and portable speakers, smartwatches and fitness trackers as low priority.</w:t>
      </w:r>
      <w:r w:rsidRPr="00167A1B">
        <w:rPr>
          <w:rStyle w:val="FootnoteReference"/>
          <w:noProof w:val="0"/>
          <w:sz w:val="22"/>
          <w:szCs w:val="22"/>
        </w:rPr>
        <w:footnoteReference w:id="130"/>
      </w:r>
      <w:r w:rsidRPr="00167A1B">
        <w:rPr>
          <w:noProof w:val="0"/>
          <w:szCs w:val="22"/>
        </w:rPr>
        <w:t xml:space="preserve"> </w:t>
      </w:r>
    </w:p>
    <w:p w14:paraId="13EAF2B6" w14:textId="77777777" w:rsidR="008B4225" w:rsidRPr="00167A1B" w:rsidRDefault="008B4225" w:rsidP="008B4225">
      <w:pPr>
        <w:pStyle w:val="BodyText1"/>
        <w:rPr>
          <w:noProof w:val="0"/>
          <w:szCs w:val="22"/>
        </w:rPr>
      </w:pPr>
      <w:r w:rsidRPr="00167A1B">
        <w:rPr>
          <w:noProof w:val="0"/>
          <w:szCs w:val="22"/>
        </w:rPr>
        <w:t>The classification was used to prioritise the acquisition of market data for other portable devices. As a result, tablets, cameras and hearing devices have been included in the stock model.</w:t>
      </w:r>
      <w:r w:rsidRPr="00167A1B">
        <w:rPr>
          <w:rStyle w:val="FootnoteReference"/>
          <w:noProof w:val="0"/>
          <w:sz w:val="22"/>
          <w:szCs w:val="22"/>
        </w:rPr>
        <w:footnoteReference w:id="131"/>
      </w:r>
      <w:r w:rsidRPr="00167A1B">
        <w:rPr>
          <w:noProof w:val="0"/>
          <w:szCs w:val="22"/>
        </w:rPr>
        <w:t xml:space="preserve"> Impacts for other devices are assessed qualitatively.</w:t>
      </w:r>
    </w:p>
    <w:p w14:paraId="376DEE29" w14:textId="77777777" w:rsidR="008B4225" w:rsidRPr="00167A1B" w:rsidRDefault="008B4225" w:rsidP="008B4225">
      <w:pPr>
        <w:pStyle w:val="BodyText1"/>
        <w:rPr>
          <w:noProof w:val="0"/>
          <w:szCs w:val="22"/>
        </w:rPr>
      </w:pPr>
      <w:r w:rsidRPr="00167A1B">
        <w:rPr>
          <w:noProof w:val="0"/>
          <w:szCs w:val="22"/>
        </w:rPr>
        <w:t xml:space="preserve">Given that other portable devices have different charging characteristics to mobile phones and varied unbundling trends, not </w:t>
      </w:r>
      <w:proofErr w:type="gramStart"/>
      <w:r w:rsidRPr="00167A1B">
        <w:rPr>
          <w:noProof w:val="0"/>
          <w:szCs w:val="22"/>
        </w:rPr>
        <w:t>all of</w:t>
      </w:r>
      <w:proofErr w:type="gramEnd"/>
      <w:r w:rsidRPr="00167A1B">
        <w:rPr>
          <w:noProof w:val="0"/>
          <w:szCs w:val="22"/>
        </w:rPr>
        <w:t xml:space="preserve"> the policy options are relevant for all the devices. Before assessing impacts, we define below which policy options would potentially be applicable to each device.</w:t>
      </w:r>
    </w:p>
    <w:p w14:paraId="0F565DA9" w14:textId="77777777" w:rsidR="008B4225" w:rsidRPr="00167A1B" w:rsidRDefault="008B4225" w:rsidP="008B4225">
      <w:pPr>
        <w:pStyle w:val="Subtitle10"/>
        <w:rPr>
          <w:noProof w:val="0"/>
        </w:rPr>
      </w:pPr>
      <w:r w:rsidRPr="00167A1B">
        <w:rPr>
          <w:noProof w:val="0"/>
        </w:rPr>
        <w:t>Tablets</w:t>
      </w:r>
    </w:p>
    <w:p w14:paraId="7F53C9CC" w14:textId="77777777" w:rsidR="008B4225" w:rsidRPr="00167A1B" w:rsidRDefault="008B4225" w:rsidP="008B4225">
      <w:pPr>
        <w:pStyle w:val="BodyText1"/>
        <w:rPr>
          <w:noProof w:val="0"/>
          <w:szCs w:val="22"/>
        </w:rPr>
      </w:pPr>
      <w:r w:rsidRPr="00167A1B">
        <w:rPr>
          <w:noProof w:val="0"/>
          <w:szCs w:val="22"/>
        </w:rPr>
        <w:t xml:space="preserve">Of all the devices analysed, tablets are the most similar device to smartphones in terms of battery and charging characteristics. They use similar battery charging protocols, albeit with </w:t>
      </w:r>
      <w:r w:rsidRPr="00167A1B">
        <w:rPr>
          <w:noProof w:val="0"/>
          <w:szCs w:val="22"/>
        </w:rPr>
        <w:lastRenderedPageBreak/>
        <w:t>slightly higher wattage – especially on those tablets that are of bigger size or that incorporate features that are more typical of laptops (e.g. a keyboard). They also use the same types of connectors. In 2019, it is estimated that 40% of tablets had USB micro-B receptacles, 33% USB Type-C, and 27% had proprietary connectors (23% Lightning and 4% other proprietary connectors).</w:t>
      </w:r>
      <w:r w:rsidRPr="00167A1B">
        <w:rPr>
          <w:rStyle w:val="FootnoteReference"/>
          <w:noProof w:val="0"/>
          <w:sz w:val="22"/>
          <w:szCs w:val="22"/>
        </w:rPr>
        <w:footnoteReference w:id="132"/>
      </w:r>
      <w:r w:rsidRPr="00167A1B">
        <w:rPr>
          <w:noProof w:val="0"/>
          <w:szCs w:val="22"/>
        </w:rPr>
        <w:t xml:space="preserve"> All the tablets sold in the market nowadays are bundled with the EPS and cable.</w:t>
      </w:r>
    </w:p>
    <w:p w14:paraId="4C719A29" w14:textId="77777777" w:rsidR="008B4225" w:rsidRPr="00167A1B" w:rsidRDefault="008B4225" w:rsidP="008B4225">
      <w:pPr>
        <w:pStyle w:val="BodyText1"/>
        <w:rPr>
          <w:noProof w:val="0"/>
          <w:szCs w:val="22"/>
        </w:rPr>
      </w:pPr>
      <w:r w:rsidRPr="00167A1B">
        <w:rPr>
          <w:noProof w:val="0"/>
          <w:szCs w:val="22"/>
        </w:rPr>
        <w:t>All the policy options could apply to tablets. Currently, there are many tablets that are a hybrid between a tablet and a notebook or laptop, and therefore the scope of any legislation should be carefully defined. The impacts of the policy options on notebooks and laptops have not been analysed.</w:t>
      </w:r>
    </w:p>
    <w:p w14:paraId="3D33E4E5" w14:textId="77777777" w:rsidR="008B4225" w:rsidRPr="00167A1B" w:rsidRDefault="008B4225" w:rsidP="008B4225">
      <w:pPr>
        <w:pStyle w:val="Subtitle10"/>
        <w:rPr>
          <w:noProof w:val="0"/>
        </w:rPr>
      </w:pPr>
      <w:r w:rsidRPr="00167A1B">
        <w:rPr>
          <w:noProof w:val="0"/>
        </w:rPr>
        <w:t>Digital photo cameras</w:t>
      </w:r>
    </w:p>
    <w:p w14:paraId="0AE10268" w14:textId="77777777" w:rsidR="008B4225" w:rsidRPr="00167A1B" w:rsidRDefault="008B4225" w:rsidP="008B4225">
      <w:pPr>
        <w:pStyle w:val="BodyText1"/>
        <w:rPr>
          <w:noProof w:val="0"/>
          <w:szCs w:val="22"/>
        </w:rPr>
      </w:pPr>
      <w:r w:rsidRPr="00167A1B">
        <w:rPr>
          <w:noProof w:val="0"/>
          <w:szCs w:val="22"/>
        </w:rPr>
        <w:t xml:space="preserve">All the cameras analysed in the mapping of devices (29) have USB connectors. In some </w:t>
      </w:r>
      <w:proofErr w:type="gramStart"/>
      <w:r w:rsidRPr="00167A1B">
        <w:rPr>
          <w:noProof w:val="0"/>
          <w:szCs w:val="22"/>
        </w:rPr>
        <w:t>cases</w:t>
      </w:r>
      <w:proofErr w:type="gramEnd"/>
      <w:r w:rsidRPr="00167A1B">
        <w:rPr>
          <w:noProof w:val="0"/>
          <w:szCs w:val="22"/>
        </w:rPr>
        <w:t xml:space="preserve"> the connector is only used for data transfer (7/29), whereas in most cases it can also be used to charge the camera (22/29).</w:t>
      </w:r>
    </w:p>
    <w:p w14:paraId="752601C1" w14:textId="3EDFF541" w:rsidR="008B4225" w:rsidRPr="00167A1B" w:rsidRDefault="008B4225" w:rsidP="008B4225">
      <w:pPr>
        <w:pStyle w:val="BodyText1"/>
        <w:rPr>
          <w:noProof w:val="0"/>
          <w:szCs w:val="22"/>
        </w:rPr>
      </w:pPr>
      <w:r w:rsidRPr="00167A1B">
        <w:rPr>
          <w:noProof w:val="0"/>
          <w:szCs w:val="22"/>
        </w:rPr>
        <w:t xml:space="preserve">There are two main types of digital cameras: cameras with built-in lenses (e.g. action cameras and compact cameras) and cameras with </w:t>
      </w:r>
      <w:r w:rsidR="00167A1B" w:rsidRPr="00167A1B">
        <w:rPr>
          <w:noProof w:val="0"/>
          <w:szCs w:val="22"/>
        </w:rPr>
        <w:t>interchangeable</w:t>
      </w:r>
      <w:r w:rsidRPr="00167A1B">
        <w:rPr>
          <w:noProof w:val="0"/>
          <w:szCs w:val="22"/>
        </w:rPr>
        <w:t xml:space="preserve"> lenses (e.g. Reflex and mirrorless cameras). Cameras with built-in lenses are normally smaller and are charged via USB connectors (USB micro-B or USB Type-C). Larger cameras (Reflex and mirrorless) generally have removable (proprietary) batteries that are charged with external battery chargers. These chargers are proprietary and do not use USB cables or connectors. Only the newest and/or premium models of this type of cameras have a USB Type-C receptacle that allows not only data transfer, but also battery charging (i.e. some of these cameras can be charged either with a USB Type-C cable and EPS, or removing the battery and charging it separately using the proprietary charger). Out of the 29 cameras analysed:</w:t>
      </w:r>
    </w:p>
    <w:p w14:paraId="4E1E4F3C" w14:textId="77777777" w:rsidR="008B4225" w:rsidRPr="00167A1B" w:rsidRDefault="008B4225" w:rsidP="008B4225">
      <w:pPr>
        <w:pStyle w:val="bullet1"/>
        <w:rPr>
          <w:noProof w:val="0"/>
          <w:szCs w:val="22"/>
        </w:rPr>
      </w:pPr>
      <w:r w:rsidRPr="00167A1B">
        <w:rPr>
          <w:noProof w:val="0"/>
          <w:szCs w:val="22"/>
        </w:rPr>
        <w:t>20 were charged via a USB connection (either USB micro-B or USB Type-C);</w:t>
      </w:r>
    </w:p>
    <w:p w14:paraId="7BD29007" w14:textId="77777777" w:rsidR="008B4225" w:rsidRPr="00167A1B" w:rsidRDefault="008B4225" w:rsidP="008B4225">
      <w:pPr>
        <w:pStyle w:val="bullet1"/>
        <w:rPr>
          <w:noProof w:val="0"/>
          <w:szCs w:val="22"/>
        </w:rPr>
      </w:pPr>
      <w:r w:rsidRPr="00167A1B">
        <w:rPr>
          <w:noProof w:val="0"/>
          <w:szCs w:val="22"/>
        </w:rPr>
        <w:t>7 could only be charged by removing the battery, using the proprietary charger;</w:t>
      </w:r>
    </w:p>
    <w:p w14:paraId="57EC5793" w14:textId="77777777" w:rsidR="008B4225" w:rsidRPr="00167A1B" w:rsidRDefault="008B4225" w:rsidP="008B4225">
      <w:pPr>
        <w:pStyle w:val="bullet1"/>
        <w:rPr>
          <w:noProof w:val="0"/>
          <w:szCs w:val="22"/>
        </w:rPr>
      </w:pPr>
      <w:r w:rsidRPr="00167A1B">
        <w:rPr>
          <w:noProof w:val="0"/>
          <w:szCs w:val="22"/>
        </w:rPr>
        <w:t>2 could be charged either via USB Type-C charging, or via the proprietary charger (i.e. removing the battery).</w:t>
      </w:r>
    </w:p>
    <w:p w14:paraId="20E88622" w14:textId="77777777" w:rsidR="008B4225" w:rsidRPr="00167A1B" w:rsidRDefault="008B4225" w:rsidP="008B4225">
      <w:pPr>
        <w:pStyle w:val="BodyText1"/>
        <w:rPr>
          <w:noProof w:val="0"/>
          <w:szCs w:val="22"/>
        </w:rPr>
      </w:pPr>
      <w:r w:rsidRPr="00167A1B">
        <w:rPr>
          <w:noProof w:val="0"/>
          <w:szCs w:val="22"/>
        </w:rPr>
        <w:t>Option 1 harmonises the receptacles to USB Type-C. This option could be applied to cameras, adding that the receptacle should provide both data transfer and charging via USB standards.</w:t>
      </w:r>
    </w:p>
    <w:p w14:paraId="136E9721" w14:textId="530E5B41" w:rsidR="008B4225" w:rsidRPr="00167A1B" w:rsidRDefault="008B4225" w:rsidP="0097293A">
      <w:pPr>
        <w:pStyle w:val="BodyText1"/>
        <w:rPr>
          <w:noProof w:val="0"/>
          <w:szCs w:val="22"/>
        </w:rPr>
      </w:pPr>
      <w:r w:rsidRPr="00167A1B">
        <w:rPr>
          <w:noProof w:val="0"/>
          <w:szCs w:val="22"/>
        </w:rPr>
        <w:t xml:space="preserve">Cameras use significantly lower wattage than mobile phones. In the mapping of devices conducted, all the cameras analysed (29) required under 10W. The options to harmonise battery charging protocols considered in this impact assessment (options 2 and 3) require minimum 7.5W; however, most cameras use less than that. In the few cases where the cameras require more power, the mapping indicates they already use USB Type-C charging. Cameras that allow charging through the USB connector may already be charged safely with EPS that use USB PD and USB Type-C battery charging, as they provide backwards compatibility with other USB standards. </w:t>
      </w:r>
      <w:r w:rsidR="001A2E0A" w:rsidRPr="00167A1B">
        <w:rPr>
          <w:noProof w:val="0"/>
          <w:szCs w:val="22"/>
        </w:rPr>
        <w:t xml:space="preserve">Therefore, as the market stands nowadays, options 2 and 3 would not deliver the best technical option for cameras, as they would increase production costs and retail prices without producing any significant benefit for the consumers or the environment. In the future, if cameras evolve towards more powerful battery charging protocols, these options may be considered. </w:t>
      </w:r>
    </w:p>
    <w:p w14:paraId="14A87920" w14:textId="20263370" w:rsidR="008B4225" w:rsidRPr="00167A1B" w:rsidRDefault="008B4225" w:rsidP="008B4225">
      <w:pPr>
        <w:pStyle w:val="BodyText1"/>
        <w:rPr>
          <w:noProof w:val="0"/>
          <w:szCs w:val="22"/>
        </w:rPr>
      </w:pPr>
      <w:r w:rsidRPr="00167A1B">
        <w:rPr>
          <w:noProof w:val="0"/>
          <w:szCs w:val="22"/>
        </w:rPr>
        <w:t>Out of the 29 cameras mapped, 12 included an EPS in the box, 9 included an external battery charger</w:t>
      </w:r>
      <w:r w:rsidRPr="00167A1B">
        <w:rPr>
          <w:rStyle w:val="FootnoteReference"/>
          <w:noProof w:val="0"/>
          <w:sz w:val="22"/>
          <w:szCs w:val="22"/>
        </w:rPr>
        <w:footnoteReference w:id="133"/>
      </w:r>
      <w:r w:rsidRPr="00167A1B">
        <w:rPr>
          <w:noProof w:val="0"/>
          <w:szCs w:val="22"/>
        </w:rPr>
        <w:t xml:space="preserve">, and 26 included a cable. Options </w:t>
      </w:r>
      <w:r w:rsidR="00CE7EDB" w:rsidRPr="00167A1B">
        <w:rPr>
          <w:noProof w:val="0"/>
          <w:szCs w:val="22"/>
        </w:rPr>
        <w:t>4.a</w:t>
      </w:r>
      <w:r w:rsidRPr="00167A1B">
        <w:rPr>
          <w:noProof w:val="0"/>
          <w:szCs w:val="22"/>
        </w:rPr>
        <w:t xml:space="preserve"> and </w:t>
      </w:r>
      <w:r w:rsidR="00CE7EDB" w:rsidRPr="00167A1B">
        <w:rPr>
          <w:noProof w:val="0"/>
          <w:szCs w:val="22"/>
        </w:rPr>
        <w:t>4.b</w:t>
      </w:r>
      <w:r w:rsidRPr="00167A1B">
        <w:rPr>
          <w:noProof w:val="0"/>
          <w:szCs w:val="22"/>
        </w:rPr>
        <w:t xml:space="preserve"> could therefore apply to cameras.</w:t>
      </w:r>
    </w:p>
    <w:p w14:paraId="1E3B7394" w14:textId="77777777" w:rsidR="008B4225" w:rsidRPr="00167A1B" w:rsidRDefault="008B4225" w:rsidP="008B4225">
      <w:pPr>
        <w:pStyle w:val="Subtitle10"/>
        <w:rPr>
          <w:noProof w:val="0"/>
        </w:rPr>
      </w:pPr>
      <w:r w:rsidRPr="00167A1B">
        <w:rPr>
          <w:noProof w:val="0"/>
        </w:rPr>
        <w:lastRenderedPageBreak/>
        <w:t>Hearing devices</w:t>
      </w:r>
    </w:p>
    <w:p w14:paraId="69CDBC05" w14:textId="77777777" w:rsidR="008B4225" w:rsidRPr="00167A1B" w:rsidRDefault="008B4225" w:rsidP="008B4225">
      <w:pPr>
        <w:pStyle w:val="BodyText1"/>
        <w:rPr>
          <w:noProof w:val="0"/>
          <w:szCs w:val="22"/>
        </w:rPr>
      </w:pPr>
      <w:r w:rsidRPr="00167A1B">
        <w:rPr>
          <w:noProof w:val="0"/>
          <w:szCs w:val="22"/>
        </w:rPr>
        <w:t>The types of connectors used by hearing devices (headphones and earbuds) are similar to the ones used in mobile phones and tablets: Lightning (48% of the units sold in the EU in 2019), USB micro-B (41%) and USB Type-C (12%).</w:t>
      </w:r>
      <w:r w:rsidRPr="00167A1B">
        <w:rPr>
          <w:rStyle w:val="FootnoteReference"/>
          <w:noProof w:val="0"/>
          <w:sz w:val="22"/>
          <w:szCs w:val="22"/>
        </w:rPr>
        <w:footnoteReference w:id="134"/>
      </w:r>
      <w:r w:rsidRPr="00167A1B">
        <w:rPr>
          <w:noProof w:val="0"/>
          <w:szCs w:val="22"/>
        </w:rPr>
        <w:t xml:space="preserve"> Option 1, therefore, could apply to hearing devices.</w:t>
      </w:r>
    </w:p>
    <w:p w14:paraId="14B3020E" w14:textId="7D08EA08" w:rsidR="008B4225" w:rsidRPr="00167A1B" w:rsidRDefault="008B4225" w:rsidP="008B4225">
      <w:pPr>
        <w:pStyle w:val="BodyText1"/>
        <w:rPr>
          <w:noProof w:val="0"/>
          <w:szCs w:val="22"/>
        </w:rPr>
      </w:pPr>
      <w:r w:rsidRPr="00167A1B">
        <w:rPr>
          <w:noProof w:val="0"/>
          <w:szCs w:val="22"/>
        </w:rPr>
        <w:t xml:space="preserve">This category of device has two subproducts: headphones and earbuds. Some earbuds are charged wirelessly in their box, and the box connects to an EPS via a USB cable. For the purpose of this study, we have treated the earbuds' box as part of the </w:t>
      </w:r>
      <w:proofErr w:type="gramStart"/>
      <w:r w:rsidRPr="00167A1B">
        <w:rPr>
          <w:noProof w:val="0"/>
          <w:szCs w:val="22"/>
        </w:rPr>
        <w:t>product, and</w:t>
      </w:r>
      <w:proofErr w:type="gramEnd"/>
      <w:r w:rsidRPr="00167A1B">
        <w:rPr>
          <w:noProof w:val="0"/>
          <w:szCs w:val="22"/>
        </w:rPr>
        <w:t xml:space="preserve"> have mapped and analysed the connector in the box.</w:t>
      </w:r>
    </w:p>
    <w:p w14:paraId="32629EB1" w14:textId="2E5CBE2D" w:rsidR="008B4225" w:rsidRPr="00167A1B" w:rsidRDefault="008B4225" w:rsidP="0097293A">
      <w:pPr>
        <w:pStyle w:val="BodyText1"/>
        <w:rPr>
          <w:noProof w:val="0"/>
          <w:szCs w:val="22"/>
        </w:rPr>
      </w:pPr>
      <w:r w:rsidRPr="00167A1B">
        <w:rPr>
          <w:noProof w:val="0"/>
          <w:szCs w:val="22"/>
        </w:rPr>
        <w:t xml:space="preserve">All the devices mapped (34) require less than 10W, and most require less than 5W. Therefore, </w:t>
      </w:r>
      <w:proofErr w:type="gramStart"/>
      <w:r w:rsidRPr="00167A1B">
        <w:rPr>
          <w:noProof w:val="0"/>
          <w:szCs w:val="22"/>
        </w:rPr>
        <w:t>similar to</w:t>
      </w:r>
      <w:proofErr w:type="gramEnd"/>
      <w:r w:rsidRPr="00167A1B">
        <w:rPr>
          <w:noProof w:val="0"/>
          <w:szCs w:val="22"/>
        </w:rPr>
        <w:t xml:space="preserve"> the case of cameras, </w:t>
      </w:r>
      <w:r w:rsidR="005368D2" w:rsidRPr="00167A1B">
        <w:rPr>
          <w:noProof w:val="0"/>
          <w:szCs w:val="22"/>
        </w:rPr>
        <w:t xml:space="preserve">as the market stands nowadays, </w:t>
      </w:r>
      <w:r w:rsidRPr="00167A1B">
        <w:rPr>
          <w:noProof w:val="0"/>
          <w:szCs w:val="22"/>
        </w:rPr>
        <w:t xml:space="preserve">options 2 and 3 would not provide the best technical option to charge hearing devices, as they would increase production costs and retail prices without producing any significant benefit for the consumers or the environment. </w:t>
      </w:r>
      <w:r w:rsidR="005368D2" w:rsidRPr="00167A1B">
        <w:rPr>
          <w:noProof w:val="0"/>
          <w:szCs w:val="22"/>
        </w:rPr>
        <w:t>This market may be analysed again in the future, and options 2 and 3 applied should hearing devices evolve towards fast charging solutions.</w:t>
      </w:r>
      <w:r w:rsidR="001D2769" w:rsidRPr="00167A1B">
        <w:rPr>
          <w:noProof w:val="0"/>
          <w:szCs w:val="22"/>
        </w:rPr>
        <w:t xml:space="preserve"> </w:t>
      </w:r>
    </w:p>
    <w:p w14:paraId="0C6EAA58" w14:textId="77777777" w:rsidR="008B4225" w:rsidRPr="00167A1B" w:rsidRDefault="008B4225" w:rsidP="008B4225">
      <w:pPr>
        <w:pStyle w:val="BodyText1"/>
        <w:rPr>
          <w:noProof w:val="0"/>
          <w:szCs w:val="22"/>
        </w:rPr>
      </w:pPr>
      <w:r w:rsidRPr="00167A1B">
        <w:rPr>
          <w:noProof w:val="0"/>
          <w:szCs w:val="22"/>
        </w:rPr>
        <w:t>Of the devices analysed, none of them included an EPS (hence making option 4.a unnecessary for hearing devices). However, almost all included a cable along with the hearing device. Options 4.b and 5 could therefore apply to hearing devices.</w:t>
      </w:r>
    </w:p>
    <w:p w14:paraId="0C89B4BC" w14:textId="77777777" w:rsidR="008B4225" w:rsidRPr="00167A1B" w:rsidRDefault="008B4225" w:rsidP="008B4225">
      <w:pPr>
        <w:pStyle w:val="BodyText1"/>
        <w:rPr>
          <w:noProof w:val="0"/>
          <w:szCs w:val="22"/>
        </w:rPr>
      </w:pPr>
      <w:proofErr w:type="gramStart"/>
      <w:r w:rsidRPr="00167A1B">
        <w:rPr>
          <w:noProof w:val="0"/>
          <w:szCs w:val="22"/>
        </w:rPr>
        <w:t>Similar to</w:t>
      </w:r>
      <w:proofErr w:type="gramEnd"/>
      <w:r w:rsidRPr="00167A1B">
        <w:rPr>
          <w:noProof w:val="0"/>
          <w:szCs w:val="22"/>
        </w:rPr>
        <w:t xml:space="preserve"> the case of tablets, hearing devices should be carefully defined so as to avoid including hearing aid devices and other potential devices that are different to the ones referred to in this study.</w:t>
      </w:r>
    </w:p>
    <w:p w14:paraId="19E73DB5" w14:textId="77777777" w:rsidR="008B4225" w:rsidRPr="00167A1B" w:rsidRDefault="008B4225" w:rsidP="008B4225">
      <w:pPr>
        <w:pStyle w:val="Subtitle10"/>
        <w:rPr>
          <w:noProof w:val="0"/>
        </w:rPr>
      </w:pPr>
      <w:r w:rsidRPr="00167A1B">
        <w:rPr>
          <w:noProof w:val="0"/>
        </w:rPr>
        <w:t>Hand-held videogame consoles</w:t>
      </w:r>
    </w:p>
    <w:p w14:paraId="5736FF13" w14:textId="4B2E88F3" w:rsidR="008B4225" w:rsidRPr="00167A1B" w:rsidRDefault="008B4225" w:rsidP="008B4225">
      <w:pPr>
        <w:pStyle w:val="BodyText1"/>
        <w:rPr>
          <w:noProof w:val="0"/>
        </w:rPr>
      </w:pPr>
      <w:r w:rsidRPr="00167A1B">
        <w:rPr>
          <w:noProof w:val="0"/>
        </w:rPr>
        <w:t xml:space="preserve">Nine consoles were mapped, of which five used USB micro-B connectors, three used USB Type-C connectors, and one used a proprietary connector (Sony PS Vita). The wattage used by consoles ranged from 4W (e.g. Nintendo 2DS) to 39W (e.g. Nintendo Switch). There were two devices using 15W or more, </w:t>
      </w:r>
      <w:r w:rsidR="00A266AC" w:rsidRPr="00167A1B">
        <w:rPr>
          <w:noProof w:val="0"/>
        </w:rPr>
        <w:t>of which one</w:t>
      </w:r>
      <w:r w:rsidR="00D74F98" w:rsidRPr="00167A1B">
        <w:rPr>
          <w:noProof w:val="0"/>
        </w:rPr>
        <w:t xml:space="preserve"> was</w:t>
      </w:r>
      <w:r w:rsidRPr="00167A1B">
        <w:rPr>
          <w:noProof w:val="0"/>
        </w:rPr>
        <w:t xml:space="preserve"> USB PD enabled</w:t>
      </w:r>
      <w:r w:rsidR="00A266AC" w:rsidRPr="00167A1B">
        <w:rPr>
          <w:noProof w:val="0"/>
        </w:rPr>
        <w:t xml:space="preserve"> and the other used Quick Charge</w:t>
      </w:r>
      <w:r w:rsidRPr="00167A1B">
        <w:rPr>
          <w:noProof w:val="0"/>
        </w:rPr>
        <w:t>. All the devices except two (for which there was no information) were sold along with an EPS and cable.</w:t>
      </w:r>
    </w:p>
    <w:p w14:paraId="73E47030" w14:textId="0879ADAC" w:rsidR="008B4225" w:rsidRPr="00167A1B" w:rsidRDefault="008B4225" w:rsidP="008B4225">
      <w:pPr>
        <w:pStyle w:val="BodyText1"/>
        <w:rPr>
          <w:noProof w:val="0"/>
        </w:rPr>
      </w:pPr>
      <w:r w:rsidRPr="00167A1B">
        <w:rPr>
          <w:noProof w:val="0"/>
        </w:rPr>
        <w:t>Option 1 (harmonisation of connectors), and the unbundling options (</w:t>
      </w:r>
      <w:r w:rsidR="00CE7EDB" w:rsidRPr="00167A1B">
        <w:rPr>
          <w:noProof w:val="0"/>
        </w:rPr>
        <w:t>4.a</w:t>
      </w:r>
      <w:r w:rsidRPr="00167A1B">
        <w:rPr>
          <w:noProof w:val="0"/>
        </w:rPr>
        <w:t xml:space="preserve"> and </w:t>
      </w:r>
      <w:r w:rsidR="00CE7EDB" w:rsidRPr="00167A1B">
        <w:rPr>
          <w:noProof w:val="0"/>
        </w:rPr>
        <w:t>4.b</w:t>
      </w:r>
      <w:r w:rsidRPr="00167A1B">
        <w:rPr>
          <w:noProof w:val="0"/>
        </w:rPr>
        <w:t>) could apply to hand-held videogame consoles. Options 2 and 3, which harmonise the use of battery charging protocols</w:t>
      </w:r>
      <w:r w:rsidR="002E22A9" w:rsidRPr="00167A1B">
        <w:rPr>
          <w:noProof w:val="0"/>
        </w:rPr>
        <w:t>,</w:t>
      </w:r>
      <w:r w:rsidRPr="00167A1B">
        <w:rPr>
          <w:noProof w:val="0"/>
        </w:rPr>
        <w:t xml:space="preserve"> </w:t>
      </w:r>
      <w:r w:rsidR="002E22A9" w:rsidRPr="00167A1B">
        <w:rPr>
          <w:noProof w:val="0"/>
        </w:rPr>
        <w:t>may be applied to these devices. However, m</w:t>
      </w:r>
      <w:r w:rsidRPr="00167A1B">
        <w:rPr>
          <w:noProof w:val="0"/>
        </w:rPr>
        <w:t xml:space="preserve">ost devices use low wattage and harmonisation already exists for those using 15W or more. </w:t>
      </w:r>
      <w:r w:rsidR="002E22A9" w:rsidRPr="00167A1B">
        <w:rPr>
          <w:noProof w:val="0"/>
        </w:rPr>
        <w:t>In addition</w:t>
      </w:r>
      <w:r w:rsidRPr="00167A1B">
        <w:rPr>
          <w:noProof w:val="0"/>
        </w:rPr>
        <w:t>, these devices and their EPS could take part in the interoperability labelling scheme (option 5).</w:t>
      </w:r>
    </w:p>
    <w:p w14:paraId="1DB0DE0C" w14:textId="77777777" w:rsidR="008B4225" w:rsidRPr="00167A1B" w:rsidRDefault="008B4225" w:rsidP="008B4225">
      <w:pPr>
        <w:pStyle w:val="Subtitle10"/>
        <w:rPr>
          <w:noProof w:val="0"/>
        </w:rPr>
      </w:pPr>
      <w:r w:rsidRPr="00167A1B">
        <w:rPr>
          <w:noProof w:val="0"/>
        </w:rPr>
        <w:t>Portable speakers</w:t>
      </w:r>
    </w:p>
    <w:p w14:paraId="25432889" w14:textId="77777777" w:rsidR="008B4225" w:rsidRPr="00167A1B" w:rsidRDefault="008B4225" w:rsidP="008B4225">
      <w:pPr>
        <w:pStyle w:val="BodyText1"/>
        <w:rPr>
          <w:noProof w:val="0"/>
        </w:rPr>
      </w:pPr>
      <w:proofErr w:type="gramStart"/>
      <w:r w:rsidRPr="00167A1B">
        <w:rPr>
          <w:noProof w:val="0"/>
        </w:rPr>
        <w:t>All of</w:t>
      </w:r>
      <w:proofErr w:type="gramEnd"/>
      <w:r w:rsidRPr="00167A1B">
        <w:rPr>
          <w:noProof w:val="0"/>
        </w:rPr>
        <w:t xml:space="preserve"> the 26 portable speakers mapped in our analysis used USB connectors (15 used USB micro-B and 11 used USB Type-C connectors). Most of the speakers required low wattage (under 10W), although the sample included six devices accepting 15W or more. </w:t>
      </w:r>
      <w:proofErr w:type="gramStart"/>
      <w:r w:rsidRPr="00167A1B">
        <w:rPr>
          <w:noProof w:val="0"/>
        </w:rPr>
        <w:t>All of</w:t>
      </w:r>
      <w:proofErr w:type="gramEnd"/>
      <w:r w:rsidRPr="00167A1B">
        <w:rPr>
          <w:noProof w:val="0"/>
        </w:rPr>
        <w:t xml:space="preserve"> these used USB Type-C connectors and either USB Type-C or USB PD battery charging protocols.</w:t>
      </w:r>
    </w:p>
    <w:p w14:paraId="1C76CFC3" w14:textId="3D7A7801" w:rsidR="008B4225" w:rsidRPr="00167A1B" w:rsidRDefault="008B4225" w:rsidP="008B4225">
      <w:pPr>
        <w:pStyle w:val="BodyText1"/>
        <w:rPr>
          <w:noProof w:val="0"/>
        </w:rPr>
      </w:pPr>
      <w:r w:rsidRPr="00167A1B">
        <w:rPr>
          <w:noProof w:val="0"/>
        </w:rPr>
        <w:t xml:space="preserve">Given that there is no fragmentation of charging solutions in the market (proprietary solutions do not exist and USB micro-B connectors are naturally transitioning towards USB Type-C), harmonisation options are </w:t>
      </w:r>
      <w:r w:rsidR="002E22A9" w:rsidRPr="00167A1B">
        <w:rPr>
          <w:noProof w:val="0"/>
        </w:rPr>
        <w:t>not strictly nece</w:t>
      </w:r>
      <w:r w:rsidR="005E0F2F" w:rsidRPr="00167A1B">
        <w:rPr>
          <w:noProof w:val="0"/>
        </w:rPr>
        <w:t>s</w:t>
      </w:r>
      <w:r w:rsidR="002E22A9" w:rsidRPr="00167A1B">
        <w:rPr>
          <w:noProof w:val="0"/>
        </w:rPr>
        <w:t>sary</w:t>
      </w:r>
      <w:r w:rsidRPr="00167A1B">
        <w:rPr>
          <w:noProof w:val="0"/>
        </w:rPr>
        <w:t xml:space="preserve">. </w:t>
      </w:r>
      <w:r w:rsidR="002E22A9" w:rsidRPr="00167A1B">
        <w:rPr>
          <w:noProof w:val="0"/>
        </w:rPr>
        <w:t xml:space="preserve">However, the Commission may want to extend the scope to portable speakers in order to ensure new models continue using standard charging solutions. </w:t>
      </w:r>
      <w:r w:rsidRPr="00167A1B">
        <w:rPr>
          <w:noProof w:val="0"/>
        </w:rPr>
        <w:t>A voluntary option may however be explored to convey the existing interoperability to consumers via policy option 5.</w:t>
      </w:r>
    </w:p>
    <w:p w14:paraId="150D23F7" w14:textId="77777777" w:rsidR="008B4225" w:rsidRPr="00167A1B" w:rsidRDefault="008B4225" w:rsidP="008B4225">
      <w:pPr>
        <w:pStyle w:val="BodyText1"/>
        <w:rPr>
          <w:noProof w:val="0"/>
        </w:rPr>
      </w:pPr>
      <w:r w:rsidRPr="00167A1B">
        <w:rPr>
          <w:noProof w:val="0"/>
        </w:rPr>
        <w:lastRenderedPageBreak/>
        <w:t xml:space="preserve">Five out of 26 devices included an EPS along with the portable speaker and </w:t>
      </w:r>
      <w:proofErr w:type="gramStart"/>
      <w:r w:rsidRPr="00167A1B">
        <w:rPr>
          <w:noProof w:val="0"/>
        </w:rPr>
        <w:t>all of</w:t>
      </w:r>
      <w:proofErr w:type="gramEnd"/>
      <w:r w:rsidRPr="00167A1B">
        <w:rPr>
          <w:noProof w:val="0"/>
        </w:rPr>
        <w:t xml:space="preserve"> the devices included a cable. The unbundling options (4.a and 4.b) could therefore apply to portable speakers.</w:t>
      </w:r>
    </w:p>
    <w:p w14:paraId="34297015" w14:textId="77777777" w:rsidR="008B4225" w:rsidRPr="00167A1B" w:rsidRDefault="008B4225" w:rsidP="008B4225">
      <w:pPr>
        <w:pStyle w:val="Subtitle10"/>
        <w:rPr>
          <w:noProof w:val="0"/>
        </w:rPr>
      </w:pPr>
      <w:r w:rsidRPr="00167A1B">
        <w:rPr>
          <w:noProof w:val="0"/>
        </w:rPr>
        <w:t>E-readers</w:t>
      </w:r>
    </w:p>
    <w:p w14:paraId="34BD95B2" w14:textId="77777777" w:rsidR="008B4225" w:rsidRPr="00167A1B" w:rsidRDefault="008B4225" w:rsidP="008B4225">
      <w:pPr>
        <w:pStyle w:val="BodyText1"/>
        <w:rPr>
          <w:noProof w:val="0"/>
        </w:rPr>
      </w:pPr>
      <w:r w:rsidRPr="00167A1B">
        <w:rPr>
          <w:noProof w:val="0"/>
        </w:rPr>
        <w:t>Most of the e-readers analysed (6 out of 8) use USB micro-B connectors and a minority (2 out of 8) use USB Type-C connectors. All of them are charged at 5W using the USB BC specification. As in the case of portable speakers, it is not proportionate to include e-readers within the scope of any regulatory harmonisation option (options 1, 2 and 3) as it would not deliver any benefit to the consumer or the environment. Nonetheless, e-readers could of course also carry the interoperability labels (option 5).</w:t>
      </w:r>
    </w:p>
    <w:p w14:paraId="68248CC0" w14:textId="77777777" w:rsidR="008B4225" w:rsidRPr="00167A1B" w:rsidRDefault="008B4225" w:rsidP="008B4225">
      <w:pPr>
        <w:pStyle w:val="BodyText1"/>
        <w:rPr>
          <w:noProof w:val="0"/>
        </w:rPr>
      </w:pPr>
      <w:r w:rsidRPr="00167A1B">
        <w:rPr>
          <w:noProof w:val="0"/>
        </w:rPr>
        <w:t>None of the devices analysed included EPS along with the e-readers, but all included a cable. Therefore, only option 4.b could be applicable to e-readers.</w:t>
      </w:r>
    </w:p>
    <w:p w14:paraId="5D389FB4" w14:textId="77777777" w:rsidR="008B4225" w:rsidRPr="00167A1B" w:rsidRDefault="008B4225" w:rsidP="008B4225">
      <w:pPr>
        <w:pStyle w:val="Subtitle10"/>
        <w:rPr>
          <w:noProof w:val="0"/>
        </w:rPr>
      </w:pPr>
      <w:r w:rsidRPr="00167A1B">
        <w:rPr>
          <w:noProof w:val="0"/>
        </w:rPr>
        <w:t>Smartwatches and fitness trackers</w:t>
      </w:r>
    </w:p>
    <w:p w14:paraId="6053A331" w14:textId="201981FA" w:rsidR="008B4225" w:rsidRPr="00167A1B" w:rsidRDefault="008B4225" w:rsidP="008B4225">
      <w:pPr>
        <w:pStyle w:val="BodyText1"/>
        <w:rPr>
          <w:noProof w:val="0"/>
        </w:rPr>
      </w:pPr>
      <w:r w:rsidRPr="00167A1B">
        <w:rPr>
          <w:noProof w:val="0"/>
        </w:rPr>
        <w:t>All the devices analysed are charged via wireless and/or proprietary connectors. These wearables are often designed to be water resistant and support hard conditions, therefore USB connectors may not offer the best technical solution. The wattage accepted by the devices was below 10W in all cases.</w:t>
      </w:r>
      <w:r w:rsidR="00515C29" w:rsidRPr="00167A1B">
        <w:rPr>
          <w:noProof w:val="0"/>
        </w:rPr>
        <w:t xml:space="preserve"> </w:t>
      </w:r>
      <w:r w:rsidRPr="00167A1B">
        <w:rPr>
          <w:noProof w:val="0"/>
        </w:rPr>
        <w:t>Applying the harmonisation options (options 1, 2 or 3) to smartwatches and fitness trackers would deliver sub-optimal charging solutions. Nonetheless, those devices that do use the relevant USB charging technologies could take part in the voluntary labelling scheme (option 5). However, given that wireless is the most common charging method for these devices, it may be more appropriate to use the labelling scheme to communicate wireless charging protocols instead.</w:t>
      </w:r>
    </w:p>
    <w:p w14:paraId="03A870BC" w14:textId="77777777" w:rsidR="008B4225" w:rsidRPr="00167A1B" w:rsidRDefault="008B4225" w:rsidP="008B4225">
      <w:pPr>
        <w:pStyle w:val="BodyText1"/>
        <w:rPr>
          <w:noProof w:val="0"/>
        </w:rPr>
      </w:pPr>
      <w:r w:rsidRPr="00167A1B">
        <w:rPr>
          <w:noProof w:val="0"/>
        </w:rPr>
        <w:t xml:space="preserve">Five out of the 11 devices analysed included an EPS. All included a cable, and most included a wireless charger. Option 4.a could be applied to mandate unbundling of EPS. </w:t>
      </w:r>
      <w:proofErr w:type="gramStart"/>
      <w:r w:rsidRPr="00167A1B">
        <w:rPr>
          <w:noProof w:val="0"/>
        </w:rPr>
        <w:t>With regard to</w:t>
      </w:r>
      <w:proofErr w:type="gramEnd"/>
      <w:r w:rsidRPr="00167A1B">
        <w:rPr>
          <w:noProof w:val="0"/>
        </w:rPr>
        <w:t xml:space="preserve"> the cable, given that many of these devices use proprietary connectors (and USB Type-C do not offer the right technical option), mandating unbundling of the cable (option 4.b) is not recommended. </w:t>
      </w:r>
    </w:p>
    <w:p w14:paraId="6FF99F48" w14:textId="77777777" w:rsidR="008B4225" w:rsidRPr="00167A1B" w:rsidRDefault="008B4225" w:rsidP="008B4225">
      <w:pPr>
        <w:pStyle w:val="Subtitle10"/>
        <w:rPr>
          <w:noProof w:val="0"/>
        </w:rPr>
      </w:pPr>
      <w:r w:rsidRPr="00167A1B">
        <w:rPr>
          <w:noProof w:val="0"/>
        </w:rPr>
        <w:t>Summary of policy options for other portable electronic devices</w:t>
      </w:r>
    </w:p>
    <w:p w14:paraId="566075D4" w14:textId="5A56BEDF" w:rsidR="008B4225" w:rsidRPr="00167A1B" w:rsidRDefault="008B4225" w:rsidP="008B4225">
      <w:pPr>
        <w:pStyle w:val="BodyText1"/>
        <w:rPr>
          <w:noProof w:val="0"/>
        </w:rPr>
      </w:pPr>
      <w:r w:rsidRPr="00167A1B">
        <w:rPr>
          <w:noProof w:val="0"/>
        </w:rPr>
        <w:t>The table below summarises the devices for which each policy option is relevant. ‘Yes’ indicates that the policy option could apply to that device, and the impact assessment in the remainder of this chapter explores the likely effects of this; ‘No’ indicates that, based on the information at our disposal, it is recommended that the policy option does not apply to the device because it is not the best technical option (based on the charging characteristics of the portfolio of devices analysed) and/or the negative impacts would clearly overweight the positive impacts; ‘Unnecessary’ indicates that the option is feasible technically, but would not provide any benefits in relation to the baseline scenario.</w:t>
      </w:r>
    </w:p>
    <w:p w14:paraId="4CE552A5" w14:textId="54CD0FEF" w:rsidR="002E22A9" w:rsidRPr="00167A1B" w:rsidRDefault="002E22A9" w:rsidP="005E0F2F">
      <w:pPr>
        <w:pStyle w:val="Caption"/>
      </w:pPr>
      <w:bookmarkStart w:id="70" w:name="_Ref74139458"/>
      <w:r w:rsidRPr="00167A1B">
        <w:t xml:space="preserve">Table </w:t>
      </w:r>
      <w:r w:rsidRPr="00167A1B">
        <w:fldChar w:fldCharType="begin"/>
      </w:r>
      <w:r w:rsidRPr="00167A1B">
        <w:instrText xml:space="preserve"> SEQ Table \* ARABIC </w:instrText>
      </w:r>
      <w:r w:rsidRPr="00167A1B">
        <w:fldChar w:fldCharType="separate"/>
      </w:r>
      <w:r w:rsidR="00953106" w:rsidRPr="00167A1B">
        <w:t>22</w:t>
      </w:r>
      <w:r w:rsidRPr="00167A1B">
        <w:fldChar w:fldCharType="end"/>
      </w:r>
      <w:bookmarkEnd w:id="70"/>
      <w:r w:rsidRPr="00167A1B">
        <w:t>: Summary of scope of policy options applied in the study</w:t>
      </w:r>
    </w:p>
    <w:tbl>
      <w:tblPr>
        <w:tblStyle w:val="TableGrid"/>
        <w:tblW w:w="0" w:type="auto"/>
        <w:tblLayout w:type="fixed"/>
        <w:tblCellMar>
          <w:top w:w="57" w:type="dxa"/>
          <w:left w:w="57" w:type="dxa"/>
          <w:bottom w:w="57" w:type="dxa"/>
          <w:right w:w="57" w:type="dxa"/>
        </w:tblCellMar>
        <w:tblLook w:val="04A0" w:firstRow="1" w:lastRow="0" w:firstColumn="1" w:lastColumn="0" w:noHBand="0" w:noVBand="1"/>
      </w:tblPr>
      <w:tblGrid>
        <w:gridCol w:w="1696"/>
        <w:gridCol w:w="1227"/>
        <w:gridCol w:w="1228"/>
        <w:gridCol w:w="1227"/>
        <w:gridCol w:w="1228"/>
        <w:gridCol w:w="1227"/>
        <w:gridCol w:w="1228"/>
      </w:tblGrid>
      <w:tr w:rsidR="00EE4F2C" w:rsidRPr="00167A1B" w14:paraId="120054B3" w14:textId="77777777" w:rsidTr="00DD5B8D">
        <w:trPr>
          <w:cnfStyle w:val="100000000000" w:firstRow="1" w:lastRow="0" w:firstColumn="0" w:lastColumn="0" w:oddVBand="0" w:evenVBand="0" w:oddHBand="0" w:evenHBand="0" w:firstRowFirstColumn="0" w:firstRowLastColumn="0" w:lastRowFirstColumn="0" w:lastRowLastColumn="0"/>
          <w:tblHeader/>
        </w:trPr>
        <w:tc>
          <w:tcPr>
            <w:tcW w:w="1696" w:type="dxa"/>
          </w:tcPr>
          <w:p w14:paraId="19952B58" w14:textId="77777777" w:rsidR="00EE4F2C" w:rsidRPr="00167A1B" w:rsidRDefault="00EE4F2C" w:rsidP="00DD5B8D">
            <w:pPr>
              <w:pStyle w:val="BodyText1"/>
              <w:spacing w:before="0" w:after="0"/>
              <w:jc w:val="left"/>
              <w:rPr>
                <w:noProof w:val="0"/>
                <w:sz w:val="20"/>
              </w:rPr>
            </w:pPr>
            <w:r w:rsidRPr="00167A1B">
              <w:rPr>
                <w:noProof w:val="0"/>
                <w:sz w:val="20"/>
              </w:rPr>
              <w:t>Device</w:t>
            </w:r>
          </w:p>
        </w:tc>
        <w:tc>
          <w:tcPr>
            <w:tcW w:w="1227" w:type="dxa"/>
          </w:tcPr>
          <w:p w14:paraId="0AAC89F1" w14:textId="77777777" w:rsidR="00EE4F2C" w:rsidRPr="00167A1B" w:rsidRDefault="00EE4F2C" w:rsidP="00DD5B8D">
            <w:pPr>
              <w:pStyle w:val="BodyText1"/>
              <w:spacing w:before="0" w:after="0"/>
              <w:jc w:val="center"/>
              <w:rPr>
                <w:noProof w:val="0"/>
                <w:sz w:val="20"/>
              </w:rPr>
            </w:pPr>
            <w:r w:rsidRPr="00167A1B">
              <w:rPr>
                <w:noProof w:val="0"/>
                <w:sz w:val="20"/>
              </w:rPr>
              <w:t>Option 1: Harmonise connectors</w:t>
            </w:r>
          </w:p>
        </w:tc>
        <w:tc>
          <w:tcPr>
            <w:tcW w:w="1228" w:type="dxa"/>
          </w:tcPr>
          <w:p w14:paraId="18349428" w14:textId="77777777" w:rsidR="00EE4F2C" w:rsidRPr="00167A1B" w:rsidRDefault="00EE4F2C" w:rsidP="00DD5B8D">
            <w:pPr>
              <w:pStyle w:val="BodyText1"/>
              <w:spacing w:before="0" w:after="0"/>
              <w:jc w:val="center"/>
              <w:rPr>
                <w:noProof w:val="0"/>
                <w:sz w:val="20"/>
              </w:rPr>
            </w:pPr>
            <w:r w:rsidRPr="00167A1B">
              <w:rPr>
                <w:noProof w:val="0"/>
                <w:sz w:val="20"/>
              </w:rPr>
              <w:t>Option 2: Device inter-operable</w:t>
            </w:r>
          </w:p>
        </w:tc>
        <w:tc>
          <w:tcPr>
            <w:tcW w:w="1227" w:type="dxa"/>
          </w:tcPr>
          <w:p w14:paraId="34247F73" w14:textId="77777777" w:rsidR="00EE4F2C" w:rsidRPr="00167A1B" w:rsidRDefault="00EE4F2C" w:rsidP="00DD5B8D">
            <w:pPr>
              <w:pStyle w:val="BodyText1"/>
              <w:spacing w:before="0" w:after="0"/>
              <w:jc w:val="center"/>
              <w:rPr>
                <w:noProof w:val="0"/>
                <w:sz w:val="20"/>
              </w:rPr>
            </w:pPr>
            <w:r w:rsidRPr="00167A1B">
              <w:rPr>
                <w:noProof w:val="0"/>
                <w:sz w:val="20"/>
              </w:rPr>
              <w:t>Option 3: EPS inter-operable</w:t>
            </w:r>
          </w:p>
        </w:tc>
        <w:tc>
          <w:tcPr>
            <w:tcW w:w="1228" w:type="dxa"/>
          </w:tcPr>
          <w:p w14:paraId="773A2C1A" w14:textId="77777777" w:rsidR="00EE4F2C" w:rsidRPr="00167A1B" w:rsidRDefault="00EE4F2C" w:rsidP="00DD5B8D">
            <w:pPr>
              <w:pStyle w:val="BodyText1"/>
              <w:spacing w:before="0" w:after="0"/>
              <w:jc w:val="center"/>
              <w:rPr>
                <w:noProof w:val="0"/>
                <w:sz w:val="20"/>
              </w:rPr>
            </w:pPr>
            <w:r w:rsidRPr="00167A1B">
              <w:rPr>
                <w:noProof w:val="0"/>
                <w:sz w:val="20"/>
              </w:rPr>
              <w:t>Option 4.a: Unbundling of EPS</w:t>
            </w:r>
          </w:p>
        </w:tc>
        <w:tc>
          <w:tcPr>
            <w:tcW w:w="1227" w:type="dxa"/>
          </w:tcPr>
          <w:p w14:paraId="0DBACCAC" w14:textId="77777777" w:rsidR="00EE4F2C" w:rsidRPr="00167A1B" w:rsidRDefault="00EE4F2C" w:rsidP="00DD5B8D">
            <w:pPr>
              <w:pStyle w:val="BodyText1"/>
              <w:spacing w:before="0" w:after="0"/>
              <w:jc w:val="center"/>
              <w:rPr>
                <w:noProof w:val="0"/>
                <w:sz w:val="20"/>
              </w:rPr>
            </w:pPr>
            <w:r w:rsidRPr="00167A1B">
              <w:rPr>
                <w:noProof w:val="0"/>
                <w:sz w:val="20"/>
              </w:rPr>
              <w:t>Option 4.b: Unbundling of cable</w:t>
            </w:r>
          </w:p>
        </w:tc>
        <w:tc>
          <w:tcPr>
            <w:tcW w:w="1228" w:type="dxa"/>
          </w:tcPr>
          <w:p w14:paraId="524A9343" w14:textId="77777777" w:rsidR="00EE4F2C" w:rsidRPr="00167A1B" w:rsidRDefault="00EE4F2C" w:rsidP="00DD5B8D">
            <w:pPr>
              <w:pStyle w:val="BodyText1"/>
              <w:spacing w:before="0" w:after="0"/>
              <w:jc w:val="center"/>
              <w:rPr>
                <w:noProof w:val="0"/>
                <w:sz w:val="20"/>
              </w:rPr>
            </w:pPr>
            <w:r w:rsidRPr="00167A1B">
              <w:rPr>
                <w:noProof w:val="0"/>
                <w:sz w:val="20"/>
              </w:rPr>
              <w:t>Option 5: Voluntary labelling</w:t>
            </w:r>
          </w:p>
        </w:tc>
      </w:tr>
      <w:tr w:rsidR="00EE4F2C" w:rsidRPr="00167A1B" w14:paraId="4ABCDCC1" w14:textId="77777777" w:rsidTr="00DD5B8D">
        <w:tc>
          <w:tcPr>
            <w:tcW w:w="1696" w:type="dxa"/>
          </w:tcPr>
          <w:p w14:paraId="31BE04F6" w14:textId="77777777" w:rsidR="00EE4F2C" w:rsidRPr="00167A1B" w:rsidRDefault="00EE4F2C" w:rsidP="00DD5B8D">
            <w:pPr>
              <w:pStyle w:val="BodyText1"/>
              <w:spacing w:before="0" w:after="0"/>
              <w:jc w:val="left"/>
              <w:rPr>
                <w:noProof w:val="0"/>
                <w:sz w:val="20"/>
              </w:rPr>
            </w:pPr>
            <w:r w:rsidRPr="00167A1B">
              <w:rPr>
                <w:noProof w:val="0"/>
                <w:sz w:val="20"/>
              </w:rPr>
              <w:t>Tablets</w:t>
            </w:r>
          </w:p>
        </w:tc>
        <w:tc>
          <w:tcPr>
            <w:tcW w:w="1227" w:type="dxa"/>
          </w:tcPr>
          <w:p w14:paraId="61D1121A" w14:textId="77777777" w:rsidR="00EE4F2C" w:rsidRPr="00167A1B" w:rsidRDefault="00EE4F2C" w:rsidP="00DD5B8D">
            <w:pPr>
              <w:pStyle w:val="BodyText1"/>
              <w:spacing w:before="0" w:after="0"/>
              <w:jc w:val="center"/>
              <w:rPr>
                <w:noProof w:val="0"/>
                <w:sz w:val="20"/>
              </w:rPr>
            </w:pPr>
            <w:r w:rsidRPr="00167A1B">
              <w:rPr>
                <w:noProof w:val="0"/>
                <w:sz w:val="20"/>
              </w:rPr>
              <w:t>Yes</w:t>
            </w:r>
          </w:p>
        </w:tc>
        <w:tc>
          <w:tcPr>
            <w:tcW w:w="1228" w:type="dxa"/>
          </w:tcPr>
          <w:p w14:paraId="2CB06D40" w14:textId="77777777" w:rsidR="00EE4F2C" w:rsidRPr="00167A1B" w:rsidRDefault="00EE4F2C" w:rsidP="00DD5B8D">
            <w:pPr>
              <w:pStyle w:val="BodyText1"/>
              <w:spacing w:before="0" w:after="0"/>
              <w:jc w:val="center"/>
              <w:rPr>
                <w:noProof w:val="0"/>
                <w:sz w:val="20"/>
              </w:rPr>
            </w:pPr>
            <w:r w:rsidRPr="00167A1B">
              <w:rPr>
                <w:noProof w:val="0"/>
                <w:sz w:val="20"/>
              </w:rPr>
              <w:t>Yes</w:t>
            </w:r>
          </w:p>
        </w:tc>
        <w:tc>
          <w:tcPr>
            <w:tcW w:w="1227" w:type="dxa"/>
          </w:tcPr>
          <w:p w14:paraId="075C091E" w14:textId="77777777" w:rsidR="00EE4F2C" w:rsidRPr="00167A1B" w:rsidRDefault="00EE4F2C" w:rsidP="00DD5B8D">
            <w:pPr>
              <w:pStyle w:val="BodyText1"/>
              <w:spacing w:before="0" w:after="0"/>
              <w:jc w:val="center"/>
              <w:rPr>
                <w:noProof w:val="0"/>
                <w:sz w:val="20"/>
              </w:rPr>
            </w:pPr>
            <w:r w:rsidRPr="00167A1B">
              <w:rPr>
                <w:noProof w:val="0"/>
                <w:sz w:val="20"/>
              </w:rPr>
              <w:t>Yes</w:t>
            </w:r>
          </w:p>
        </w:tc>
        <w:tc>
          <w:tcPr>
            <w:tcW w:w="1228" w:type="dxa"/>
          </w:tcPr>
          <w:p w14:paraId="70D687B5" w14:textId="77777777" w:rsidR="00EE4F2C" w:rsidRPr="00167A1B" w:rsidRDefault="00EE4F2C" w:rsidP="00DD5B8D">
            <w:pPr>
              <w:pStyle w:val="BodyText1"/>
              <w:spacing w:before="0" w:after="0"/>
              <w:jc w:val="center"/>
              <w:rPr>
                <w:noProof w:val="0"/>
                <w:sz w:val="20"/>
              </w:rPr>
            </w:pPr>
            <w:r w:rsidRPr="00167A1B">
              <w:rPr>
                <w:noProof w:val="0"/>
                <w:sz w:val="20"/>
              </w:rPr>
              <w:t>Yes</w:t>
            </w:r>
          </w:p>
        </w:tc>
        <w:tc>
          <w:tcPr>
            <w:tcW w:w="1227" w:type="dxa"/>
          </w:tcPr>
          <w:p w14:paraId="7121135A" w14:textId="77777777" w:rsidR="00EE4F2C" w:rsidRPr="00167A1B" w:rsidRDefault="00EE4F2C" w:rsidP="00DD5B8D">
            <w:pPr>
              <w:pStyle w:val="BodyText1"/>
              <w:spacing w:before="0" w:after="0"/>
              <w:jc w:val="center"/>
              <w:rPr>
                <w:noProof w:val="0"/>
                <w:sz w:val="20"/>
              </w:rPr>
            </w:pPr>
            <w:r w:rsidRPr="00167A1B">
              <w:rPr>
                <w:noProof w:val="0"/>
                <w:sz w:val="20"/>
              </w:rPr>
              <w:t>Yes</w:t>
            </w:r>
          </w:p>
        </w:tc>
        <w:tc>
          <w:tcPr>
            <w:tcW w:w="1228" w:type="dxa"/>
          </w:tcPr>
          <w:p w14:paraId="1CF0536A" w14:textId="77777777" w:rsidR="00EE4F2C" w:rsidRPr="00167A1B" w:rsidRDefault="00EE4F2C" w:rsidP="00DD5B8D">
            <w:pPr>
              <w:pStyle w:val="BodyText1"/>
              <w:spacing w:before="0" w:after="0"/>
              <w:jc w:val="center"/>
              <w:rPr>
                <w:noProof w:val="0"/>
                <w:sz w:val="20"/>
              </w:rPr>
            </w:pPr>
            <w:r w:rsidRPr="00167A1B">
              <w:rPr>
                <w:noProof w:val="0"/>
                <w:sz w:val="20"/>
              </w:rPr>
              <w:t>Yes</w:t>
            </w:r>
          </w:p>
        </w:tc>
      </w:tr>
      <w:tr w:rsidR="001D2769" w:rsidRPr="00167A1B" w14:paraId="3FAAE4B1" w14:textId="77777777" w:rsidTr="00DD5B8D">
        <w:tc>
          <w:tcPr>
            <w:tcW w:w="1696" w:type="dxa"/>
          </w:tcPr>
          <w:p w14:paraId="4A6DAA62" w14:textId="77777777" w:rsidR="001D2769" w:rsidRPr="00167A1B" w:rsidRDefault="001D2769" w:rsidP="001D2769">
            <w:pPr>
              <w:pStyle w:val="BodyText1"/>
              <w:spacing w:before="0" w:after="0"/>
              <w:jc w:val="left"/>
              <w:rPr>
                <w:noProof w:val="0"/>
                <w:sz w:val="20"/>
              </w:rPr>
            </w:pPr>
            <w:r w:rsidRPr="00167A1B">
              <w:rPr>
                <w:noProof w:val="0"/>
                <w:sz w:val="20"/>
              </w:rPr>
              <w:t>Cameras</w:t>
            </w:r>
          </w:p>
        </w:tc>
        <w:tc>
          <w:tcPr>
            <w:tcW w:w="1227" w:type="dxa"/>
          </w:tcPr>
          <w:p w14:paraId="6C2E5C5F" w14:textId="77777777" w:rsidR="001D2769" w:rsidRPr="00167A1B" w:rsidRDefault="001D2769" w:rsidP="001D2769">
            <w:pPr>
              <w:pStyle w:val="BodyText1"/>
              <w:spacing w:before="0" w:after="0"/>
              <w:jc w:val="center"/>
              <w:rPr>
                <w:noProof w:val="0"/>
                <w:sz w:val="20"/>
              </w:rPr>
            </w:pPr>
            <w:r w:rsidRPr="00167A1B">
              <w:rPr>
                <w:noProof w:val="0"/>
                <w:sz w:val="20"/>
              </w:rPr>
              <w:t>Yes</w:t>
            </w:r>
          </w:p>
        </w:tc>
        <w:tc>
          <w:tcPr>
            <w:tcW w:w="1228" w:type="dxa"/>
          </w:tcPr>
          <w:p w14:paraId="499AA27F" w14:textId="36F891AD" w:rsidR="001D2769" w:rsidRPr="00167A1B" w:rsidRDefault="001D2769" w:rsidP="001D2769">
            <w:pPr>
              <w:pStyle w:val="BodyText1"/>
              <w:spacing w:before="0" w:after="0"/>
              <w:jc w:val="center"/>
              <w:rPr>
                <w:noProof w:val="0"/>
                <w:sz w:val="20"/>
              </w:rPr>
            </w:pPr>
            <w:proofErr w:type="gramStart"/>
            <w:r w:rsidRPr="00167A1B">
              <w:rPr>
                <w:noProof w:val="0"/>
                <w:sz w:val="20"/>
              </w:rPr>
              <w:t>No</w:t>
            </w:r>
            <w:r w:rsidR="000E7043" w:rsidRPr="00167A1B">
              <w:rPr>
                <w:noProof w:val="0"/>
                <w:sz w:val="20"/>
                <w:vertAlign w:val="superscript"/>
              </w:rPr>
              <w:t>(</w:t>
            </w:r>
            <w:proofErr w:type="gramEnd"/>
            <w:r w:rsidR="000E7043" w:rsidRPr="00167A1B">
              <w:rPr>
                <w:noProof w:val="0"/>
                <w:sz w:val="20"/>
                <w:vertAlign w:val="superscript"/>
              </w:rPr>
              <w:t>1)</w:t>
            </w:r>
          </w:p>
        </w:tc>
        <w:tc>
          <w:tcPr>
            <w:tcW w:w="1227" w:type="dxa"/>
          </w:tcPr>
          <w:p w14:paraId="4C58B0E3" w14:textId="11B31CD3" w:rsidR="001D2769" w:rsidRPr="00167A1B" w:rsidRDefault="001D2769" w:rsidP="001D2769">
            <w:pPr>
              <w:pStyle w:val="BodyText1"/>
              <w:spacing w:before="0" w:after="0"/>
              <w:jc w:val="center"/>
              <w:rPr>
                <w:noProof w:val="0"/>
                <w:sz w:val="20"/>
              </w:rPr>
            </w:pPr>
            <w:r w:rsidRPr="00167A1B">
              <w:rPr>
                <w:noProof w:val="0"/>
                <w:sz w:val="20"/>
              </w:rPr>
              <w:t>No</w:t>
            </w:r>
          </w:p>
        </w:tc>
        <w:tc>
          <w:tcPr>
            <w:tcW w:w="1228" w:type="dxa"/>
          </w:tcPr>
          <w:p w14:paraId="0186CAA3" w14:textId="1E54783E" w:rsidR="001D2769" w:rsidRPr="00167A1B" w:rsidRDefault="001D2769" w:rsidP="001D2769">
            <w:pPr>
              <w:pStyle w:val="BodyText1"/>
              <w:spacing w:before="0" w:after="0"/>
              <w:jc w:val="center"/>
              <w:rPr>
                <w:noProof w:val="0"/>
                <w:sz w:val="20"/>
              </w:rPr>
            </w:pPr>
            <w:r w:rsidRPr="00167A1B">
              <w:rPr>
                <w:noProof w:val="0"/>
                <w:sz w:val="20"/>
              </w:rPr>
              <w:t>Yes</w:t>
            </w:r>
          </w:p>
        </w:tc>
        <w:tc>
          <w:tcPr>
            <w:tcW w:w="1227" w:type="dxa"/>
          </w:tcPr>
          <w:p w14:paraId="2B187E59" w14:textId="77777777" w:rsidR="001D2769" w:rsidRPr="00167A1B" w:rsidRDefault="001D2769" w:rsidP="001D2769">
            <w:pPr>
              <w:pStyle w:val="BodyText1"/>
              <w:spacing w:before="0" w:after="0"/>
              <w:jc w:val="center"/>
              <w:rPr>
                <w:noProof w:val="0"/>
                <w:sz w:val="20"/>
              </w:rPr>
            </w:pPr>
            <w:r w:rsidRPr="00167A1B">
              <w:rPr>
                <w:noProof w:val="0"/>
                <w:sz w:val="20"/>
              </w:rPr>
              <w:t>Yes</w:t>
            </w:r>
          </w:p>
        </w:tc>
        <w:tc>
          <w:tcPr>
            <w:tcW w:w="1228" w:type="dxa"/>
          </w:tcPr>
          <w:p w14:paraId="65B3D979" w14:textId="77777777" w:rsidR="001D2769" w:rsidRPr="00167A1B" w:rsidRDefault="001D2769" w:rsidP="001D2769">
            <w:pPr>
              <w:pStyle w:val="BodyText1"/>
              <w:spacing w:before="0" w:after="0"/>
              <w:jc w:val="center"/>
              <w:rPr>
                <w:noProof w:val="0"/>
                <w:sz w:val="20"/>
              </w:rPr>
            </w:pPr>
            <w:r w:rsidRPr="00167A1B">
              <w:rPr>
                <w:noProof w:val="0"/>
                <w:sz w:val="20"/>
              </w:rPr>
              <w:t>Yes</w:t>
            </w:r>
          </w:p>
        </w:tc>
      </w:tr>
      <w:tr w:rsidR="001D2769" w:rsidRPr="00167A1B" w14:paraId="0D705E83" w14:textId="77777777" w:rsidTr="00DD5B8D">
        <w:tc>
          <w:tcPr>
            <w:tcW w:w="1696" w:type="dxa"/>
          </w:tcPr>
          <w:p w14:paraId="1A14217C" w14:textId="77777777" w:rsidR="001D2769" w:rsidRPr="00167A1B" w:rsidRDefault="001D2769" w:rsidP="001D2769">
            <w:pPr>
              <w:pStyle w:val="BodyText1"/>
              <w:spacing w:before="0" w:after="0"/>
              <w:jc w:val="left"/>
              <w:rPr>
                <w:noProof w:val="0"/>
                <w:sz w:val="20"/>
              </w:rPr>
            </w:pPr>
            <w:r w:rsidRPr="00167A1B">
              <w:rPr>
                <w:noProof w:val="0"/>
                <w:sz w:val="20"/>
              </w:rPr>
              <w:t>Hearing devices</w:t>
            </w:r>
          </w:p>
        </w:tc>
        <w:tc>
          <w:tcPr>
            <w:tcW w:w="1227" w:type="dxa"/>
          </w:tcPr>
          <w:p w14:paraId="11555AF5" w14:textId="77777777" w:rsidR="001D2769" w:rsidRPr="00167A1B" w:rsidRDefault="001D2769" w:rsidP="001D2769">
            <w:pPr>
              <w:pStyle w:val="BodyText1"/>
              <w:spacing w:before="0" w:after="0"/>
              <w:jc w:val="center"/>
              <w:rPr>
                <w:noProof w:val="0"/>
                <w:sz w:val="20"/>
              </w:rPr>
            </w:pPr>
            <w:r w:rsidRPr="00167A1B">
              <w:rPr>
                <w:noProof w:val="0"/>
                <w:sz w:val="20"/>
              </w:rPr>
              <w:t>Yes</w:t>
            </w:r>
          </w:p>
        </w:tc>
        <w:tc>
          <w:tcPr>
            <w:tcW w:w="1228" w:type="dxa"/>
          </w:tcPr>
          <w:p w14:paraId="128F125E" w14:textId="1F6580D4" w:rsidR="001D2769" w:rsidRPr="00167A1B" w:rsidRDefault="001D2769" w:rsidP="001D2769">
            <w:pPr>
              <w:pStyle w:val="BodyText1"/>
              <w:spacing w:before="0" w:after="0"/>
              <w:jc w:val="center"/>
              <w:rPr>
                <w:noProof w:val="0"/>
                <w:sz w:val="20"/>
              </w:rPr>
            </w:pPr>
            <w:proofErr w:type="gramStart"/>
            <w:r w:rsidRPr="00167A1B">
              <w:rPr>
                <w:noProof w:val="0"/>
                <w:sz w:val="20"/>
              </w:rPr>
              <w:t>No</w:t>
            </w:r>
            <w:r w:rsidR="000E7043" w:rsidRPr="00167A1B">
              <w:rPr>
                <w:noProof w:val="0"/>
                <w:sz w:val="20"/>
                <w:vertAlign w:val="superscript"/>
              </w:rPr>
              <w:t>(</w:t>
            </w:r>
            <w:proofErr w:type="gramEnd"/>
            <w:r w:rsidR="000E7043" w:rsidRPr="00167A1B">
              <w:rPr>
                <w:noProof w:val="0"/>
                <w:sz w:val="20"/>
                <w:vertAlign w:val="superscript"/>
              </w:rPr>
              <w:t>1)</w:t>
            </w:r>
          </w:p>
        </w:tc>
        <w:tc>
          <w:tcPr>
            <w:tcW w:w="1227" w:type="dxa"/>
          </w:tcPr>
          <w:p w14:paraId="15C05DD1" w14:textId="2C28D5D9" w:rsidR="001D2769" w:rsidRPr="00167A1B" w:rsidRDefault="001D2769" w:rsidP="001D2769">
            <w:pPr>
              <w:pStyle w:val="BodyText1"/>
              <w:spacing w:before="0" w:after="0"/>
              <w:jc w:val="center"/>
              <w:rPr>
                <w:noProof w:val="0"/>
                <w:sz w:val="20"/>
              </w:rPr>
            </w:pPr>
            <w:r w:rsidRPr="00167A1B">
              <w:rPr>
                <w:noProof w:val="0"/>
                <w:sz w:val="20"/>
              </w:rPr>
              <w:t>No</w:t>
            </w:r>
          </w:p>
        </w:tc>
        <w:tc>
          <w:tcPr>
            <w:tcW w:w="1228" w:type="dxa"/>
          </w:tcPr>
          <w:p w14:paraId="0FDBE136" w14:textId="6F907727" w:rsidR="001D2769" w:rsidRPr="00167A1B" w:rsidRDefault="001D2769" w:rsidP="001D2769">
            <w:pPr>
              <w:pStyle w:val="BodyText1"/>
              <w:spacing w:before="0" w:after="0"/>
              <w:jc w:val="center"/>
              <w:rPr>
                <w:noProof w:val="0"/>
                <w:sz w:val="20"/>
              </w:rPr>
            </w:pPr>
            <w:r w:rsidRPr="00167A1B">
              <w:rPr>
                <w:noProof w:val="0"/>
                <w:sz w:val="20"/>
              </w:rPr>
              <w:t>Un-necessary</w:t>
            </w:r>
          </w:p>
        </w:tc>
        <w:tc>
          <w:tcPr>
            <w:tcW w:w="1227" w:type="dxa"/>
          </w:tcPr>
          <w:p w14:paraId="015B96A2" w14:textId="77777777" w:rsidR="001D2769" w:rsidRPr="00167A1B" w:rsidRDefault="001D2769" w:rsidP="001D2769">
            <w:pPr>
              <w:pStyle w:val="BodyText1"/>
              <w:spacing w:before="0" w:after="0"/>
              <w:jc w:val="center"/>
              <w:rPr>
                <w:noProof w:val="0"/>
                <w:sz w:val="20"/>
              </w:rPr>
            </w:pPr>
            <w:r w:rsidRPr="00167A1B">
              <w:rPr>
                <w:noProof w:val="0"/>
                <w:sz w:val="20"/>
              </w:rPr>
              <w:t>Yes</w:t>
            </w:r>
          </w:p>
        </w:tc>
        <w:tc>
          <w:tcPr>
            <w:tcW w:w="1228" w:type="dxa"/>
          </w:tcPr>
          <w:p w14:paraId="31AE794D" w14:textId="77777777" w:rsidR="001D2769" w:rsidRPr="00167A1B" w:rsidRDefault="001D2769" w:rsidP="001D2769">
            <w:pPr>
              <w:pStyle w:val="BodyText1"/>
              <w:spacing w:before="0" w:after="0"/>
              <w:jc w:val="center"/>
              <w:rPr>
                <w:noProof w:val="0"/>
                <w:sz w:val="20"/>
              </w:rPr>
            </w:pPr>
            <w:r w:rsidRPr="00167A1B">
              <w:rPr>
                <w:noProof w:val="0"/>
                <w:sz w:val="20"/>
              </w:rPr>
              <w:t>Yes</w:t>
            </w:r>
          </w:p>
        </w:tc>
      </w:tr>
      <w:tr w:rsidR="008A5631" w:rsidRPr="00167A1B" w14:paraId="3F6F6860" w14:textId="77777777" w:rsidTr="00DD5B8D">
        <w:tc>
          <w:tcPr>
            <w:tcW w:w="1696" w:type="dxa"/>
          </w:tcPr>
          <w:p w14:paraId="2AE676E9" w14:textId="77777777" w:rsidR="008A5631" w:rsidRPr="00167A1B" w:rsidRDefault="008A5631" w:rsidP="008A5631">
            <w:pPr>
              <w:pStyle w:val="BodyText1"/>
              <w:spacing w:before="0" w:after="0"/>
              <w:jc w:val="left"/>
              <w:rPr>
                <w:noProof w:val="0"/>
                <w:sz w:val="20"/>
              </w:rPr>
            </w:pPr>
            <w:r w:rsidRPr="00167A1B">
              <w:rPr>
                <w:noProof w:val="0"/>
                <w:sz w:val="20"/>
              </w:rPr>
              <w:t>Hand-held video game consoles</w:t>
            </w:r>
          </w:p>
        </w:tc>
        <w:tc>
          <w:tcPr>
            <w:tcW w:w="1227" w:type="dxa"/>
          </w:tcPr>
          <w:p w14:paraId="666C8406" w14:textId="77777777" w:rsidR="008A5631" w:rsidRPr="00167A1B" w:rsidRDefault="008A5631" w:rsidP="008A5631">
            <w:pPr>
              <w:pStyle w:val="BodyText1"/>
              <w:spacing w:before="0" w:after="0"/>
              <w:jc w:val="center"/>
              <w:rPr>
                <w:noProof w:val="0"/>
                <w:sz w:val="20"/>
              </w:rPr>
            </w:pPr>
            <w:r w:rsidRPr="00167A1B">
              <w:rPr>
                <w:noProof w:val="0"/>
                <w:sz w:val="20"/>
              </w:rPr>
              <w:t>Yes</w:t>
            </w:r>
          </w:p>
        </w:tc>
        <w:tc>
          <w:tcPr>
            <w:tcW w:w="1228" w:type="dxa"/>
          </w:tcPr>
          <w:p w14:paraId="6C11C54A" w14:textId="4C3BA869" w:rsidR="008A5631" w:rsidRPr="00167A1B" w:rsidRDefault="008A5631" w:rsidP="008A5631">
            <w:pPr>
              <w:pStyle w:val="BodyText1"/>
              <w:spacing w:before="0" w:after="0"/>
              <w:jc w:val="center"/>
              <w:rPr>
                <w:noProof w:val="0"/>
                <w:sz w:val="20"/>
              </w:rPr>
            </w:pPr>
            <w:r w:rsidRPr="00167A1B">
              <w:rPr>
                <w:noProof w:val="0"/>
                <w:sz w:val="20"/>
              </w:rPr>
              <w:t>Yes</w:t>
            </w:r>
          </w:p>
        </w:tc>
        <w:tc>
          <w:tcPr>
            <w:tcW w:w="1227" w:type="dxa"/>
          </w:tcPr>
          <w:p w14:paraId="00CA87A5" w14:textId="27B8A973" w:rsidR="008A5631" w:rsidRPr="00167A1B" w:rsidRDefault="008A5631" w:rsidP="008A5631">
            <w:pPr>
              <w:pStyle w:val="BodyText1"/>
              <w:spacing w:before="0" w:after="0"/>
              <w:jc w:val="center"/>
              <w:rPr>
                <w:noProof w:val="0"/>
                <w:sz w:val="20"/>
              </w:rPr>
            </w:pPr>
            <w:r w:rsidRPr="00167A1B">
              <w:rPr>
                <w:noProof w:val="0"/>
                <w:sz w:val="20"/>
              </w:rPr>
              <w:t>Yes</w:t>
            </w:r>
          </w:p>
        </w:tc>
        <w:tc>
          <w:tcPr>
            <w:tcW w:w="1228" w:type="dxa"/>
          </w:tcPr>
          <w:p w14:paraId="74C27DCF" w14:textId="77777777" w:rsidR="008A5631" w:rsidRPr="00167A1B" w:rsidRDefault="008A5631" w:rsidP="008A5631">
            <w:pPr>
              <w:pStyle w:val="BodyText1"/>
              <w:spacing w:before="0" w:after="0"/>
              <w:jc w:val="center"/>
              <w:rPr>
                <w:noProof w:val="0"/>
                <w:sz w:val="20"/>
              </w:rPr>
            </w:pPr>
            <w:r w:rsidRPr="00167A1B">
              <w:rPr>
                <w:noProof w:val="0"/>
                <w:sz w:val="20"/>
              </w:rPr>
              <w:t>Yes</w:t>
            </w:r>
          </w:p>
        </w:tc>
        <w:tc>
          <w:tcPr>
            <w:tcW w:w="1227" w:type="dxa"/>
          </w:tcPr>
          <w:p w14:paraId="6461693B" w14:textId="77777777" w:rsidR="008A5631" w:rsidRPr="00167A1B" w:rsidRDefault="008A5631" w:rsidP="008A5631">
            <w:pPr>
              <w:pStyle w:val="BodyText1"/>
              <w:spacing w:before="0" w:after="0"/>
              <w:jc w:val="center"/>
              <w:rPr>
                <w:noProof w:val="0"/>
                <w:sz w:val="20"/>
              </w:rPr>
            </w:pPr>
            <w:r w:rsidRPr="00167A1B">
              <w:rPr>
                <w:noProof w:val="0"/>
                <w:sz w:val="20"/>
              </w:rPr>
              <w:t>Yes</w:t>
            </w:r>
          </w:p>
        </w:tc>
        <w:tc>
          <w:tcPr>
            <w:tcW w:w="1228" w:type="dxa"/>
          </w:tcPr>
          <w:p w14:paraId="080EEB8E" w14:textId="77777777" w:rsidR="008A5631" w:rsidRPr="00167A1B" w:rsidRDefault="008A5631" w:rsidP="008A5631">
            <w:pPr>
              <w:pStyle w:val="BodyText1"/>
              <w:spacing w:before="0" w:after="0"/>
              <w:jc w:val="center"/>
              <w:rPr>
                <w:noProof w:val="0"/>
                <w:sz w:val="20"/>
              </w:rPr>
            </w:pPr>
            <w:r w:rsidRPr="00167A1B">
              <w:rPr>
                <w:noProof w:val="0"/>
                <w:sz w:val="20"/>
              </w:rPr>
              <w:t>Yes</w:t>
            </w:r>
          </w:p>
        </w:tc>
      </w:tr>
      <w:tr w:rsidR="008A5631" w:rsidRPr="00167A1B" w14:paraId="7260584E" w14:textId="77777777" w:rsidTr="00DD5B8D">
        <w:tc>
          <w:tcPr>
            <w:tcW w:w="1696" w:type="dxa"/>
          </w:tcPr>
          <w:p w14:paraId="3003F0C9" w14:textId="77777777" w:rsidR="008A5631" w:rsidRPr="00167A1B" w:rsidRDefault="008A5631" w:rsidP="008A5631">
            <w:pPr>
              <w:pStyle w:val="BodyText1"/>
              <w:spacing w:before="0" w:after="0"/>
              <w:jc w:val="left"/>
              <w:rPr>
                <w:noProof w:val="0"/>
                <w:sz w:val="20"/>
              </w:rPr>
            </w:pPr>
            <w:r w:rsidRPr="00167A1B">
              <w:rPr>
                <w:noProof w:val="0"/>
                <w:sz w:val="20"/>
              </w:rPr>
              <w:lastRenderedPageBreak/>
              <w:t>Portable speakers</w:t>
            </w:r>
          </w:p>
        </w:tc>
        <w:tc>
          <w:tcPr>
            <w:tcW w:w="1227" w:type="dxa"/>
          </w:tcPr>
          <w:p w14:paraId="2239148E" w14:textId="578520B2" w:rsidR="008A5631" w:rsidRPr="00167A1B" w:rsidRDefault="008A5631" w:rsidP="008A5631">
            <w:pPr>
              <w:pStyle w:val="BodyText1"/>
              <w:spacing w:before="0" w:after="0"/>
              <w:jc w:val="center"/>
              <w:rPr>
                <w:noProof w:val="0"/>
                <w:sz w:val="20"/>
              </w:rPr>
            </w:pPr>
            <w:r w:rsidRPr="00167A1B">
              <w:rPr>
                <w:noProof w:val="0"/>
                <w:sz w:val="20"/>
              </w:rPr>
              <w:t>Yes</w:t>
            </w:r>
          </w:p>
        </w:tc>
        <w:tc>
          <w:tcPr>
            <w:tcW w:w="1228" w:type="dxa"/>
          </w:tcPr>
          <w:p w14:paraId="02D654A5" w14:textId="294424A2" w:rsidR="008A5631" w:rsidRPr="00167A1B" w:rsidRDefault="008A5631" w:rsidP="008A5631">
            <w:pPr>
              <w:pStyle w:val="BodyText1"/>
              <w:spacing w:before="0" w:after="0"/>
              <w:jc w:val="center"/>
              <w:rPr>
                <w:noProof w:val="0"/>
                <w:sz w:val="20"/>
              </w:rPr>
            </w:pPr>
            <w:r w:rsidRPr="00167A1B">
              <w:rPr>
                <w:noProof w:val="0"/>
                <w:sz w:val="20"/>
              </w:rPr>
              <w:t>Yes</w:t>
            </w:r>
          </w:p>
        </w:tc>
        <w:tc>
          <w:tcPr>
            <w:tcW w:w="1227" w:type="dxa"/>
          </w:tcPr>
          <w:p w14:paraId="7379F53C" w14:textId="363E17C5" w:rsidR="008A5631" w:rsidRPr="00167A1B" w:rsidRDefault="008A5631" w:rsidP="008A5631">
            <w:pPr>
              <w:pStyle w:val="BodyText1"/>
              <w:spacing w:before="0" w:after="0"/>
              <w:jc w:val="center"/>
              <w:rPr>
                <w:noProof w:val="0"/>
                <w:sz w:val="20"/>
              </w:rPr>
            </w:pPr>
            <w:r w:rsidRPr="00167A1B">
              <w:rPr>
                <w:noProof w:val="0"/>
                <w:sz w:val="20"/>
              </w:rPr>
              <w:t>Yes</w:t>
            </w:r>
          </w:p>
        </w:tc>
        <w:tc>
          <w:tcPr>
            <w:tcW w:w="1228" w:type="dxa"/>
          </w:tcPr>
          <w:p w14:paraId="28C200F4" w14:textId="77777777" w:rsidR="008A5631" w:rsidRPr="00167A1B" w:rsidRDefault="008A5631" w:rsidP="008A5631">
            <w:pPr>
              <w:pStyle w:val="BodyText1"/>
              <w:spacing w:before="0" w:after="0"/>
              <w:jc w:val="center"/>
              <w:rPr>
                <w:noProof w:val="0"/>
                <w:sz w:val="20"/>
              </w:rPr>
            </w:pPr>
            <w:r w:rsidRPr="00167A1B">
              <w:rPr>
                <w:noProof w:val="0"/>
                <w:sz w:val="20"/>
              </w:rPr>
              <w:t>Yes</w:t>
            </w:r>
          </w:p>
        </w:tc>
        <w:tc>
          <w:tcPr>
            <w:tcW w:w="1227" w:type="dxa"/>
          </w:tcPr>
          <w:p w14:paraId="35AB4850" w14:textId="77777777" w:rsidR="008A5631" w:rsidRPr="00167A1B" w:rsidRDefault="008A5631" w:rsidP="008A5631">
            <w:pPr>
              <w:pStyle w:val="BodyText1"/>
              <w:spacing w:before="0" w:after="0"/>
              <w:jc w:val="center"/>
              <w:rPr>
                <w:noProof w:val="0"/>
                <w:sz w:val="20"/>
              </w:rPr>
            </w:pPr>
            <w:r w:rsidRPr="00167A1B">
              <w:rPr>
                <w:noProof w:val="0"/>
                <w:sz w:val="20"/>
              </w:rPr>
              <w:t>Yes</w:t>
            </w:r>
          </w:p>
        </w:tc>
        <w:tc>
          <w:tcPr>
            <w:tcW w:w="1228" w:type="dxa"/>
          </w:tcPr>
          <w:p w14:paraId="0701FD55" w14:textId="77777777" w:rsidR="008A5631" w:rsidRPr="00167A1B" w:rsidRDefault="008A5631" w:rsidP="008A5631">
            <w:pPr>
              <w:pStyle w:val="BodyText1"/>
              <w:spacing w:before="0" w:after="0"/>
              <w:jc w:val="center"/>
              <w:rPr>
                <w:noProof w:val="0"/>
                <w:sz w:val="20"/>
              </w:rPr>
            </w:pPr>
            <w:r w:rsidRPr="00167A1B">
              <w:rPr>
                <w:noProof w:val="0"/>
                <w:sz w:val="20"/>
              </w:rPr>
              <w:t>Yes</w:t>
            </w:r>
          </w:p>
        </w:tc>
      </w:tr>
      <w:tr w:rsidR="008A5631" w:rsidRPr="00167A1B" w14:paraId="30FC7065" w14:textId="77777777" w:rsidTr="00DD5B8D">
        <w:tc>
          <w:tcPr>
            <w:tcW w:w="1696" w:type="dxa"/>
          </w:tcPr>
          <w:p w14:paraId="75288B8A" w14:textId="77777777" w:rsidR="008A5631" w:rsidRPr="00167A1B" w:rsidRDefault="008A5631" w:rsidP="008A5631">
            <w:pPr>
              <w:pStyle w:val="BodyText1"/>
              <w:spacing w:before="0" w:after="0"/>
              <w:jc w:val="left"/>
              <w:rPr>
                <w:noProof w:val="0"/>
                <w:sz w:val="20"/>
              </w:rPr>
            </w:pPr>
            <w:r w:rsidRPr="00167A1B">
              <w:rPr>
                <w:noProof w:val="0"/>
                <w:sz w:val="20"/>
              </w:rPr>
              <w:t>E-readers</w:t>
            </w:r>
          </w:p>
        </w:tc>
        <w:tc>
          <w:tcPr>
            <w:tcW w:w="1227" w:type="dxa"/>
          </w:tcPr>
          <w:p w14:paraId="2F7E19DB" w14:textId="33B1FA84" w:rsidR="008A5631" w:rsidRPr="00167A1B" w:rsidRDefault="008A5631" w:rsidP="008A5631">
            <w:pPr>
              <w:pStyle w:val="BodyText1"/>
              <w:spacing w:before="0" w:after="0"/>
              <w:jc w:val="center"/>
              <w:rPr>
                <w:noProof w:val="0"/>
                <w:sz w:val="20"/>
              </w:rPr>
            </w:pPr>
            <w:r w:rsidRPr="00167A1B">
              <w:rPr>
                <w:noProof w:val="0"/>
                <w:sz w:val="20"/>
              </w:rPr>
              <w:t>No</w:t>
            </w:r>
          </w:p>
        </w:tc>
        <w:tc>
          <w:tcPr>
            <w:tcW w:w="1228" w:type="dxa"/>
          </w:tcPr>
          <w:p w14:paraId="13B2AF9E" w14:textId="77777777" w:rsidR="008A5631" w:rsidRPr="00167A1B" w:rsidRDefault="008A5631" w:rsidP="008A5631">
            <w:pPr>
              <w:pStyle w:val="BodyText1"/>
              <w:spacing w:before="0" w:after="0"/>
              <w:jc w:val="center"/>
              <w:rPr>
                <w:noProof w:val="0"/>
                <w:sz w:val="20"/>
              </w:rPr>
            </w:pPr>
            <w:r w:rsidRPr="00167A1B">
              <w:rPr>
                <w:noProof w:val="0"/>
                <w:sz w:val="20"/>
              </w:rPr>
              <w:t>No</w:t>
            </w:r>
          </w:p>
        </w:tc>
        <w:tc>
          <w:tcPr>
            <w:tcW w:w="1227" w:type="dxa"/>
          </w:tcPr>
          <w:p w14:paraId="4907F7B2" w14:textId="77777777" w:rsidR="008A5631" w:rsidRPr="00167A1B" w:rsidRDefault="008A5631" w:rsidP="008A5631">
            <w:pPr>
              <w:pStyle w:val="BodyText1"/>
              <w:spacing w:before="0" w:after="0"/>
              <w:jc w:val="center"/>
              <w:rPr>
                <w:noProof w:val="0"/>
                <w:sz w:val="20"/>
              </w:rPr>
            </w:pPr>
            <w:r w:rsidRPr="00167A1B">
              <w:rPr>
                <w:noProof w:val="0"/>
                <w:sz w:val="20"/>
              </w:rPr>
              <w:t>No</w:t>
            </w:r>
          </w:p>
        </w:tc>
        <w:tc>
          <w:tcPr>
            <w:tcW w:w="1228" w:type="dxa"/>
          </w:tcPr>
          <w:p w14:paraId="51B64373" w14:textId="77777777" w:rsidR="008A5631" w:rsidRPr="00167A1B" w:rsidRDefault="008A5631" w:rsidP="008A5631">
            <w:pPr>
              <w:pStyle w:val="BodyText1"/>
              <w:spacing w:before="0" w:after="0"/>
              <w:jc w:val="center"/>
              <w:rPr>
                <w:noProof w:val="0"/>
                <w:sz w:val="20"/>
              </w:rPr>
            </w:pPr>
            <w:r w:rsidRPr="00167A1B">
              <w:rPr>
                <w:noProof w:val="0"/>
                <w:sz w:val="20"/>
              </w:rPr>
              <w:t>Un-necessary</w:t>
            </w:r>
          </w:p>
        </w:tc>
        <w:tc>
          <w:tcPr>
            <w:tcW w:w="1227" w:type="dxa"/>
          </w:tcPr>
          <w:p w14:paraId="5846802C" w14:textId="77777777" w:rsidR="008A5631" w:rsidRPr="00167A1B" w:rsidRDefault="008A5631" w:rsidP="008A5631">
            <w:pPr>
              <w:pStyle w:val="BodyText1"/>
              <w:spacing w:before="0" w:after="0"/>
              <w:jc w:val="center"/>
              <w:rPr>
                <w:noProof w:val="0"/>
                <w:sz w:val="20"/>
              </w:rPr>
            </w:pPr>
            <w:r w:rsidRPr="00167A1B">
              <w:rPr>
                <w:noProof w:val="0"/>
                <w:sz w:val="20"/>
              </w:rPr>
              <w:t>Yes</w:t>
            </w:r>
          </w:p>
        </w:tc>
        <w:tc>
          <w:tcPr>
            <w:tcW w:w="1228" w:type="dxa"/>
          </w:tcPr>
          <w:p w14:paraId="23AFF951" w14:textId="77777777" w:rsidR="008A5631" w:rsidRPr="00167A1B" w:rsidRDefault="008A5631" w:rsidP="008A5631">
            <w:pPr>
              <w:pStyle w:val="BodyText1"/>
              <w:spacing w:before="0" w:after="0"/>
              <w:jc w:val="center"/>
              <w:rPr>
                <w:noProof w:val="0"/>
                <w:sz w:val="20"/>
              </w:rPr>
            </w:pPr>
            <w:r w:rsidRPr="00167A1B">
              <w:rPr>
                <w:noProof w:val="0"/>
                <w:sz w:val="20"/>
              </w:rPr>
              <w:t>Yes</w:t>
            </w:r>
          </w:p>
        </w:tc>
      </w:tr>
      <w:tr w:rsidR="008A5631" w:rsidRPr="00167A1B" w14:paraId="586D477C" w14:textId="77777777" w:rsidTr="00DD5B8D">
        <w:tc>
          <w:tcPr>
            <w:tcW w:w="1696" w:type="dxa"/>
          </w:tcPr>
          <w:p w14:paraId="5F708F9B" w14:textId="77777777" w:rsidR="008A5631" w:rsidRPr="00167A1B" w:rsidRDefault="008A5631" w:rsidP="008A5631">
            <w:pPr>
              <w:pStyle w:val="BodyText1"/>
              <w:spacing w:before="0" w:after="0"/>
              <w:jc w:val="left"/>
              <w:rPr>
                <w:noProof w:val="0"/>
                <w:sz w:val="20"/>
              </w:rPr>
            </w:pPr>
            <w:r w:rsidRPr="00167A1B">
              <w:rPr>
                <w:noProof w:val="0"/>
                <w:sz w:val="20"/>
              </w:rPr>
              <w:t>Smartwatches &amp; fitness trackers</w:t>
            </w:r>
          </w:p>
        </w:tc>
        <w:tc>
          <w:tcPr>
            <w:tcW w:w="1227" w:type="dxa"/>
          </w:tcPr>
          <w:p w14:paraId="7C4220FF" w14:textId="77777777" w:rsidR="008A5631" w:rsidRPr="00167A1B" w:rsidRDefault="008A5631" w:rsidP="008A5631">
            <w:pPr>
              <w:pStyle w:val="BodyText1"/>
              <w:spacing w:before="0" w:after="0"/>
              <w:jc w:val="center"/>
              <w:rPr>
                <w:noProof w:val="0"/>
                <w:sz w:val="20"/>
              </w:rPr>
            </w:pPr>
            <w:r w:rsidRPr="00167A1B">
              <w:rPr>
                <w:noProof w:val="0"/>
                <w:sz w:val="20"/>
              </w:rPr>
              <w:t>No</w:t>
            </w:r>
          </w:p>
        </w:tc>
        <w:tc>
          <w:tcPr>
            <w:tcW w:w="1228" w:type="dxa"/>
          </w:tcPr>
          <w:p w14:paraId="0FF8C1DD" w14:textId="77777777" w:rsidR="008A5631" w:rsidRPr="00167A1B" w:rsidRDefault="008A5631" w:rsidP="008A5631">
            <w:pPr>
              <w:pStyle w:val="BodyText1"/>
              <w:spacing w:before="0" w:after="0"/>
              <w:jc w:val="center"/>
              <w:rPr>
                <w:noProof w:val="0"/>
                <w:sz w:val="20"/>
              </w:rPr>
            </w:pPr>
            <w:r w:rsidRPr="00167A1B">
              <w:rPr>
                <w:noProof w:val="0"/>
                <w:sz w:val="20"/>
              </w:rPr>
              <w:t>No</w:t>
            </w:r>
          </w:p>
        </w:tc>
        <w:tc>
          <w:tcPr>
            <w:tcW w:w="1227" w:type="dxa"/>
          </w:tcPr>
          <w:p w14:paraId="5531EC10" w14:textId="77777777" w:rsidR="008A5631" w:rsidRPr="00167A1B" w:rsidRDefault="008A5631" w:rsidP="008A5631">
            <w:pPr>
              <w:pStyle w:val="BodyText1"/>
              <w:spacing w:before="0" w:after="0"/>
              <w:jc w:val="center"/>
              <w:rPr>
                <w:noProof w:val="0"/>
                <w:sz w:val="20"/>
              </w:rPr>
            </w:pPr>
            <w:r w:rsidRPr="00167A1B">
              <w:rPr>
                <w:noProof w:val="0"/>
                <w:sz w:val="20"/>
              </w:rPr>
              <w:t>No</w:t>
            </w:r>
          </w:p>
        </w:tc>
        <w:tc>
          <w:tcPr>
            <w:tcW w:w="1228" w:type="dxa"/>
          </w:tcPr>
          <w:p w14:paraId="773A052A" w14:textId="77777777" w:rsidR="008A5631" w:rsidRPr="00167A1B" w:rsidRDefault="008A5631" w:rsidP="008A5631">
            <w:pPr>
              <w:pStyle w:val="BodyText1"/>
              <w:spacing w:before="0" w:after="0"/>
              <w:jc w:val="center"/>
              <w:rPr>
                <w:noProof w:val="0"/>
                <w:sz w:val="20"/>
              </w:rPr>
            </w:pPr>
            <w:r w:rsidRPr="00167A1B">
              <w:rPr>
                <w:noProof w:val="0"/>
                <w:sz w:val="20"/>
              </w:rPr>
              <w:t>Yes</w:t>
            </w:r>
          </w:p>
        </w:tc>
        <w:tc>
          <w:tcPr>
            <w:tcW w:w="1227" w:type="dxa"/>
          </w:tcPr>
          <w:p w14:paraId="07E516EB" w14:textId="77777777" w:rsidR="008A5631" w:rsidRPr="00167A1B" w:rsidRDefault="008A5631" w:rsidP="008A5631">
            <w:pPr>
              <w:pStyle w:val="BodyText1"/>
              <w:spacing w:before="0" w:after="0"/>
              <w:jc w:val="center"/>
              <w:rPr>
                <w:noProof w:val="0"/>
                <w:sz w:val="20"/>
              </w:rPr>
            </w:pPr>
            <w:r w:rsidRPr="00167A1B">
              <w:rPr>
                <w:noProof w:val="0"/>
                <w:sz w:val="20"/>
              </w:rPr>
              <w:t>No</w:t>
            </w:r>
          </w:p>
        </w:tc>
        <w:tc>
          <w:tcPr>
            <w:tcW w:w="1228" w:type="dxa"/>
          </w:tcPr>
          <w:p w14:paraId="7AACF62E" w14:textId="77777777" w:rsidR="008A5631" w:rsidRPr="00167A1B" w:rsidRDefault="008A5631" w:rsidP="008A5631">
            <w:pPr>
              <w:pStyle w:val="BodyText1"/>
              <w:spacing w:before="0" w:after="0"/>
              <w:jc w:val="center"/>
              <w:rPr>
                <w:noProof w:val="0"/>
                <w:sz w:val="20"/>
              </w:rPr>
            </w:pPr>
            <w:r w:rsidRPr="00167A1B">
              <w:rPr>
                <w:noProof w:val="0"/>
                <w:sz w:val="20"/>
              </w:rPr>
              <w:t>More appropriate for wireless</w:t>
            </w:r>
          </w:p>
        </w:tc>
      </w:tr>
    </w:tbl>
    <w:p w14:paraId="0B9FC859" w14:textId="3A8A6272" w:rsidR="008B4225" w:rsidRPr="00167A1B" w:rsidRDefault="000E7043" w:rsidP="00AE6FC5">
      <w:pPr>
        <w:pStyle w:val="bullet1"/>
        <w:numPr>
          <w:ilvl w:val="0"/>
          <w:numId w:val="0"/>
        </w:numPr>
        <w:rPr>
          <w:noProof w:val="0"/>
          <w:sz w:val="20"/>
          <w:szCs w:val="22"/>
        </w:rPr>
      </w:pPr>
      <w:r w:rsidRPr="00167A1B">
        <w:rPr>
          <w:noProof w:val="0"/>
          <w:sz w:val="20"/>
          <w:szCs w:val="22"/>
        </w:rPr>
        <w:t>(1) As the market stands now, Option 2 is not advisable for either cameras or hearing devices. However, should the market evolve towards fast charging solutions using 7.5W or more, Option 2 could be applied.</w:t>
      </w:r>
    </w:p>
    <w:p w14:paraId="3AAB4F0F" w14:textId="77777777" w:rsidR="008F65B2" w:rsidRPr="00167A1B" w:rsidRDefault="008F65B2" w:rsidP="008F65B2">
      <w:pPr>
        <w:pStyle w:val="BodyText1"/>
        <w:rPr>
          <w:noProof w:val="0"/>
        </w:rPr>
      </w:pPr>
    </w:p>
    <w:p w14:paraId="46E3FCC9" w14:textId="5CA53A6C" w:rsidR="00D30D44" w:rsidRPr="00167A1B" w:rsidRDefault="008B4225" w:rsidP="009C1705">
      <w:pPr>
        <w:pStyle w:val="Title2"/>
        <w:outlineLvl w:val="1"/>
      </w:pPr>
      <w:bookmarkStart w:id="71" w:name="_Toc74319762"/>
      <w:r w:rsidRPr="00167A1B">
        <w:t>Baseline</w:t>
      </w:r>
      <w:bookmarkEnd w:id="71"/>
      <w:r w:rsidR="00D30D44" w:rsidRPr="00167A1B">
        <w:t xml:space="preserve"> </w:t>
      </w:r>
    </w:p>
    <w:p w14:paraId="11FE5DAB" w14:textId="3AC727FC" w:rsidR="00F07F93" w:rsidRPr="00167A1B" w:rsidRDefault="00221C9D" w:rsidP="004D259E">
      <w:pPr>
        <w:pStyle w:val="BodyText1"/>
        <w:rPr>
          <w:noProof w:val="0"/>
        </w:rPr>
      </w:pPr>
      <w:r w:rsidRPr="00167A1B">
        <w:rPr>
          <w:noProof w:val="0"/>
        </w:rPr>
        <w:t xml:space="preserve">Overall, other devices tend to be much smaller markets for EPS and cables than those supplied with smartphones or standalone. </w:t>
      </w:r>
      <w:r w:rsidR="00F07F93" w:rsidRPr="00167A1B">
        <w:rPr>
          <w:noProof w:val="0"/>
        </w:rPr>
        <w:t xml:space="preserve">The market of mobile phone chargers is much larger than any other market of portable devices (see </w:t>
      </w:r>
      <w:r w:rsidR="00F07F93" w:rsidRPr="00167A1B">
        <w:rPr>
          <w:noProof w:val="0"/>
        </w:rPr>
        <w:fldChar w:fldCharType="begin"/>
      </w:r>
      <w:r w:rsidR="00F07F93" w:rsidRPr="00167A1B">
        <w:rPr>
          <w:noProof w:val="0"/>
        </w:rPr>
        <w:instrText xml:space="preserve"> REF _Ref74145000 \h </w:instrText>
      </w:r>
      <w:r w:rsidR="00F07F93" w:rsidRPr="00167A1B">
        <w:rPr>
          <w:noProof w:val="0"/>
        </w:rPr>
      </w:r>
      <w:r w:rsidR="00F07F93" w:rsidRPr="00167A1B">
        <w:rPr>
          <w:noProof w:val="0"/>
        </w:rPr>
        <w:fldChar w:fldCharType="separate"/>
      </w:r>
      <w:r w:rsidR="00F07F93" w:rsidRPr="00167A1B">
        <w:rPr>
          <w:noProof w:val="0"/>
        </w:rPr>
        <w:t>Table 20</w:t>
      </w:r>
      <w:r w:rsidR="00F07F93" w:rsidRPr="00167A1B">
        <w:rPr>
          <w:noProof w:val="0"/>
        </w:rPr>
        <w:fldChar w:fldCharType="end"/>
      </w:r>
      <w:r w:rsidR="00F07F93" w:rsidRPr="00167A1B">
        <w:rPr>
          <w:noProof w:val="0"/>
        </w:rPr>
        <w:t>), and in some of these markets (e.g. e-readers, earwear) most devices are sold unbundled from their EPS.</w:t>
      </w:r>
    </w:p>
    <w:p w14:paraId="0555C8D7" w14:textId="47068EDC" w:rsidR="00F07F93" w:rsidRPr="00167A1B" w:rsidRDefault="00F07F93" w:rsidP="004D259E">
      <w:pPr>
        <w:pStyle w:val="BodyText1"/>
        <w:rPr>
          <w:noProof w:val="0"/>
        </w:rPr>
      </w:pPr>
    </w:p>
    <w:p w14:paraId="56CA5EC0" w14:textId="0E3BBEB5" w:rsidR="00F07F93" w:rsidRPr="00167A1B" w:rsidRDefault="00F07F93" w:rsidP="00F07F93">
      <w:pPr>
        <w:pStyle w:val="Caption"/>
      </w:pPr>
      <w:bookmarkStart w:id="72" w:name="_Ref74145000"/>
      <w:r w:rsidRPr="00167A1B">
        <w:t xml:space="preserve">Table </w:t>
      </w:r>
      <w:r w:rsidRPr="00167A1B">
        <w:fldChar w:fldCharType="begin"/>
      </w:r>
      <w:r w:rsidRPr="00167A1B">
        <w:instrText xml:space="preserve"> SEQ Table \* ARABIC </w:instrText>
      </w:r>
      <w:r w:rsidRPr="00167A1B">
        <w:fldChar w:fldCharType="separate"/>
      </w:r>
      <w:r w:rsidR="00953106" w:rsidRPr="00167A1B">
        <w:t>23</w:t>
      </w:r>
      <w:r w:rsidRPr="00167A1B">
        <w:fldChar w:fldCharType="end"/>
      </w:r>
      <w:bookmarkEnd w:id="72"/>
      <w:r w:rsidRPr="00167A1B">
        <w:t>: Estimated sales in the EU per category of portable electronic devices</w:t>
      </w:r>
    </w:p>
    <w:tbl>
      <w:tblPr>
        <w:tblStyle w:val="IpsosMORITable01"/>
        <w:tblW w:w="5000" w:type="pct"/>
        <w:tblLayout w:type="fixed"/>
        <w:tblLook w:val="04A0" w:firstRow="1" w:lastRow="0" w:firstColumn="1" w:lastColumn="0" w:noHBand="0" w:noVBand="1"/>
      </w:tblPr>
      <w:tblGrid>
        <w:gridCol w:w="1479"/>
        <w:gridCol w:w="1000"/>
        <w:gridCol w:w="1850"/>
        <w:gridCol w:w="1444"/>
        <w:gridCol w:w="1644"/>
        <w:gridCol w:w="1644"/>
      </w:tblGrid>
      <w:tr w:rsidR="00696B0B" w:rsidRPr="00167A1B" w14:paraId="00A3BFDF" w14:textId="77777777" w:rsidTr="00CE5B5D">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000" w:firstRow="0" w:lastRow="0" w:firstColumn="1" w:lastColumn="0" w:oddVBand="0" w:evenVBand="0" w:oddHBand="0" w:evenHBand="0" w:firstRowFirstColumn="0" w:firstRowLastColumn="0" w:lastRowFirstColumn="0" w:lastRowLastColumn="0"/>
            <w:tcW w:w="816" w:type="pct"/>
            <w:noWrap/>
            <w:hideMark/>
          </w:tcPr>
          <w:p w14:paraId="2CA1C8BD" w14:textId="77777777" w:rsidR="00696B0B" w:rsidRPr="00167A1B" w:rsidRDefault="00696B0B" w:rsidP="00D74F98">
            <w:pPr>
              <w:jc w:val="left"/>
              <w:rPr>
                <w:sz w:val="20"/>
              </w:rPr>
            </w:pPr>
            <w:r w:rsidRPr="00167A1B">
              <w:rPr>
                <w:sz w:val="20"/>
              </w:rPr>
              <w:t>Type of device</w:t>
            </w:r>
          </w:p>
        </w:tc>
        <w:tc>
          <w:tcPr>
            <w:tcW w:w="552" w:type="pct"/>
            <w:noWrap/>
            <w:hideMark/>
          </w:tcPr>
          <w:p w14:paraId="559EBE18" w14:textId="7D370DE0" w:rsidR="00696B0B" w:rsidRPr="00167A1B" w:rsidRDefault="002A68E7" w:rsidP="00D74F98">
            <w:pPr>
              <w:jc w:val="left"/>
              <w:cnfStyle w:val="100000000000" w:firstRow="1" w:lastRow="0" w:firstColumn="0" w:lastColumn="0" w:oddVBand="0" w:evenVBand="0" w:oddHBand="0" w:evenHBand="0" w:firstRowFirstColumn="0" w:firstRowLastColumn="0" w:lastRowFirstColumn="0" w:lastRowLastColumn="0"/>
              <w:rPr>
                <w:sz w:val="20"/>
              </w:rPr>
            </w:pPr>
            <w:r>
              <w:rPr>
                <w:sz w:val="20"/>
              </w:rPr>
              <w:t>Y</w:t>
            </w:r>
            <w:r w:rsidR="00696B0B" w:rsidRPr="00167A1B">
              <w:rPr>
                <w:sz w:val="20"/>
              </w:rPr>
              <w:t>ear</w:t>
            </w:r>
          </w:p>
        </w:tc>
        <w:tc>
          <w:tcPr>
            <w:tcW w:w="1021" w:type="pct"/>
            <w:noWrap/>
            <w:hideMark/>
          </w:tcPr>
          <w:p w14:paraId="45EF8AD7" w14:textId="19BEBC95" w:rsidR="00696B0B" w:rsidRPr="00167A1B" w:rsidRDefault="00750097" w:rsidP="00D74F98">
            <w:pPr>
              <w:jc w:val="left"/>
              <w:cnfStyle w:val="100000000000" w:firstRow="1" w:lastRow="0" w:firstColumn="0" w:lastColumn="0" w:oddVBand="0" w:evenVBand="0" w:oddHBand="0" w:evenHBand="0" w:firstRowFirstColumn="0" w:firstRowLastColumn="0" w:lastRowFirstColumn="0" w:lastRowLastColumn="0"/>
              <w:rPr>
                <w:sz w:val="20"/>
              </w:rPr>
            </w:pPr>
            <w:r>
              <w:rPr>
                <w:sz w:val="20"/>
              </w:rPr>
              <w:t>S</w:t>
            </w:r>
            <w:r w:rsidR="00696B0B" w:rsidRPr="00167A1B">
              <w:rPr>
                <w:sz w:val="20"/>
              </w:rPr>
              <w:t>ales in the EU</w:t>
            </w:r>
            <w:r>
              <w:rPr>
                <w:sz w:val="20"/>
              </w:rPr>
              <w:t>27</w:t>
            </w:r>
            <w:r w:rsidR="00696B0B" w:rsidRPr="00167A1B">
              <w:rPr>
                <w:sz w:val="20"/>
              </w:rPr>
              <w:t xml:space="preserve"> (thousand units)</w:t>
            </w:r>
          </w:p>
        </w:tc>
        <w:tc>
          <w:tcPr>
            <w:tcW w:w="797" w:type="pct"/>
            <w:noWrap/>
            <w:hideMark/>
          </w:tcPr>
          <w:p w14:paraId="11AE3812" w14:textId="5EAA78EA" w:rsidR="00696B0B" w:rsidRPr="00167A1B" w:rsidRDefault="00696B0B" w:rsidP="00D74F98">
            <w:pPr>
              <w:jc w:val="left"/>
              <w:cnfStyle w:val="100000000000" w:firstRow="1" w:lastRow="0" w:firstColumn="0" w:lastColumn="0" w:oddVBand="0" w:evenVBand="0" w:oddHBand="0" w:evenHBand="0" w:firstRowFirstColumn="0" w:firstRowLastColumn="0" w:lastRowFirstColumn="0" w:lastRowLastColumn="0"/>
              <w:rPr>
                <w:sz w:val="20"/>
              </w:rPr>
            </w:pPr>
            <w:r w:rsidRPr="00167A1B">
              <w:rPr>
                <w:sz w:val="20"/>
              </w:rPr>
              <w:t>Estimated % sold bundled with EPS in 2020</w:t>
            </w:r>
            <w:r w:rsidRPr="00167A1B">
              <w:rPr>
                <w:rStyle w:val="FootnoteReference"/>
                <w:sz w:val="20"/>
              </w:rPr>
              <w:footnoteReference w:id="135"/>
            </w:r>
          </w:p>
        </w:tc>
        <w:tc>
          <w:tcPr>
            <w:tcW w:w="907" w:type="pct"/>
          </w:tcPr>
          <w:p w14:paraId="2BDA2D41" w14:textId="1496AD58" w:rsidR="00696B0B" w:rsidRPr="00167A1B" w:rsidRDefault="00696B0B" w:rsidP="00D74F98">
            <w:pPr>
              <w:jc w:val="left"/>
              <w:cnfStyle w:val="100000000000" w:firstRow="1" w:lastRow="0" w:firstColumn="0" w:lastColumn="0" w:oddVBand="0" w:evenVBand="0" w:oddHBand="0" w:evenHBand="0" w:firstRowFirstColumn="0" w:firstRowLastColumn="0" w:lastRowFirstColumn="0" w:lastRowLastColumn="0"/>
              <w:rPr>
                <w:sz w:val="20"/>
              </w:rPr>
            </w:pPr>
            <w:r w:rsidRPr="00167A1B">
              <w:rPr>
                <w:sz w:val="20"/>
              </w:rPr>
              <w:t>Estimated % sold bundled with cable in 2020</w:t>
            </w:r>
          </w:p>
        </w:tc>
        <w:tc>
          <w:tcPr>
            <w:tcW w:w="907" w:type="pct"/>
            <w:noWrap/>
            <w:hideMark/>
          </w:tcPr>
          <w:p w14:paraId="63A9B579" w14:textId="323B668E" w:rsidR="00696B0B" w:rsidRPr="00167A1B" w:rsidRDefault="00696B0B" w:rsidP="00D74F98">
            <w:pPr>
              <w:jc w:val="left"/>
              <w:cnfStyle w:val="100000000000" w:firstRow="1" w:lastRow="0" w:firstColumn="0" w:lastColumn="0" w:oddVBand="0" w:evenVBand="0" w:oddHBand="0" w:evenHBand="0" w:firstRowFirstColumn="0" w:firstRowLastColumn="0" w:lastRowFirstColumn="0" w:lastRowLastColumn="0"/>
              <w:rPr>
                <w:sz w:val="20"/>
              </w:rPr>
            </w:pPr>
            <w:r w:rsidRPr="00167A1B">
              <w:rPr>
                <w:sz w:val="20"/>
              </w:rPr>
              <w:t>Source</w:t>
            </w:r>
          </w:p>
        </w:tc>
      </w:tr>
      <w:tr w:rsidR="0018720E" w:rsidRPr="00167A1B" w14:paraId="12EA4A93" w14:textId="77777777" w:rsidTr="00CE5B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16" w:type="pct"/>
            <w:noWrap/>
          </w:tcPr>
          <w:p w14:paraId="25048A7B" w14:textId="77777777" w:rsidR="0018720E" w:rsidRPr="00167A1B" w:rsidRDefault="0018720E" w:rsidP="0018720E">
            <w:pPr>
              <w:rPr>
                <w:sz w:val="20"/>
              </w:rPr>
            </w:pPr>
            <w:r w:rsidRPr="00167A1B">
              <w:rPr>
                <w:sz w:val="20"/>
              </w:rPr>
              <w:t>Mobile phones</w:t>
            </w:r>
          </w:p>
        </w:tc>
        <w:tc>
          <w:tcPr>
            <w:tcW w:w="552" w:type="pct"/>
            <w:noWrap/>
          </w:tcPr>
          <w:p w14:paraId="3A415A91" w14:textId="43828F49"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sz w:val="20"/>
              </w:rPr>
            </w:pPr>
            <w:r w:rsidRPr="00167A1B">
              <w:rPr>
                <w:sz w:val="20"/>
              </w:rPr>
              <w:t>2019</w:t>
            </w:r>
          </w:p>
        </w:tc>
        <w:tc>
          <w:tcPr>
            <w:tcW w:w="1021" w:type="pct"/>
            <w:noWrap/>
          </w:tcPr>
          <w:p w14:paraId="783C2F65" w14:textId="45555C72" w:rsidR="0018720E" w:rsidRPr="00167A1B" w:rsidRDefault="004079BA" w:rsidP="0018720E">
            <w:pPr>
              <w:jc w:val="right"/>
              <w:cnfStyle w:val="000000100000" w:firstRow="0" w:lastRow="0" w:firstColumn="0" w:lastColumn="0" w:oddVBand="0" w:evenVBand="0" w:oddHBand="1" w:evenHBand="0" w:firstRowFirstColumn="0" w:firstRowLastColumn="0" w:lastRowFirstColumn="0" w:lastRowLastColumn="0"/>
              <w:rPr>
                <w:sz w:val="20"/>
              </w:rPr>
            </w:pPr>
            <w:r>
              <w:rPr>
                <w:sz w:val="20"/>
              </w:rPr>
              <w:t>128,968</w:t>
            </w:r>
          </w:p>
        </w:tc>
        <w:tc>
          <w:tcPr>
            <w:tcW w:w="797" w:type="pct"/>
            <w:noWrap/>
          </w:tcPr>
          <w:p w14:paraId="37F33F8F" w14:textId="5D0E887C"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sz w:val="20"/>
              </w:rPr>
            </w:pPr>
            <w:r w:rsidRPr="00167A1B">
              <w:rPr>
                <w:sz w:val="20"/>
              </w:rPr>
              <w:t>83%</w:t>
            </w:r>
          </w:p>
        </w:tc>
        <w:tc>
          <w:tcPr>
            <w:tcW w:w="907" w:type="pct"/>
          </w:tcPr>
          <w:p w14:paraId="5E8043A0" w14:textId="657ED473"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sz w:val="20"/>
              </w:rPr>
            </w:pPr>
            <w:r w:rsidRPr="00167A1B">
              <w:rPr>
                <w:sz w:val="20"/>
              </w:rPr>
              <w:t>100%</w:t>
            </w:r>
          </w:p>
        </w:tc>
        <w:tc>
          <w:tcPr>
            <w:tcW w:w="907" w:type="pct"/>
            <w:noWrap/>
          </w:tcPr>
          <w:p w14:paraId="09DA332F" w14:textId="6F2287B5" w:rsidR="0018720E" w:rsidRPr="00167A1B" w:rsidRDefault="0018720E" w:rsidP="0018720E">
            <w:pPr>
              <w:cnfStyle w:val="000000100000" w:firstRow="0" w:lastRow="0" w:firstColumn="0" w:lastColumn="0" w:oddVBand="0" w:evenVBand="0" w:oddHBand="1" w:evenHBand="0" w:firstRowFirstColumn="0" w:firstRowLastColumn="0" w:lastRowFirstColumn="0" w:lastRowLastColumn="0"/>
              <w:rPr>
                <w:sz w:val="20"/>
              </w:rPr>
            </w:pPr>
            <w:r w:rsidRPr="00167A1B">
              <w:rPr>
                <w:sz w:val="20"/>
              </w:rPr>
              <w:t>IDC (2020)</w:t>
            </w:r>
            <w:r w:rsidRPr="00167A1B">
              <w:rPr>
                <w:rStyle w:val="FootnoteReference"/>
                <w:sz w:val="20"/>
              </w:rPr>
              <w:footnoteReference w:id="136"/>
            </w:r>
          </w:p>
        </w:tc>
      </w:tr>
      <w:tr w:rsidR="0018720E" w:rsidRPr="00167A1B" w14:paraId="11E5AD5E" w14:textId="77777777" w:rsidTr="00CE5B5D">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16" w:type="pct"/>
            <w:noWrap/>
            <w:hideMark/>
          </w:tcPr>
          <w:p w14:paraId="413B9B3B" w14:textId="77777777" w:rsidR="0018720E" w:rsidRPr="00167A1B" w:rsidRDefault="0018720E" w:rsidP="0018720E">
            <w:pPr>
              <w:rPr>
                <w:sz w:val="20"/>
              </w:rPr>
            </w:pPr>
            <w:r w:rsidRPr="00167A1B">
              <w:rPr>
                <w:sz w:val="20"/>
              </w:rPr>
              <w:t>Tablets</w:t>
            </w:r>
          </w:p>
        </w:tc>
        <w:tc>
          <w:tcPr>
            <w:tcW w:w="552" w:type="pct"/>
            <w:noWrap/>
            <w:hideMark/>
          </w:tcPr>
          <w:p w14:paraId="26BEF842" w14:textId="44F15A41" w:rsidR="0018720E" w:rsidRPr="00167A1B" w:rsidRDefault="0018720E" w:rsidP="0018720E">
            <w:pPr>
              <w:jc w:val="right"/>
              <w:cnfStyle w:val="000000010000" w:firstRow="0" w:lastRow="0" w:firstColumn="0" w:lastColumn="0" w:oddVBand="0" w:evenVBand="0" w:oddHBand="0" w:evenHBand="1" w:firstRowFirstColumn="0" w:firstRowLastColumn="0" w:lastRowFirstColumn="0" w:lastRowLastColumn="0"/>
              <w:rPr>
                <w:sz w:val="20"/>
              </w:rPr>
            </w:pPr>
            <w:r w:rsidRPr="00167A1B">
              <w:rPr>
                <w:sz w:val="20"/>
              </w:rPr>
              <w:t>2019</w:t>
            </w:r>
          </w:p>
        </w:tc>
        <w:tc>
          <w:tcPr>
            <w:tcW w:w="1021" w:type="pct"/>
            <w:noWrap/>
            <w:hideMark/>
          </w:tcPr>
          <w:p w14:paraId="0746BCF1" w14:textId="460A5DA7" w:rsidR="0018720E" w:rsidRPr="00167A1B" w:rsidRDefault="0018720E" w:rsidP="0018720E">
            <w:pPr>
              <w:jc w:val="right"/>
              <w:cnfStyle w:val="000000010000" w:firstRow="0" w:lastRow="0" w:firstColumn="0" w:lastColumn="0" w:oddVBand="0" w:evenVBand="0" w:oddHBand="0" w:evenHBand="1" w:firstRowFirstColumn="0" w:firstRowLastColumn="0" w:lastRowFirstColumn="0" w:lastRowLastColumn="0"/>
              <w:rPr>
                <w:sz w:val="20"/>
              </w:rPr>
            </w:pPr>
            <w:r w:rsidRPr="00167A1B">
              <w:rPr>
                <w:sz w:val="20"/>
              </w:rPr>
              <w:t>22,350</w:t>
            </w:r>
          </w:p>
        </w:tc>
        <w:tc>
          <w:tcPr>
            <w:tcW w:w="797" w:type="pct"/>
            <w:noWrap/>
            <w:hideMark/>
          </w:tcPr>
          <w:p w14:paraId="3FCB2F89" w14:textId="67EC07BF" w:rsidR="0018720E" w:rsidRPr="00167A1B" w:rsidRDefault="0018720E" w:rsidP="0018720E">
            <w:pPr>
              <w:jc w:val="right"/>
              <w:cnfStyle w:val="000000010000" w:firstRow="0" w:lastRow="0" w:firstColumn="0" w:lastColumn="0" w:oddVBand="0" w:evenVBand="0" w:oddHBand="0" w:evenHBand="1" w:firstRowFirstColumn="0" w:firstRowLastColumn="0" w:lastRowFirstColumn="0" w:lastRowLastColumn="0"/>
              <w:rPr>
                <w:sz w:val="20"/>
              </w:rPr>
            </w:pPr>
            <w:r w:rsidRPr="00167A1B">
              <w:rPr>
                <w:sz w:val="20"/>
              </w:rPr>
              <w:t xml:space="preserve">100% </w:t>
            </w:r>
          </w:p>
        </w:tc>
        <w:tc>
          <w:tcPr>
            <w:tcW w:w="907" w:type="pct"/>
          </w:tcPr>
          <w:p w14:paraId="52717BFC" w14:textId="361CD9C6" w:rsidR="0018720E" w:rsidRPr="00167A1B" w:rsidRDefault="0018720E" w:rsidP="0018720E">
            <w:pPr>
              <w:jc w:val="right"/>
              <w:cnfStyle w:val="000000010000" w:firstRow="0" w:lastRow="0" w:firstColumn="0" w:lastColumn="0" w:oddVBand="0" w:evenVBand="0" w:oddHBand="0" w:evenHBand="1" w:firstRowFirstColumn="0" w:firstRowLastColumn="0" w:lastRowFirstColumn="0" w:lastRowLastColumn="0"/>
              <w:rPr>
                <w:sz w:val="20"/>
              </w:rPr>
            </w:pPr>
            <w:r w:rsidRPr="00167A1B">
              <w:rPr>
                <w:sz w:val="20"/>
              </w:rPr>
              <w:t>100%</w:t>
            </w:r>
          </w:p>
        </w:tc>
        <w:tc>
          <w:tcPr>
            <w:tcW w:w="907" w:type="pct"/>
            <w:noWrap/>
            <w:hideMark/>
          </w:tcPr>
          <w:p w14:paraId="70EB6745" w14:textId="78C8CE26" w:rsidR="0018720E" w:rsidRPr="00167A1B" w:rsidRDefault="0018720E" w:rsidP="0018720E">
            <w:pPr>
              <w:cnfStyle w:val="000000010000" w:firstRow="0" w:lastRow="0" w:firstColumn="0" w:lastColumn="0" w:oddVBand="0" w:evenVBand="0" w:oddHBand="0" w:evenHBand="1" w:firstRowFirstColumn="0" w:firstRowLastColumn="0" w:lastRowFirstColumn="0" w:lastRowLastColumn="0"/>
              <w:rPr>
                <w:sz w:val="20"/>
              </w:rPr>
            </w:pPr>
            <w:r w:rsidRPr="00167A1B">
              <w:rPr>
                <w:sz w:val="20"/>
              </w:rPr>
              <w:t>IDC (2020)</w:t>
            </w:r>
            <w:r w:rsidRPr="00167A1B">
              <w:rPr>
                <w:rStyle w:val="FootnoteReference"/>
                <w:sz w:val="20"/>
              </w:rPr>
              <w:footnoteReference w:id="137"/>
            </w:r>
          </w:p>
        </w:tc>
      </w:tr>
      <w:tr w:rsidR="0018720E" w:rsidRPr="00167A1B" w14:paraId="5F56A5E4" w14:textId="77777777" w:rsidTr="00CE5B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16" w:type="pct"/>
            <w:noWrap/>
            <w:hideMark/>
          </w:tcPr>
          <w:p w14:paraId="3338A6D2" w14:textId="77777777" w:rsidR="0018720E" w:rsidRPr="00167A1B" w:rsidRDefault="0018720E" w:rsidP="0018720E">
            <w:pPr>
              <w:rPr>
                <w:sz w:val="20"/>
              </w:rPr>
            </w:pPr>
            <w:r w:rsidRPr="00167A1B">
              <w:rPr>
                <w:sz w:val="20"/>
              </w:rPr>
              <w:t>Hearables</w:t>
            </w:r>
          </w:p>
        </w:tc>
        <w:tc>
          <w:tcPr>
            <w:tcW w:w="552" w:type="pct"/>
            <w:noWrap/>
            <w:hideMark/>
          </w:tcPr>
          <w:p w14:paraId="1F649E8F" w14:textId="47319461"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sz w:val="20"/>
              </w:rPr>
            </w:pPr>
            <w:r w:rsidRPr="00167A1B">
              <w:rPr>
                <w:sz w:val="20"/>
              </w:rPr>
              <w:t>2019</w:t>
            </w:r>
          </w:p>
        </w:tc>
        <w:tc>
          <w:tcPr>
            <w:tcW w:w="1021" w:type="pct"/>
            <w:noWrap/>
            <w:hideMark/>
          </w:tcPr>
          <w:p w14:paraId="72238660" w14:textId="76C863B8"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sz w:val="20"/>
              </w:rPr>
            </w:pPr>
            <w:r w:rsidRPr="00167A1B">
              <w:rPr>
                <w:sz w:val="20"/>
              </w:rPr>
              <w:t>2</w:t>
            </w:r>
            <w:r w:rsidR="004079BA">
              <w:rPr>
                <w:sz w:val="20"/>
              </w:rPr>
              <w:t>4,914</w:t>
            </w:r>
          </w:p>
        </w:tc>
        <w:tc>
          <w:tcPr>
            <w:tcW w:w="797" w:type="pct"/>
            <w:noWrap/>
          </w:tcPr>
          <w:p w14:paraId="57E6F414" w14:textId="62233ECA"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sz w:val="20"/>
              </w:rPr>
            </w:pPr>
            <w:r w:rsidRPr="00167A1B">
              <w:rPr>
                <w:sz w:val="20"/>
              </w:rPr>
              <w:t>0%</w:t>
            </w:r>
          </w:p>
        </w:tc>
        <w:tc>
          <w:tcPr>
            <w:tcW w:w="907" w:type="pct"/>
          </w:tcPr>
          <w:p w14:paraId="48F73527" w14:textId="3754F027"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sz w:val="20"/>
              </w:rPr>
            </w:pPr>
            <w:r w:rsidRPr="00167A1B">
              <w:rPr>
                <w:sz w:val="20"/>
              </w:rPr>
              <w:t>100%</w:t>
            </w:r>
          </w:p>
        </w:tc>
        <w:tc>
          <w:tcPr>
            <w:tcW w:w="907" w:type="pct"/>
            <w:noWrap/>
            <w:hideMark/>
          </w:tcPr>
          <w:p w14:paraId="522E8FFC" w14:textId="6C7ACB89" w:rsidR="0018720E" w:rsidRPr="00167A1B" w:rsidRDefault="0018720E" w:rsidP="0018720E">
            <w:pPr>
              <w:cnfStyle w:val="000000100000" w:firstRow="0" w:lastRow="0" w:firstColumn="0" w:lastColumn="0" w:oddVBand="0" w:evenVBand="0" w:oddHBand="1" w:evenHBand="0" w:firstRowFirstColumn="0" w:firstRowLastColumn="0" w:lastRowFirstColumn="0" w:lastRowLastColumn="0"/>
              <w:rPr>
                <w:sz w:val="20"/>
              </w:rPr>
            </w:pPr>
            <w:r w:rsidRPr="00167A1B">
              <w:rPr>
                <w:sz w:val="20"/>
              </w:rPr>
              <w:t>IDC (2020)</w:t>
            </w:r>
            <w:r w:rsidRPr="00167A1B">
              <w:rPr>
                <w:rStyle w:val="FootnoteReference"/>
                <w:sz w:val="20"/>
              </w:rPr>
              <w:t xml:space="preserve"> </w:t>
            </w:r>
            <w:r w:rsidRPr="00167A1B">
              <w:rPr>
                <w:rStyle w:val="FootnoteReference"/>
                <w:sz w:val="20"/>
              </w:rPr>
              <w:footnoteReference w:id="138"/>
            </w:r>
          </w:p>
        </w:tc>
      </w:tr>
      <w:tr w:rsidR="0018720E" w:rsidRPr="00167A1B" w14:paraId="3449FE3E" w14:textId="77777777" w:rsidTr="00CE5B5D">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16" w:type="pct"/>
            <w:noWrap/>
            <w:hideMark/>
          </w:tcPr>
          <w:p w14:paraId="1A26F286" w14:textId="77777777" w:rsidR="0018720E" w:rsidRPr="00167A1B" w:rsidRDefault="0018720E" w:rsidP="0018720E">
            <w:pPr>
              <w:rPr>
                <w:sz w:val="20"/>
              </w:rPr>
            </w:pPr>
            <w:r w:rsidRPr="00167A1B">
              <w:rPr>
                <w:sz w:val="20"/>
              </w:rPr>
              <w:t>Digital cameras</w:t>
            </w:r>
          </w:p>
        </w:tc>
        <w:tc>
          <w:tcPr>
            <w:tcW w:w="552" w:type="pct"/>
            <w:noWrap/>
            <w:hideMark/>
          </w:tcPr>
          <w:p w14:paraId="6332B839" w14:textId="7CAC9605" w:rsidR="0018720E" w:rsidRPr="00167A1B" w:rsidRDefault="0018720E" w:rsidP="0018720E">
            <w:pPr>
              <w:jc w:val="right"/>
              <w:cnfStyle w:val="000000010000" w:firstRow="0" w:lastRow="0" w:firstColumn="0" w:lastColumn="0" w:oddVBand="0" w:evenVBand="0" w:oddHBand="0" w:evenHBand="1" w:firstRowFirstColumn="0" w:firstRowLastColumn="0" w:lastRowFirstColumn="0" w:lastRowLastColumn="0"/>
              <w:rPr>
                <w:sz w:val="20"/>
              </w:rPr>
            </w:pPr>
            <w:r w:rsidRPr="00167A1B">
              <w:rPr>
                <w:sz w:val="20"/>
              </w:rPr>
              <w:t>2019</w:t>
            </w:r>
          </w:p>
        </w:tc>
        <w:tc>
          <w:tcPr>
            <w:tcW w:w="1021" w:type="pct"/>
            <w:noWrap/>
            <w:hideMark/>
          </w:tcPr>
          <w:p w14:paraId="2BD24FBB" w14:textId="2B2F6973" w:rsidR="0018720E" w:rsidRPr="00167A1B" w:rsidRDefault="0018720E" w:rsidP="0018720E">
            <w:pPr>
              <w:jc w:val="right"/>
              <w:cnfStyle w:val="000000010000" w:firstRow="0" w:lastRow="0" w:firstColumn="0" w:lastColumn="0" w:oddVBand="0" w:evenVBand="0" w:oddHBand="0" w:evenHBand="1" w:firstRowFirstColumn="0" w:firstRowLastColumn="0" w:lastRowFirstColumn="0" w:lastRowLastColumn="0"/>
              <w:rPr>
                <w:sz w:val="20"/>
              </w:rPr>
            </w:pPr>
            <w:r w:rsidRPr="00167A1B">
              <w:rPr>
                <w:sz w:val="20"/>
              </w:rPr>
              <w:t>5,428</w:t>
            </w:r>
          </w:p>
        </w:tc>
        <w:tc>
          <w:tcPr>
            <w:tcW w:w="797" w:type="pct"/>
            <w:noWrap/>
          </w:tcPr>
          <w:p w14:paraId="3E49776D" w14:textId="5C7150EB" w:rsidR="0018720E" w:rsidRPr="00167A1B" w:rsidRDefault="0018720E" w:rsidP="0018720E">
            <w:pPr>
              <w:jc w:val="right"/>
              <w:cnfStyle w:val="000000010000" w:firstRow="0" w:lastRow="0" w:firstColumn="0" w:lastColumn="0" w:oddVBand="0" w:evenVBand="0" w:oddHBand="0" w:evenHBand="1" w:firstRowFirstColumn="0" w:firstRowLastColumn="0" w:lastRowFirstColumn="0" w:lastRowLastColumn="0"/>
              <w:rPr>
                <w:sz w:val="20"/>
              </w:rPr>
            </w:pPr>
            <w:r w:rsidRPr="00167A1B">
              <w:rPr>
                <w:sz w:val="20"/>
              </w:rPr>
              <w:t>37%</w:t>
            </w:r>
          </w:p>
        </w:tc>
        <w:tc>
          <w:tcPr>
            <w:tcW w:w="907" w:type="pct"/>
          </w:tcPr>
          <w:p w14:paraId="0E3E283F" w14:textId="0B32C521" w:rsidR="0018720E" w:rsidRPr="00167A1B" w:rsidRDefault="0018720E" w:rsidP="0018720E">
            <w:pPr>
              <w:jc w:val="right"/>
              <w:cnfStyle w:val="000000010000" w:firstRow="0" w:lastRow="0" w:firstColumn="0" w:lastColumn="0" w:oddVBand="0" w:evenVBand="0" w:oddHBand="0" w:evenHBand="1" w:firstRowFirstColumn="0" w:firstRowLastColumn="0" w:lastRowFirstColumn="0" w:lastRowLastColumn="0"/>
              <w:rPr>
                <w:sz w:val="20"/>
              </w:rPr>
            </w:pPr>
            <w:r w:rsidRPr="00167A1B">
              <w:rPr>
                <w:sz w:val="20"/>
              </w:rPr>
              <w:t>85%</w:t>
            </w:r>
          </w:p>
        </w:tc>
        <w:tc>
          <w:tcPr>
            <w:tcW w:w="907" w:type="pct"/>
            <w:noWrap/>
            <w:hideMark/>
          </w:tcPr>
          <w:p w14:paraId="237756CF" w14:textId="5072FA79" w:rsidR="0018720E" w:rsidRPr="00167A1B" w:rsidRDefault="0018720E" w:rsidP="0018720E">
            <w:pPr>
              <w:cnfStyle w:val="000000010000" w:firstRow="0" w:lastRow="0" w:firstColumn="0" w:lastColumn="0" w:oddVBand="0" w:evenVBand="0" w:oddHBand="0" w:evenHBand="1" w:firstRowFirstColumn="0" w:firstRowLastColumn="0" w:lastRowFirstColumn="0" w:lastRowLastColumn="0"/>
              <w:rPr>
                <w:sz w:val="20"/>
              </w:rPr>
            </w:pPr>
            <w:r w:rsidRPr="00167A1B">
              <w:rPr>
                <w:sz w:val="20"/>
              </w:rPr>
              <w:t>CIPA (2021) and Prodcom (2021)</w:t>
            </w:r>
            <w:r w:rsidRPr="00167A1B">
              <w:rPr>
                <w:rStyle w:val="FootnoteReference"/>
                <w:sz w:val="20"/>
              </w:rPr>
              <w:footnoteReference w:id="139"/>
            </w:r>
          </w:p>
        </w:tc>
      </w:tr>
      <w:tr w:rsidR="0018720E" w:rsidRPr="00167A1B" w14:paraId="60CFE8A1" w14:textId="77777777" w:rsidTr="00CE5B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16" w:type="pct"/>
            <w:noWrap/>
            <w:hideMark/>
          </w:tcPr>
          <w:p w14:paraId="15AB6F76" w14:textId="77777777" w:rsidR="0018720E" w:rsidRPr="00167A1B" w:rsidRDefault="0018720E" w:rsidP="0018720E">
            <w:pPr>
              <w:rPr>
                <w:sz w:val="20"/>
              </w:rPr>
            </w:pPr>
            <w:r w:rsidRPr="00167A1B">
              <w:rPr>
                <w:sz w:val="20"/>
              </w:rPr>
              <w:t>Handheld video games</w:t>
            </w:r>
          </w:p>
        </w:tc>
        <w:tc>
          <w:tcPr>
            <w:tcW w:w="552" w:type="pct"/>
            <w:noWrap/>
            <w:hideMark/>
          </w:tcPr>
          <w:p w14:paraId="6CDFBAA9" w14:textId="3605246D"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sz w:val="20"/>
              </w:rPr>
            </w:pPr>
            <w:r w:rsidRPr="00167A1B">
              <w:rPr>
                <w:sz w:val="20"/>
              </w:rPr>
              <w:t>2018</w:t>
            </w:r>
          </w:p>
        </w:tc>
        <w:tc>
          <w:tcPr>
            <w:tcW w:w="1021" w:type="pct"/>
            <w:noWrap/>
            <w:hideMark/>
          </w:tcPr>
          <w:p w14:paraId="5E08D975" w14:textId="0404381A"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sz w:val="20"/>
              </w:rPr>
            </w:pPr>
            <w:r w:rsidRPr="00167A1B">
              <w:rPr>
                <w:sz w:val="20"/>
              </w:rPr>
              <w:t>18,598</w:t>
            </w:r>
          </w:p>
        </w:tc>
        <w:tc>
          <w:tcPr>
            <w:tcW w:w="797" w:type="pct"/>
            <w:noWrap/>
          </w:tcPr>
          <w:p w14:paraId="148B4548" w14:textId="552A127D"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sz w:val="20"/>
              </w:rPr>
            </w:pPr>
            <w:r w:rsidRPr="00167A1B">
              <w:rPr>
                <w:sz w:val="20"/>
              </w:rPr>
              <w:t>100%</w:t>
            </w:r>
          </w:p>
        </w:tc>
        <w:tc>
          <w:tcPr>
            <w:tcW w:w="907" w:type="pct"/>
          </w:tcPr>
          <w:p w14:paraId="27D8A62E" w14:textId="03F3A9EA"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sz w:val="20"/>
              </w:rPr>
            </w:pPr>
            <w:r w:rsidRPr="00167A1B">
              <w:rPr>
                <w:sz w:val="20"/>
              </w:rPr>
              <w:t>100%</w:t>
            </w:r>
          </w:p>
        </w:tc>
        <w:tc>
          <w:tcPr>
            <w:tcW w:w="907" w:type="pct"/>
            <w:noWrap/>
            <w:hideMark/>
          </w:tcPr>
          <w:p w14:paraId="3DEDA496" w14:textId="26223D2E" w:rsidR="0018720E" w:rsidRPr="00167A1B" w:rsidRDefault="0018720E" w:rsidP="0018720E">
            <w:pPr>
              <w:cnfStyle w:val="000000100000" w:firstRow="0" w:lastRow="0" w:firstColumn="0" w:lastColumn="0" w:oddVBand="0" w:evenVBand="0" w:oddHBand="1" w:evenHBand="0" w:firstRowFirstColumn="0" w:firstRowLastColumn="0" w:lastRowFirstColumn="0" w:lastRowLastColumn="0"/>
              <w:rPr>
                <w:sz w:val="20"/>
              </w:rPr>
            </w:pPr>
            <w:r w:rsidRPr="00167A1B">
              <w:rPr>
                <w:sz w:val="20"/>
              </w:rPr>
              <w:t>Comtrade (2019)</w:t>
            </w:r>
            <w:r w:rsidRPr="00167A1B">
              <w:rPr>
                <w:rStyle w:val="FootnoteReference"/>
                <w:sz w:val="20"/>
              </w:rPr>
              <w:footnoteReference w:id="140"/>
            </w:r>
          </w:p>
        </w:tc>
      </w:tr>
      <w:tr w:rsidR="0018720E" w:rsidRPr="00167A1B" w14:paraId="6961C929" w14:textId="77777777" w:rsidTr="00CE5B5D">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16" w:type="pct"/>
            <w:noWrap/>
            <w:hideMark/>
          </w:tcPr>
          <w:p w14:paraId="231C5609" w14:textId="77777777" w:rsidR="0018720E" w:rsidRPr="00167A1B" w:rsidRDefault="0018720E" w:rsidP="0018720E">
            <w:pPr>
              <w:rPr>
                <w:sz w:val="20"/>
              </w:rPr>
            </w:pPr>
            <w:r w:rsidRPr="00167A1B">
              <w:rPr>
                <w:sz w:val="20"/>
              </w:rPr>
              <w:lastRenderedPageBreak/>
              <w:t>E-readers</w:t>
            </w:r>
          </w:p>
        </w:tc>
        <w:tc>
          <w:tcPr>
            <w:tcW w:w="552" w:type="pct"/>
            <w:noWrap/>
            <w:hideMark/>
          </w:tcPr>
          <w:p w14:paraId="111D602E" w14:textId="30E901B5" w:rsidR="0018720E" w:rsidRPr="00167A1B" w:rsidRDefault="0018720E" w:rsidP="0018720E">
            <w:pPr>
              <w:jc w:val="right"/>
              <w:cnfStyle w:val="000000010000" w:firstRow="0" w:lastRow="0" w:firstColumn="0" w:lastColumn="0" w:oddVBand="0" w:evenVBand="0" w:oddHBand="0" w:evenHBand="1" w:firstRowFirstColumn="0" w:firstRowLastColumn="0" w:lastRowFirstColumn="0" w:lastRowLastColumn="0"/>
              <w:rPr>
                <w:sz w:val="20"/>
              </w:rPr>
            </w:pPr>
            <w:r w:rsidRPr="00167A1B">
              <w:rPr>
                <w:sz w:val="20"/>
              </w:rPr>
              <w:t>2020</w:t>
            </w:r>
          </w:p>
        </w:tc>
        <w:tc>
          <w:tcPr>
            <w:tcW w:w="1021" w:type="pct"/>
            <w:noWrap/>
            <w:hideMark/>
          </w:tcPr>
          <w:p w14:paraId="2EFF6E13" w14:textId="75F3426F" w:rsidR="0018720E" w:rsidRPr="00167A1B" w:rsidRDefault="0018720E" w:rsidP="0018720E">
            <w:pPr>
              <w:jc w:val="right"/>
              <w:cnfStyle w:val="000000010000" w:firstRow="0" w:lastRow="0" w:firstColumn="0" w:lastColumn="0" w:oddVBand="0" w:evenVBand="0" w:oddHBand="0" w:evenHBand="1" w:firstRowFirstColumn="0" w:firstRowLastColumn="0" w:lastRowFirstColumn="0" w:lastRowLastColumn="0"/>
              <w:rPr>
                <w:sz w:val="20"/>
              </w:rPr>
            </w:pPr>
            <w:r w:rsidRPr="00167A1B">
              <w:rPr>
                <w:sz w:val="20"/>
              </w:rPr>
              <w:t>11,838</w:t>
            </w:r>
          </w:p>
        </w:tc>
        <w:tc>
          <w:tcPr>
            <w:tcW w:w="797" w:type="pct"/>
            <w:noWrap/>
          </w:tcPr>
          <w:p w14:paraId="182E8C92" w14:textId="33F5E759" w:rsidR="0018720E" w:rsidRPr="00167A1B" w:rsidRDefault="0018720E" w:rsidP="0018720E">
            <w:pPr>
              <w:jc w:val="right"/>
              <w:cnfStyle w:val="000000010000" w:firstRow="0" w:lastRow="0" w:firstColumn="0" w:lastColumn="0" w:oddVBand="0" w:evenVBand="0" w:oddHBand="0" w:evenHBand="1" w:firstRowFirstColumn="0" w:firstRowLastColumn="0" w:lastRowFirstColumn="0" w:lastRowLastColumn="0"/>
              <w:rPr>
                <w:sz w:val="20"/>
              </w:rPr>
            </w:pPr>
            <w:r w:rsidRPr="00167A1B">
              <w:rPr>
                <w:sz w:val="20"/>
              </w:rPr>
              <w:t>0%</w:t>
            </w:r>
          </w:p>
        </w:tc>
        <w:tc>
          <w:tcPr>
            <w:tcW w:w="907" w:type="pct"/>
          </w:tcPr>
          <w:p w14:paraId="732AB16A" w14:textId="07823697" w:rsidR="0018720E" w:rsidRPr="00167A1B" w:rsidRDefault="0018720E" w:rsidP="0018720E">
            <w:pPr>
              <w:jc w:val="right"/>
              <w:cnfStyle w:val="000000010000" w:firstRow="0" w:lastRow="0" w:firstColumn="0" w:lastColumn="0" w:oddVBand="0" w:evenVBand="0" w:oddHBand="0" w:evenHBand="1" w:firstRowFirstColumn="0" w:firstRowLastColumn="0" w:lastRowFirstColumn="0" w:lastRowLastColumn="0"/>
              <w:rPr>
                <w:sz w:val="20"/>
              </w:rPr>
            </w:pPr>
            <w:r w:rsidRPr="00167A1B">
              <w:rPr>
                <w:sz w:val="20"/>
              </w:rPr>
              <w:t>100%</w:t>
            </w:r>
          </w:p>
        </w:tc>
        <w:tc>
          <w:tcPr>
            <w:tcW w:w="907" w:type="pct"/>
            <w:noWrap/>
            <w:hideMark/>
          </w:tcPr>
          <w:p w14:paraId="4CD38352" w14:textId="0813E673" w:rsidR="0018720E" w:rsidRPr="00167A1B" w:rsidRDefault="0018720E" w:rsidP="0018720E">
            <w:pPr>
              <w:cnfStyle w:val="000000010000" w:firstRow="0" w:lastRow="0" w:firstColumn="0" w:lastColumn="0" w:oddVBand="0" w:evenVBand="0" w:oddHBand="0" w:evenHBand="1" w:firstRowFirstColumn="0" w:firstRowLastColumn="0" w:lastRowFirstColumn="0" w:lastRowLastColumn="0"/>
              <w:rPr>
                <w:sz w:val="20"/>
              </w:rPr>
            </w:pPr>
            <w:r w:rsidRPr="00167A1B">
              <w:rPr>
                <w:sz w:val="20"/>
              </w:rPr>
              <w:t>Comtrade (2021)</w:t>
            </w:r>
            <w:r w:rsidRPr="00167A1B">
              <w:rPr>
                <w:rStyle w:val="FootnoteReference"/>
                <w:sz w:val="20"/>
              </w:rPr>
              <w:footnoteReference w:id="141"/>
            </w:r>
          </w:p>
        </w:tc>
      </w:tr>
      <w:tr w:rsidR="0018720E" w:rsidRPr="00167A1B" w14:paraId="655FAFEE" w14:textId="77777777" w:rsidTr="00CE5B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16" w:type="pct"/>
            <w:noWrap/>
            <w:hideMark/>
          </w:tcPr>
          <w:p w14:paraId="676F2B12" w14:textId="77777777" w:rsidR="0018720E" w:rsidRPr="00167A1B" w:rsidRDefault="0018720E" w:rsidP="0018720E">
            <w:pPr>
              <w:rPr>
                <w:sz w:val="20"/>
              </w:rPr>
            </w:pPr>
            <w:r w:rsidRPr="00167A1B">
              <w:rPr>
                <w:sz w:val="20"/>
              </w:rPr>
              <w:t>Smartwatches and fitness trackers</w:t>
            </w:r>
          </w:p>
        </w:tc>
        <w:tc>
          <w:tcPr>
            <w:tcW w:w="552" w:type="pct"/>
            <w:noWrap/>
            <w:hideMark/>
          </w:tcPr>
          <w:p w14:paraId="2ED43113" w14:textId="104899AF"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sz w:val="20"/>
              </w:rPr>
            </w:pPr>
            <w:r w:rsidRPr="00167A1B">
              <w:rPr>
                <w:sz w:val="20"/>
              </w:rPr>
              <w:t>2020</w:t>
            </w:r>
          </w:p>
        </w:tc>
        <w:tc>
          <w:tcPr>
            <w:tcW w:w="1021" w:type="pct"/>
            <w:noWrap/>
            <w:hideMark/>
          </w:tcPr>
          <w:p w14:paraId="1D6B7015" w14:textId="4C3C7DB4"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sz w:val="20"/>
              </w:rPr>
            </w:pPr>
            <w:r w:rsidRPr="00167A1B">
              <w:rPr>
                <w:sz w:val="20"/>
              </w:rPr>
              <w:t>7,658</w:t>
            </w:r>
          </w:p>
        </w:tc>
        <w:tc>
          <w:tcPr>
            <w:tcW w:w="797" w:type="pct"/>
            <w:noWrap/>
          </w:tcPr>
          <w:p w14:paraId="3DB7A8BA" w14:textId="12286B0A"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sz w:val="20"/>
              </w:rPr>
            </w:pPr>
            <w:r w:rsidRPr="00167A1B">
              <w:rPr>
                <w:sz w:val="20"/>
              </w:rPr>
              <w:t>45%</w:t>
            </w:r>
          </w:p>
        </w:tc>
        <w:tc>
          <w:tcPr>
            <w:tcW w:w="907" w:type="pct"/>
          </w:tcPr>
          <w:p w14:paraId="3B75ECB2" w14:textId="77027F4D"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sz w:val="20"/>
              </w:rPr>
            </w:pPr>
            <w:r w:rsidRPr="00167A1B">
              <w:rPr>
                <w:sz w:val="20"/>
              </w:rPr>
              <w:t>100%</w:t>
            </w:r>
          </w:p>
        </w:tc>
        <w:tc>
          <w:tcPr>
            <w:tcW w:w="907" w:type="pct"/>
            <w:noWrap/>
            <w:hideMark/>
          </w:tcPr>
          <w:p w14:paraId="49D0ABE8" w14:textId="1E442AED" w:rsidR="0018720E" w:rsidRPr="00167A1B" w:rsidRDefault="0018720E" w:rsidP="0018720E">
            <w:pPr>
              <w:cnfStyle w:val="000000100000" w:firstRow="0" w:lastRow="0" w:firstColumn="0" w:lastColumn="0" w:oddVBand="0" w:evenVBand="0" w:oddHBand="1" w:evenHBand="0" w:firstRowFirstColumn="0" w:firstRowLastColumn="0" w:lastRowFirstColumn="0" w:lastRowLastColumn="0"/>
              <w:rPr>
                <w:sz w:val="20"/>
              </w:rPr>
            </w:pPr>
            <w:r w:rsidRPr="00167A1B">
              <w:rPr>
                <w:sz w:val="20"/>
              </w:rPr>
              <w:t>Comtrade (2021)</w:t>
            </w:r>
          </w:p>
        </w:tc>
      </w:tr>
      <w:tr w:rsidR="0018720E" w:rsidRPr="00167A1B" w14:paraId="3465D147" w14:textId="77777777" w:rsidTr="00CE5B5D">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16" w:type="pct"/>
            <w:noWrap/>
            <w:hideMark/>
          </w:tcPr>
          <w:p w14:paraId="22ED36B2" w14:textId="77777777" w:rsidR="0018720E" w:rsidRPr="00167A1B" w:rsidRDefault="0018720E" w:rsidP="0018720E">
            <w:pPr>
              <w:rPr>
                <w:sz w:val="20"/>
              </w:rPr>
            </w:pPr>
            <w:r w:rsidRPr="00167A1B">
              <w:rPr>
                <w:sz w:val="20"/>
              </w:rPr>
              <w:t>Portable speakers</w:t>
            </w:r>
          </w:p>
        </w:tc>
        <w:tc>
          <w:tcPr>
            <w:tcW w:w="552" w:type="pct"/>
            <w:noWrap/>
            <w:hideMark/>
          </w:tcPr>
          <w:p w14:paraId="01582076" w14:textId="47AF45E5" w:rsidR="0018720E" w:rsidRPr="00167A1B" w:rsidRDefault="0018720E" w:rsidP="0018720E">
            <w:pPr>
              <w:jc w:val="right"/>
              <w:cnfStyle w:val="000000010000" w:firstRow="0" w:lastRow="0" w:firstColumn="0" w:lastColumn="0" w:oddVBand="0" w:evenVBand="0" w:oddHBand="0" w:evenHBand="1" w:firstRowFirstColumn="0" w:firstRowLastColumn="0" w:lastRowFirstColumn="0" w:lastRowLastColumn="0"/>
              <w:rPr>
                <w:sz w:val="20"/>
              </w:rPr>
            </w:pPr>
            <w:r w:rsidRPr="00167A1B">
              <w:rPr>
                <w:sz w:val="20"/>
              </w:rPr>
              <w:t>2020</w:t>
            </w:r>
          </w:p>
        </w:tc>
        <w:tc>
          <w:tcPr>
            <w:tcW w:w="1021" w:type="pct"/>
            <w:noWrap/>
            <w:hideMark/>
          </w:tcPr>
          <w:p w14:paraId="2CE20185" w14:textId="2A19446D" w:rsidR="0018720E" w:rsidRPr="00167A1B" w:rsidRDefault="0018720E" w:rsidP="0018720E">
            <w:pPr>
              <w:jc w:val="right"/>
              <w:cnfStyle w:val="000000010000" w:firstRow="0" w:lastRow="0" w:firstColumn="0" w:lastColumn="0" w:oddVBand="0" w:evenVBand="0" w:oddHBand="0" w:evenHBand="1" w:firstRowFirstColumn="0" w:firstRowLastColumn="0" w:lastRowFirstColumn="0" w:lastRowLastColumn="0"/>
              <w:rPr>
                <w:sz w:val="20"/>
              </w:rPr>
            </w:pPr>
            <w:r w:rsidRPr="00167A1B">
              <w:rPr>
                <w:sz w:val="20"/>
              </w:rPr>
              <w:t>1,639</w:t>
            </w:r>
          </w:p>
        </w:tc>
        <w:tc>
          <w:tcPr>
            <w:tcW w:w="797" w:type="pct"/>
            <w:noWrap/>
          </w:tcPr>
          <w:p w14:paraId="75611D10" w14:textId="53CBE3A4" w:rsidR="0018720E" w:rsidRPr="00167A1B" w:rsidRDefault="0018720E" w:rsidP="0018720E">
            <w:pPr>
              <w:jc w:val="right"/>
              <w:cnfStyle w:val="000000010000" w:firstRow="0" w:lastRow="0" w:firstColumn="0" w:lastColumn="0" w:oddVBand="0" w:evenVBand="0" w:oddHBand="0" w:evenHBand="1" w:firstRowFirstColumn="0" w:firstRowLastColumn="0" w:lastRowFirstColumn="0" w:lastRowLastColumn="0"/>
              <w:rPr>
                <w:sz w:val="20"/>
              </w:rPr>
            </w:pPr>
            <w:r w:rsidRPr="00167A1B">
              <w:rPr>
                <w:sz w:val="20"/>
              </w:rPr>
              <w:t>19%</w:t>
            </w:r>
          </w:p>
        </w:tc>
        <w:tc>
          <w:tcPr>
            <w:tcW w:w="907" w:type="pct"/>
          </w:tcPr>
          <w:p w14:paraId="25AE6904" w14:textId="35B4E15A" w:rsidR="0018720E" w:rsidRPr="00167A1B" w:rsidRDefault="0018720E" w:rsidP="0018720E">
            <w:pPr>
              <w:jc w:val="right"/>
              <w:cnfStyle w:val="000000010000" w:firstRow="0" w:lastRow="0" w:firstColumn="0" w:lastColumn="0" w:oddVBand="0" w:evenVBand="0" w:oddHBand="0" w:evenHBand="1" w:firstRowFirstColumn="0" w:firstRowLastColumn="0" w:lastRowFirstColumn="0" w:lastRowLastColumn="0"/>
              <w:rPr>
                <w:sz w:val="20"/>
              </w:rPr>
            </w:pPr>
            <w:r w:rsidRPr="00167A1B">
              <w:rPr>
                <w:sz w:val="20"/>
              </w:rPr>
              <w:t>100%</w:t>
            </w:r>
          </w:p>
        </w:tc>
        <w:tc>
          <w:tcPr>
            <w:tcW w:w="907" w:type="pct"/>
            <w:noWrap/>
            <w:hideMark/>
          </w:tcPr>
          <w:p w14:paraId="29A4DAAC" w14:textId="70C63E5F" w:rsidR="0018720E" w:rsidRPr="00167A1B" w:rsidRDefault="0018720E" w:rsidP="0018720E">
            <w:pPr>
              <w:cnfStyle w:val="000000010000" w:firstRow="0" w:lastRow="0" w:firstColumn="0" w:lastColumn="0" w:oddVBand="0" w:evenVBand="0" w:oddHBand="0" w:evenHBand="1" w:firstRowFirstColumn="0" w:firstRowLastColumn="0" w:lastRowFirstColumn="0" w:lastRowLastColumn="0"/>
              <w:rPr>
                <w:sz w:val="20"/>
              </w:rPr>
            </w:pPr>
            <w:r w:rsidRPr="00167A1B">
              <w:rPr>
                <w:sz w:val="20"/>
              </w:rPr>
              <w:t>Comtrade (2021)</w:t>
            </w:r>
            <w:r w:rsidRPr="00167A1B">
              <w:rPr>
                <w:rStyle w:val="FootnoteReference"/>
              </w:rPr>
              <w:footnoteReference w:id="142"/>
            </w:r>
          </w:p>
        </w:tc>
      </w:tr>
      <w:tr w:rsidR="0018720E" w:rsidRPr="00167A1B" w14:paraId="32A7600F" w14:textId="77777777" w:rsidTr="00CE5B5D">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16" w:type="pct"/>
            <w:noWrap/>
          </w:tcPr>
          <w:p w14:paraId="411A4DA3" w14:textId="77777777" w:rsidR="0018720E" w:rsidRPr="00167A1B" w:rsidRDefault="0018720E" w:rsidP="0018720E">
            <w:pPr>
              <w:rPr>
                <w:b/>
                <w:sz w:val="20"/>
              </w:rPr>
            </w:pPr>
            <w:r w:rsidRPr="00167A1B">
              <w:rPr>
                <w:b/>
                <w:sz w:val="20"/>
              </w:rPr>
              <w:t>TOTAL</w:t>
            </w:r>
          </w:p>
        </w:tc>
        <w:tc>
          <w:tcPr>
            <w:tcW w:w="552" w:type="pct"/>
            <w:shd w:val="clear" w:color="auto" w:fill="D9D9D9" w:themeFill="background1" w:themeFillShade="D9"/>
            <w:noWrap/>
          </w:tcPr>
          <w:p w14:paraId="29212C93" w14:textId="77777777"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b/>
                <w:sz w:val="20"/>
              </w:rPr>
            </w:pPr>
          </w:p>
        </w:tc>
        <w:tc>
          <w:tcPr>
            <w:tcW w:w="1021" w:type="pct"/>
            <w:noWrap/>
          </w:tcPr>
          <w:p w14:paraId="78B7CC61" w14:textId="00A66FAD" w:rsidR="0018720E" w:rsidRPr="00167A1B" w:rsidRDefault="00173EF6" w:rsidP="0018720E">
            <w:pPr>
              <w:jc w:val="right"/>
              <w:cnfStyle w:val="000000100000" w:firstRow="0" w:lastRow="0" w:firstColumn="0" w:lastColumn="0" w:oddVBand="0" w:evenVBand="0" w:oddHBand="1" w:evenHBand="0" w:firstRowFirstColumn="0" w:firstRowLastColumn="0" w:lastRowFirstColumn="0" w:lastRowLastColumn="0"/>
              <w:rPr>
                <w:b/>
                <w:sz w:val="20"/>
              </w:rPr>
            </w:pPr>
            <w:r>
              <w:rPr>
                <w:b/>
                <w:bCs/>
                <w:sz w:val="20"/>
              </w:rPr>
              <w:t>221,393</w:t>
            </w:r>
          </w:p>
        </w:tc>
        <w:tc>
          <w:tcPr>
            <w:tcW w:w="797" w:type="pct"/>
            <w:shd w:val="clear" w:color="auto" w:fill="D9D9D9" w:themeFill="background1" w:themeFillShade="D9"/>
            <w:noWrap/>
          </w:tcPr>
          <w:p w14:paraId="3E28A24B" w14:textId="77777777" w:rsidR="0018720E" w:rsidRPr="00167A1B" w:rsidRDefault="0018720E" w:rsidP="0018720E">
            <w:pPr>
              <w:jc w:val="right"/>
              <w:cnfStyle w:val="000000100000" w:firstRow="0" w:lastRow="0" w:firstColumn="0" w:lastColumn="0" w:oddVBand="0" w:evenVBand="0" w:oddHBand="1" w:evenHBand="0" w:firstRowFirstColumn="0" w:firstRowLastColumn="0" w:lastRowFirstColumn="0" w:lastRowLastColumn="0"/>
              <w:rPr>
                <w:b/>
                <w:sz w:val="20"/>
              </w:rPr>
            </w:pPr>
          </w:p>
        </w:tc>
        <w:tc>
          <w:tcPr>
            <w:tcW w:w="907" w:type="pct"/>
            <w:shd w:val="clear" w:color="auto" w:fill="D9D9D9" w:themeFill="background1" w:themeFillShade="D9"/>
          </w:tcPr>
          <w:p w14:paraId="1C4640A8" w14:textId="77777777" w:rsidR="0018720E" w:rsidRPr="00167A1B" w:rsidRDefault="0018720E" w:rsidP="0018720E">
            <w:pPr>
              <w:cnfStyle w:val="000000100000" w:firstRow="0" w:lastRow="0" w:firstColumn="0" w:lastColumn="0" w:oddVBand="0" w:evenVBand="0" w:oddHBand="1" w:evenHBand="0" w:firstRowFirstColumn="0" w:firstRowLastColumn="0" w:lastRowFirstColumn="0" w:lastRowLastColumn="0"/>
              <w:rPr>
                <w:b/>
                <w:sz w:val="20"/>
              </w:rPr>
            </w:pPr>
          </w:p>
        </w:tc>
        <w:tc>
          <w:tcPr>
            <w:tcW w:w="907" w:type="pct"/>
            <w:shd w:val="clear" w:color="auto" w:fill="D9D9D9" w:themeFill="background1" w:themeFillShade="D9"/>
            <w:noWrap/>
          </w:tcPr>
          <w:p w14:paraId="37E6F73B" w14:textId="2EFF8962" w:rsidR="0018720E" w:rsidRPr="00167A1B" w:rsidRDefault="0018720E" w:rsidP="0018720E">
            <w:pPr>
              <w:cnfStyle w:val="000000100000" w:firstRow="0" w:lastRow="0" w:firstColumn="0" w:lastColumn="0" w:oddVBand="0" w:evenVBand="0" w:oddHBand="1" w:evenHBand="0" w:firstRowFirstColumn="0" w:firstRowLastColumn="0" w:lastRowFirstColumn="0" w:lastRowLastColumn="0"/>
              <w:rPr>
                <w:b/>
                <w:sz w:val="20"/>
              </w:rPr>
            </w:pPr>
          </w:p>
        </w:tc>
      </w:tr>
    </w:tbl>
    <w:p w14:paraId="61A374F2" w14:textId="77777777" w:rsidR="00F07F93" w:rsidRPr="00167A1B" w:rsidRDefault="00F07F93" w:rsidP="004D259E">
      <w:pPr>
        <w:pStyle w:val="BodyText1"/>
        <w:rPr>
          <w:noProof w:val="0"/>
        </w:rPr>
      </w:pPr>
    </w:p>
    <w:p w14:paraId="11F971E4" w14:textId="5B2E7A62" w:rsidR="00DA0807" w:rsidRPr="00167A1B" w:rsidRDefault="004D259E" w:rsidP="004D259E">
      <w:pPr>
        <w:pStyle w:val="BodyText1"/>
        <w:rPr>
          <w:noProof w:val="0"/>
        </w:rPr>
      </w:pPr>
      <w:r w:rsidRPr="00167A1B">
        <w:rPr>
          <w:noProof w:val="0"/>
        </w:rPr>
        <w:t>The graphs overleaf</w:t>
      </w:r>
      <w:r w:rsidR="00221C9D" w:rsidRPr="00167A1B">
        <w:rPr>
          <w:noProof w:val="0"/>
        </w:rPr>
        <w:t xml:space="preserve"> present the </w:t>
      </w:r>
      <w:r w:rsidRPr="00167A1B">
        <w:rPr>
          <w:noProof w:val="0"/>
        </w:rPr>
        <w:t>estimated evolution of the stock</w:t>
      </w:r>
      <w:r w:rsidR="00221C9D" w:rsidRPr="00167A1B">
        <w:rPr>
          <w:noProof w:val="0"/>
        </w:rPr>
        <w:t xml:space="preserve"> of EPS and cables for the baseline, split by market/device. </w:t>
      </w:r>
      <w:r w:rsidR="00607895" w:rsidRPr="00167A1B">
        <w:rPr>
          <w:noProof w:val="0"/>
        </w:rPr>
        <w:t xml:space="preserve">Taken together, the chargers (EPS as well </w:t>
      </w:r>
      <w:proofErr w:type="spellStart"/>
      <w:r w:rsidR="00607895" w:rsidRPr="00167A1B">
        <w:rPr>
          <w:noProof w:val="0"/>
        </w:rPr>
        <w:t>a</w:t>
      </w:r>
      <w:proofErr w:type="spellEnd"/>
      <w:r w:rsidR="00607895" w:rsidRPr="00167A1B">
        <w:rPr>
          <w:noProof w:val="0"/>
        </w:rPr>
        <w:t xml:space="preserve"> cables) for these three categories of devices account for less than 20% of the stock of mobile phone EPS and cables (including those purchased on their own). </w:t>
      </w:r>
    </w:p>
    <w:p w14:paraId="7B587E9D" w14:textId="2119EE06" w:rsidR="00C63F04" w:rsidRPr="00167A1B" w:rsidRDefault="00C63F04" w:rsidP="00C63F04">
      <w:pPr>
        <w:pStyle w:val="BodyText1"/>
        <w:rPr>
          <w:noProof w:val="0"/>
        </w:rPr>
      </w:pPr>
      <w:r w:rsidRPr="00167A1B">
        <w:rPr>
          <w:noProof w:val="0"/>
        </w:rPr>
        <w:t xml:space="preserve">The absolute numbers and relative weights of </w:t>
      </w:r>
      <w:r w:rsidR="00F41180" w:rsidRPr="00167A1B">
        <w:rPr>
          <w:noProof w:val="0"/>
        </w:rPr>
        <w:t xml:space="preserve">the environmental </w:t>
      </w:r>
      <w:r w:rsidRPr="00167A1B">
        <w:rPr>
          <w:noProof w:val="0"/>
        </w:rPr>
        <w:t>impacts</w:t>
      </w:r>
      <w:r w:rsidR="00F41180" w:rsidRPr="00167A1B">
        <w:rPr>
          <w:noProof w:val="0"/>
        </w:rPr>
        <w:t xml:space="preserve"> of the chargers of a subset of devices</w:t>
      </w:r>
      <w:r w:rsidRPr="00167A1B">
        <w:rPr>
          <w:noProof w:val="0"/>
        </w:rPr>
        <w:t xml:space="preserve"> in the baseline scenario are shown below – providing an indication of the scale of magnitude of the impacts to be expected from the inclusion of these devices in the various policy options.</w:t>
      </w:r>
    </w:p>
    <w:p w14:paraId="6A422BA5" w14:textId="76D904E2" w:rsidR="00607895" w:rsidRPr="00167A1B" w:rsidRDefault="00607895" w:rsidP="00607895">
      <w:pPr>
        <w:pStyle w:val="Caption"/>
      </w:pPr>
      <w:r w:rsidRPr="00167A1B">
        <w:t xml:space="preserve">Table </w:t>
      </w:r>
      <w:r w:rsidRPr="00167A1B">
        <w:fldChar w:fldCharType="begin"/>
      </w:r>
      <w:r w:rsidRPr="00167A1B">
        <w:instrText xml:space="preserve"> SEQ Table \* ARABIC </w:instrText>
      </w:r>
      <w:r w:rsidRPr="00167A1B">
        <w:fldChar w:fldCharType="separate"/>
      </w:r>
      <w:r w:rsidR="00953106" w:rsidRPr="00167A1B">
        <w:t>24</w:t>
      </w:r>
      <w:r w:rsidRPr="00167A1B">
        <w:fldChar w:fldCharType="end"/>
      </w:r>
      <w:r w:rsidRPr="00167A1B">
        <w:t>: Environmental impacts from chargers for different devices in the baseline scenario</w:t>
      </w:r>
    </w:p>
    <w:tbl>
      <w:tblPr>
        <w:tblStyle w:val="TableGrid"/>
        <w:tblW w:w="9067" w:type="dxa"/>
        <w:tblLayout w:type="fixed"/>
        <w:tblLook w:val="04A0" w:firstRow="1" w:lastRow="0" w:firstColumn="1" w:lastColumn="0" w:noHBand="0" w:noVBand="1"/>
      </w:tblPr>
      <w:tblGrid>
        <w:gridCol w:w="1696"/>
        <w:gridCol w:w="2410"/>
        <w:gridCol w:w="1240"/>
        <w:gridCol w:w="1240"/>
        <w:gridCol w:w="1240"/>
        <w:gridCol w:w="1241"/>
      </w:tblGrid>
      <w:tr w:rsidR="00221C9D" w:rsidRPr="00167A1B" w14:paraId="3EE87DF3" w14:textId="77777777" w:rsidTr="007F3DFC">
        <w:trPr>
          <w:cnfStyle w:val="100000000000" w:firstRow="1" w:lastRow="0" w:firstColumn="0" w:lastColumn="0" w:oddVBand="0" w:evenVBand="0" w:oddHBand="0" w:evenHBand="0" w:firstRowFirstColumn="0" w:firstRowLastColumn="0" w:lastRowFirstColumn="0" w:lastRowLastColumn="0"/>
          <w:trHeight w:val="285"/>
          <w:tblHeader/>
        </w:trPr>
        <w:tc>
          <w:tcPr>
            <w:tcW w:w="1696" w:type="dxa"/>
            <w:noWrap/>
            <w:hideMark/>
          </w:tcPr>
          <w:p w14:paraId="3B83E6E6" w14:textId="77777777" w:rsidR="00221C9D" w:rsidRPr="00167A1B" w:rsidRDefault="00221C9D" w:rsidP="00F756E1">
            <w:pPr>
              <w:spacing w:after="0"/>
              <w:jc w:val="left"/>
              <w:rPr>
                <w:sz w:val="20"/>
                <w:szCs w:val="24"/>
              </w:rPr>
            </w:pPr>
          </w:p>
        </w:tc>
        <w:tc>
          <w:tcPr>
            <w:tcW w:w="2410" w:type="dxa"/>
            <w:noWrap/>
            <w:hideMark/>
          </w:tcPr>
          <w:p w14:paraId="4E3DC89D" w14:textId="77777777" w:rsidR="00221C9D" w:rsidRPr="00167A1B" w:rsidRDefault="00221C9D" w:rsidP="00F756E1">
            <w:pPr>
              <w:spacing w:after="0"/>
              <w:jc w:val="left"/>
              <w:rPr>
                <w:sz w:val="20"/>
              </w:rPr>
            </w:pPr>
          </w:p>
        </w:tc>
        <w:tc>
          <w:tcPr>
            <w:tcW w:w="1240" w:type="dxa"/>
            <w:vAlign w:val="bottom"/>
            <w:hideMark/>
          </w:tcPr>
          <w:p w14:paraId="33461EAE"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sz w:val="16"/>
                <w:szCs w:val="16"/>
              </w:rPr>
              <w:t>Baseline</w:t>
            </w:r>
          </w:p>
        </w:tc>
        <w:tc>
          <w:tcPr>
            <w:tcW w:w="1240" w:type="dxa"/>
            <w:vAlign w:val="bottom"/>
            <w:hideMark/>
          </w:tcPr>
          <w:p w14:paraId="2413C56A"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bCs/>
                <w:sz w:val="16"/>
                <w:szCs w:val="16"/>
              </w:rPr>
              <w:t>Baseline</w:t>
            </w:r>
          </w:p>
        </w:tc>
        <w:tc>
          <w:tcPr>
            <w:tcW w:w="1240" w:type="dxa"/>
            <w:vAlign w:val="bottom"/>
            <w:hideMark/>
          </w:tcPr>
          <w:p w14:paraId="258942EF"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bCs/>
                <w:sz w:val="16"/>
                <w:szCs w:val="16"/>
              </w:rPr>
              <w:t>Baseline</w:t>
            </w:r>
          </w:p>
        </w:tc>
        <w:tc>
          <w:tcPr>
            <w:tcW w:w="1241" w:type="dxa"/>
            <w:vAlign w:val="bottom"/>
            <w:hideMark/>
          </w:tcPr>
          <w:p w14:paraId="1DD992FC"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bCs/>
                <w:sz w:val="16"/>
                <w:szCs w:val="16"/>
              </w:rPr>
              <w:t>Baseline</w:t>
            </w:r>
          </w:p>
        </w:tc>
      </w:tr>
      <w:tr w:rsidR="00607895" w:rsidRPr="00167A1B" w14:paraId="3650EB0D" w14:textId="77777777" w:rsidTr="007F3DFC">
        <w:trPr>
          <w:cnfStyle w:val="100000000000" w:firstRow="1" w:lastRow="0" w:firstColumn="0" w:lastColumn="0" w:oddVBand="0" w:evenVBand="0" w:oddHBand="0" w:evenHBand="0" w:firstRowFirstColumn="0" w:firstRowLastColumn="0" w:lastRowFirstColumn="0" w:lastRowLastColumn="0"/>
          <w:trHeight w:val="668"/>
          <w:tblHeader/>
        </w:trPr>
        <w:tc>
          <w:tcPr>
            <w:tcW w:w="1696" w:type="dxa"/>
            <w:tcBorders>
              <w:bottom w:val="single" w:sz="4" w:space="0" w:color="438EF1" w:themeColor="text2" w:themeTint="99"/>
            </w:tcBorders>
            <w:noWrap/>
            <w:hideMark/>
          </w:tcPr>
          <w:p w14:paraId="7834BA27" w14:textId="77777777" w:rsidR="00221C9D" w:rsidRPr="00167A1B" w:rsidRDefault="00221C9D" w:rsidP="00F756E1">
            <w:pPr>
              <w:spacing w:after="0"/>
              <w:jc w:val="left"/>
              <w:rPr>
                <w:rFonts w:ascii="Trebuchet MS" w:hAnsi="Trebuchet MS"/>
                <w:b/>
                <w:sz w:val="16"/>
                <w:szCs w:val="16"/>
              </w:rPr>
            </w:pPr>
          </w:p>
        </w:tc>
        <w:tc>
          <w:tcPr>
            <w:tcW w:w="2410" w:type="dxa"/>
            <w:tcBorders>
              <w:bottom w:val="single" w:sz="4" w:space="0" w:color="438EF1" w:themeColor="text2" w:themeTint="99"/>
            </w:tcBorders>
            <w:noWrap/>
            <w:hideMark/>
          </w:tcPr>
          <w:p w14:paraId="19D65312" w14:textId="77777777" w:rsidR="00221C9D" w:rsidRPr="00167A1B" w:rsidRDefault="00221C9D" w:rsidP="00F756E1">
            <w:pPr>
              <w:spacing w:after="0"/>
              <w:jc w:val="left"/>
              <w:rPr>
                <w:sz w:val="20"/>
              </w:rPr>
            </w:pPr>
          </w:p>
        </w:tc>
        <w:tc>
          <w:tcPr>
            <w:tcW w:w="1240" w:type="dxa"/>
            <w:tcBorders>
              <w:bottom w:val="single" w:sz="4" w:space="0" w:color="438EF1" w:themeColor="text2" w:themeTint="99"/>
            </w:tcBorders>
            <w:vAlign w:val="bottom"/>
            <w:hideMark/>
          </w:tcPr>
          <w:p w14:paraId="4E3D9867" w14:textId="4B9BA082" w:rsidR="00221C9D" w:rsidRPr="00167A1B" w:rsidRDefault="00607895" w:rsidP="00F756E1">
            <w:pPr>
              <w:spacing w:after="0"/>
              <w:jc w:val="left"/>
              <w:rPr>
                <w:rFonts w:ascii="Trebuchet MS" w:hAnsi="Trebuchet MS"/>
                <w:b/>
                <w:sz w:val="16"/>
                <w:szCs w:val="16"/>
              </w:rPr>
            </w:pPr>
            <w:r w:rsidRPr="00167A1B">
              <w:rPr>
                <w:rFonts w:ascii="Trebuchet MS" w:hAnsi="Trebuchet MS"/>
                <w:b/>
                <w:bCs/>
                <w:sz w:val="16"/>
                <w:szCs w:val="16"/>
              </w:rPr>
              <w:t xml:space="preserve">Mobile </w:t>
            </w:r>
            <w:r w:rsidR="00221C9D" w:rsidRPr="00167A1B">
              <w:rPr>
                <w:rFonts w:ascii="Trebuchet MS" w:hAnsi="Trebuchet MS"/>
                <w:b/>
                <w:bCs/>
                <w:sz w:val="16"/>
                <w:szCs w:val="16"/>
              </w:rPr>
              <w:t>phones + standalone</w:t>
            </w:r>
          </w:p>
        </w:tc>
        <w:tc>
          <w:tcPr>
            <w:tcW w:w="1240" w:type="dxa"/>
            <w:tcBorders>
              <w:bottom w:val="single" w:sz="4" w:space="0" w:color="438EF1" w:themeColor="text2" w:themeTint="99"/>
            </w:tcBorders>
            <w:vAlign w:val="bottom"/>
            <w:hideMark/>
          </w:tcPr>
          <w:p w14:paraId="2C0C9078"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bCs/>
                <w:sz w:val="16"/>
                <w:szCs w:val="16"/>
              </w:rPr>
              <w:t>Tablets</w:t>
            </w:r>
          </w:p>
        </w:tc>
        <w:tc>
          <w:tcPr>
            <w:tcW w:w="1240" w:type="dxa"/>
            <w:tcBorders>
              <w:bottom w:val="single" w:sz="4" w:space="0" w:color="438EF1" w:themeColor="text2" w:themeTint="99"/>
            </w:tcBorders>
            <w:vAlign w:val="bottom"/>
            <w:hideMark/>
          </w:tcPr>
          <w:p w14:paraId="790F1864"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bCs/>
                <w:sz w:val="16"/>
                <w:szCs w:val="16"/>
              </w:rPr>
              <w:t>Earwear</w:t>
            </w:r>
          </w:p>
        </w:tc>
        <w:tc>
          <w:tcPr>
            <w:tcW w:w="1241" w:type="dxa"/>
            <w:tcBorders>
              <w:bottom w:val="single" w:sz="4" w:space="0" w:color="438EF1" w:themeColor="text2" w:themeTint="99"/>
            </w:tcBorders>
            <w:vAlign w:val="bottom"/>
            <w:hideMark/>
          </w:tcPr>
          <w:p w14:paraId="5327BB7F"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bCs/>
                <w:sz w:val="16"/>
                <w:szCs w:val="16"/>
              </w:rPr>
              <w:t>Cameras</w:t>
            </w:r>
          </w:p>
        </w:tc>
      </w:tr>
      <w:tr w:rsidR="00607895" w:rsidRPr="00167A1B" w14:paraId="3DA3F332" w14:textId="77777777" w:rsidTr="00607895">
        <w:trPr>
          <w:trHeight w:val="300"/>
        </w:trPr>
        <w:tc>
          <w:tcPr>
            <w:tcW w:w="1696" w:type="dxa"/>
            <w:tcBorders>
              <w:top w:val="single" w:sz="4" w:space="0" w:color="438EF1" w:themeColor="text2" w:themeTint="99"/>
              <w:bottom w:val="nil"/>
            </w:tcBorders>
            <w:noWrap/>
            <w:vAlign w:val="center"/>
            <w:hideMark/>
          </w:tcPr>
          <w:p w14:paraId="59562B7C"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sz w:val="16"/>
                <w:szCs w:val="16"/>
              </w:rPr>
              <w:t>GHG emissions [ktCO</w:t>
            </w:r>
            <w:r w:rsidRPr="00167A1B">
              <w:rPr>
                <w:rFonts w:ascii="Trebuchet MS" w:hAnsi="Trebuchet MS"/>
                <w:b/>
                <w:sz w:val="16"/>
                <w:szCs w:val="16"/>
                <w:vertAlign w:val="subscript"/>
              </w:rPr>
              <w:t>2</w:t>
            </w:r>
            <w:r w:rsidRPr="00167A1B">
              <w:rPr>
                <w:rFonts w:ascii="Trebuchet MS" w:hAnsi="Trebuchet MS"/>
                <w:b/>
                <w:sz w:val="16"/>
                <w:szCs w:val="16"/>
              </w:rPr>
              <w:t>e]</w:t>
            </w:r>
          </w:p>
        </w:tc>
        <w:tc>
          <w:tcPr>
            <w:tcW w:w="2410" w:type="dxa"/>
            <w:tcBorders>
              <w:top w:val="single" w:sz="4" w:space="0" w:color="438EF1" w:themeColor="text2" w:themeTint="99"/>
            </w:tcBorders>
            <w:noWrap/>
            <w:vAlign w:val="center"/>
            <w:hideMark/>
          </w:tcPr>
          <w:p w14:paraId="59CF251D"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sz w:val="16"/>
                <w:szCs w:val="16"/>
              </w:rPr>
              <w:t>Total 2024-2030</w:t>
            </w:r>
          </w:p>
        </w:tc>
        <w:tc>
          <w:tcPr>
            <w:tcW w:w="1240" w:type="dxa"/>
            <w:tcBorders>
              <w:top w:val="single" w:sz="4" w:space="0" w:color="438EF1" w:themeColor="text2" w:themeTint="99"/>
            </w:tcBorders>
            <w:noWrap/>
            <w:vAlign w:val="center"/>
            <w:hideMark/>
          </w:tcPr>
          <w:p w14:paraId="7ACFA70B"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sz w:val="16"/>
                <w:szCs w:val="16"/>
              </w:rPr>
              <w:t>7 838</w:t>
            </w:r>
          </w:p>
        </w:tc>
        <w:tc>
          <w:tcPr>
            <w:tcW w:w="1240" w:type="dxa"/>
            <w:tcBorders>
              <w:top w:val="single" w:sz="4" w:space="0" w:color="438EF1" w:themeColor="text2" w:themeTint="99"/>
            </w:tcBorders>
            <w:noWrap/>
            <w:vAlign w:val="center"/>
            <w:hideMark/>
          </w:tcPr>
          <w:p w14:paraId="0B484537"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bCs/>
                <w:sz w:val="16"/>
                <w:szCs w:val="16"/>
              </w:rPr>
              <w:t>853</w:t>
            </w:r>
          </w:p>
        </w:tc>
        <w:tc>
          <w:tcPr>
            <w:tcW w:w="1240" w:type="dxa"/>
            <w:tcBorders>
              <w:top w:val="single" w:sz="4" w:space="0" w:color="438EF1" w:themeColor="text2" w:themeTint="99"/>
            </w:tcBorders>
            <w:noWrap/>
            <w:vAlign w:val="center"/>
            <w:hideMark/>
          </w:tcPr>
          <w:p w14:paraId="6E93F7F7"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bCs/>
                <w:sz w:val="16"/>
                <w:szCs w:val="16"/>
              </w:rPr>
              <w:t>342</w:t>
            </w:r>
          </w:p>
        </w:tc>
        <w:tc>
          <w:tcPr>
            <w:tcW w:w="1241" w:type="dxa"/>
            <w:tcBorders>
              <w:top w:val="single" w:sz="4" w:space="0" w:color="438EF1" w:themeColor="text2" w:themeTint="99"/>
            </w:tcBorders>
            <w:noWrap/>
            <w:vAlign w:val="center"/>
            <w:hideMark/>
          </w:tcPr>
          <w:p w14:paraId="3D9CA648"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bCs/>
                <w:sz w:val="16"/>
                <w:szCs w:val="16"/>
              </w:rPr>
              <w:t>19</w:t>
            </w:r>
          </w:p>
        </w:tc>
      </w:tr>
      <w:tr w:rsidR="00607895" w:rsidRPr="00167A1B" w14:paraId="079146D7" w14:textId="77777777" w:rsidTr="00607895">
        <w:trPr>
          <w:trHeight w:val="300"/>
        </w:trPr>
        <w:tc>
          <w:tcPr>
            <w:tcW w:w="1696" w:type="dxa"/>
            <w:tcBorders>
              <w:top w:val="nil"/>
              <w:bottom w:val="nil"/>
            </w:tcBorders>
            <w:noWrap/>
            <w:vAlign w:val="center"/>
            <w:hideMark/>
          </w:tcPr>
          <w:p w14:paraId="55B5933D"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w:t>
            </w:r>
          </w:p>
        </w:tc>
        <w:tc>
          <w:tcPr>
            <w:tcW w:w="2410" w:type="dxa"/>
            <w:noWrap/>
            <w:vAlign w:val="center"/>
            <w:hideMark/>
          </w:tcPr>
          <w:p w14:paraId="31DE6F57" w14:textId="07D2A103"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xml:space="preserve">As % of </w:t>
            </w:r>
            <w:r w:rsidR="00607895" w:rsidRPr="00167A1B">
              <w:rPr>
                <w:rFonts w:ascii="Trebuchet MS" w:hAnsi="Trebuchet MS"/>
                <w:sz w:val="16"/>
                <w:szCs w:val="16"/>
              </w:rPr>
              <w:t>phones</w:t>
            </w:r>
          </w:p>
        </w:tc>
        <w:tc>
          <w:tcPr>
            <w:tcW w:w="1240" w:type="dxa"/>
            <w:noWrap/>
            <w:vAlign w:val="center"/>
            <w:hideMark/>
          </w:tcPr>
          <w:p w14:paraId="3D6230D3"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 </w:t>
            </w:r>
          </w:p>
        </w:tc>
        <w:tc>
          <w:tcPr>
            <w:tcW w:w="1240" w:type="dxa"/>
            <w:noWrap/>
            <w:vAlign w:val="center"/>
            <w:hideMark/>
          </w:tcPr>
          <w:p w14:paraId="7AF7EEC8"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10.9%</w:t>
            </w:r>
          </w:p>
        </w:tc>
        <w:tc>
          <w:tcPr>
            <w:tcW w:w="1240" w:type="dxa"/>
            <w:noWrap/>
            <w:vAlign w:val="center"/>
            <w:hideMark/>
          </w:tcPr>
          <w:p w14:paraId="14907096"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4.4%</w:t>
            </w:r>
          </w:p>
        </w:tc>
        <w:tc>
          <w:tcPr>
            <w:tcW w:w="1241" w:type="dxa"/>
            <w:noWrap/>
            <w:vAlign w:val="center"/>
            <w:hideMark/>
          </w:tcPr>
          <w:p w14:paraId="043BDCC6"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0.2%</w:t>
            </w:r>
          </w:p>
        </w:tc>
      </w:tr>
      <w:tr w:rsidR="00607895" w:rsidRPr="00167A1B" w14:paraId="486440A1" w14:textId="77777777" w:rsidTr="00607895">
        <w:trPr>
          <w:trHeight w:val="300"/>
        </w:trPr>
        <w:tc>
          <w:tcPr>
            <w:tcW w:w="1696" w:type="dxa"/>
            <w:tcBorders>
              <w:top w:val="nil"/>
              <w:bottom w:val="nil"/>
            </w:tcBorders>
            <w:noWrap/>
            <w:vAlign w:val="center"/>
            <w:hideMark/>
          </w:tcPr>
          <w:p w14:paraId="6B574E57"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w:t>
            </w:r>
          </w:p>
        </w:tc>
        <w:tc>
          <w:tcPr>
            <w:tcW w:w="2410" w:type="dxa"/>
            <w:noWrap/>
            <w:vAlign w:val="center"/>
            <w:hideMark/>
          </w:tcPr>
          <w:p w14:paraId="0F654E34"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Annual average</w:t>
            </w:r>
          </w:p>
        </w:tc>
        <w:tc>
          <w:tcPr>
            <w:tcW w:w="1240" w:type="dxa"/>
            <w:noWrap/>
            <w:vAlign w:val="center"/>
            <w:hideMark/>
          </w:tcPr>
          <w:p w14:paraId="3C75D843"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1 120</w:t>
            </w:r>
          </w:p>
        </w:tc>
        <w:tc>
          <w:tcPr>
            <w:tcW w:w="1240" w:type="dxa"/>
            <w:noWrap/>
            <w:vAlign w:val="center"/>
            <w:hideMark/>
          </w:tcPr>
          <w:p w14:paraId="0FF66519"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122</w:t>
            </w:r>
          </w:p>
        </w:tc>
        <w:tc>
          <w:tcPr>
            <w:tcW w:w="1240" w:type="dxa"/>
            <w:noWrap/>
            <w:vAlign w:val="center"/>
            <w:hideMark/>
          </w:tcPr>
          <w:p w14:paraId="7A9132FD"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49</w:t>
            </w:r>
          </w:p>
        </w:tc>
        <w:tc>
          <w:tcPr>
            <w:tcW w:w="1241" w:type="dxa"/>
            <w:noWrap/>
            <w:vAlign w:val="center"/>
            <w:hideMark/>
          </w:tcPr>
          <w:p w14:paraId="2F5E1BFB"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3</w:t>
            </w:r>
          </w:p>
        </w:tc>
      </w:tr>
      <w:tr w:rsidR="00607895" w:rsidRPr="00167A1B" w14:paraId="185D2370" w14:textId="77777777" w:rsidTr="00607895">
        <w:trPr>
          <w:trHeight w:val="300"/>
        </w:trPr>
        <w:tc>
          <w:tcPr>
            <w:tcW w:w="1696" w:type="dxa"/>
            <w:tcBorders>
              <w:top w:val="nil"/>
              <w:bottom w:val="nil"/>
            </w:tcBorders>
            <w:noWrap/>
            <w:vAlign w:val="center"/>
            <w:hideMark/>
          </w:tcPr>
          <w:p w14:paraId="49102F2A"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w:t>
            </w:r>
          </w:p>
        </w:tc>
        <w:tc>
          <w:tcPr>
            <w:tcW w:w="2410" w:type="dxa"/>
            <w:noWrap/>
            <w:vAlign w:val="center"/>
            <w:hideMark/>
          </w:tcPr>
          <w:p w14:paraId="0CEE2D76" w14:textId="017F3E63"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xml:space="preserve">As % of </w:t>
            </w:r>
            <w:r w:rsidR="00607895" w:rsidRPr="00167A1B">
              <w:rPr>
                <w:rFonts w:ascii="Trebuchet MS" w:hAnsi="Trebuchet MS"/>
                <w:sz w:val="16"/>
                <w:szCs w:val="16"/>
              </w:rPr>
              <w:t>phones</w:t>
            </w:r>
          </w:p>
        </w:tc>
        <w:tc>
          <w:tcPr>
            <w:tcW w:w="1240" w:type="dxa"/>
            <w:noWrap/>
            <w:vAlign w:val="center"/>
            <w:hideMark/>
          </w:tcPr>
          <w:p w14:paraId="2852BB1F"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 </w:t>
            </w:r>
          </w:p>
        </w:tc>
        <w:tc>
          <w:tcPr>
            <w:tcW w:w="1240" w:type="dxa"/>
            <w:noWrap/>
            <w:vAlign w:val="center"/>
            <w:hideMark/>
          </w:tcPr>
          <w:p w14:paraId="08E15108"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10.9%</w:t>
            </w:r>
          </w:p>
        </w:tc>
        <w:tc>
          <w:tcPr>
            <w:tcW w:w="1240" w:type="dxa"/>
            <w:noWrap/>
            <w:vAlign w:val="center"/>
            <w:hideMark/>
          </w:tcPr>
          <w:p w14:paraId="46EE5F4C"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4.4%</w:t>
            </w:r>
          </w:p>
        </w:tc>
        <w:tc>
          <w:tcPr>
            <w:tcW w:w="1241" w:type="dxa"/>
            <w:noWrap/>
            <w:vAlign w:val="center"/>
            <w:hideMark/>
          </w:tcPr>
          <w:p w14:paraId="41CAB3B6"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0.2%</w:t>
            </w:r>
          </w:p>
        </w:tc>
      </w:tr>
      <w:tr w:rsidR="00607895" w:rsidRPr="00167A1B" w14:paraId="08393B1F" w14:textId="77777777" w:rsidTr="00607895">
        <w:trPr>
          <w:trHeight w:val="300"/>
        </w:trPr>
        <w:tc>
          <w:tcPr>
            <w:tcW w:w="1696" w:type="dxa"/>
            <w:tcBorders>
              <w:top w:val="single" w:sz="4" w:space="0" w:color="438EF1" w:themeColor="text2" w:themeTint="99"/>
              <w:bottom w:val="nil"/>
            </w:tcBorders>
            <w:noWrap/>
            <w:vAlign w:val="center"/>
            <w:hideMark/>
          </w:tcPr>
          <w:p w14:paraId="48253CC1"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sz w:val="16"/>
                <w:szCs w:val="16"/>
              </w:rPr>
              <w:t>Material Use [tonnes]</w:t>
            </w:r>
          </w:p>
        </w:tc>
        <w:tc>
          <w:tcPr>
            <w:tcW w:w="2410" w:type="dxa"/>
            <w:tcBorders>
              <w:top w:val="single" w:sz="4" w:space="0" w:color="438EF1" w:themeColor="text2" w:themeTint="99"/>
            </w:tcBorders>
            <w:noWrap/>
            <w:vAlign w:val="center"/>
            <w:hideMark/>
          </w:tcPr>
          <w:p w14:paraId="57989360"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sz w:val="16"/>
                <w:szCs w:val="16"/>
              </w:rPr>
              <w:t>Total 2024-2030</w:t>
            </w:r>
          </w:p>
        </w:tc>
        <w:tc>
          <w:tcPr>
            <w:tcW w:w="1240" w:type="dxa"/>
            <w:tcBorders>
              <w:top w:val="single" w:sz="4" w:space="0" w:color="438EF1" w:themeColor="text2" w:themeTint="99"/>
            </w:tcBorders>
            <w:noWrap/>
            <w:vAlign w:val="center"/>
            <w:hideMark/>
          </w:tcPr>
          <w:p w14:paraId="135AACDC"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sz w:val="16"/>
                <w:szCs w:val="16"/>
              </w:rPr>
              <w:t>152 806</w:t>
            </w:r>
          </w:p>
        </w:tc>
        <w:tc>
          <w:tcPr>
            <w:tcW w:w="1240" w:type="dxa"/>
            <w:tcBorders>
              <w:top w:val="single" w:sz="4" w:space="0" w:color="438EF1" w:themeColor="text2" w:themeTint="99"/>
            </w:tcBorders>
            <w:noWrap/>
            <w:vAlign w:val="center"/>
            <w:hideMark/>
          </w:tcPr>
          <w:p w14:paraId="18A62561"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bCs/>
                <w:sz w:val="16"/>
                <w:szCs w:val="16"/>
              </w:rPr>
              <w:t>16 484</w:t>
            </w:r>
          </w:p>
        </w:tc>
        <w:tc>
          <w:tcPr>
            <w:tcW w:w="1240" w:type="dxa"/>
            <w:tcBorders>
              <w:top w:val="single" w:sz="4" w:space="0" w:color="438EF1" w:themeColor="text2" w:themeTint="99"/>
            </w:tcBorders>
            <w:noWrap/>
            <w:vAlign w:val="center"/>
            <w:hideMark/>
          </w:tcPr>
          <w:p w14:paraId="38F4A938"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bCs/>
                <w:sz w:val="16"/>
                <w:szCs w:val="16"/>
              </w:rPr>
              <w:t>9 643</w:t>
            </w:r>
          </w:p>
        </w:tc>
        <w:tc>
          <w:tcPr>
            <w:tcW w:w="1241" w:type="dxa"/>
            <w:tcBorders>
              <w:top w:val="single" w:sz="4" w:space="0" w:color="438EF1" w:themeColor="text2" w:themeTint="99"/>
            </w:tcBorders>
            <w:noWrap/>
            <w:vAlign w:val="center"/>
            <w:hideMark/>
          </w:tcPr>
          <w:p w14:paraId="1D0C9EEA"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bCs/>
                <w:sz w:val="16"/>
                <w:szCs w:val="16"/>
              </w:rPr>
              <w:t>437</w:t>
            </w:r>
          </w:p>
        </w:tc>
      </w:tr>
      <w:tr w:rsidR="00607895" w:rsidRPr="00167A1B" w14:paraId="5C54E281" w14:textId="77777777" w:rsidTr="00607895">
        <w:trPr>
          <w:trHeight w:val="300"/>
        </w:trPr>
        <w:tc>
          <w:tcPr>
            <w:tcW w:w="1696" w:type="dxa"/>
            <w:tcBorders>
              <w:top w:val="nil"/>
              <w:bottom w:val="nil"/>
            </w:tcBorders>
            <w:noWrap/>
            <w:vAlign w:val="center"/>
            <w:hideMark/>
          </w:tcPr>
          <w:p w14:paraId="169DCC03"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w:t>
            </w:r>
          </w:p>
        </w:tc>
        <w:tc>
          <w:tcPr>
            <w:tcW w:w="2410" w:type="dxa"/>
            <w:noWrap/>
            <w:vAlign w:val="center"/>
            <w:hideMark/>
          </w:tcPr>
          <w:p w14:paraId="3EA847F6" w14:textId="67B26FC9"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xml:space="preserve">As % of </w:t>
            </w:r>
            <w:r w:rsidR="00607895" w:rsidRPr="00167A1B">
              <w:rPr>
                <w:rFonts w:ascii="Trebuchet MS" w:hAnsi="Trebuchet MS"/>
                <w:sz w:val="16"/>
                <w:szCs w:val="16"/>
              </w:rPr>
              <w:t>phones</w:t>
            </w:r>
          </w:p>
        </w:tc>
        <w:tc>
          <w:tcPr>
            <w:tcW w:w="1240" w:type="dxa"/>
            <w:noWrap/>
            <w:vAlign w:val="center"/>
            <w:hideMark/>
          </w:tcPr>
          <w:p w14:paraId="58DD7D09"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 </w:t>
            </w:r>
          </w:p>
        </w:tc>
        <w:tc>
          <w:tcPr>
            <w:tcW w:w="1240" w:type="dxa"/>
            <w:noWrap/>
            <w:vAlign w:val="center"/>
            <w:hideMark/>
          </w:tcPr>
          <w:p w14:paraId="4412A5D9"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10.8%</w:t>
            </w:r>
          </w:p>
        </w:tc>
        <w:tc>
          <w:tcPr>
            <w:tcW w:w="1240" w:type="dxa"/>
            <w:noWrap/>
            <w:vAlign w:val="center"/>
            <w:hideMark/>
          </w:tcPr>
          <w:p w14:paraId="1A715F09"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6.3%</w:t>
            </w:r>
          </w:p>
        </w:tc>
        <w:tc>
          <w:tcPr>
            <w:tcW w:w="1241" w:type="dxa"/>
            <w:noWrap/>
            <w:vAlign w:val="center"/>
            <w:hideMark/>
          </w:tcPr>
          <w:p w14:paraId="0A5790A6"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0.3%</w:t>
            </w:r>
          </w:p>
        </w:tc>
      </w:tr>
      <w:tr w:rsidR="00607895" w:rsidRPr="00167A1B" w14:paraId="0F27191F" w14:textId="77777777" w:rsidTr="00607895">
        <w:trPr>
          <w:trHeight w:val="300"/>
        </w:trPr>
        <w:tc>
          <w:tcPr>
            <w:tcW w:w="1696" w:type="dxa"/>
            <w:tcBorders>
              <w:top w:val="nil"/>
              <w:bottom w:val="nil"/>
            </w:tcBorders>
            <w:noWrap/>
            <w:vAlign w:val="center"/>
            <w:hideMark/>
          </w:tcPr>
          <w:p w14:paraId="3F826387"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w:t>
            </w:r>
          </w:p>
        </w:tc>
        <w:tc>
          <w:tcPr>
            <w:tcW w:w="2410" w:type="dxa"/>
            <w:noWrap/>
            <w:vAlign w:val="center"/>
            <w:hideMark/>
          </w:tcPr>
          <w:p w14:paraId="083104C4"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Annual average</w:t>
            </w:r>
          </w:p>
        </w:tc>
        <w:tc>
          <w:tcPr>
            <w:tcW w:w="1240" w:type="dxa"/>
            <w:noWrap/>
            <w:vAlign w:val="center"/>
            <w:hideMark/>
          </w:tcPr>
          <w:p w14:paraId="5B909B0F"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21 829</w:t>
            </w:r>
          </w:p>
        </w:tc>
        <w:tc>
          <w:tcPr>
            <w:tcW w:w="1240" w:type="dxa"/>
            <w:noWrap/>
            <w:vAlign w:val="center"/>
            <w:hideMark/>
          </w:tcPr>
          <w:p w14:paraId="55996FB5"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2 355</w:t>
            </w:r>
          </w:p>
        </w:tc>
        <w:tc>
          <w:tcPr>
            <w:tcW w:w="1240" w:type="dxa"/>
            <w:noWrap/>
            <w:vAlign w:val="center"/>
            <w:hideMark/>
          </w:tcPr>
          <w:p w14:paraId="7A5F43C0"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1 378</w:t>
            </w:r>
          </w:p>
        </w:tc>
        <w:tc>
          <w:tcPr>
            <w:tcW w:w="1241" w:type="dxa"/>
            <w:noWrap/>
            <w:vAlign w:val="center"/>
            <w:hideMark/>
          </w:tcPr>
          <w:p w14:paraId="33B70427"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62</w:t>
            </w:r>
          </w:p>
        </w:tc>
      </w:tr>
      <w:tr w:rsidR="00607895" w:rsidRPr="00167A1B" w14:paraId="7F9F24AF" w14:textId="77777777" w:rsidTr="00607895">
        <w:trPr>
          <w:trHeight w:val="300"/>
        </w:trPr>
        <w:tc>
          <w:tcPr>
            <w:tcW w:w="1696" w:type="dxa"/>
            <w:tcBorders>
              <w:top w:val="nil"/>
              <w:bottom w:val="nil"/>
            </w:tcBorders>
            <w:noWrap/>
            <w:vAlign w:val="center"/>
            <w:hideMark/>
          </w:tcPr>
          <w:p w14:paraId="69FB82A4"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w:t>
            </w:r>
          </w:p>
        </w:tc>
        <w:tc>
          <w:tcPr>
            <w:tcW w:w="2410" w:type="dxa"/>
            <w:noWrap/>
            <w:vAlign w:val="center"/>
            <w:hideMark/>
          </w:tcPr>
          <w:p w14:paraId="70CFB93F" w14:textId="561710EB"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xml:space="preserve">As % of </w:t>
            </w:r>
            <w:r w:rsidR="00607895" w:rsidRPr="00167A1B">
              <w:rPr>
                <w:rFonts w:ascii="Trebuchet MS" w:hAnsi="Trebuchet MS"/>
                <w:sz w:val="16"/>
                <w:szCs w:val="16"/>
              </w:rPr>
              <w:t>phones</w:t>
            </w:r>
          </w:p>
        </w:tc>
        <w:tc>
          <w:tcPr>
            <w:tcW w:w="1240" w:type="dxa"/>
            <w:noWrap/>
            <w:vAlign w:val="center"/>
            <w:hideMark/>
          </w:tcPr>
          <w:p w14:paraId="6C02A6C3"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 </w:t>
            </w:r>
          </w:p>
        </w:tc>
        <w:tc>
          <w:tcPr>
            <w:tcW w:w="1240" w:type="dxa"/>
            <w:noWrap/>
            <w:vAlign w:val="center"/>
            <w:hideMark/>
          </w:tcPr>
          <w:p w14:paraId="3CC470DD"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10.8%</w:t>
            </w:r>
          </w:p>
        </w:tc>
        <w:tc>
          <w:tcPr>
            <w:tcW w:w="1240" w:type="dxa"/>
            <w:noWrap/>
            <w:vAlign w:val="center"/>
            <w:hideMark/>
          </w:tcPr>
          <w:p w14:paraId="572AA906"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6.3%</w:t>
            </w:r>
          </w:p>
        </w:tc>
        <w:tc>
          <w:tcPr>
            <w:tcW w:w="1241" w:type="dxa"/>
            <w:noWrap/>
            <w:vAlign w:val="center"/>
            <w:hideMark/>
          </w:tcPr>
          <w:p w14:paraId="1AA323BF"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0.3%</w:t>
            </w:r>
          </w:p>
        </w:tc>
      </w:tr>
      <w:tr w:rsidR="00607895" w:rsidRPr="00167A1B" w14:paraId="31730202" w14:textId="77777777" w:rsidTr="00607895">
        <w:trPr>
          <w:trHeight w:val="270"/>
        </w:trPr>
        <w:tc>
          <w:tcPr>
            <w:tcW w:w="1696" w:type="dxa"/>
            <w:tcBorders>
              <w:top w:val="single" w:sz="4" w:space="0" w:color="438EF1" w:themeColor="text2" w:themeTint="99"/>
              <w:bottom w:val="nil"/>
            </w:tcBorders>
            <w:noWrap/>
            <w:vAlign w:val="center"/>
            <w:hideMark/>
          </w:tcPr>
          <w:p w14:paraId="174F46A9"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sz w:val="16"/>
                <w:szCs w:val="16"/>
              </w:rPr>
              <w:t>E-waste [tonnes]</w:t>
            </w:r>
          </w:p>
        </w:tc>
        <w:tc>
          <w:tcPr>
            <w:tcW w:w="2410" w:type="dxa"/>
            <w:tcBorders>
              <w:top w:val="single" w:sz="4" w:space="0" w:color="438EF1" w:themeColor="text2" w:themeTint="99"/>
            </w:tcBorders>
            <w:noWrap/>
            <w:vAlign w:val="center"/>
            <w:hideMark/>
          </w:tcPr>
          <w:p w14:paraId="57568940"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sz w:val="16"/>
                <w:szCs w:val="16"/>
              </w:rPr>
              <w:t>Total 2024-2030</w:t>
            </w:r>
          </w:p>
        </w:tc>
        <w:tc>
          <w:tcPr>
            <w:tcW w:w="1240" w:type="dxa"/>
            <w:tcBorders>
              <w:top w:val="single" w:sz="4" w:space="0" w:color="438EF1" w:themeColor="text2" w:themeTint="99"/>
            </w:tcBorders>
            <w:noWrap/>
            <w:vAlign w:val="center"/>
            <w:hideMark/>
          </w:tcPr>
          <w:p w14:paraId="2DDC3D82"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sz w:val="16"/>
                <w:szCs w:val="16"/>
              </w:rPr>
              <w:t>133 196</w:t>
            </w:r>
          </w:p>
        </w:tc>
        <w:tc>
          <w:tcPr>
            <w:tcW w:w="1240" w:type="dxa"/>
            <w:tcBorders>
              <w:top w:val="single" w:sz="4" w:space="0" w:color="438EF1" w:themeColor="text2" w:themeTint="99"/>
            </w:tcBorders>
            <w:noWrap/>
            <w:vAlign w:val="center"/>
            <w:hideMark/>
          </w:tcPr>
          <w:p w14:paraId="75307539"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bCs/>
                <w:sz w:val="16"/>
                <w:szCs w:val="16"/>
              </w:rPr>
              <w:t>14 595</w:t>
            </w:r>
          </w:p>
        </w:tc>
        <w:tc>
          <w:tcPr>
            <w:tcW w:w="1240" w:type="dxa"/>
            <w:tcBorders>
              <w:top w:val="single" w:sz="4" w:space="0" w:color="438EF1" w:themeColor="text2" w:themeTint="99"/>
            </w:tcBorders>
            <w:noWrap/>
            <w:vAlign w:val="center"/>
            <w:hideMark/>
          </w:tcPr>
          <w:p w14:paraId="5F0DF31B"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sz w:val="16"/>
                <w:szCs w:val="16"/>
              </w:rPr>
              <w:t>6 815</w:t>
            </w:r>
          </w:p>
        </w:tc>
        <w:tc>
          <w:tcPr>
            <w:tcW w:w="1241" w:type="dxa"/>
            <w:tcBorders>
              <w:top w:val="single" w:sz="4" w:space="0" w:color="438EF1" w:themeColor="text2" w:themeTint="99"/>
            </w:tcBorders>
            <w:noWrap/>
            <w:vAlign w:val="center"/>
            <w:hideMark/>
          </w:tcPr>
          <w:p w14:paraId="35344620"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bCs/>
                <w:sz w:val="16"/>
                <w:szCs w:val="16"/>
              </w:rPr>
              <w:t>857</w:t>
            </w:r>
          </w:p>
        </w:tc>
      </w:tr>
      <w:tr w:rsidR="00607895" w:rsidRPr="00167A1B" w14:paraId="649E1C15" w14:textId="77777777" w:rsidTr="00607895">
        <w:trPr>
          <w:trHeight w:val="270"/>
        </w:trPr>
        <w:tc>
          <w:tcPr>
            <w:tcW w:w="1696" w:type="dxa"/>
            <w:tcBorders>
              <w:top w:val="nil"/>
              <w:bottom w:val="nil"/>
            </w:tcBorders>
            <w:noWrap/>
            <w:vAlign w:val="center"/>
            <w:hideMark/>
          </w:tcPr>
          <w:p w14:paraId="2420CC0A"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w:t>
            </w:r>
          </w:p>
        </w:tc>
        <w:tc>
          <w:tcPr>
            <w:tcW w:w="2410" w:type="dxa"/>
            <w:noWrap/>
            <w:vAlign w:val="center"/>
            <w:hideMark/>
          </w:tcPr>
          <w:p w14:paraId="19404FC9" w14:textId="2CD4681A"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xml:space="preserve">As % of </w:t>
            </w:r>
            <w:r w:rsidR="00607895" w:rsidRPr="00167A1B">
              <w:rPr>
                <w:rFonts w:ascii="Trebuchet MS" w:hAnsi="Trebuchet MS"/>
                <w:sz w:val="16"/>
                <w:szCs w:val="16"/>
              </w:rPr>
              <w:t>phones</w:t>
            </w:r>
          </w:p>
        </w:tc>
        <w:tc>
          <w:tcPr>
            <w:tcW w:w="1240" w:type="dxa"/>
            <w:noWrap/>
            <w:vAlign w:val="center"/>
            <w:hideMark/>
          </w:tcPr>
          <w:p w14:paraId="534195AE"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 </w:t>
            </w:r>
          </w:p>
        </w:tc>
        <w:tc>
          <w:tcPr>
            <w:tcW w:w="1240" w:type="dxa"/>
            <w:noWrap/>
            <w:vAlign w:val="center"/>
            <w:hideMark/>
          </w:tcPr>
          <w:p w14:paraId="16180EE1"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11.0%</w:t>
            </w:r>
          </w:p>
        </w:tc>
        <w:tc>
          <w:tcPr>
            <w:tcW w:w="1240" w:type="dxa"/>
            <w:noWrap/>
            <w:vAlign w:val="center"/>
            <w:hideMark/>
          </w:tcPr>
          <w:p w14:paraId="33FF78F9"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5.1%</w:t>
            </w:r>
          </w:p>
        </w:tc>
        <w:tc>
          <w:tcPr>
            <w:tcW w:w="1241" w:type="dxa"/>
            <w:noWrap/>
            <w:vAlign w:val="center"/>
            <w:hideMark/>
          </w:tcPr>
          <w:p w14:paraId="6AD0BAE0"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0.6%</w:t>
            </w:r>
          </w:p>
        </w:tc>
      </w:tr>
      <w:tr w:rsidR="00607895" w:rsidRPr="00167A1B" w14:paraId="12254899" w14:textId="77777777" w:rsidTr="00607895">
        <w:trPr>
          <w:trHeight w:val="456"/>
        </w:trPr>
        <w:tc>
          <w:tcPr>
            <w:tcW w:w="1696" w:type="dxa"/>
            <w:tcBorders>
              <w:top w:val="nil"/>
              <w:bottom w:val="nil"/>
            </w:tcBorders>
            <w:noWrap/>
            <w:vAlign w:val="center"/>
            <w:hideMark/>
          </w:tcPr>
          <w:p w14:paraId="20A84372"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w:t>
            </w:r>
          </w:p>
        </w:tc>
        <w:tc>
          <w:tcPr>
            <w:tcW w:w="2410" w:type="dxa"/>
            <w:noWrap/>
            <w:vAlign w:val="center"/>
            <w:hideMark/>
          </w:tcPr>
          <w:p w14:paraId="723042E1"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Annual average</w:t>
            </w:r>
          </w:p>
        </w:tc>
        <w:tc>
          <w:tcPr>
            <w:tcW w:w="1240" w:type="dxa"/>
            <w:noWrap/>
            <w:vAlign w:val="center"/>
            <w:hideMark/>
          </w:tcPr>
          <w:p w14:paraId="4082A31B"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19 028</w:t>
            </w:r>
          </w:p>
        </w:tc>
        <w:tc>
          <w:tcPr>
            <w:tcW w:w="1240" w:type="dxa"/>
            <w:noWrap/>
            <w:vAlign w:val="center"/>
            <w:hideMark/>
          </w:tcPr>
          <w:p w14:paraId="6EB815E7"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2 085</w:t>
            </w:r>
          </w:p>
        </w:tc>
        <w:tc>
          <w:tcPr>
            <w:tcW w:w="1240" w:type="dxa"/>
            <w:noWrap/>
            <w:vAlign w:val="center"/>
            <w:hideMark/>
          </w:tcPr>
          <w:p w14:paraId="272D299E"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974</w:t>
            </w:r>
          </w:p>
        </w:tc>
        <w:tc>
          <w:tcPr>
            <w:tcW w:w="1241" w:type="dxa"/>
            <w:noWrap/>
            <w:vAlign w:val="center"/>
            <w:hideMark/>
          </w:tcPr>
          <w:p w14:paraId="0AA25F0E"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122</w:t>
            </w:r>
          </w:p>
        </w:tc>
      </w:tr>
      <w:tr w:rsidR="00607895" w:rsidRPr="00167A1B" w14:paraId="4A682627" w14:textId="77777777" w:rsidTr="00607895">
        <w:trPr>
          <w:trHeight w:val="285"/>
        </w:trPr>
        <w:tc>
          <w:tcPr>
            <w:tcW w:w="1696" w:type="dxa"/>
            <w:tcBorders>
              <w:top w:val="nil"/>
              <w:bottom w:val="nil"/>
            </w:tcBorders>
            <w:noWrap/>
            <w:vAlign w:val="center"/>
            <w:hideMark/>
          </w:tcPr>
          <w:p w14:paraId="3B5EC503"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w:t>
            </w:r>
          </w:p>
        </w:tc>
        <w:tc>
          <w:tcPr>
            <w:tcW w:w="2410" w:type="dxa"/>
            <w:noWrap/>
            <w:vAlign w:val="center"/>
            <w:hideMark/>
          </w:tcPr>
          <w:p w14:paraId="3DB8DD1B" w14:textId="05296ED2"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xml:space="preserve">As % of </w:t>
            </w:r>
            <w:r w:rsidR="00607895" w:rsidRPr="00167A1B">
              <w:rPr>
                <w:rFonts w:ascii="Trebuchet MS" w:hAnsi="Trebuchet MS"/>
                <w:sz w:val="16"/>
                <w:szCs w:val="16"/>
              </w:rPr>
              <w:t>phones</w:t>
            </w:r>
          </w:p>
        </w:tc>
        <w:tc>
          <w:tcPr>
            <w:tcW w:w="1240" w:type="dxa"/>
            <w:noWrap/>
            <w:vAlign w:val="center"/>
            <w:hideMark/>
          </w:tcPr>
          <w:p w14:paraId="7807268D"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 </w:t>
            </w:r>
          </w:p>
        </w:tc>
        <w:tc>
          <w:tcPr>
            <w:tcW w:w="1240" w:type="dxa"/>
            <w:noWrap/>
            <w:vAlign w:val="center"/>
            <w:hideMark/>
          </w:tcPr>
          <w:p w14:paraId="455EF5F2"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11.0%</w:t>
            </w:r>
          </w:p>
        </w:tc>
        <w:tc>
          <w:tcPr>
            <w:tcW w:w="1240" w:type="dxa"/>
            <w:noWrap/>
            <w:vAlign w:val="center"/>
            <w:hideMark/>
          </w:tcPr>
          <w:p w14:paraId="670E0F2A"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5.1%</w:t>
            </w:r>
          </w:p>
        </w:tc>
        <w:tc>
          <w:tcPr>
            <w:tcW w:w="1241" w:type="dxa"/>
            <w:noWrap/>
            <w:vAlign w:val="center"/>
            <w:hideMark/>
          </w:tcPr>
          <w:p w14:paraId="2168BEB0"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0.6%</w:t>
            </w:r>
          </w:p>
        </w:tc>
      </w:tr>
      <w:tr w:rsidR="00607895" w:rsidRPr="00167A1B" w14:paraId="1BBACE1B" w14:textId="77777777" w:rsidTr="00607895">
        <w:trPr>
          <w:trHeight w:val="285"/>
        </w:trPr>
        <w:tc>
          <w:tcPr>
            <w:tcW w:w="1696" w:type="dxa"/>
            <w:tcBorders>
              <w:top w:val="single" w:sz="4" w:space="0" w:color="438EF1" w:themeColor="text2" w:themeTint="99"/>
              <w:bottom w:val="nil"/>
            </w:tcBorders>
            <w:noWrap/>
            <w:vAlign w:val="center"/>
            <w:hideMark/>
          </w:tcPr>
          <w:p w14:paraId="188C7332"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sz w:val="16"/>
                <w:szCs w:val="16"/>
              </w:rPr>
              <w:t>Of which Untreated [tonnes]</w:t>
            </w:r>
          </w:p>
        </w:tc>
        <w:tc>
          <w:tcPr>
            <w:tcW w:w="2410" w:type="dxa"/>
            <w:tcBorders>
              <w:top w:val="single" w:sz="4" w:space="0" w:color="438EF1" w:themeColor="text2" w:themeTint="99"/>
            </w:tcBorders>
            <w:noWrap/>
            <w:vAlign w:val="center"/>
            <w:hideMark/>
          </w:tcPr>
          <w:p w14:paraId="5F2C1483"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sz w:val="16"/>
                <w:szCs w:val="16"/>
              </w:rPr>
              <w:t>Total 2024-2030</w:t>
            </w:r>
          </w:p>
        </w:tc>
        <w:tc>
          <w:tcPr>
            <w:tcW w:w="1240" w:type="dxa"/>
            <w:tcBorders>
              <w:top w:val="single" w:sz="4" w:space="0" w:color="438EF1" w:themeColor="text2" w:themeTint="99"/>
            </w:tcBorders>
            <w:noWrap/>
            <w:vAlign w:val="center"/>
            <w:hideMark/>
          </w:tcPr>
          <w:p w14:paraId="391BCD24"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bCs/>
                <w:sz w:val="16"/>
                <w:szCs w:val="16"/>
              </w:rPr>
              <w:t>27 365</w:t>
            </w:r>
          </w:p>
        </w:tc>
        <w:tc>
          <w:tcPr>
            <w:tcW w:w="1240" w:type="dxa"/>
            <w:tcBorders>
              <w:top w:val="single" w:sz="4" w:space="0" w:color="438EF1" w:themeColor="text2" w:themeTint="99"/>
            </w:tcBorders>
            <w:noWrap/>
            <w:vAlign w:val="center"/>
            <w:hideMark/>
          </w:tcPr>
          <w:p w14:paraId="7A99B8F7"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bCs/>
                <w:sz w:val="16"/>
                <w:szCs w:val="16"/>
              </w:rPr>
              <w:t>3 003</w:t>
            </w:r>
          </w:p>
        </w:tc>
        <w:tc>
          <w:tcPr>
            <w:tcW w:w="1240" w:type="dxa"/>
            <w:tcBorders>
              <w:top w:val="single" w:sz="4" w:space="0" w:color="438EF1" w:themeColor="text2" w:themeTint="99"/>
            </w:tcBorders>
            <w:noWrap/>
            <w:vAlign w:val="center"/>
            <w:hideMark/>
          </w:tcPr>
          <w:p w14:paraId="7659C23B"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sz w:val="16"/>
                <w:szCs w:val="16"/>
              </w:rPr>
              <w:t>1 362</w:t>
            </w:r>
          </w:p>
        </w:tc>
        <w:tc>
          <w:tcPr>
            <w:tcW w:w="1241" w:type="dxa"/>
            <w:tcBorders>
              <w:top w:val="single" w:sz="4" w:space="0" w:color="438EF1" w:themeColor="text2" w:themeTint="99"/>
            </w:tcBorders>
            <w:noWrap/>
            <w:vAlign w:val="center"/>
            <w:hideMark/>
          </w:tcPr>
          <w:p w14:paraId="6C7D3DDA"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bCs/>
                <w:sz w:val="16"/>
                <w:szCs w:val="16"/>
              </w:rPr>
              <w:t>184</w:t>
            </w:r>
          </w:p>
        </w:tc>
      </w:tr>
      <w:tr w:rsidR="00607895" w:rsidRPr="00167A1B" w14:paraId="2ABF1663" w14:textId="77777777" w:rsidTr="00607895">
        <w:trPr>
          <w:trHeight w:val="300"/>
        </w:trPr>
        <w:tc>
          <w:tcPr>
            <w:tcW w:w="1696" w:type="dxa"/>
            <w:tcBorders>
              <w:top w:val="nil"/>
              <w:bottom w:val="nil"/>
            </w:tcBorders>
            <w:noWrap/>
            <w:vAlign w:val="center"/>
            <w:hideMark/>
          </w:tcPr>
          <w:p w14:paraId="6881A9AA"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w:t>
            </w:r>
          </w:p>
        </w:tc>
        <w:tc>
          <w:tcPr>
            <w:tcW w:w="2410" w:type="dxa"/>
            <w:noWrap/>
            <w:vAlign w:val="center"/>
            <w:hideMark/>
          </w:tcPr>
          <w:p w14:paraId="5156C004" w14:textId="3DE2330C"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xml:space="preserve">As % of </w:t>
            </w:r>
            <w:r w:rsidR="00607895" w:rsidRPr="00167A1B">
              <w:rPr>
                <w:rFonts w:ascii="Trebuchet MS" w:hAnsi="Trebuchet MS"/>
                <w:sz w:val="16"/>
                <w:szCs w:val="16"/>
              </w:rPr>
              <w:t>phones</w:t>
            </w:r>
          </w:p>
        </w:tc>
        <w:tc>
          <w:tcPr>
            <w:tcW w:w="1240" w:type="dxa"/>
            <w:noWrap/>
            <w:vAlign w:val="center"/>
            <w:hideMark/>
          </w:tcPr>
          <w:p w14:paraId="08112A74"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 </w:t>
            </w:r>
          </w:p>
        </w:tc>
        <w:tc>
          <w:tcPr>
            <w:tcW w:w="1240" w:type="dxa"/>
            <w:noWrap/>
            <w:vAlign w:val="center"/>
            <w:hideMark/>
          </w:tcPr>
          <w:p w14:paraId="1596652E"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11.0%</w:t>
            </w:r>
          </w:p>
        </w:tc>
        <w:tc>
          <w:tcPr>
            <w:tcW w:w="1240" w:type="dxa"/>
            <w:noWrap/>
            <w:vAlign w:val="center"/>
            <w:hideMark/>
          </w:tcPr>
          <w:p w14:paraId="45B462AA"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5.0%</w:t>
            </w:r>
          </w:p>
        </w:tc>
        <w:tc>
          <w:tcPr>
            <w:tcW w:w="1241" w:type="dxa"/>
            <w:noWrap/>
            <w:vAlign w:val="center"/>
            <w:hideMark/>
          </w:tcPr>
          <w:p w14:paraId="3439DC24"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0.7%</w:t>
            </w:r>
          </w:p>
        </w:tc>
      </w:tr>
      <w:tr w:rsidR="00607895" w:rsidRPr="00167A1B" w14:paraId="2236FA20" w14:textId="77777777" w:rsidTr="00607895">
        <w:trPr>
          <w:trHeight w:val="285"/>
        </w:trPr>
        <w:tc>
          <w:tcPr>
            <w:tcW w:w="1696" w:type="dxa"/>
            <w:tcBorders>
              <w:top w:val="nil"/>
              <w:bottom w:val="nil"/>
            </w:tcBorders>
            <w:noWrap/>
            <w:vAlign w:val="center"/>
            <w:hideMark/>
          </w:tcPr>
          <w:p w14:paraId="7FCAAE7A"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lastRenderedPageBreak/>
              <w:t> </w:t>
            </w:r>
          </w:p>
        </w:tc>
        <w:tc>
          <w:tcPr>
            <w:tcW w:w="2410" w:type="dxa"/>
            <w:noWrap/>
            <w:vAlign w:val="center"/>
            <w:hideMark/>
          </w:tcPr>
          <w:p w14:paraId="1D946859"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Annual average</w:t>
            </w:r>
          </w:p>
        </w:tc>
        <w:tc>
          <w:tcPr>
            <w:tcW w:w="1240" w:type="dxa"/>
            <w:noWrap/>
            <w:vAlign w:val="center"/>
            <w:hideMark/>
          </w:tcPr>
          <w:p w14:paraId="6173D2B5"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3 909</w:t>
            </w:r>
          </w:p>
        </w:tc>
        <w:tc>
          <w:tcPr>
            <w:tcW w:w="1240" w:type="dxa"/>
            <w:noWrap/>
            <w:vAlign w:val="center"/>
            <w:hideMark/>
          </w:tcPr>
          <w:p w14:paraId="33674252"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429</w:t>
            </w:r>
          </w:p>
        </w:tc>
        <w:tc>
          <w:tcPr>
            <w:tcW w:w="1240" w:type="dxa"/>
            <w:noWrap/>
            <w:vAlign w:val="center"/>
            <w:hideMark/>
          </w:tcPr>
          <w:p w14:paraId="1B681217"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195</w:t>
            </w:r>
          </w:p>
        </w:tc>
        <w:tc>
          <w:tcPr>
            <w:tcW w:w="1241" w:type="dxa"/>
            <w:noWrap/>
            <w:vAlign w:val="center"/>
            <w:hideMark/>
          </w:tcPr>
          <w:p w14:paraId="028ACF15"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26</w:t>
            </w:r>
          </w:p>
        </w:tc>
      </w:tr>
      <w:tr w:rsidR="00607895" w:rsidRPr="00167A1B" w14:paraId="79A09F5A" w14:textId="77777777" w:rsidTr="00607895">
        <w:trPr>
          <w:trHeight w:val="300"/>
        </w:trPr>
        <w:tc>
          <w:tcPr>
            <w:tcW w:w="1696" w:type="dxa"/>
            <w:tcBorders>
              <w:top w:val="nil"/>
              <w:bottom w:val="nil"/>
            </w:tcBorders>
            <w:noWrap/>
            <w:vAlign w:val="center"/>
            <w:hideMark/>
          </w:tcPr>
          <w:p w14:paraId="32265886"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w:t>
            </w:r>
          </w:p>
        </w:tc>
        <w:tc>
          <w:tcPr>
            <w:tcW w:w="2410" w:type="dxa"/>
            <w:noWrap/>
            <w:vAlign w:val="center"/>
            <w:hideMark/>
          </w:tcPr>
          <w:p w14:paraId="041ECE52" w14:textId="40EF7C51"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xml:space="preserve">As % of </w:t>
            </w:r>
            <w:r w:rsidR="00607895" w:rsidRPr="00167A1B">
              <w:rPr>
                <w:rFonts w:ascii="Trebuchet MS" w:hAnsi="Trebuchet MS"/>
                <w:sz w:val="16"/>
                <w:szCs w:val="16"/>
              </w:rPr>
              <w:t>phones</w:t>
            </w:r>
          </w:p>
        </w:tc>
        <w:tc>
          <w:tcPr>
            <w:tcW w:w="1240" w:type="dxa"/>
            <w:noWrap/>
            <w:vAlign w:val="center"/>
            <w:hideMark/>
          </w:tcPr>
          <w:p w14:paraId="2CDDD7C3"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 </w:t>
            </w:r>
          </w:p>
        </w:tc>
        <w:tc>
          <w:tcPr>
            <w:tcW w:w="1240" w:type="dxa"/>
            <w:noWrap/>
            <w:vAlign w:val="center"/>
            <w:hideMark/>
          </w:tcPr>
          <w:p w14:paraId="55AB219D"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11.0%</w:t>
            </w:r>
          </w:p>
        </w:tc>
        <w:tc>
          <w:tcPr>
            <w:tcW w:w="1240" w:type="dxa"/>
            <w:noWrap/>
            <w:vAlign w:val="center"/>
            <w:hideMark/>
          </w:tcPr>
          <w:p w14:paraId="213572B5"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5.0%</w:t>
            </w:r>
          </w:p>
        </w:tc>
        <w:tc>
          <w:tcPr>
            <w:tcW w:w="1241" w:type="dxa"/>
            <w:noWrap/>
            <w:vAlign w:val="center"/>
            <w:hideMark/>
          </w:tcPr>
          <w:p w14:paraId="1A7E4819"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0.7%</w:t>
            </w:r>
          </w:p>
        </w:tc>
      </w:tr>
      <w:tr w:rsidR="00607895" w:rsidRPr="00167A1B" w14:paraId="6706BD07" w14:textId="77777777" w:rsidTr="00607895">
        <w:trPr>
          <w:trHeight w:val="300"/>
        </w:trPr>
        <w:tc>
          <w:tcPr>
            <w:tcW w:w="1696" w:type="dxa"/>
            <w:tcBorders>
              <w:top w:val="single" w:sz="4" w:space="0" w:color="438EF1" w:themeColor="text2" w:themeTint="99"/>
              <w:bottom w:val="nil"/>
            </w:tcBorders>
            <w:noWrap/>
            <w:vAlign w:val="center"/>
            <w:hideMark/>
          </w:tcPr>
          <w:p w14:paraId="220E2959"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sz w:val="16"/>
                <w:szCs w:val="16"/>
              </w:rPr>
              <w:t>Of which Recycled [tonnes]</w:t>
            </w:r>
          </w:p>
        </w:tc>
        <w:tc>
          <w:tcPr>
            <w:tcW w:w="2410" w:type="dxa"/>
            <w:tcBorders>
              <w:top w:val="single" w:sz="4" w:space="0" w:color="438EF1" w:themeColor="text2" w:themeTint="99"/>
            </w:tcBorders>
            <w:noWrap/>
            <w:vAlign w:val="center"/>
            <w:hideMark/>
          </w:tcPr>
          <w:p w14:paraId="1454F34E" w14:textId="77777777" w:rsidR="00221C9D" w:rsidRPr="00167A1B" w:rsidRDefault="00221C9D" w:rsidP="00F756E1">
            <w:pPr>
              <w:spacing w:after="0"/>
              <w:jc w:val="left"/>
              <w:rPr>
                <w:rFonts w:ascii="Trebuchet MS" w:hAnsi="Trebuchet MS"/>
                <w:b/>
                <w:sz w:val="16"/>
                <w:szCs w:val="16"/>
              </w:rPr>
            </w:pPr>
            <w:r w:rsidRPr="00167A1B">
              <w:rPr>
                <w:rFonts w:ascii="Trebuchet MS" w:hAnsi="Trebuchet MS"/>
                <w:b/>
                <w:sz w:val="16"/>
                <w:szCs w:val="16"/>
              </w:rPr>
              <w:t>Total 2024-2030</w:t>
            </w:r>
          </w:p>
        </w:tc>
        <w:tc>
          <w:tcPr>
            <w:tcW w:w="1240" w:type="dxa"/>
            <w:tcBorders>
              <w:top w:val="single" w:sz="4" w:space="0" w:color="438EF1" w:themeColor="text2" w:themeTint="99"/>
            </w:tcBorders>
            <w:noWrap/>
            <w:vAlign w:val="center"/>
            <w:hideMark/>
          </w:tcPr>
          <w:p w14:paraId="1A06C51D"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sz w:val="16"/>
                <w:szCs w:val="16"/>
              </w:rPr>
              <w:t>70 685</w:t>
            </w:r>
          </w:p>
        </w:tc>
        <w:tc>
          <w:tcPr>
            <w:tcW w:w="1240" w:type="dxa"/>
            <w:tcBorders>
              <w:top w:val="single" w:sz="4" w:space="0" w:color="438EF1" w:themeColor="text2" w:themeTint="99"/>
            </w:tcBorders>
            <w:noWrap/>
            <w:vAlign w:val="center"/>
            <w:hideMark/>
          </w:tcPr>
          <w:p w14:paraId="10C4B1D8"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bCs/>
                <w:sz w:val="16"/>
                <w:szCs w:val="16"/>
              </w:rPr>
              <w:t>7 737</w:t>
            </w:r>
          </w:p>
        </w:tc>
        <w:tc>
          <w:tcPr>
            <w:tcW w:w="1240" w:type="dxa"/>
            <w:tcBorders>
              <w:top w:val="single" w:sz="4" w:space="0" w:color="438EF1" w:themeColor="text2" w:themeTint="99"/>
            </w:tcBorders>
            <w:noWrap/>
            <w:vAlign w:val="center"/>
            <w:hideMark/>
          </w:tcPr>
          <w:p w14:paraId="64E769CF"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sz w:val="16"/>
                <w:szCs w:val="16"/>
              </w:rPr>
              <w:t>4 030</w:t>
            </w:r>
          </w:p>
        </w:tc>
        <w:tc>
          <w:tcPr>
            <w:tcW w:w="1241" w:type="dxa"/>
            <w:tcBorders>
              <w:top w:val="single" w:sz="4" w:space="0" w:color="438EF1" w:themeColor="text2" w:themeTint="99"/>
            </w:tcBorders>
            <w:noWrap/>
            <w:vAlign w:val="center"/>
            <w:hideMark/>
          </w:tcPr>
          <w:p w14:paraId="1CD308D6" w14:textId="77777777" w:rsidR="00221C9D" w:rsidRPr="00167A1B" w:rsidRDefault="00221C9D" w:rsidP="00F756E1">
            <w:pPr>
              <w:spacing w:after="0"/>
              <w:jc w:val="right"/>
              <w:rPr>
                <w:rFonts w:ascii="Trebuchet MS" w:hAnsi="Trebuchet MS"/>
                <w:b/>
                <w:sz w:val="16"/>
                <w:szCs w:val="16"/>
              </w:rPr>
            </w:pPr>
            <w:r w:rsidRPr="00167A1B">
              <w:rPr>
                <w:rFonts w:ascii="Trebuchet MS" w:hAnsi="Trebuchet MS"/>
                <w:b/>
                <w:bCs/>
                <w:sz w:val="16"/>
                <w:szCs w:val="16"/>
              </w:rPr>
              <w:t>448</w:t>
            </w:r>
          </w:p>
        </w:tc>
      </w:tr>
      <w:tr w:rsidR="00607895" w:rsidRPr="00167A1B" w14:paraId="4EDC31C6" w14:textId="77777777" w:rsidTr="00607895">
        <w:trPr>
          <w:trHeight w:val="285"/>
        </w:trPr>
        <w:tc>
          <w:tcPr>
            <w:tcW w:w="1696" w:type="dxa"/>
            <w:tcBorders>
              <w:top w:val="nil"/>
              <w:bottom w:val="nil"/>
            </w:tcBorders>
            <w:noWrap/>
            <w:vAlign w:val="center"/>
            <w:hideMark/>
          </w:tcPr>
          <w:p w14:paraId="088E93BB"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w:t>
            </w:r>
          </w:p>
        </w:tc>
        <w:tc>
          <w:tcPr>
            <w:tcW w:w="2410" w:type="dxa"/>
            <w:noWrap/>
            <w:vAlign w:val="center"/>
            <w:hideMark/>
          </w:tcPr>
          <w:p w14:paraId="60C62CC5" w14:textId="790DB332"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xml:space="preserve">As % of </w:t>
            </w:r>
            <w:r w:rsidR="00607895" w:rsidRPr="00167A1B">
              <w:rPr>
                <w:rFonts w:ascii="Trebuchet MS" w:hAnsi="Trebuchet MS"/>
                <w:sz w:val="16"/>
                <w:szCs w:val="16"/>
              </w:rPr>
              <w:t>phones</w:t>
            </w:r>
          </w:p>
        </w:tc>
        <w:tc>
          <w:tcPr>
            <w:tcW w:w="1240" w:type="dxa"/>
            <w:noWrap/>
            <w:vAlign w:val="center"/>
            <w:hideMark/>
          </w:tcPr>
          <w:p w14:paraId="2DB0787B"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 </w:t>
            </w:r>
          </w:p>
        </w:tc>
        <w:tc>
          <w:tcPr>
            <w:tcW w:w="1240" w:type="dxa"/>
            <w:noWrap/>
            <w:vAlign w:val="center"/>
            <w:hideMark/>
          </w:tcPr>
          <w:p w14:paraId="660AC446"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10.9%</w:t>
            </w:r>
          </w:p>
        </w:tc>
        <w:tc>
          <w:tcPr>
            <w:tcW w:w="1240" w:type="dxa"/>
            <w:noWrap/>
            <w:vAlign w:val="center"/>
            <w:hideMark/>
          </w:tcPr>
          <w:p w14:paraId="4618971B"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5.7%</w:t>
            </w:r>
          </w:p>
        </w:tc>
        <w:tc>
          <w:tcPr>
            <w:tcW w:w="1241" w:type="dxa"/>
            <w:noWrap/>
            <w:vAlign w:val="center"/>
            <w:hideMark/>
          </w:tcPr>
          <w:p w14:paraId="3869D34E"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0.6%</w:t>
            </w:r>
          </w:p>
        </w:tc>
      </w:tr>
      <w:tr w:rsidR="00607895" w:rsidRPr="00167A1B" w14:paraId="6FCB57D9" w14:textId="77777777" w:rsidTr="00607895">
        <w:trPr>
          <w:trHeight w:val="300"/>
        </w:trPr>
        <w:tc>
          <w:tcPr>
            <w:tcW w:w="1696" w:type="dxa"/>
            <w:tcBorders>
              <w:top w:val="nil"/>
              <w:bottom w:val="nil"/>
            </w:tcBorders>
            <w:noWrap/>
            <w:vAlign w:val="center"/>
            <w:hideMark/>
          </w:tcPr>
          <w:p w14:paraId="706E5BFB"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w:t>
            </w:r>
          </w:p>
        </w:tc>
        <w:tc>
          <w:tcPr>
            <w:tcW w:w="2410" w:type="dxa"/>
            <w:noWrap/>
            <w:vAlign w:val="center"/>
            <w:hideMark/>
          </w:tcPr>
          <w:p w14:paraId="54CBB155"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Annual average</w:t>
            </w:r>
          </w:p>
        </w:tc>
        <w:tc>
          <w:tcPr>
            <w:tcW w:w="1240" w:type="dxa"/>
            <w:noWrap/>
            <w:vAlign w:val="center"/>
            <w:hideMark/>
          </w:tcPr>
          <w:p w14:paraId="255EDB2E"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10 098</w:t>
            </w:r>
          </w:p>
        </w:tc>
        <w:tc>
          <w:tcPr>
            <w:tcW w:w="1240" w:type="dxa"/>
            <w:noWrap/>
            <w:vAlign w:val="center"/>
            <w:hideMark/>
          </w:tcPr>
          <w:p w14:paraId="430B2A42"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1 105</w:t>
            </w:r>
          </w:p>
        </w:tc>
        <w:tc>
          <w:tcPr>
            <w:tcW w:w="1240" w:type="dxa"/>
            <w:noWrap/>
            <w:vAlign w:val="center"/>
            <w:hideMark/>
          </w:tcPr>
          <w:p w14:paraId="1E6108CF"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576</w:t>
            </w:r>
          </w:p>
        </w:tc>
        <w:tc>
          <w:tcPr>
            <w:tcW w:w="1241" w:type="dxa"/>
            <w:noWrap/>
            <w:vAlign w:val="center"/>
            <w:hideMark/>
          </w:tcPr>
          <w:p w14:paraId="0B9BB715"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64</w:t>
            </w:r>
          </w:p>
        </w:tc>
      </w:tr>
      <w:tr w:rsidR="00607895" w:rsidRPr="00167A1B" w14:paraId="4E222EC6" w14:textId="77777777" w:rsidTr="00607895">
        <w:trPr>
          <w:trHeight w:val="270"/>
        </w:trPr>
        <w:tc>
          <w:tcPr>
            <w:tcW w:w="1696" w:type="dxa"/>
            <w:tcBorders>
              <w:top w:val="nil"/>
              <w:bottom w:val="nil"/>
            </w:tcBorders>
            <w:noWrap/>
            <w:vAlign w:val="center"/>
            <w:hideMark/>
          </w:tcPr>
          <w:p w14:paraId="66F61B03" w14:textId="77777777"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w:t>
            </w:r>
          </w:p>
        </w:tc>
        <w:tc>
          <w:tcPr>
            <w:tcW w:w="2410" w:type="dxa"/>
            <w:noWrap/>
            <w:vAlign w:val="center"/>
            <w:hideMark/>
          </w:tcPr>
          <w:p w14:paraId="0A77339C" w14:textId="337C69A3" w:rsidR="00221C9D" w:rsidRPr="00167A1B" w:rsidRDefault="00221C9D" w:rsidP="00F756E1">
            <w:pPr>
              <w:spacing w:after="0"/>
              <w:jc w:val="left"/>
              <w:rPr>
                <w:rFonts w:ascii="Trebuchet MS" w:hAnsi="Trebuchet MS"/>
                <w:sz w:val="16"/>
                <w:szCs w:val="16"/>
              </w:rPr>
            </w:pPr>
            <w:r w:rsidRPr="00167A1B">
              <w:rPr>
                <w:rFonts w:ascii="Trebuchet MS" w:hAnsi="Trebuchet MS"/>
                <w:sz w:val="16"/>
                <w:szCs w:val="16"/>
              </w:rPr>
              <w:t xml:space="preserve">As % of </w:t>
            </w:r>
            <w:r w:rsidR="00607895" w:rsidRPr="00167A1B">
              <w:rPr>
                <w:rFonts w:ascii="Trebuchet MS" w:hAnsi="Trebuchet MS"/>
                <w:sz w:val="16"/>
                <w:szCs w:val="16"/>
              </w:rPr>
              <w:t>phones</w:t>
            </w:r>
          </w:p>
        </w:tc>
        <w:tc>
          <w:tcPr>
            <w:tcW w:w="1240" w:type="dxa"/>
            <w:noWrap/>
            <w:vAlign w:val="center"/>
            <w:hideMark/>
          </w:tcPr>
          <w:p w14:paraId="1A03A245"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 </w:t>
            </w:r>
          </w:p>
        </w:tc>
        <w:tc>
          <w:tcPr>
            <w:tcW w:w="1240" w:type="dxa"/>
            <w:noWrap/>
            <w:vAlign w:val="center"/>
            <w:hideMark/>
          </w:tcPr>
          <w:p w14:paraId="1874E631"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10.9%</w:t>
            </w:r>
          </w:p>
        </w:tc>
        <w:tc>
          <w:tcPr>
            <w:tcW w:w="1240" w:type="dxa"/>
            <w:noWrap/>
            <w:vAlign w:val="center"/>
            <w:hideMark/>
          </w:tcPr>
          <w:p w14:paraId="57AFB752"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5.7%</w:t>
            </w:r>
          </w:p>
        </w:tc>
        <w:tc>
          <w:tcPr>
            <w:tcW w:w="1241" w:type="dxa"/>
            <w:noWrap/>
            <w:vAlign w:val="center"/>
            <w:hideMark/>
          </w:tcPr>
          <w:p w14:paraId="0B18B69C" w14:textId="77777777" w:rsidR="00221C9D" w:rsidRPr="00167A1B" w:rsidRDefault="00221C9D" w:rsidP="00F756E1">
            <w:pPr>
              <w:spacing w:after="0"/>
              <w:jc w:val="right"/>
              <w:rPr>
                <w:rFonts w:ascii="Trebuchet MS" w:hAnsi="Trebuchet MS"/>
                <w:sz w:val="16"/>
                <w:szCs w:val="16"/>
              </w:rPr>
            </w:pPr>
            <w:r w:rsidRPr="00167A1B">
              <w:rPr>
                <w:rFonts w:ascii="Trebuchet MS" w:hAnsi="Trebuchet MS"/>
                <w:sz w:val="16"/>
                <w:szCs w:val="16"/>
              </w:rPr>
              <w:t>0.6%</w:t>
            </w:r>
          </w:p>
        </w:tc>
      </w:tr>
    </w:tbl>
    <w:p w14:paraId="45079784" w14:textId="018FEDFB" w:rsidR="00F30A41" w:rsidRPr="00167A1B" w:rsidRDefault="000C755F" w:rsidP="008F65B2">
      <w:pPr>
        <w:pStyle w:val="BodyText1"/>
        <w:rPr>
          <w:noProof w:val="0"/>
        </w:rPr>
        <w:sectPr w:rsidR="00F30A41" w:rsidRPr="00167A1B" w:rsidSect="00F30A41">
          <w:pgSz w:w="11907" w:h="16839" w:code="9"/>
          <w:pgMar w:top="1418" w:right="1418" w:bottom="851" w:left="1418" w:header="142" w:footer="352" w:gutter="0"/>
          <w:cols w:space="720"/>
          <w:titlePg/>
          <w:docGrid w:linePitch="326"/>
        </w:sectPr>
      </w:pPr>
      <w:r w:rsidRPr="00167A1B">
        <w:rPr>
          <w:b/>
          <w:noProof w:val="0"/>
          <w:sz w:val="18"/>
          <w:szCs w:val="18"/>
        </w:rPr>
        <w:t>Source:</w:t>
      </w:r>
      <w:r w:rsidRPr="00167A1B">
        <w:rPr>
          <w:noProof w:val="0"/>
          <w:sz w:val="18"/>
          <w:szCs w:val="18"/>
        </w:rPr>
        <w:t xml:space="preserve">  Own TRI-STOCK-CHARGER model calculations.</w:t>
      </w:r>
    </w:p>
    <w:p w14:paraId="53F695B0" w14:textId="0134BCFC" w:rsidR="00F30A41" w:rsidRPr="00167A1B" w:rsidRDefault="00221C9D" w:rsidP="00221C9D">
      <w:pPr>
        <w:pStyle w:val="Caption"/>
      </w:pPr>
      <w:r w:rsidRPr="00167A1B">
        <w:lastRenderedPageBreak/>
        <w:t xml:space="preserve">Figure </w:t>
      </w:r>
      <w:r w:rsidRPr="00167A1B">
        <w:fldChar w:fldCharType="begin"/>
      </w:r>
      <w:r w:rsidRPr="00167A1B">
        <w:instrText xml:space="preserve"> SEQ Figure \* ARABIC </w:instrText>
      </w:r>
      <w:r w:rsidRPr="00167A1B">
        <w:fldChar w:fldCharType="separate"/>
      </w:r>
      <w:r w:rsidRPr="00167A1B">
        <w:t>4</w:t>
      </w:r>
      <w:r w:rsidRPr="00167A1B">
        <w:fldChar w:fldCharType="end"/>
      </w:r>
      <w:r w:rsidRPr="00167A1B">
        <w:t>: Evolution of the stock of chargers for tablets, earwear and cameras in the baseline scenario</w:t>
      </w:r>
    </w:p>
    <w:tbl>
      <w:tblPr>
        <w:tblStyle w:val="TableGrid1"/>
        <w:tblW w:w="14562" w:type="dxa"/>
        <w:tblLayout w:type="fixed"/>
        <w:tblLook w:val="04A0" w:firstRow="1" w:lastRow="0" w:firstColumn="1" w:lastColumn="0" w:noHBand="0" w:noVBand="1"/>
      </w:tblPr>
      <w:tblGrid>
        <w:gridCol w:w="738"/>
        <w:gridCol w:w="4608"/>
        <w:gridCol w:w="4608"/>
        <w:gridCol w:w="4608"/>
      </w:tblGrid>
      <w:tr w:rsidR="00F30A41" w:rsidRPr="00167A1B" w14:paraId="2912C18B" w14:textId="77777777" w:rsidTr="00221C9D">
        <w:tc>
          <w:tcPr>
            <w:tcW w:w="738" w:type="dxa"/>
          </w:tcPr>
          <w:p w14:paraId="58E81AA9" w14:textId="77777777" w:rsidR="00F30A41" w:rsidRPr="00167A1B" w:rsidRDefault="00F30A41" w:rsidP="00F30A41">
            <w:pPr>
              <w:pStyle w:val="04ABodyText"/>
              <w:spacing w:after="0"/>
              <w:rPr>
                <w:b/>
                <w:bCs/>
              </w:rPr>
            </w:pPr>
          </w:p>
        </w:tc>
        <w:tc>
          <w:tcPr>
            <w:tcW w:w="4608" w:type="dxa"/>
          </w:tcPr>
          <w:p w14:paraId="5B53AEAB" w14:textId="77777777" w:rsidR="00F30A41" w:rsidRPr="00167A1B" w:rsidRDefault="00F30A41" w:rsidP="00F30A41">
            <w:pPr>
              <w:pStyle w:val="04ABodyText"/>
              <w:spacing w:after="0"/>
              <w:rPr>
                <w:b/>
                <w:bCs/>
              </w:rPr>
            </w:pPr>
            <w:r w:rsidRPr="00167A1B">
              <w:rPr>
                <w:b/>
                <w:bCs/>
              </w:rPr>
              <w:t>Tablets stock [units]</w:t>
            </w:r>
          </w:p>
        </w:tc>
        <w:tc>
          <w:tcPr>
            <w:tcW w:w="4608" w:type="dxa"/>
          </w:tcPr>
          <w:p w14:paraId="3460B7D4" w14:textId="77777777" w:rsidR="00F30A41" w:rsidRPr="00167A1B" w:rsidRDefault="00F30A41" w:rsidP="00F30A41">
            <w:pPr>
              <w:pStyle w:val="04ABodyText"/>
              <w:spacing w:after="0"/>
              <w:rPr>
                <w:b/>
                <w:bCs/>
              </w:rPr>
            </w:pPr>
            <w:r w:rsidRPr="00167A1B">
              <w:rPr>
                <w:b/>
                <w:bCs/>
              </w:rPr>
              <w:t>Earwear stock [units]</w:t>
            </w:r>
          </w:p>
        </w:tc>
        <w:tc>
          <w:tcPr>
            <w:tcW w:w="4608" w:type="dxa"/>
          </w:tcPr>
          <w:p w14:paraId="7D791475" w14:textId="77777777" w:rsidR="00F30A41" w:rsidRPr="00167A1B" w:rsidRDefault="00F30A41" w:rsidP="00F30A41">
            <w:pPr>
              <w:pStyle w:val="04ABodyText"/>
              <w:spacing w:after="0"/>
              <w:rPr>
                <w:b/>
                <w:bCs/>
              </w:rPr>
            </w:pPr>
            <w:r w:rsidRPr="00167A1B">
              <w:rPr>
                <w:b/>
                <w:bCs/>
              </w:rPr>
              <w:t>Cameras stock [units]</w:t>
            </w:r>
          </w:p>
        </w:tc>
      </w:tr>
      <w:tr w:rsidR="00F30A41" w:rsidRPr="00167A1B" w14:paraId="33DB2240" w14:textId="77777777" w:rsidTr="00221C9D">
        <w:tc>
          <w:tcPr>
            <w:tcW w:w="738" w:type="dxa"/>
          </w:tcPr>
          <w:p w14:paraId="4F97C0D8" w14:textId="77777777" w:rsidR="00F30A41" w:rsidRPr="00167A1B" w:rsidRDefault="00F30A41" w:rsidP="00F30A41">
            <w:pPr>
              <w:pStyle w:val="04ABodyText"/>
              <w:spacing w:after="0"/>
              <w:rPr>
                <w:b/>
                <w:bCs/>
              </w:rPr>
            </w:pPr>
            <w:r w:rsidRPr="00167A1B">
              <w:rPr>
                <w:b/>
                <w:bCs/>
              </w:rPr>
              <w:t>EPS</w:t>
            </w:r>
          </w:p>
        </w:tc>
        <w:tc>
          <w:tcPr>
            <w:tcW w:w="4608" w:type="dxa"/>
          </w:tcPr>
          <w:p w14:paraId="0BCE0606" w14:textId="77777777" w:rsidR="00F30A41" w:rsidRPr="00167A1B" w:rsidRDefault="00F30A41" w:rsidP="00F30A41">
            <w:pPr>
              <w:pStyle w:val="04ABodyText"/>
              <w:spacing w:after="0"/>
              <w:rPr>
                <w:b/>
                <w:bCs/>
              </w:rPr>
            </w:pPr>
            <w:r w:rsidRPr="00167A1B">
              <w:rPr>
                <w:b/>
                <w:bCs/>
                <w:noProof/>
              </w:rPr>
              <w:drawing>
                <wp:inline distT="0" distB="0" distL="0" distR="0" wp14:anchorId="602FF674" wp14:editId="2B0E97BC">
                  <wp:extent cx="2786380" cy="251777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86380" cy="2517775"/>
                          </a:xfrm>
                          <a:prstGeom prst="rect">
                            <a:avLst/>
                          </a:prstGeom>
                          <a:noFill/>
                        </pic:spPr>
                      </pic:pic>
                    </a:graphicData>
                  </a:graphic>
                </wp:inline>
              </w:drawing>
            </w:r>
          </w:p>
        </w:tc>
        <w:tc>
          <w:tcPr>
            <w:tcW w:w="4608" w:type="dxa"/>
          </w:tcPr>
          <w:p w14:paraId="79C9C8B4" w14:textId="77777777" w:rsidR="00F30A41" w:rsidRPr="00167A1B" w:rsidRDefault="00F30A41" w:rsidP="00F30A41">
            <w:pPr>
              <w:pStyle w:val="04ABodyText"/>
              <w:spacing w:after="0"/>
              <w:rPr>
                <w:b/>
                <w:bCs/>
              </w:rPr>
            </w:pPr>
            <w:r w:rsidRPr="00167A1B">
              <w:rPr>
                <w:b/>
                <w:bCs/>
                <w:noProof/>
              </w:rPr>
              <w:drawing>
                <wp:inline distT="0" distB="0" distL="0" distR="0" wp14:anchorId="69DFC7BC" wp14:editId="48FE593A">
                  <wp:extent cx="2786380" cy="25177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86380" cy="2517775"/>
                          </a:xfrm>
                          <a:prstGeom prst="rect">
                            <a:avLst/>
                          </a:prstGeom>
                          <a:noFill/>
                        </pic:spPr>
                      </pic:pic>
                    </a:graphicData>
                  </a:graphic>
                </wp:inline>
              </w:drawing>
            </w:r>
          </w:p>
        </w:tc>
        <w:tc>
          <w:tcPr>
            <w:tcW w:w="4608" w:type="dxa"/>
          </w:tcPr>
          <w:p w14:paraId="4D2587E4" w14:textId="77777777" w:rsidR="00F30A41" w:rsidRPr="00167A1B" w:rsidRDefault="00F30A41" w:rsidP="00F30A41">
            <w:pPr>
              <w:pStyle w:val="04ABodyText"/>
              <w:spacing w:after="0"/>
              <w:rPr>
                <w:b/>
                <w:bCs/>
              </w:rPr>
            </w:pPr>
            <w:r w:rsidRPr="00167A1B">
              <w:rPr>
                <w:b/>
                <w:bCs/>
                <w:noProof/>
              </w:rPr>
              <w:drawing>
                <wp:inline distT="0" distB="0" distL="0" distR="0" wp14:anchorId="60B1EF6B" wp14:editId="253AC48C">
                  <wp:extent cx="2786380" cy="251777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86380" cy="2517775"/>
                          </a:xfrm>
                          <a:prstGeom prst="rect">
                            <a:avLst/>
                          </a:prstGeom>
                          <a:noFill/>
                        </pic:spPr>
                      </pic:pic>
                    </a:graphicData>
                  </a:graphic>
                </wp:inline>
              </w:drawing>
            </w:r>
          </w:p>
        </w:tc>
      </w:tr>
      <w:tr w:rsidR="00F30A41" w:rsidRPr="00167A1B" w14:paraId="613C4500" w14:textId="77777777" w:rsidTr="00221C9D">
        <w:trPr>
          <w:trHeight w:val="3621"/>
        </w:trPr>
        <w:tc>
          <w:tcPr>
            <w:tcW w:w="738" w:type="dxa"/>
          </w:tcPr>
          <w:p w14:paraId="78BDC4B8" w14:textId="77777777" w:rsidR="00F30A41" w:rsidRPr="00167A1B" w:rsidRDefault="00F30A41" w:rsidP="00F30A41">
            <w:pPr>
              <w:pStyle w:val="04ABodyText"/>
              <w:spacing w:after="0"/>
              <w:rPr>
                <w:b/>
                <w:bCs/>
              </w:rPr>
            </w:pPr>
            <w:r w:rsidRPr="00167A1B">
              <w:rPr>
                <w:b/>
                <w:bCs/>
              </w:rPr>
              <w:t>Cables</w:t>
            </w:r>
          </w:p>
        </w:tc>
        <w:tc>
          <w:tcPr>
            <w:tcW w:w="4608" w:type="dxa"/>
          </w:tcPr>
          <w:p w14:paraId="2330AE06" w14:textId="77777777" w:rsidR="00F30A41" w:rsidRPr="00167A1B" w:rsidRDefault="00F30A41" w:rsidP="00F30A41">
            <w:pPr>
              <w:pStyle w:val="04ABodyText"/>
              <w:spacing w:after="0"/>
              <w:rPr>
                <w:b/>
                <w:bCs/>
              </w:rPr>
            </w:pPr>
            <w:r w:rsidRPr="00167A1B">
              <w:rPr>
                <w:b/>
                <w:bCs/>
                <w:noProof/>
              </w:rPr>
              <w:drawing>
                <wp:inline distT="0" distB="0" distL="0" distR="0" wp14:anchorId="5A92FF2E" wp14:editId="54547D1F">
                  <wp:extent cx="2786380" cy="251777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86380" cy="2517775"/>
                          </a:xfrm>
                          <a:prstGeom prst="rect">
                            <a:avLst/>
                          </a:prstGeom>
                          <a:noFill/>
                        </pic:spPr>
                      </pic:pic>
                    </a:graphicData>
                  </a:graphic>
                </wp:inline>
              </w:drawing>
            </w:r>
          </w:p>
        </w:tc>
        <w:tc>
          <w:tcPr>
            <w:tcW w:w="4608" w:type="dxa"/>
          </w:tcPr>
          <w:p w14:paraId="1D90D44E" w14:textId="77777777" w:rsidR="00F30A41" w:rsidRPr="00167A1B" w:rsidRDefault="00F30A41" w:rsidP="00F30A41">
            <w:pPr>
              <w:pStyle w:val="04ABodyText"/>
              <w:spacing w:after="0"/>
              <w:rPr>
                <w:b/>
                <w:bCs/>
              </w:rPr>
            </w:pPr>
            <w:r w:rsidRPr="00167A1B">
              <w:rPr>
                <w:b/>
                <w:bCs/>
                <w:noProof/>
              </w:rPr>
              <w:drawing>
                <wp:inline distT="0" distB="0" distL="0" distR="0" wp14:anchorId="4851004D" wp14:editId="66857558">
                  <wp:extent cx="2786380" cy="251777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86380" cy="2517775"/>
                          </a:xfrm>
                          <a:prstGeom prst="rect">
                            <a:avLst/>
                          </a:prstGeom>
                          <a:noFill/>
                        </pic:spPr>
                      </pic:pic>
                    </a:graphicData>
                  </a:graphic>
                </wp:inline>
              </w:drawing>
            </w:r>
          </w:p>
        </w:tc>
        <w:tc>
          <w:tcPr>
            <w:tcW w:w="4608" w:type="dxa"/>
          </w:tcPr>
          <w:p w14:paraId="582D69AF" w14:textId="77777777" w:rsidR="00F30A41" w:rsidRPr="00167A1B" w:rsidRDefault="00F30A41" w:rsidP="00F30A41">
            <w:pPr>
              <w:pStyle w:val="04ABodyText"/>
              <w:spacing w:after="0"/>
              <w:rPr>
                <w:b/>
                <w:bCs/>
              </w:rPr>
            </w:pPr>
            <w:r w:rsidRPr="00167A1B">
              <w:rPr>
                <w:b/>
                <w:bCs/>
                <w:noProof/>
              </w:rPr>
              <w:drawing>
                <wp:inline distT="0" distB="0" distL="0" distR="0" wp14:anchorId="28F395F9" wp14:editId="23CD459B">
                  <wp:extent cx="2786380" cy="25177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86380" cy="2517775"/>
                          </a:xfrm>
                          <a:prstGeom prst="rect">
                            <a:avLst/>
                          </a:prstGeom>
                          <a:noFill/>
                        </pic:spPr>
                      </pic:pic>
                    </a:graphicData>
                  </a:graphic>
                </wp:inline>
              </w:drawing>
            </w:r>
          </w:p>
        </w:tc>
      </w:tr>
    </w:tbl>
    <w:p w14:paraId="5FE08ECC" w14:textId="5173C28E" w:rsidR="00F30A41" w:rsidRPr="00167A1B" w:rsidRDefault="000C755F" w:rsidP="00221C9D">
      <w:pPr>
        <w:pStyle w:val="04ABodyText"/>
        <w:spacing w:after="0" w:line="240" w:lineRule="auto"/>
        <w:rPr>
          <w:sz w:val="18"/>
          <w:szCs w:val="16"/>
        </w:rPr>
      </w:pPr>
      <w:r w:rsidRPr="00167A1B">
        <w:rPr>
          <w:b/>
          <w:sz w:val="18"/>
          <w:szCs w:val="18"/>
        </w:rPr>
        <w:t>Source:</w:t>
      </w:r>
      <w:r w:rsidRPr="00167A1B">
        <w:rPr>
          <w:sz w:val="18"/>
          <w:szCs w:val="18"/>
        </w:rPr>
        <w:t xml:space="preserve">  Own TRI-STOCK-CHARGER model calculations.</w:t>
      </w:r>
      <w:r w:rsidR="00221C9D" w:rsidRPr="00167A1B">
        <w:rPr>
          <w:sz w:val="18"/>
          <w:szCs w:val="16"/>
        </w:rPr>
        <w:br/>
      </w:r>
      <w:r w:rsidR="00F30A41" w:rsidRPr="00167A1B">
        <w:rPr>
          <w:b/>
          <w:sz w:val="18"/>
          <w:szCs w:val="16"/>
        </w:rPr>
        <w:t>Note:</w:t>
      </w:r>
      <w:r w:rsidR="00F30A41" w:rsidRPr="00167A1B">
        <w:rPr>
          <w:sz w:val="18"/>
          <w:szCs w:val="16"/>
        </w:rPr>
        <w:t xml:space="preserve"> The </w:t>
      </w:r>
      <w:r w:rsidR="00221C9D" w:rsidRPr="00167A1B">
        <w:rPr>
          <w:sz w:val="18"/>
          <w:szCs w:val="16"/>
        </w:rPr>
        <w:t>“</w:t>
      </w:r>
      <w:r w:rsidR="00F30A41" w:rsidRPr="00167A1B">
        <w:rPr>
          <w:sz w:val="18"/>
          <w:szCs w:val="16"/>
        </w:rPr>
        <w:t>No EPS</w:t>
      </w:r>
      <w:r w:rsidR="00221C9D" w:rsidRPr="00167A1B">
        <w:rPr>
          <w:sz w:val="18"/>
          <w:szCs w:val="16"/>
        </w:rPr>
        <w:t>”</w:t>
      </w:r>
      <w:r w:rsidR="00F30A41" w:rsidRPr="00167A1B">
        <w:rPr>
          <w:sz w:val="18"/>
          <w:szCs w:val="16"/>
        </w:rPr>
        <w:t xml:space="preserve"> area in the stock graph does not decline as there are no disposals assumed (unlike other EPS)</w:t>
      </w:r>
      <w:r w:rsidR="00221C9D" w:rsidRPr="00167A1B">
        <w:rPr>
          <w:sz w:val="18"/>
          <w:szCs w:val="16"/>
        </w:rPr>
        <w:t>; for this reason,</w:t>
      </w:r>
      <w:r w:rsidR="00F30A41" w:rsidRPr="00167A1B">
        <w:rPr>
          <w:sz w:val="18"/>
          <w:szCs w:val="16"/>
        </w:rPr>
        <w:t xml:space="preserve"> the total accumulates.</w:t>
      </w:r>
    </w:p>
    <w:p w14:paraId="433156DE" w14:textId="77777777" w:rsidR="00F30A41" w:rsidRPr="00167A1B" w:rsidRDefault="00F30A41" w:rsidP="008F65B2">
      <w:pPr>
        <w:pStyle w:val="BodyText1"/>
        <w:rPr>
          <w:noProof w:val="0"/>
        </w:rPr>
        <w:sectPr w:rsidR="00F30A41" w:rsidRPr="00167A1B" w:rsidSect="00F30A41">
          <w:pgSz w:w="16839" w:h="11907" w:orient="landscape" w:code="9"/>
          <w:pgMar w:top="1418" w:right="2126" w:bottom="851" w:left="737" w:header="142" w:footer="352" w:gutter="0"/>
          <w:cols w:space="720"/>
          <w:titlePg/>
          <w:docGrid w:linePitch="326"/>
        </w:sectPr>
      </w:pPr>
    </w:p>
    <w:p w14:paraId="336597D1" w14:textId="49A04223" w:rsidR="00D30D44" w:rsidRPr="00167A1B" w:rsidRDefault="008B4225" w:rsidP="009C1705">
      <w:pPr>
        <w:pStyle w:val="Title2"/>
        <w:outlineLvl w:val="1"/>
      </w:pPr>
      <w:bookmarkStart w:id="74" w:name="_Toc74319763"/>
      <w:r w:rsidRPr="00167A1B">
        <w:lastRenderedPageBreak/>
        <w:t>Indirect</w:t>
      </w:r>
      <w:r w:rsidR="00D30D44" w:rsidRPr="00167A1B">
        <w:t xml:space="preserve"> impacts </w:t>
      </w:r>
      <w:bookmarkEnd w:id="74"/>
    </w:p>
    <w:p w14:paraId="6741064F" w14:textId="4209115E" w:rsidR="008F65B2" w:rsidRPr="00167A1B" w:rsidRDefault="0091686D" w:rsidP="008F65B2">
      <w:pPr>
        <w:pStyle w:val="BodyText1"/>
        <w:rPr>
          <w:noProof w:val="0"/>
        </w:rPr>
      </w:pPr>
      <w:r w:rsidRPr="00167A1B">
        <w:rPr>
          <w:noProof w:val="0"/>
        </w:rPr>
        <w:t>In this section, we consider whether, if the scope of the initiative was kept narrow – meaning it would apply to mobile phones only – this might nonetheless have indirect impacts on the markets for other portable electronic devices. Even though these would not be directly affected (i.e. would not be obliged to comply with the new rules and regulations), it is nonetheless possible that certain options would have an effect on the markets for other certain devices, due to voluntary changes in manufacturer / vendor behaviour, shifts in consumer demand, or other relevant mechanisms.</w:t>
      </w:r>
    </w:p>
    <w:p w14:paraId="70EC1CFC" w14:textId="4D51BEE7" w:rsidR="00F41180" w:rsidRPr="00167A1B" w:rsidRDefault="00F41180" w:rsidP="008F65B2">
      <w:pPr>
        <w:pStyle w:val="BodyText1"/>
        <w:rPr>
          <w:noProof w:val="0"/>
        </w:rPr>
      </w:pPr>
      <w:r w:rsidRPr="00167A1B">
        <w:rPr>
          <w:noProof w:val="0"/>
        </w:rPr>
        <w:t>A summary of the indirect impacts per policy option and device is presented at the end of this section.</w:t>
      </w:r>
    </w:p>
    <w:p w14:paraId="2990A0CD" w14:textId="77777777" w:rsidR="0091686D" w:rsidRPr="00167A1B" w:rsidRDefault="0091686D" w:rsidP="0091686D">
      <w:pPr>
        <w:pStyle w:val="Subtitle10"/>
        <w:rPr>
          <w:noProof w:val="0"/>
        </w:rPr>
      </w:pPr>
      <w:r w:rsidRPr="00167A1B">
        <w:rPr>
          <w:noProof w:val="0"/>
        </w:rPr>
        <w:t>Option 1</w:t>
      </w:r>
    </w:p>
    <w:p w14:paraId="0ED3867D" w14:textId="7680AF0A" w:rsidR="00322CC3" w:rsidRPr="00167A1B" w:rsidRDefault="00322CC3" w:rsidP="00322CC3">
      <w:pPr>
        <w:pStyle w:val="BodyText1"/>
        <w:rPr>
          <w:noProof w:val="0"/>
        </w:rPr>
      </w:pPr>
      <w:r w:rsidRPr="00167A1B">
        <w:rPr>
          <w:noProof w:val="0"/>
        </w:rPr>
        <w:t xml:space="preserve">As already outlined in the first IA study (section 5.6), even if the scope of application of the mandatory USB Type-C receptacles / connectors remained limited to mobile phones only, it appears highly probable that this would have </w:t>
      </w:r>
      <w:r w:rsidRPr="00167A1B">
        <w:rPr>
          <w:bCs/>
          <w:noProof w:val="0"/>
        </w:rPr>
        <w:t>indirect effects</w:t>
      </w:r>
      <w:r w:rsidRPr="00167A1B">
        <w:rPr>
          <w:noProof w:val="0"/>
        </w:rPr>
        <w:t xml:space="preserve"> on the markets for other portable devices. The fact that such a high proportion of consumers own a mobile phone means these tend to have a certain amount of influence on the market for other devices. Therefore, the adoption of a common connector across all mobile phones could be expected to also contribute to a greater and/or faster adoption of this in other electronic devices in which this makes technological, practical and commercial sense, reinforcing the existing trend of a gradual increase in the take-up of USB Type-C technology and standards, although the extent of this is impossible to predict with any certainty.</w:t>
      </w:r>
    </w:p>
    <w:p w14:paraId="0AB176B1" w14:textId="4F53282A" w:rsidR="0091686D" w:rsidRPr="00167A1B" w:rsidRDefault="00322CC3" w:rsidP="0091686D">
      <w:pPr>
        <w:pStyle w:val="BodyText1"/>
        <w:rPr>
          <w:noProof w:val="0"/>
        </w:rPr>
      </w:pPr>
      <w:r w:rsidRPr="00167A1B">
        <w:rPr>
          <w:noProof w:val="0"/>
        </w:rPr>
        <w:t>If this were the case, it would reinforce and extend the consumer convenience benefits of option 1 to users of other devices, as it would increase their ability to use the same cables across a wider range of devices. The environmental effects of this would likely be negligible (for the reasons described in section 5.1). Indirect negative economic impacts are not expected, as the adoption of USB Type-C for other devices would remain purely voluntary, and thus limited to those devices where the cost implications are not overly significant.</w:t>
      </w:r>
    </w:p>
    <w:p w14:paraId="55232A6F" w14:textId="5CBC2F3D" w:rsidR="0091686D" w:rsidRPr="00167A1B" w:rsidRDefault="0091686D" w:rsidP="0091686D">
      <w:pPr>
        <w:pStyle w:val="Subtitle10"/>
        <w:rPr>
          <w:noProof w:val="0"/>
        </w:rPr>
      </w:pPr>
      <w:r w:rsidRPr="00167A1B">
        <w:rPr>
          <w:noProof w:val="0"/>
        </w:rPr>
        <w:t>Option 2</w:t>
      </w:r>
    </w:p>
    <w:p w14:paraId="03DC2CE5" w14:textId="006199E0" w:rsidR="00ED7CC6" w:rsidRPr="00167A1B" w:rsidRDefault="00D86669" w:rsidP="0091686D">
      <w:pPr>
        <w:pStyle w:val="BodyText1"/>
        <w:rPr>
          <w:noProof w:val="0"/>
        </w:rPr>
      </w:pPr>
      <w:r w:rsidRPr="00167A1B">
        <w:rPr>
          <w:noProof w:val="0"/>
        </w:rPr>
        <w:t>This option requires all mobile phones to be interoperable with USB Type-C and (for phones that charge at more than 15 W) USB PD</w:t>
      </w:r>
      <w:r w:rsidR="00E7500E" w:rsidRPr="00167A1B">
        <w:rPr>
          <w:noProof w:val="0"/>
        </w:rPr>
        <w:t xml:space="preserve">, thus making sure they can be charged with all common EPS. </w:t>
      </w:r>
      <w:r w:rsidR="00ED7CC6" w:rsidRPr="00167A1B">
        <w:rPr>
          <w:noProof w:val="0"/>
        </w:rPr>
        <w:t xml:space="preserve">In practice, this also means that USB micro-B connectors would not be allowed anymore and would be </w:t>
      </w:r>
      <w:r w:rsidR="000A7C84" w:rsidRPr="00167A1B">
        <w:rPr>
          <w:noProof w:val="0"/>
        </w:rPr>
        <w:t>replaced</w:t>
      </w:r>
      <w:r w:rsidR="00ED7CC6" w:rsidRPr="00167A1B">
        <w:rPr>
          <w:noProof w:val="0"/>
        </w:rPr>
        <w:t xml:space="preserve"> by USB Type-C connectors faster than in the baseline. As a result, the cost of including USB Type-C connectors </w:t>
      </w:r>
      <w:r w:rsidR="007F3DFC" w:rsidRPr="00167A1B">
        <w:rPr>
          <w:noProof w:val="0"/>
        </w:rPr>
        <w:t>c</w:t>
      </w:r>
      <w:r w:rsidR="00ED7CC6" w:rsidRPr="00167A1B">
        <w:rPr>
          <w:noProof w:val="0"/>
        </w:rPr>
        <w:t>ould reduce at a faster pace due to economies of scale, potentially accelerating the pace at which other devices are moving from USB micro-B to USB Type-C. Like in option 1, this would reinforce consumer convenience, although to a lesser extent, as proprietary connectors would still be part of the market.</w:t>
      </w:r>
    </w:p>
    <w:p w14:paraId="53EF3A2B" w14:textId="648EF551" w:rsidR="0091686D" w:rsidRPr="00167A1B" w:rsidRDefault="00E7500E" w:rsidP="0091686D">
      <w:pPr>
        <w:pStyle w:val="BodyText1"/>
        <w:rPr>
          <w:noProof w:val="0"/>
        </w:rPr>
      </w:pPr>
      <w:r w:rsidRPr="00167A1B">
        <w:rPr>
          <w:noProof w:val="0"/>
        </w:rPr>
        <w:t xml:space="preserve">However, this option is not expected to have a significant influence on the types of EPS that are sold (whether along with phones or separately). These would likely continue to incorporate USB charging technology wherever the manufacturer deems this makes commercial sense (as is already the case), but there is no reason to assume it would lead to any shifts in </w:t>
      </w:r>
      <w:r w:rsidR="00ED7CC6" w:rsidRPr="00167A1B">
        <w:rPr>
          <w:noProof w:val="0"/>
        </w:rPr>
        <w:t>battery charging protocols</w:t>
      </w:r>
      <w:r w:rsidRPr="00167A1B">
        <w:rPr>
          <w:noProof w:val="0"/>
        </w:rPr>
        <w:t xml:space="preserve"> for other electronic devices.</w:t>
      </w:r>
    </w:p>
    <w:p w14:paraId="1B976601" w14:textId="77777777" w:rsidR="0091686D" w:rsidRPr="00167A1B" w:rsidRDefault="0091686D" w:rsidP="0091686D">
      <w:pPr>
        <w:pStyle w:val="Subtitle10"/>
        <w:rPr>
          <w:noProof w:val="0"/>
        </w:rPr>
      </w:pPr>
      <w:r w:rsidRPr="00167A1B">
        <w:rPr>
          <w:noProof w:val="0"/>
        </w:rPr>
        <w:t>Option 3</w:t>
      </w:r>
    </w:p>
    <w:p w14:paraId="4F1C1FB3" w14:textId="4456377D" w:rsidR="0091686D" w:rsidRPr="00167A1B" w:rsidRDefault="00E7500E" w:rsidP="0091686D">
      <w:pPr>
        <w:pStyle w:val="BodyText1"/>
        <w:rPr>
          <w:noProof w:val="0"/>
        </w:rPr>
      </w:pPr>
      <w:r w:rsidRPr="00167A1B">
        <w:rPr>
          <w:noProof w:val="0"/>
        </w:rPr>
        <w:t>The compliance of all EPS for mobile phones with the IEC 63002 standard, as required by option 3, would provide guaranteed interoperability (including backward compatibility with older USB devices), which is expected to also lead to greater consumer awareness of the interoperability of EPS, and confidence in the ability to charge different devices with the same EPS. This would provide indirect convenience gains for users of other devices (e.g. in terms of reduced confusion)</w:t>
      </w:r>
      <w:r w:rsidR="00ED7CC6" w:rsidRPr="00167A1B">
        <w:rPr>
          <w:noProof w:val="0"/>
        </w:rPr>
        <w:t xml:space="preserve"> and could lead to a reduction in the sales of standalone EPS acquired </w:t>
      </w:r>
      <w:r w:rsidR="00ED7CC6" w:rsidRPr="00167A1B">
        <w:rPr>
          <w:noProof w:val="0"/>
        </w:rPr>
        <w:lastRenderedPageBreak/>
        <w:t>to charge other devices</w:t>
      </w:r>
      <w:r w:rsidRPr="00167A1B">
        <w:rPr>
          <w:noProof w:val="0"/>
        </w:rPr>
        <w:t xml:space="preserve">. It could potentially also reinforce the existing trend to ship certain devices without an EPS (with the requisite benefits in terms of reduced environmental impacts), although the recent trend towards voluntarily selling mobile phones without EPS </w:t>
      </w:r>
      <w:r w:rsidR="0067047E" w:rsidRPr="00167A1B">
        <w:rPr>
          <w:noProof w:val="0"/>
        </w:rPr>
        <w:t>makes this less likely</w:t>
      </w:r>
      <w:r w:rsidR="00901BA2" w:rsidRPr="00167A1B">
        <w:rPr>
          <w:noProof w:val="0"/>
        </w:rPr>
        <w:t xml:space="preserve"> (for more on this, see option 4 below)</w:t>
      </w:r>
      <w:r w:rsidRPr="00167A1B">
        <w:rPr>
          <w:noProof w:val="0"/>
        </w:rPr>
        <w:t xml:space="preserve">. For those devices that would continue to be sold with an EPS, more manufacturers might choose to voluntarily comply with the relevant standards anyway (since, as noted above, the mobile phone market has a certain influence on the market for other devices), which would further enhance the benefits in terms of guaranteed interoperability of chargers across different categories of portable devices (though this is of course highly uncertain). Any potential economic costs are expected to be minimal, since manufacturers of other devices would continue to be free to choose the </w:t>
      </w:r>
      <w:proofErr w:type="gramStart"/>
      <w:r w:rsidRPr="00167A1B">
        <w:rPr>
          <w:noProof w:val="0"/>
        </w:rPr>
        <w:t>EPS</w:t>
      </w:r>
      <w:proofErr w:type="gramEnd"/>
      <w:r w:rsidRPr="00167A1B">
        <w:rPr>
          <w:noProof w:val="0"/>
        </w:rPr>
        <w:t xml:space="preserve"> they consider most appropriate (if any) for each device. </w:t>
      </w:r>
    </w:p>
    <w:p w14:paraId="04F8EE99" w14:textId="77777777" w:rsidR="0091686D" w:rsidRPr="00167A1B" w:rsidRDefault="0091686D" w:rsidP="0091686D">
      <w:pPr>
        <w:pStyle w:val="Subtitle10"/>
        <w:rPr>
          <w:noProof w:val="0"/>
        </w:rPr>
      </w:pPr>
      <w:r w:rsidRPr="00167A1B">
        <w:rPr>
          <w:noProof w:val="0"/>
        </w:rPr>
        <w:t>Option 4</w:t>
      </w:r>
    </w:p>
    <w:p w14:paraId="471CE2E3" w14:textId="50C647C4" w:rsidR="0091686D" w:rsidRPr="00167A1B" w:rsidRDefault="00901BA2" w:rsidP="0091686D">
      <w:pPr>
        <w:pStyle w:val="BodyText1"/>
        <w:rPr>
          <w:noProof w:val="0"/>
        </w:rPr>
      </w:pPr>
      <w:r w:rsidRPr="00167A1B">
        <w:rPr>
          <w:noProof w:val="0"/>
        </w:rPr>
        <w:t xml:space="preserve">Mandatory unbundling of chargers (EPS and possibly also cables) from mobile phones could potentially increase demand for chargers to use with other devices. This is because of the very high penetration of mobile phones. According to several interviewees, the decision of some manufacturers to ship their devices (e.g. e-readers, wearables or sport cameras) without a complete charging solution (usually with a cable, but without an EPS) is partly motivated by the assumption that nearly all consumers own and are able to use their mobile phone chargers. Therefore, it is worth considering whether more phones being shipped without chargers might lead some manufacturers not to unbundle, or even to “re-bundle” (i.e. to re-introduce chargers in the box with certain products) because consumers can no longer rely on the ones provided with their phones. </w:t>
      </w:r>
    </w:p>
    <w:p w14:paraId="37471240" w14:textId="1A437019" w:rsidR="0091686D" w:rsidRPr="00167A1B" w:rsidRDefault="00901BA2" w:rsidP="0091686D">
      <w:pPr>
        <w:pStyle w:val="BodyText1"/>
        <w:rPr>
          <w:noProof w:val="0"/>
        </w:rPr>
      </w:pPr>
      <w:r w:rsidRPr="00167A1B">
        <w:rPr>
          <w:noProof w:val="0"/>
        </w:rPr>
        <w:t>However, this seems very unlikely. After all, nearly all consumers will still own a mobile phone, and will still need to h</w:t>
      </w:r>
      <w:r w:rsidR="00CA0ED1" w:rsidRPr="00167A1B">
        <w:rPr>
          <w:noProof w:val="0"/>
        </w:rPr>
        <w:t xml:space="preserve">ave access to an EPS and cable to charge this. If, as a result of unbundling, an increasing number has to re-use the charger that came with an old phone, or purchase a new one separately, this does not change the fact that all mobile phone users have access to a suitable charger, which they can also use to charge other devices. Therefore, we do not expect this option to have a negative impact on unbundling rates for other devices. In fact, if consumers come to accept unbundled phones, then it may well be that the proportion of other devices that are sold without chargers also increases as a result, as more manufacturers feel confident in removing chargers. </w:t>
      </w:r>
    </w:p>
    <w:p w14:paraId="3C93E98E" w14:textId="77777777" w:rsidR="0091686D" w:rsidRPr="00167A1B" w:rsidRDefault="0091686D" w:rsidP="0091686D">
      <w:pPr>
        <w:pStyle w:val="Subtitle10"/>
        <w:rPr>
          <w:noProof w:val="0"/>
        </w:rPr>
      </w:pPr>
      <w:r w:rsidRPr="00167A1B">
        <w:rPr>
          <w:noProof w:val="0"/>
        </w:rPr>
        <w:t>Option 5</w:t>
      </w:r>
    </w:p>
    <w:p w14:paraId="2A716292" w14:textId="541594E9" w:rsidR="0091686D" w:rsidRPr="00167A1B" w:rsidRDefault="00712ED4" w:rsidP="008F65B2">
      <w:pPr>
        <w:pStyle w:val="BodyText1"/>
        <w:rPr>
          <w:noProof w:val="0"/>
        </w:rPr>
      </w:pPr>
      <w:r w:rsidRPr="00167A1B">
        <w:rPr>
          <w:noProof w:val="0"/>
        </w:rPr>
        <w:t xml:space="preserve">If the scope of the voluntary interoperability labelling scheme remained closed to mobile phones and their chargers only, then it would be unlikely to have any indirect effects on other portable electronic devices, their users or manufacturers. However, there would be no reason to limit the scope to only these devices – since it would be voluntary, it would be unnecessary and counterproductive to prevent manufacturers of other devices who wish to participate from doing so. Hence, in this case, the assessment of </w:t>
      </w:r>
      <w:r w:rsidRPr="00167A1B">
        <w:rPr>
          <w:i/>
          <w:iCs/>
          <w:noProof w:val="0"/>
        </w:rPr>
        <w:t>indirect</w:t>
      </w:r>
      <w:r w:rsidRPr="00167A1B">
        <w:rPr>
          <w:noProof w:val="0"/>
        </w:rPr>
        <w:t xml:space="preserve"> impacts is of little relevance; the likely </w:t>
      </w:r>
      <w:r w:rsidRPr="00167A1B">
        <w:rPr>
          <w:i/>
          <w:iCs/>
          <w:noProof w:val="0"/>
        </w:rPr>
        <w:t>direct</w:t>
      </w:r>
      <w:r w:rsidRPr="00167A1B">
        <w:rPr>
          <w:noProof w:val="0"/>
        </w:rPr>
        <w:t xml:space="preserve"> impacts </w:t>
      </w:r>
      <w:r w:rsidR="00433CD3" w:rsidRPr="00167A1B">
        <w:rPr>
          <w:noProof w:val="0"/>
        </w:rPr>
        <w:t>are discussed in the ensuing section.</w:t>
      </w:r>
    </w:p>
    <w:p w14:paraId="5AFE9C30" w14:textId="02503781" w:rsidR="00F41180" w:rsidRPr="00167A1B" w:rsidRDefault="00F41180" w:rsidP="0099363F">
      <w:pPr>
        <w:pStyle w:val="Subtitle10"/>
        <w:rPr>
          <w:noProof w:val="0"/>
        </w:rPr>
      </w:pPr>
      <w:r w:rsidRPr="00167A1B">
        <w:rPr>
          <w:noProof w:val="0"/>
        </w:rPr>
        <w:t>Summary of indirect impacts</w:t>
      </w:r>
    </w:p>
    <w:p w14:paraId="5A6E012A" w14:textId="0D9D91A5" w:rsidR="00F41180" w:rsidRPr="00167A1B" w:rsidRDefault="00F41180" w:rsidP="008F65B2">
      <w:pPr>
        <w:pStyle w:val="BodyText1"/>
        <w:rPr>
          <w:noProof w:val="0"/>
        </w:rPr>
      </w:pPr>
      <w:r w:rsidRPr="00167A1B">
        <w:rPr>
          <w:noProof w:val="0"/>
        </w:rPr>
        <w:t>Following the rationale explained above for the expected indirect impacts of each policy option, the table below pr</w:t>
      </w:r>
      <w:r w:rsidR="00DB20C9" w:rsidRPr="00167A1B">
        <w:rPr>
          <w:noProof w:val="0"/>
        </w:rPr>
        <w:t>ovides a summary of potential indirect impacts per policy option and device. The scale of impacts is compared to the impacts presented in section 5, indicating whether impacts are expected to increase, decrease, or remain the same.</w:t>
      </w:r>
    </w:p>
    <w:p w14:paraId="3AB6B91B" w14:textId="4BB83E1D" w:rsidR="00DB20C9" w:rsidRPr="00167A1B" w:rsidRDefault="00DB20C9" w:rsidP="00DB20C9">
      <w:pPr>
        <w:pStyle w:val="Caption"/>
      </w:pPr>
      <w:r w:rsidRPr="00167A1B">
        <w:lastRenderedPageBreak/>
        <w:t xml:space="preserve">Table </w:t>
      </w:r>
      <w:r w:rsidRPr="00167A1B">
        <w:fldChar w:fldCharType="begin"/>
      </w:r>
      <w:r w:rsidRPr="00167A1B">
        <w:instrText xml:space="preserve"> SEQ Table \* ARABIC </w:instrText>
      </w:r>
      <w:r w:rsidRPr="00167A1B">
        <w:fldChar w:fldCharType="separate"/>
      </w:r>
      <w:r w:rsidR="00953106" w:rsidRPr="00167A1B">
        <w:t>25</w:t>
      </w:r>
      <w:r w:rsidRPr="00167A1B">
        <w:fldChar w:fldCharType="end"/>
      </w:r>
      <w:r w:rsidRPr="00167A1B">
        <w:t>: Potential indirect impacts per policy option and device</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57" w:type="dxa"/>
          <w:left w:w="57" w:type="dxa"/>
          <w:bottom w:w="57" w:type="dxa"/>
          <w:right w:w="57" w:type="dxa"/>
        </w:tblCellMar>
        <w:tblLook w:val="04A0" w:firstRow="1" w:lastRow="0" w:firstColumn="1" w:lastColumn="0" w:noHBand="0" w:noVBand="1"/>
      </w:tblPr>
      <w:tblGrid>
        <w:gridCol w:w="1129"/>
        <w:gridCol w:w="1418"/>
        <w:gridCol w:w="1346"/>
        <w:gridCol w:w="1347"/>
        <w:gridCol w:w="1346"/>
        <w:gridCol w:w="1347"/>
        <w:gridCol w:w="1128"/>
      </w:tblGrid>
      <w:tr w:rsidR="00BC4FE7" w:rsidRPr="00167A1B" w14:paraId="32F55270" w14:textId="77777777" w:rsidTr="0097293A">
        <w:trPr>
          <w:cnfStyle w:val="100000000000" w:firstRow="1" w:lastRow="0" w:firstColumn="0" w:lastColumn="0" w:oddVBand="0" w:evenVBand="0" w:oddHBand="0" w:evenHBand="0" w:firstRowFirstColumn="0" w:firstRowLastColumn="0" w:lastRowFirstColumn="0" w:lastRowLastColumn="0"/>
          <w:tblHeader/>
        </w:trPr>
        <w:tc>
          <w:tcPr>
            <w:tcW w:w="1129" w:type="dxa"/>
          </w:tcPr>
          <w:p w14:paraId="685BEF8F" w14:textId="77777777" w:rsidR="00DB20C9" w:rsidRPr="00167A1B" w:rsidRDefault="00DB20C9" w:rsidP="00F73598">
            <w:pPr>
              <w:pStyle w:val="BodyText1"/>
              <w:spacing w:before="0" w:after="0"/>
              <w:jc w:val="left"/>
              <w:rPr>
                <w:noProof w:val="0"/>
                <w:sz w:val="20"/>
              </w:rPr>
            </w:pPr>
            <w:r w:rsidRPr="00167A1B">
              <w:rPr>
                <w:noProof w:val="0"/>
                <w:sz w:val="20"/>
              </w:rPr>
              <w:t>Device</w:t>
            </w:r>
          </w:p>
        </w:tc>
        <w:tc>
          <w:tcPr>
            <w:tcW w:w="1418" w:type="dxa"/>
          </w:tcPr>
          <w:p w14:paraId="2A023637" w14:textId="77777777" w:rsidR="00DB20C9" w:rsidRPr="00167A1B" w:rsidRDefault="00DB20C9" w:rsidP="00F73598">
            <w:pPr>
              <w:pStyle w:val="BodyText1"/>
              <w:spacing w:before="0" w:after="0"/>
              <w:jc w:val="center"/>
              <w:rPr>
                <w:noProof w:val="0"/>
                <w:sz w:val="20"/>
              </w:rPr>
            </w:pPr>
            <w:r w:rsidRPr="00167A1B">
              <w:rPr>
                <w:noProof w:val="0"/>
                <w:sz w:val="20"/>
              </w:rPr>
              <w:t>Option 1: Harmonise connectors</w:t>
            </w:r>
          </w:p>
        </w:tc>
        <w:tc>
          <w:tcPr>
            <w:tcW w:w="1346" w:type="dxa"/>
          </w:tcPr>
          <w:p w14:paraId="31E699B9" w14:textId="77777777" w:rsidR="00DB20C9" w:rsidRPr="00167A1B" w:rsidRDefault="00DB20C9" w:rsidP="00F73598">
            <w:pPr>
              <w:pStyle w:val="BodyText1"/>
              <w:spacing w:before="0" w:after="0"/>
              <w:jc w:val="center"/>
              <w:rPr>
                <w:noProof w:val="0"/>
                <w:sz w:val="20"/>
              </w:rPr>
            </w:pPr>
            <w:r w:rsidRPr="00167A1B">
              <w:rPr>
                <w:noProof w:val="0"/>
                <w:sz w:val="20"/>
              </w:rPr>
              <w:t>Option 2: Device inter-operable</w:t>
            </w:r>
          </w:p>
        </w:tc>
        <w:tc>
          <w:tcPr>
            <w:tcW w:w="1347" w:type="dxa"/>
          </w:tcPr>
          <w:p w14:paraId="76A41B75" w14:textId="77777777" w:rsidR="00DB20C9" w:rsidRPr="00167A1B" w:rsidRDefault="00DB20C9" w:rsidP="00F73598">
            <w:pPr>
              <w:pStyle w:val="BodyText1"/>
              <w:spacing w:before="0" w:after="0"/>
              <w:jc w:val="center"/>
              <w:rPr>
                <w:noProof w:val="0"/>
                <w:sz w:val="20"/>
              </w:rPr>
            </w:pPr>
            <w:r w:rsidRPr="00167A1B">
              <w:rPr>
                <w:noProof w:val="0"/>
                <w:sz w:val="20"/>
              </w:rPr>
              <w:t>Option 3: EPS inter-operable</w:t>
            </w:r>
          </w:p>
        </w:tc>
        <w:tc>
          <w:tcPr>
            <w:tcW w:w="1346" w:type="dxa"/>
          </w:tcPr>
          <w:p w14:paraId="10BE3BC3" w14:textId="77777777" w:rsidR="00DB20C9" w:rsidRPr="00167A1B" w:rsidRDefault="00DB20C9" w:rsidP="00F73598">
            <w:pPr>
              <w:pStyle w:val="BodyText1"/>
              <w:spacing w:before="0" w:after="0"/>
              <w:jc w:val="center"/>
              <w:rPr>
                <w:noProof w:val="0"/>
                <w:sz w:val="20"/>
              </w:rPr>
            </w:pPr>
            <w:r w:rsidRPr="00167A1B">
              <w:rPr>
                <w:noProof w:val="0"/>
                <w:sz w:val="20"/>
              </w:rPr>
              <w:t>Option 4.a: Unbundling of EPS</w:t>
            </w:r>
          </w:p>
        </w:tc>
        <w:tc>
          <w:tcPr>
            <w:tcW w:w="1347" w:type="dxa"/>
          </w:tcPr>
          <w:p w14:paraId="6D075CD0" w14:textId="77777777" w:rsidR="00DB20C9" w:rsidRPr="00167A1B" w:rsidRDefault="00DB20C9" w:rsidP="00F73598">
            <w:pPr>
              <w:pStyle w:val="BodyText1"/>
              <w:spacing w:before="0" w:after="0"/>
              <w:jc w:val="center"/>
              <w:rPr>
                <w:noProof w:val="0"/>
                <w:sz w:val="20"/>
              </w:rPr>
            </w:pPr>
            <w:r w:rsidRPr="00167A1B">
              <w:rPr>
                <w:noProof w:val="0"/>
                <w:sz w:val="20"/>
              </w:rPr>
              <w:t>Option 4.b: Unbundling of cable</w:t>
            </w:r>
          </w:p>
        </w:tc>
        <w:tc>
          <w:tcPr>
            <w:tcW w:w="1128" w:type="dxa"/>
          </w:tcPr>
          <w:p w14:paraId="4E808183" w14:textId="77777777" w:rsidR="00DB20C9" w:rsidRPr="00167A1B" w:rsidRDefault="00DB20C9" w:rsidP="00F73598">
            <w:pPr>
              <w:pStyle w:val="BodyText1"/>
              <w:spacing w:before="0" w:after="0"/>
              <w:jc w:val="center"/>
              <w:rPr>
                <w:noProof w:val="0"/>
                <w:sz w:val="20"/>
              </w:rPr>
            </w:pPr>
            <w:r w:rsidRPr="00167A1B">
              <w:rPr>
                <w:noProof w:val="0"/>
                <w:sz w:val="20"/>
              </w:rPr>
              <w:t>Option 5: Voluntary labelling</w:t>
            </w:r>
          </w:p>
        </w:tc>
      </w:tr>
      <w:tr w:rsidR="00BC47B0" w:rsidRPr="00167A1B" w14:paraId="4CB7358F" w14:textId="77777777" w:rsidTr="0097293A">
        <w:tc>
          <w:tcPr>
            <w:tcW w:w="1129" w:type="dxa"/>
          </w:tcPr>
          <w:p w14:paraId="08684FFC" w14:textId="77777777" w:rsidR="00BC47B0" w:rsidRPr="00167A1B" w:rsidRDefault="00BC47B0" w:rsidP="00F73598">
            <w:pPr>
              <w:pStyle w:val="BodyText1"/>
              <w:spacing w:before="0" w:after="0"/>
              <w:jc w:val="left"/>
              <w:rPr>
                <w:noProof w:val="0"/>
                <w:sz w:val="20"/>
              </w:rPr>
            </w:pPr>
            <w:r w:rsidRPr="00167A1B">
              <w:rPr>
                <w:noProof w:val="0"/>
                <w:sz w:val="20"/>
              </w:rPr>
              <w:t>Tablets</w:t>
            </w:r>
          </w:p>
        </w:tc>
        <w:tc>
          <w:tcPr>
            <w:tcW w:w="1418" w:type="dxa"/>
          </w:tcPr>
          <w:p w14:paraId="24D119FD" w14:textId="73DFAF99" w:rsidR="00BC47B0" w:rsidRPr="00167A1B" w:rsidRDefault="00BC47B0" w:rsidP="0099363F">
            <w:pPr>
              <w:pStyle w:val="BodyText1"/>
              <w:spacing w:before="0" w:after="0"/>
              <w:jc w:val="left"/>
              <w:rPr>
                <w:noProof w:val="0"/>
                <w:sz w:val="20"/>
              </w:rPr>
            </w:pPr>
            <w:r w:rsidRPr="00167A1B">
              <w:rPr>
                <w:noProof w:val="0"/>
                <w:sz w:val="20"/>
              </w:rPr>
              <w:t>It is very likely that the transition to USB Type-C connectors would be accelerated, increasing the scale of impacts of Option 1</w:t>
            </w:r>
          </w:p>
        </w:tc>
        <w:tc>
          <w:tcPr>
            <w:tcW w:w="2693" w:type="dxa"/>
            <w:gridSpan w:val="2"/>
          </w:tcPr>
          <w:p w14:paraId="73B274FB" w14:textId="61B13AB1" w:rsidR="00BC47B0" w:rsidRPr="00167A1B" w:rsidRDefault="00BC47B0" w:rsidP="0099363F">
            <w:pPr>
              <w:pStyle w:val="BodyText1"/>
              <w:spacing w:before="0" w:after="0"/>
              <w:jc w:val="left"/>
              <w:rPr>
                <w:noProof w:val="0"/>
                <w:sz w:val="20"/>
              </w:rPr>
            </w:pPr>
            <w:r w:rsidRPr="00167A1B">
              <w:rPr>
                <w:noProof w:val="0"/>
                <w:sz w:val="20"/>
              </w:rPr>
              <w:t>It is very likely that more manufacturers would voluntarily comply with standards, increasing the scale of impacts of these options.</w:t>
            </w:r>
          </w:p>
        </w:tc>
        <w:tc>
          <w:tcPr>
            <w:tcW w:w="2693" w:type="dxa"/>
            <w:gridSpan w:val="2"/>
          </w:tcPr>
          <w:p w14:paraId="204BFEC9" w14:textId="7ACD2FA6" w:rsidR="00BC47B0" w:rsidRPr="00167A1B" w:rsidRDefault="00BC47B0" w:rsidP="0099363F">
            <w:pPr>
              <w:pStyle w:val="BodyText1"/>
              <w:spacing w:before="0" w:after="0"/>
              <w:jc w:val="left"/>
              <w:rPr>
                <w:noProof w:val="0"/>
                <w:sz w:val="20"/>
              </w:rPr>
            </w:pPr>
            <w:r w:rsidRPr="00167A1B">
              <w:rPr>
                <w:noProof w:val="0"/>
                <w:sz w:val="20"/>
              </w:rPr>
              <w:t xml:space="preserve">Unbundling of EPS/cable from mobile phones may affect unbundling rates of tablets. </w:t>
            </w:r>
            <w:proofErr w:type="gramStart"/>
            <w:r w:rsidRPr="00167A1B">
              <w:rPr>
                <w:noProof w:val="0"/>
                <w:sz w:val="20"/>
              </w:rPr>
              <w:t>However</w:t>
            </w:r>
            <w:proofErr w:type="gramEnd"/>
            <w:r w:rsidRPr="00167A1B">
              <w:rPr>
                <w:noProof w:val="0"/>
                <w:sz w:val="20"/>
              </w:rPr>
              <w:t xml:space="preserve"> it may either increase the number of chargers sold bundled (as consumers would have fewer chargers at their disposal) or decrease it (as consumers become used not to get a charger in the box when they buy a new device). Hence, likely indirect impacts are unknown.</w:t>
            </w:r>
          </w:p>
        </w:tc>
        <w:tc>
          <w:tcPr>
            <w:tcW w:w="1128" w:type="dxa"/>
            <w:vMerge w:val="restart"/>
          </w:tcPr>
          <w:p w14:paraId="1E7A1653" w14:textId="0B2F7F2C" w:rsidR="00BC47B0" w:rsidRPr="00167A1B" w:rsidRDefault="00BC47B0" w:rsidP="0099363F">
            <w:pPr>
              <w:pStyle w:val="BodyText1"/>
              <w:spacing w:before="0" w:after="0"/>
              <w:jc w:val="left"/>
              <w:rPr>
                <w:noProof w:val="0"/>
                <w:sz w:val="20"/>
              </w:rPr>
            </w:pPr>
            <w:r w:rsidRPr="00167A1B">
              <w:rPr>
                <w:noProof w:val="0"/>
                <w:sz w:val="20"/>
              </w:rPr>
              <w:t>No indirect effect for any device</w:t>
            </w:r>
            <w:r w:rsidR="0099363F" w:rsidRPr="00167A1B">
              <w:rPr>
                <w:noProof w:val="0"/>
                <w:sz w:val="20"/>
              </w:rPr>
              <w:t>.</w:t>
            </w:r>
          </w:p>
        </w:tc>
      </w:tr>
      <w:tr w:rsidR="00BC4FE7" w:rsidRPr="00167A1B" w14:paraId="321688E7" w14:textId="77777777" w:rsidTr="0097293A">
        <w:tc>
          <w:tcPr>
            <w:tcW w:w="1129" w:type="dxa"/>
          </w:tcPr>
          <w:p w14:paraId="2B8E8CC3" w14:textId="77777777" w:rsidR="008E487F" w:rsidRPr="00167A1B" w:rsidRDefault="008E487F" w:rsidP="00F73598">
            <w:pPr>
              <w:pStyle w:val="BodyText1"/>
              <w:spacing w:before="0" w:after="0"/>
              <w:jc w:val="left"/>
              <w:rPr>
                <w:noProof w:val="0"/>
                <w:sz w:val="20"/>
              </w:rPr>
            </w:pPr>
            <w:r w:rsidRPr="00167A1B">
              <w:rPr>
                <w:noProof w:val="0"/>
                <w:sz w:val="20"/>
              </w:rPr>
              <w:t>Cameras</w:t>
            </w:r>
          </w:p>
        </w:tc>
        <w:tc>
          <w:tcPr>
            <w:tcW w:w="1418" w:type="dxa"/>
          </w:tcPr>
          <w:p w14:paraId="16BAD834" w14:textId="6BE5C740" w:rsidR="008E487F" w:rsidRPr="00167A1B" w:rsidRDefault="008E487F" w:rsidP="0099363F">
            <w:pPr>
              <w:pStyle w:val="BodyText1"/>
              <w:spacing w:before="0" w:after="0"/>
              <w:jc w:val="left"/>
              <w:rPr>
                <w:noProof w:val="0"/>
                <w:sz w:val="20"/>
              </w:rPr>
            </w:pPr>
            <w:r w:rsidRPr="00167A1B">
              <w:rPr>
                <w:noProof w:val="0"/>
                <w:sz w:val="20"/>
              </w:rPr>
              <w:t>Transition to USB Type-C connectors may be accelerated, increasing the scale of impacts of Option 1</w:t>
            </w:r>
          </w:p>
        </w:tc>
        <w:tc>
          <w:tcPr>
            <w:tcW w:w="1346" w:type="dxa"/>
          </w:tcPr>
          <w:p w14:paraId="190501AF" w14:textId="77509715" w:rsidR="008E487F" w:rsidRPr="00167A1B" w:rsidRDefault="008E487F" w:rsidP="0099363F">
            <w:pPr>
              <w:pStyle w:val="BodyText1"/>
              <w:spacing w:before="0" w:after="0"/>
              <w:jc w:val="left"/>
              <w:rPr>
                <w:noProof w:val="0"/>
                <w:sz w:val="20"/>
              </w:rPr>
            </w:pPr>
            <w:r w:rsidRPr="00167A1B">
              <w:rPr>
                <w:noProof w:val="0"/>
                <w:sz w:val="20"/>
              </w:rPr>
              <w:t>Transition to USB Type-C connectors may be accelerated (increasing impacts of Option 2), unlikely to impact battery charging protocols</w:t>
            </w:r>
          </w:p>
        </w:tc>
        <w:tc>
          <w:tcPr>
            <w:tcW w:w="1347" w:type="dxa"/>
          </w:tcPr>
          <w:p w14:paraId="701E524A" w14:textId="243F8772" w:rsidR="008E487F" w:rsidRPr="00167A1B" w:rsidRDefault="008E487F" w:rsidP="0099363F">
            <w:pPr>
              <w:pStyle w:val="BodyText1"/>
              <w:spacing w:before="0" w:after="0"/>
              <w:jc w:val="left"/>
              <w:rPr>
                <w:noProof w:val="0"/>
                <w:sz w:val="20"/>
              </w:rPr>
            </w:pPr>
            <w:r w:rsidRPr="00167A1B">
              <w:rPr>
                <w:noProof w:val="0"/>
                <w:sz w:val="20"/>
              </w:rPr>
              <w:t>More EPS would be interoperable with cameras, which may increase unbundling rates (increasing impacts of Option 3)</w:t>
            </w:r>
          </w:p>
        </w:tc>
        <w:tc>
          <w:tcPr>
            <w:tcW w:w="2693" w:type="dxa"/>
            <w:gridSpan w:val="2"/>
          </w:tcPr>
          <w:p w14:paraId="1D3CCA0E" w14:textId="193DB266" w:rsidR="008E487F" w:rsidRPr="00167A1B" w:rsidRDefault="00515C29" w:rsidP="0099363F">
            <w:pPr>
              <w:pStyle w:val="BodyText1"/>
              <w:spacing w:before="0" w:after="0"/>
              <w:jc w:val="left"/>
              <w:rPr>
                <w:noProof w:val="0"/>
                <w:sz w:val="20"/>
              </w:rPr>
            </w:pPr>
            <w:r w:rsidRPr="00167A1B">
              <w:rPr>
                <w:noProof w:val="0"/>
                <w:sz w:val="20"/>
              </w:rPr>
              <w:t xml:space="preserve">Many cameras are already sold unbundled, therefore these options would be expected to further </w:t>
            </w:r>
            <w:r w:rsidR="008E487F" w:rsidRPr="00167A1B">
              <w:rPr>
                <w:noProof w:val="0"/>
                <w:sz w:val="20"/>
              </w:rPr>
              <w:t xml:space="preserve">increase unbundling rates </w:t>
            </w:r>
            <w:r w:rsidRPr="00167A1B">
              <w:rPr>
                <w:noProof w:val="0"/>
                <w:sz w:val="20"/>
              </w:rPr>
              <w:t>for cameras</w:t>
            </w:r>
            <w:r w:rsidR="008E487F" w:rsidRPr="00167A1B">
              <w:rPr>
                <w:noProof w:val="0"/>
                <w:sz w:val="20"/>
              </w:rPr>
              <w:t xml:space="preserve">, hence increasing the impacts of Options 4.a and </w:t>
            </w:r>
            <w:proofErr w:type="gramStart"/>
            <w:r w:rsidR="008E487F" w:rsidRPr="00167A1B">
              <w:rPr>
                <w:noProof w:val="0"/>
                <w:sz w:val="20"/>
              </w:rPr>
              <w:t>4.b.</w:t>
            </w:r>
            <w:proofErr w:type="gramEnd"/>
          </w:p>
        </w:tc>
        <w:tc>
          <w:tcPr>
            <w:tcW w:w="1128" w:type="dxa"/>
            <w:vMerge/>
          </w:tcPr>
          <w:p w14:paraId="40204C29" w14:textId="478C45DF" w:rsidR="008E487F" w:rsidRPr="00167A1B" w:rsidRDefault="008E487F" w:rsidP="00F73598">
            <w:pPr>
              <w:pStyle w:val="BodyText1"/>
              <w:spacing w:before="0" w:after="0"/>
              <w:jc w:val="center"/>
              <w:rPr>
                <w:noProof w:val="0"/>
                <w:sz w:val="20"/>
              </w:rPr>
            </w:pPr>
          </w:p>
        </w:tc>
      </w:tr>
      <w:tr w:rsidR="00BC4FE7" w:rsidRPr="00167A1B" w14:paraId="77139F62" w14:textId="77777777" w:rsidTr="0097293A">
        <w:tc>
          <w:tcPr>
            <w:tcW w:w="1129" w:type="dxa"/>
          </w:tcPr>
          <w:p w14:paraId="258ECEC0" w14:textId="77777777" w:rsidR="00DB20C9" w:rsidRPr="00167A1B" w:rsidRDefault="00DB20C9" w:rsidP="00F73598">
            <w:pPr>
              <w:pStyle w:val="BodyText1"/>
              <w:spacing w:before="0" w:after="0"/>
              <w:jc w:val="left"/>
              <w:rPr>
                <w:noProof w:val="0"/>
                <w:sz w:val="20"/>
              </w:rPr>
            </w:pPr>
            <w:r w:rsidRPr="00167A1B">
              <w:rPr>
                <w:noProof w:val="0"/>
                <w:sz w:val="20"/>
              </w:rPr>
              <w:t>Hearing devices</w:t>
            </w:r>
          </w:p>
        </w:tc>
        <w:tc>
          <w:tcPr>
            <w:tcW w:w="1418" w:type="dxa"/>
          </w:tcPr>
          <w:p w14:paraId="729E6481" w14:textId="70497EC5" w:rsidR="00DB20C9" w:rsidRPr="00167A1B" w:rsidRDefault="00BC47B0" w:rsidP="0099363F">
            <w:pPr>
              <w:pStyle w:val="BodyText1"/>
              <w:spacing w:before="0" w:after="0"/>
              <w:jc w:val="left"/>
              <w:rPr>
                <w:noProof w:val="0"/>
                <w:sz w:val="20"/>
              </w:rPr>
            </w:pPr>
            <w:r w:rsidRPr="00167A1B">
              <w:rPr>
                <w:noProof w:val="0"/>
                <w:sz w:val="20"/>
              </w:rPr>
              <w:t xml:space="preserve">Transition to USB Type-C connectors may be accelerated and proprietary connectors </w:t>
            </w:r>
            <w:r w:rsidR="00717599" w:rsidRPr="00167A1B">
              <w:rPr>
                <w:noProof w:val="0"/>
                <w:sz w:val="20"/>
              </w:rPr>
              <w:t xml:space="preserve">(Lightning) </w:t>
            </w:r>
            <w:r w:rsidRPr="00167A1B">
              <w:rPr>
                <w:noProof w:val="0"/>
                <w:sz w:val="20"/>
              </w:rPr>
              <w:t>might be displaced, increasing the scale of impacts of Option 1</w:t>
            </w:r>
          </w:p>
        </w:tc>
        <w:tc>
          <w:tcPr>
            <w:tcW w:w="1346" w:type="dxa"/>
          </w:tcPr>
          <w:p w14:paraId="41829104" w14:textId="303D61E3" w:rsidR="00DB20C9" w:rsidRPr="00167A1B" w:rsidRDefault="00DB20C9" w:rsidP="0099363F">
            <w:pPr>
              <w:pStyle w:val="BodyText1"/>
              <w:spacing w:before="0" w:after="0"/>
              <w:jc w:val="left"/>
              <w:rPr>
                <w:noProof w:val="0"/>
                <w:sz w:val="20"/>
              </w:rPr>
            </w:pPr>
            <w:r w:rsidRPr="00167A1B">
              <w:rPr>
                <w:noProof w:val="0"/>
                <w:sz w:val="20"/>
              </w:rPr>
              <w:t>No</w:t>
            </w:r>
            <w:r w:rsidR="008E487F" w:rsidRPr="00167A1B">
              <w:rPr>
                <w:noProof w:val="0"/>
                <w:sz w:val="20"/>
              </w:rPr>
              <w:t xml:space="preserve"> impacts expected</w:t>
            </w:r>
          </w:p>
        </w:tc>
        <w:tc>
          <w:tcPr>
            <w:tcW w:w="1347" w:type="dxa"/>
          </w:tcPr>
          <w:p w14:paraId="49020C83" w14:textId="1024D35F" w:rsidR="00DB20C9" w:rsidRPr="00167A1B" w:rsidRDefault="00DB20C9" w:rsidP="0099363F">
            <w:pPr>
              <w:pStyle w:val="BodyText1"/>
              <w:spacing w:before="0" w:after="0"/>
              <w:jc w:val="left"/>
              <w:rPr>
                <w:noProof w:val="0"/>
                <w:sz w:val="20"/>
              </w:rPr>
            </w:pPr>
            <w:r w:rsidRPr="00167A1B">
              <w:rPr>
                <w:noProof w:val="0"/>
                <w:sz w:val="20"/>
              </w:rPr>
              <w:t>No</w:t>
            </w:r>
            <w:r w:rsidR="008E487F" w:rsidRPr="00167A1B">
              <w:rPr>
                <w:noProof w:val="0"/>
                <w:sz w:val="20"/>
              </w:rPr>
              <w:t xml:space="preserve"> impacts expected</w:t>
            </w:r>
          </w:p>
        </w:tc>
        <w:tc>
          <w:tcPr>
            <w:tcW w:w="1346" w:type="dxa"/>
          </w:tcPr>
          <w:p w14:paraId="6EA6D10F" w14:textId="6C3660E2" w:rsidR="00DB20C9" w:rsidRPr="00167A1B" w:rsidRDefault="008E487F" w:rsidP="0099363F">
            <w:pPr>
              <w:pStyle w:val="BodyText1"/>
              <w:spacing w:before="0" w:after="0"/>
              <w:jc w:val="left"/>
              <w:rPr>
                <w:noProof w:val="0"/>
                <w:sz w:val="20"/>
              </w:rPr>
            </w:pPr>
            <w:r w:rsidRPr="00167A1B">
              <w:rPr>
                <w:noProof w:val="0"/>
                <w:sz w:val="20"/>
              </w:rPr>
              <w:t>No impacts expected</w:t>
            </w:r>
          </w:p>
        </w:tc>
        <w:tc>
          <w:tcPr>
            <w:tcW w:w="1347" w:type="dxa"/>
          </w:tcPr>
          <w:p w14:paraId="10AF13A1" w14:textId="3E89DF61" w:rsidR="00DB20C9" w:rsidRPr="00167A1B" w:rsidRDefault="008E487F" w:rsidP="0099363F">
            <w:pPr>
              <w:pStyle w:val="BodyText1"/>
              <w:spacing w:before="0" w:after="0"/>
              <w:jc w:val="left"/>
              <w:rPr>
                <w:noProof w:val="0"/>
                <w:sz w:val="20"/>
              </w:rPr>
            </w:pPr>
            <w:r w:rsidRPr="00167A1B">
              <w:rPr>
                <w:noProof w:val="0"/>
                <w:sz w:val="20"/>
              </w:rPr>
              <w:t xml:space="preserve">It could increase unbundling rates of cables, hence increasing the impacts of Option </w:t>
            </w:r>
            <w:proofErr w:type="gramStart"/>
            <w:r w:rsidRPr="00167A1B">
              <w:rPr>
                <w:noProof w:val="0"/>
                <w:sz w:val="20"/>
              </w:rPr>
              <w:t>4.b</w:t>
            </w:r>
            <w:proofErr w:type="gramEnd"/>
          </w:p>
        </w:tc>
        <w:tc>
          <w:tcPr>
            <w:tcW w:w="1128" w:type="dxa"/>
            <w:vMerge/>
          </w:tcPr>
          <w:p w14:paraId="2790BF9D" w14:textId="24115A64" w:rsidR="00DB20C9" w:rsidRPr="00167A1B" w:rsidRDefault="00DB20C9" w:rsidP="00F73598">
            <w:pPr>
              <w:pStyle w:val="BodyText1"/>
              <w:spacing w:before="0" w:after="0"/>
              <w:jc w:val="center"/>
              <w:rPr>
                <w:noProof w:val="0"/>
                <w:sz w:val="20"/>
              </w:rPr>
            </w:pPr>
          </w:p>
        </w:tc>
      </w:tr>
      <w:tr w:rsidR="00515C29" w:rsidRPr="00167A1B" w14:paraId="59F98CE9" w14:textId="77777777" w:rsidTr="0097293A">
        <w:tc>
          <w:tcPr>
            <w:tcW w:w="1129" w:type="dxa"/>
          </w:tcPr>
          <w:p w14:paraId="46D65907" w14:textId="77777777" w:rsidR="00515C29" w:rsidRPr="00167A1B" w:rsidRDefault="00515C29" w:rsidP="00F73598">
            <w:pPr>
              <w:pStyle w:val="BodyText1"/>
              <w:spacing w:before="0" w:after="0"/>
              <w:jc w:val="left"/>
              <w:rPr>
                <w:noProof w:val="0"/>
                <w:sz w:val="20"/>
              </w:rPr>
            </w:pPr>
            <w:r w:rsidRPr="00167A1B">
              <w:rPr>
                <w:noProof w:val="0"/>
                <w:sz w:val="20"/>
              </w:rPr>
              <w:t>Hand-held video game consoles</w:t>
            </w:r>
          </w:p>
        </w:tc>
        <w:tc>
          <w:tcPr>
            <w:tcW w:w="1418" w:type="dxa"/>
          </w:tcPr>
          <w:p w14:paraId="28224713" w14:textId="33AFF34D" w:rsidR="00515C29" w:rsidRPr="00167A1B" w:rsidRDefault="00515C29" w:rsidP="0099363F">
            <w:pPr>
              <w:pStyle w:val="BodyText1"/>
              <w:spacing w:before="0" w:after="0"/>
              <w:jc w:val="left"/>
              <w:rPr>
                <w:noProof w:val="0"/>
                <w:sz w:val="20"/>
              </w:rPr>
            </w:pPr>
            <w:r w:rsidRPr="00167A1B">
              <w:rPr>
                <w:noProof w:val="0"/>
                <w:sz w:val="20"/>
              </w:rPr>
              <w:t xml:space="preserve">Transition to USB Type-C connectors may be accelerated, increasing the scale of impacts of Option 1. However, proprietary connectors </w:t>
            </w:r>
            <w:r w:rsidRPr="00167A1B">
              <w:rPr>
                <w:noProof w:val="0"/>
                <w:sz w:val="20"/>
              </w:rPr>
              <w:lastRenderedPageBreak/>
              <w:t>would still exist.</w:t>
            </w:r>
          </w:p>
        </w:tc>
        <w:tc>
          <w:tcPr>
            <w:tcW w:w="2693" w:type="dxa"/>
            <w:gridSpan w:val="2"/>
          </w:tcPr>
          <w:p w14:paraId="09930DC4" w14:textId="3F071E1A" w:rsidR="00515C29" w:rsidRPr="00167A1B" w:rsidRDefault="00515C29" w:rsidP="0099363F">
            <w:pPr>
              <w:pStyle w:val="BodyText1"/>
              <w:spacing w:before="0" w:after="0"/>
              <w:jc w:val="left"/>
              <w:rPr>
                <w:noProof w:val="0"/>
                <w:sz w:val="20"/>
              </w:rPr>
            </w:pPr>
            <w:r w:rsidRPr="00167A1B">
              <w:rPr>
                <w:noProof w:val="0"/>
                <w:sz w:val="20"/>
              </w:rPr>
              <w:lastRenderedPageBreak/>
              <w:t xml:space="preserve">It would </w:t>
            </w:r>
            <w:proofErr w:type="gramStart"/>
            <w:r w:rsidRPr="00167A1B">
              <w:rPr>
                <w:noProof w:val="0"/>
                <w:sz w:val="20"/>
              </w:rPr>
              <w:t>reinforced</w:t>
            </w:r>
            <w:proofErr w:type="gramEnd"/>
            <w:r w:rsidRPr="00167A1B">
              <w:rPr>
                <w:noProof w:val="0"/>
                <w:sz w:val="20"/>
              </w:rPr>
              <w:t xml:space="preserve"> the use of USB PD among consoles using over 15W, hence increasing impacts of Options 2 and 3, respectively. Option 3 might also lead to higher unbundling rates on gaming consoles.</w:t>
            </w:r>
          </w:p>
        </w:tc>
        <w:tc>
          <w:tcPr>
            <w:tcW w:w="2693" w:type="dxa"/>
            <w:gridSpan w:val="2"/>
          </w:tcPr>
          <w:p w14:paraId="016E7546" w14:textId="4CE89226" w:rsidR="00515C29" w:rsidRPr="00167A1B" w:rsidRDefault="00515C29" w:rsidP="0099363F">
            <w:pPr>
              <w:pStyle w:val="BodyText1"/>
              <w:spacing w:before="0" w:after="0"/>
              <w:jc w:val="left"/>
              <w:rPr>
                <w:noProof w:val="0"/>
                <w:sz w:val="20"/>
              </w:rPr>
            </w:pPr>
            <w:r w:rsidRPr="00167A1B">
              <w:rPr>
                <w:noProof w:val="0"/>
                <w:sz w:val="20"/>
              </w:rPr>
              <w:t xml:space="preserve">Unbundling of EPS/cable from mobile phones may affect unbundling rates of gaming </w:t>
            </w:r>
            <w:r w:rsidR="00167A1B" w:rsidRPr="00167A1B">
              <w:rPr>
                <w:noProof w:val="0"/>
                <w:sz w:val="20"/>
              </w:rPr>
              <w:t>consoles</w:t>
            </w:r>
            <w:r w:rsidRPr="00167A1B">
              <w:rPr>
                <w:noProof w:val="0"/>
                <w:sz w:val="20"/>
              </w:rPr>
              <w:t xml:space="preserve">. However, it may either increase the number of chargers sold bundled (as consumers would have fewer chargers at their disposal) or decrease it (as consumers become used not to get a charger in the box when they buy a new device). Hence, </w:t>
            </w:r>
            <w:r w:rsidRPr="00167A1B">
              <w:rPr>
                <w:noProof w:val="0"/>
                <w:sz w:val="20"/>
              </w:rPr>
              <w:lastRenderedPageBreak/>
              <w:t>likely indirect impacts are unknown.</w:t>
            </w:r>
          </w:p>
        </w:tc>
        <w:tc>
          <w:tcPr>
            <w:tcW w:w="1128" w:type="dxa"/>
            <w:vMerge/>
          </w:tcPr>
          <w:p w14:paraId="0595AC24" w14:textId="2C34848A" w:rsidR="00515C29" w:rsidRPr="00167A1B" w:rsidRDefault="00515C29" w:rsidP="00F73598">
            <w:pPr>
              <w:pStyle w:val="BodyText1"/>
              <w:spacing w:before="0" w:after="0"/>
              <w:jc w:val="center"/>
              <w:rPr>
                <w:noProof w:val="0"/>
                <w:sz w:val="20"/>
              </w:rPr>
            </w:pPr>
          </w:p>
        </w:tc>
      </w:tr>
      <w:tr w:rsidR="00515C29" w:rsidRPr="00167A1B" w14:paraId="78F4BD40" w14:textId="77777777" w:rsidTr="0097293A">
        <w:tc>
          <w:tcPr>
            <w:tcW w:w="1129" w:type="dxa"/>
          </w:tcPr>
          <w:p w14:paraId="559FB5F2" w14:textId="77777777" w:rsidR="00515C29" w:rsidRPr="00167A1B" w:rsidRDefault="00515C29" w:rsidP="00F73598">
            <w:pPr>
              <w:pStyle w:val="BodyText1"/>
              <w:spacing w:before="0" w:after="0"/>
              <w:jc w:val="left"/>
              <w:rPr>
                <w:noProof w:val="0"/>
                <w:sz w:val="20"/>
              </w:rPr>
            </w:pPr>
            <w:r w:rsidRPr="00167A1B">
              <w:rPr>
                <w:noProof w:val="0"/>
                <w:sz w:val="20"/>
              </w:rPr>
              <w:t>Portable speakers</w:t>
            </w:r>
          </w:p>
        </w:tc>
        <w:tc>
          <w:tcPr>
            <w:tcW w:w="1418" w:type="dxa"/>
          </w:tcPr>
          <w:p w14:paraId="6B13E3B2" w14:textId="0788211E" w:rsidR="00515C29" w:rsidRPr="00167A1B" w:rsidRDefault="00515C29" w:rsidP="00BC4FE7">
            <w:pPr>
              <w:pStyle w:val="BodyText1"/>
              <w:spacing w:before="0" w:after="0"/>
              <w:jc w:val="left"/>
              <w:rPr>
                <w:noProof w:val="0"/>
                <w:sz w:val="20"/>
              </w:rPr>
            </w:pPr>
            <w:r w:rsidRPr="00167A1B">
              <w:rPr>
                <w:noProof w:val="0"/>
                <w:sz w:val="20"/>
              </w:rPr>
              <w:t>Transition to USB Type-C connectors may be accelerated, increasing the scale of impacts of Option 1</w:t>
            </w:r>
          </w:p>
        </w:tc>
        <w:tc>
          <w:tcPr>
            <w:tcW w:w="2693" w:type="dxa"/>
            <w:gridSpan w:val="2"/>
          </w:tcPr>
          <w:p w14:paraId="79093C31" w14:textId="29CEFA86" w:rsidR="00515C29" w:rsidRPr="00167A1B" w:rsidRDefault="00515C29" w:rsidP="00BC4FE7">
            <w:pPr>
              <w:pStyle w:val="BodyText1"/>
              <w:spacing w:before="0" w:after="0"/>
              <w:jc w:val="left"/>
              <w:rPr>
                <w:noProof w:val="0"/>
                <w:sz w:val="20"/>
              </w:rPr>
            </w:pPr>
            <w:r w:rsidRPr="00167A1B">
              <w:rPr>
                <w:noProof w:val="0"/>
                <w:sz w:val="20"/>
              </w:rPr>
              <w:t xml:space="preserve">It would </w:t>
            </w:r>
            <w:proofErr w:type="gramStart"/>
            <w:r w:rsidRPr="00167A1B">
              <w:rPr>
                <w:noProof w:val="0"/>
                <w:sz w:val="20"/>
              </w:rPr>
              <w:t>reinforced</w:t>
            </w:r>
            <w:proofErr w:type="gramEnd"/>
            <w:r w:rsidRPr="00167A1B">
              <w:rPr>
                <w:noProof w:val="0"/>
                <w:sz w:val="20"/>
              </w:rPr>
              <w:t xml:space="preserve"> the use of USB PD among speakers using over 15W, hence increasing impacts of Options 2 and 3, respectively. Option 3 might also lead to higher unbundling rates on portable speakers.</w:t>
            </w:r>
          </w:p>
        </w:tc>
        <w:tc>
          <w:tcPr>
            <w:tcW w:w="2693" w:type="dxa"/>
            <w:gridSpan w:val="2"/>
          </w:tcPr>
          <w:p w14:paraId="10473791" w14:textId="6E6E0A90" w:rsidR="00515C29" w:rsidRPr="00167A1B" w:rsidRDefault="00515C29" w:rsidP="00BC4FE7">
            <w:pPr>
              <w:pStyle w:val="BodyText1"/>
              <w:spacing w:before="0" w:after="0"/>
              <w:jc w:val="left"/>
              <w:rPr>
                <w:noProof w:val="0"/>
                <w:sz w:val="20"/>
              </w:rPr>
            </w:pPr>
            <w:r w:rsidRPr="00167A1B">
              <w:rPr>
                <w:noProof w:val="0"/>
                <w:sz w:val="20"/>
              </w:rPr>
              <w:t xml:space="preserve">Most portable speakers are already sold unbundled. Therefore, these options would be expected to further increase unbundling rates for speakers, hence increasing the impacts of Options 4.a and </w:t>
            </w:r>
            <w:proofErr w:type="gramStart"/>
            <w:r w:rsidRPr="00167A1B">
              <w:rPr>
                <w:noProof w:val="0"/>
                <w:sz w:val="20"/>
              </w:rPr>
              <w:t>4.b.</w:t>
            </w:r>
            <w:proofErr w:type="gramEnd"/>
          </w:p>
        </w:tc>
        <w:tc>
          <w:tcPr>
            <w:tcW w:w="1128" w:type="dxa"/>
            <w:vMerge/>
          </w:tcPr>
          <w:p w14:paraId="172B7358" w14:textId="762D105F" w:rsidR="00515C29" w:rsidRPr="00167A1B" w:rsidRDefault="00515C29" w:rsidP="00F73598">
            <w:pPr>
              <w:pStyle w:val="BodyText1"/>
              <w:spacing w:before="0" w:after="0"/>
              <w:jc w:val="center"/>
              <w:rPr>
                <w:noProof w:val="0"/>
                <w:sz w:val="20"/>
              </w:rPr>
            </w:pPr>
          </w:p>
        </w:tc>
      </w:tr>
      <w:tr w:rsidR="00BC4FE7" w:rsidRPr="00167A1B" w14:paraId="3A130950" w14:textId="77777777" w:rsidTr="0097293A">
        <w:tc>
          <w:tcPr>
            <w:tcW w:w="1129" w:type="dxa"/>
          </w:tcPr>
          <w:p w14:paraId="600D28A0" w14:textId="77777777" w:rsidR="00515C29" w:rsidRPr="00167A1B" w:rsidRDefault="00515C29" w:rsidP="00515C29">
            <w:pPr>
              <w:pStyle w:val="BodyText1"/>
              <w:spacing w:before="0" w:after="0"/>
              <w:jc w:val="left"/>
              <w:rPr>
                <w:noProof w:val="0"/>
                <w:sz w:val="20"/>
              </w:rPr>
            </w:pPr>
            <w:r w:rsidRPr="00167A1B">
              <w:rPr>
                <w:noProof w:val="0"/>
                <w:sz w:val="20"/>
              </w:rPr>
              <w:t>E-readers</w:t>
            </w:r>
          </w:p>
        </w:tc>
        <w:tc>
          <w:tcPr>
            <w:tcW w:w="1418" w:type="dxa"/>
          </w:tcPr>
          <w:p w14:paraId="73DC5D03" w14:textId="681E3F16" w:rsidR="00515C29" w:rsidRPr="00167A1B" w:rsidRDefault="00515C29" w:rsidP="00BC4FE7">
            <w:pPr>
              <w:pStyle w:val="BodyText1"/>
              <w:spacing w:before="0" w:after="0"/>
              <w:jc w:val="left"/>
              <w:rPr>
                <w:noProof w:val="0"/>
                <w:sz w:val="20"/>
              </w:rPr>
            </w:pPr>
            <w:r w:rsidRPr="00167A1B">
              <w:rPr>
                <w:noProof w:val="0"/>
                <w:sz w:val="20"/>
              </w:rPr>
              <w:t>Transition to USB Type-C connectors may be accelerated, increasing the scale of impacts of Option 1</w:t>
            </w:r>
          </w:p>
        </w:tc>
        <w:tc>
          <w:tcPr>
            <w:tcW w:w="1346" w:type="dxa"/>
          </w:tcPr>
          <w:p w14:paraId="67E92297" w14:textId="3ADB8B7A" w:rsidR="00515C29" w:rsidRPr="00167A1B" w:rsidRDefault="00515C29" w:rsidP="00BC4FE7">
            <w:pPr>
              <w:pStyle w:val="BodyText1"/>
              <w:spacing w:before="0" w:after="0"/>
              <w:jc w:val="left"/>
              <w:rPr>
                <w:noProof w:val="0"/>
                <w:sz w:val="20"/>
              </w:rPr>
            </w:pPr>
            <w:r w:rsidRPr="00167A1B">
              <w:rPr>
                <w:noProof w:val="0"/>
                <w:sz w:val="20"/>
              </w:rPr>
              <w:t>No impacts expected</w:t>
            </w:r>
          </w:p>
        </w:tc>
        <w:tc>
          <w:tcPr>
            <w:tcW w:w="1347" w:type="dxa"/>
          </w:tcPr>
          <w:p w14:paraId="75E0E746" w14:textId="15733350" w:rsidR="00515C29" w:rsidRPr="00167A1B" w:rsidRDefault="00515C29" w:rsidP="00BC4FE7">
            <w:pPr>
              <w:pStyle w:val="BodyText1"/>
              <w:spacing w:before="0" w:after="0"/>
              <w:jc w:val="left"/>
              <w:rPr>
                <w:noProof w:val="0"/>
                <w:sz w:val="20"/>
              </w:rPr>
            </w:pPr>
            <w:r w:rsidRPr="00167A1B">
              <w:rPr>
                <w:noProof w:val="0"/>
                <w:sz w:val="20"/>
              </w:rPr>
              <w:t>No impacts expected</w:t>
            </w:r>
          </w:p>
        </w:tc>
        <w:tc>
          <w:tcPr>
            <w:tcW w:w="1346" w:type="dxa"/>
          </w:tcPr>
          <w:p w14:paraId="50156243" w14:textId="5F558984" w:rsidR="00515C29" w:rsidRPr="00167A1B" w:rsidRDefault="00515C29" w:rsidP="00BC4FE7">
            <w:pPr>
              <w:pStyle w:val="BodyText1"/>
              <w:spacing w:before="0" w:after="0"/>
              <w:jc w:val="left"/>
              <w:rPr>
                <w:noProof w:val="0"/>
                <w:sz w:val="20"/>
              </w:rPr>
            </w:pPr>
            <w:r w:rsidRPr="00167A1B">
              <w:rPr>
                <w:noProof w:val="0"/>
                <w:sz w:val="20"/>
              </w:rPr>
              <w:t>No impacts expected</w:t>
            </w:r>
          </w:p>
        </w:tc>
        <w:tc>
          <w:tcPr>
            <w:tcW w:w="1347" w:type="dxa"/>
          </w:tcPr>
          <w:p w14:paraId="5F678BAA" w14:textId="059B0706" w:rsidR="00515C29" w:rsidRPr="00167A1B" w:rsidRDefault="00515C29" w:rsidP="00BC4FE7">
            <w:pPr>
              <w:pStyle w:val="BodyText1"/>
              <w:spacing w:before="0" w:after="0"/>
              <w:jc w:val="left"/>
              <w:rPr>
                <w:noProof w:val="0"/>
                <w:sz w:val="20"/>
              </w:rPr>
            </w:pPr>
            <w:r w:rsidRPr="00167A1B">
              <w:rPr>
                <w:noProof w:val="0"/>
                <w:sz w:val="20"/>
              </w:rPr>
              <w:t xml:space="preserve">It could increase unbundling rates of cables, hence increasing the impacts of Option </w:t>
            </w:r>
            <w:proofErr w:type="gramStart"/>
            <w:r w:rsidRPr="00167A1B">
              <w:rPr>
                <w:noProof w:val="0"/>
                <w:sz w:val="20"/>
              </w:rPr>
              <w:t>4.b</w:t>
            </w:r>
            <w:proofErr w:type="gramEnd"/>
          </w:p>
        </w:tc>
        <w:tc>
          <w:tcPr>
            <w:tcW w:w="1128" w:type="dxa"/>
            <w:vMerge/>
          </w:tcPr>
          <w:p w14:paraId="2265E51B" w14:textId="37333D3B" w:rsidR="00515C29" w:rsidRPr="00167A1B" w:rsidRDefault="00515C29" w:rsidP="00515C29">
            <w:pPr>
              <w:pStyle w:val="BodyText1"/>
              <w:spacing w:before="0" w:after="0"/>
              <w:jc w:val="center"/>
              <w:rPr>
                <w:noProof w:val="0"/>
                <w:sz w:val="20"/>
              </w:rPr>
            </w:pPr>
          </w:p>
        </w:tc>
      </w:tr>
      <w:tr w:rsidR="00BC4FE7" w:rsidRPr="00167A1B" w14:paraId="2587F98D" w14:textId="77777777" w:rsidTr="0097293A">
        <w:tc>
          <w:tcPr>
            <w:tcW w:w="1129" w:type="dxa"/>
          </w:tcPr>
          <w:p w14:paraId="07590700" w14:textId="77777777" w:rsidR="00DB20C9" w:rsidRPr="00167A1B" w:rsidRDefault="00DB20C9" w:rsidP="00F73598">
            <w:pPr>
              <w:pStyle w:val="BodyText1"/>
              <w:spacing w:before="0" w:after="0"/>
              <w:jc w:val="left"/>
              <w:rPr>
                <w:noProof w:val="0"/>
                <w:sz w:val="20"/>
              </w:rPr>
            </w:pPr>
            <w:r w:rsidRPr="00167A1B">
              <w:rPr>
                <w:noProof w:val="0"/>
                <w:sz w:val="20"/>
              </w:rPr>
              <w:t>Smartwatches &amp; fitness trackers</w:t>
            </w:r>
          </w:p>
        </w:tc>
        <w:tc>
          <w:tcPr>
            <w:tcW w:w="1418" w:type="dxa"/>
          </w:tcPr>
          <w:p w14:paraId="7D6E42AB" w14:textId="7BA10B18" w:rsidR="00DB20C9" w:rsidRPr="00167A1B" w:rsidRDefault="00DB20C9" w:rsidP="00BC4FE7">
            <w:pPr>
              <w:pStyle w:val="BodyText1"/>
              <w:spacing w:before="0" w:after="0"/>
              <w:jc w:val="left"/>
              <w:rPr>
                <w:noProof w:val="0"/>
                <w:sz w:val="20"/>
              </w:rPr>
            </w:pPr>
            <w:r w:rsidRPr="00167A1B">
              <w:rPr>
                <w:noProof w:val="0"/>
                <w:sz w:val="20"/>
              </w:rPr>
              <w:t>No</w:t>
            </w:r>
            <w:r w:rsidR="00BC47B0" w:rsidRPr="00167A1B">
              <w:rPr>
                <w:noProof w:val="0"/>
                <w:sz w:val="20"/>
              </w:rPr>
              <w:t xml:space="preserve"> impact</w:t>
            </w:r>
          </w:p>
        </w:tc>
        <w:tc>
          <w:tcPr>
            <w:tcW w:w="1346" w:type="dxa"/>
          </w:tcPr>
          <w:p w14:paraId="0A0098C1" w14:textId="12AA3FD3" w:rsidR="00DB20C9" w:rsidRPr="00167A1B" w:rsidRDefault="00DB20C9" w:rsidP="00BC4FE7">
            <w:pPr>
              <w:pStyle w:val="BodyText1"/>
              <w:spacing w:before="0" w:after="0"/>
              <w:jc w:val="left"/>
              <w:rPr>
                <w:noProof w:val="0"/>
                <w:sz w:val="20"/>
              </w:rPr>
            </w:pPr>
            <w:r w:rsidRPr="00167A1B">
              <w:rPr>
                <w:noProof w:val="0"/>
                <w:sz w:val="20"/>
              </w:rPr>
              <w:t>No</w:t>
            </w:r>
            <w:r w:rsidR="00BC47B0" w:rsidRPr="00167A1B">
              <w:rPr>
                <w:noProof w:val="0"/>
                <w:sz w:val="20"/>
              </w:rPr>
              <w:t xml:space="preserve"> impact</w:t>
            </w:r>
          </w:p>
        </w:tc>
        <w:tc>
          <w:tcPr>
            <w:tcW w:w="1347" w:type="dxa"/>
          </w:tcPr>
          <w:p w14:paraId="53F0D6B0" w14:textId="3D50398F" w:rsidR="00DB20C9" w:rsidRPr="00167A1B" w:rsidRDefault="00DB20C9" w:rsidP="00BC4FE7">
            <w:pPr>
              <w:pStyle w:val="BodyText1"/>
              <w:spacing w:before="0" w:after="0"/>
              <w:jc w:val="left"/>
              <w:rPr>
                <w:noProof w:val="0"/>
                <w:sz w:val="20"/>
              </w:rPr>
            </w:pPr>
            <w:r w:rsidRPr="00167A1B">
              <w:rPr>
                <w:noProof w:val="0"/>
                <w:sz w:val="20"/>
              </w:rPr>
              <w:t>No</w:t>
            </w:r>
            <w:r w:rsidR="00BC47B0" w:rsidRPr="00167A1B">
              <w:rPr>
                <w:noProof w:val="0"/>
                <w:sz w:val="20"/>
              </w:rPr>
              <w:t xml:space="preserve"> impact</w:t>
            </w:r>
          </w:p>
        </w:tc>
        <w:tc>
          <w:tcPr>
            <w:tcW w:w="1346" w:type="dxa"/>
          </w:tcPr>
          <w:p w14:paraId="59690F14" w14:textId="57478704" w:rsidR="00DB20C9" w:rsidRPr="00167A1B" w:rsidRDefault="00515C29" w:rsidP="00BC4FE7">
            <w:pPr>
              <w:pStyle w:val="BodyText1"/>
              <w:spacing w:before="0" w:after="0"/>
              <w:jc w:val="left"/>
              <w:rPr>
                <w:noProof w:val="0"/>
                <w:sz w:val="20"/>
              </w:rPr>
            </w:pPr>
            <w:r w:rsidRPr="00167A1B">
              <w:rPr>
                <w:noProof w:val="0"/>
                <w:sz w:val="20"/>
              </w:rPr>
              <w:t xml:space="preserve">It could increase unbundling rates of EPS, hence increasing the impacts of Option </w:t>
            </w:r>
            <w:proofErr w:type="gramStart"/>
            <w:r w:rsidRPr="00167A1B">
              <w:rPr>
                <w:noProof w:val="0"/>
                <w:sz w:val="20"/>
              </w:rPr>
              <w:t>4.a</w:t>
            </w:r>
            <w:proofErr w:type="gramEnd"/>
          </w:p>
        </w:tc>
        <w:tc>
          <w:tcPr>
            <w:tcW w:w="1347" w:type="dxa"/>
          </w:tcPr>
          <w:p w14:paraId="2E7456BF" w14:textId="0237E97C" w:rsidR="00DB20C9" w:rsidRPr="00167A1B" w:rsidRDefault="00DB20C9" w:rsidP="00BC4FE7">
            <w:pPr>
              <w:pStyle w:val="BodyText1"/>
              <w:spacing w:before="0" w:after="0"/>
              <w:jc w:val="left"/>
              <w:rPr>
                <w:noProof w:val="0"/>
                <w:sz w:val="20"/>
              </w:rPr>
            </w:pPr>
            <w:r w:rsidRPr="00167A1B">
              <w:rPr>
                <w:noProof w:val="0"/>
                <w:sz w:val="20"/>
              </w:rPr>
              <w:t>No</w:t>
            </w:r>
            <w:r w:rsidR="00BC47B0" w:rsidRPr="00167A1B">
              <w:rPr>
                <w:noProof w:val="0"/>
                <w:sz w:val="20"/>
              </w:rPr>
              <w:t xml:space="preserve"> impact</w:t>
            </w:r>
          </w:p>
        </w:tc>
        <w:tc>
          <w:tcPr>
            <w:tcW w:w="1128" w:type="dxa"/>
            <w:vMerge/>
          </w:tcPr>
          <w:p w14:paraId="4030A71E" w14:textId="6C76AEE1" w:rsidR="00DB20C9" w:rsidRPr="00167A1B" w:rsidRDefault="00DB20C9" w:rsidP="00F73598">
            <w:pPr>
              <w:pStyle w:val="BodyText1"/>
              <w:spacing w:before="0" w:after="0"/>
              <w:jc w:val="center"/>
              <w:rPr>
                <w:noProof w:val="0"/>
                <w:sz w:val="20"/>
              </w:rPr>
            </w:pPr>
          </w:p>
        </w:tc>
      </w:tr>
    </w:tbl>
    <w:p w14:paraId="4B1DF5A9" w14:textId="6FDDC3BB" w:rsidR="008F65B2" w:rsidRPr="00167A1B" w:rsidRDefault="008F65B2" w:rsidP="008F65B2">
      <w:pPr>
        <w:pStyle w:val="BodyText1"/>
        <w:rPr>
          <w:noProof w:val="0"/>
        </w:rPr>
      </w:pPr>
    </w:p>
    <w:p w14:paraId="29AADD4A" w14:textId="77777777" w:rsidR="00BC4FE7" w:rsidRPr="00167A1B" w:rsidRDefault="00BC4FE7" w:rsidP="008F65B2">
      <w:pPr>
        <w:pStyle w:val="BodyText1"/>
        <w:rPr>
          <w:noProof w:val="0"/>
        </w:rPr>
      </w:pPr>
    </w:p>
    <w:p w14:paraId="5B7DFCDF" w14:textId="26E0CCB1" w:rsidR="00D30D44" w:rsidRPr="00167A1B" w:rsidRDefault="008B4225" w:rsidP="009C1705">
      <w:pPr>
        <w:pStyle w:val="Title2"/>
        <w:outlineLvl w:val="1"/>
      </w:pPr>
      <w:bookmarkStart w:id="75" w:name="_Toc74319764"/>
      <w:r w:rsidRPr="00167A1B">
        <w:t>Direct impacts</w:t>
      </w:r>
      <w:bookmarkEnd w:id="75"/>
    </w:p>
    <w:p w14:paraId="1D079F2E" w14:textId="7C535BB9" w:rsidR="008F65B2" w:rsidRPr="00167A1B" w:rsidRDefault="005F0066" w:rsidP="008F65B2">
      <w:pPr>
        <w:pStyle w:val="BodyText1"/>
        <w:rPr>
          <w:noProof w:val="0"/>
        </w:rPr>
      </w:pPr>
      <w:r w:rsidRPr="00167A1B">
        <w:rPr>
          <w:noProof w:val="0"/>
        </w:rPr>
        <w:t>In this section, we consider the likely impacts if the scope of the options were defined more broadly, and its application extended beyond mobile phones to other portable electronic devices.</w:t>
      </w:r>
    </w:p>
    <w:p w14:paraId="24F2C8DC" w14:textId="40E2FA79" w:rsidR="00EF4457" w:rsidRPr="00167A1B" w:rsidRDefault="00EF4457" w:rsidP="008F65B2">
      <w:pPr>
        <w:pStyle w:val="BodyText1"/>
        <w:rPr>
          <w:noProof w:val="0"/>
        </w:rPr>
      </w:pPr>
      <w:r w:rsidRPr="00167A1B">
        <w:rPr>
          <w:noProof w:val="0"/>
        </w:rPr>
        <w:t xml:space="preserve">The two tables overleaf present, respectively, the environmental and economic impacts of a subset of devices that includes mobile phones, tablets, earwear and cameras, as these are </w:t>
      </w:r>
      <w:r w:rsidR="00F73598" w:rsidRPr="00167A1B">
        <w:rPr>
          <w:noProof w:val="0"/>
        </w:rPr>
        <w:t xml:space="preserve">the </w:t>
      </w:r>
      <w:r w:rsidRPr="00167A1B">
        <w:rPr>
          <w:noProof w:val="0"/>
        </w:rPr>
        <w:t>devices that have been included in the stock model.</w:t>
      </w:r>
      <w:r w:rsidRPr="00167A1B">
        <w:rPr>
          <w:rStyle w:val="FootnoteReference"/>
          <w:noProof w:val="0"/>
        </w:rPr>
        <w:footnoteReference w:id="143"/>
      </w:r>
      <w:r w:rsidR="00E9227C" w:rsidRPr="00167A1B">
        <w:rPr>
          <w:noProof w:val="0"/>
        </w:rPr>
        <w:t xml:space="preserve"> The impacts of including other devices are assessed qualitatively, providing where possible a scale of the impact in comparison with the </w:t>
      </w:r>
      <w:r w:rsidR="003E0944" w:rsidRPr="00167A1B">
        <w:rPr>
          <w:noProof w:val="0"/>
        </w:rPr>
        <w:t>quantitative estimates for mobile phones and/or other devices</w:t>
      </w:r>
      <w:r w:rsidR="00E9227C" w:rsidRPr="00167A1B">
        <w:rPr>
          <w:noProof w:val="0"/>
        </w:rPr>
        <w:t>.</w:t>
      </w:r>
    </w:p>
    <w:p w14:paraId="13C0AF60" w14:textId="77777777" w:rsidR="000F5CDF" w:rsidRPr="00167A1B" w:rsidRDefault="000F5CDF" w:rsidP="008F65B2">
      <w:pPr>
        <w:pStyle w:val="BodyText1"/>
        <w:rPr>
          <w:i/>
          <w:iCs/>
          <w:noProof w:val="0"/>
        </w:rPr>
      </w:pPr>
    </w:p>
    <w:p w14:paraId="4008FA17" w14:textId="0E42A5F5" w:rsidR="007A1F29" w:rsidRPr="00167A1B" w:rsidRDefault="007A1F29" w:rsidP="007A1F29">
      <w:pPr>
        <w:pStyle w:val="Caption"/>
      </w:pPr>
      <w:bookmarkStart w:id="76" w:name="_Ref74236249"/>
      <w:r w:rsidRPr="00167A1B">
        <w:lastRenderedPageBreak/>
        <w:t xml:space="preserve">Table </w:t>
      </w:r>
      <w:r w:rsidRPr="00167A1B">
        <w:fldChar w:fldCharType="begin"/>
      </w:r>
      <w:r w:rsidRPr="00167A1B">
        <w:instrText xml:space="preserve"> SEQ Table \* ARABIC </w:instrText>
      </w:r>
      <w:r w:rsidRPr="00167A1B">
        <w:fldChar w:fldCharType="separate"/>
      </w:r>
      <w:r w:rsidR="00953106" w:rsidRPr="00167A1B">
        <w:t>26</w:t>
      </w:r>
      <w:r w:rsidRPr="00167A1B">
        <w:fldChar w:fldCharType="end"/>
      </w:r>
      <w:bookmarkEnd w:id="76"/>
      <w:r w:rsidRPr="00167A1B">
        <w:t>: Environmental impacts of the policy options for mobile phones, tablets, earwear and cameras</w:t>
      </w:r>
    </w:p>
    <w:tbl>
      <w:tblPr>
        <w:tblStyle w:val="TableGrid"/>
        <w:tblW w:w="0" w:type="auto"/>
        <w:tblLayout w:type="fixed"/>
        <w:tblCellMar>
          <w:left w:w="57" w:type="dxa"/>
          <w:right w:w="57" w:type="dxa"/>
        </w:tblCellMar>
        <w:tblLook w:val="04A0" w:firstRow="1" w:lastRow="0" w:firstColumn="1" w:lastColumn="0" w:noHBand="0" w:noVBand="1"/>
      </w:tblPr>
      <w:tblGrid>
        <w:gridCol w:w="1023"/>
        <w:gridCol w:w="1316"/>
        <w:gridCol w:w="767"/>
        <w:gridCol w:w="947"/>
        <w:gridCol w:w="952"/>
        <w:gridCol w:w="944"/>
        <w:gridCol w:w="992"/>
        <w:gridCol w:w="992"/>
        <w:gridCol w:w="1128"/>
      </w:tblGrid>
      <w:tr w:rsidR="007A1F29" w:rsidRPr="00167A1B" w14:paraId="4066BAD9" w14:textId="77777777" w:rsidTr="00BC4FE7">
        <w:trPr>
          <w:cnfStyle w:val="100000000000" w:firstRow="1" w:lastRow="0" w:firstColumn="0" w:lastColumn="0" w:oddVBand="0" w:evenVBand="0" w:oddHBand="0" w:evenHBand="0" w:firstRowFirstColumn="0" w:firstRowLastColumn="0" w:lastRowFirstColumn="0" w:lastRowLastColumn="0"/>
          <w:trHeight w:val="285"/>
          <w:tblHeader/>
        </w:trPr>
        <w:tc>
          <w:tcPr>
            <w:tcW w:w="1023" w:type="dxa"/>
            <w:noWrap/>
            <w:hideMark/>
          </w:tcPr>
          <w:p w14:paraId="26CBD16E" w14:textId="77777777" w:rsidR="007A1F29" w:rsidRPr="00167A1B" w:rsidRDefault="007A1F29" w:rsidP="005548B3">
            <w:pPr>
              <w:spacing w:after="0"/>
              <w:jc w:val="left"/>
              <w:rPr>
                <w:sz w:val="20"/>
                <w:szCs w:val="24"/>
              </w:rPr>
            </w:pPr>
          </w:p>
        </w:tc>
        <w:tc>
          <w:tcPr>
            <w:tcW w:w="1316" w:type="dxa"/>
            <w:noWrap/>
            <w:hideMark/>
          </w:tcPr>
          <w:p w14:paraId="742E3D7A" w14:textId="77777777" w:rsidR="007A1F29" w:rsidRPr="00167A1B" w:rsidRDefault="007A1F29" w:rsidP="005548B3">
            <w:pPr>
              <w:spacing w:after="0"/>
              <w:jc w:val="left"/>
              <w:rPr>
                <w:sz w:val="20"/>
              </w:rPr>
            </w:pPr>
          </w:p>
        </w:tc>
        <w:tc>
          <w:tcPr>
            <w:tcW w:w="767" w:type="dxa"/>
            <w:hideMark/>
          </w:tcPr>
          <w:p w14:paraId="2CF96D54" w14:textId="77777777" w:rsidR="007A1F29" w:rsidRPr="00167A1B" w:rsidRDefault="007A1F29" w:rsidP="005548B3">
            <w:pPr>
              <w:spacing w:after="0"/>
              <w:jc w:val="left"/>
              <w:rPr>
                <w:rFonts w:ascii="Trebuchet MS" w:hAnsi="Trebuchet MS"/>
                <w:b/>
                <w:sz w:val="16"/>
                <w:szCs w:val="16"/>
              </w:rPr>
            </w:pPr>
            <w:r w:rsidRPr="00167A1B">
              <w:rPr>
                <w:rFonts w:ascii="Trebuchet MS" w:hAnsi="Trebuchet MS"/>
                <w:b/>
                <w:sz w:val="16"/>
                <w:szCs w:val="16"/>
              </w:rPr>
              <w:t>Baseline</w:t>
            </w:r>
          </w:p>
        </w:tc>
        <w:tc>
          <w:tcPr>
            <w:tcW w:w="947" w:type="dxa"/>
            <w:hideMark/>
          </w:tcPr>
          <w:p w14:paraId="77E3FAAA" w14:textId="77777777" w:rsidR="007A1F29" w:rsidRPr="00167A1B" w:rsidRDefault="007A1F29" w:rsidP="005548B3">
            <w:pPr>
              <w:spacing w:after="0"/>
              <w:jc w:val="left"/>
              <w:rPr>
                <w:rFonts w:ascii="Trebuchet MS" w:hAnsi="Trebuchet MS"/>
                <w:b/>
                <w:sz w:val="16"/>
                <w:szCs w:val="16"/>
              </w:rPr>
            </w:pPr>
            <w:r w:rsidRPr="00167A1B">
              <w:rPr>
                <w:rFonts w:ascii="Trebuchet MS" w:hAnsi="Trebuchet MS"/>
                <w:b/>
                <w:sz w:val="16"/>
                <w:szCs w:val="16"/>
              </w:rPr>
              <w:t>PO1</w:t>
            </w:r>
          </w:p>
        </w:tc>
        <w:tc>
          <w:tcPr>
            <w:tcW w:w="952" w:type="dxa"/>
            <w:hideMark/>
          </w:tcPr>
          <w:p w14:paraId="00145315" w14:textId="77777777" w:rsidR="007A1F29" w:rsidRPr="00167A1B" w:rsidRDefault="007A1F29" w:rsidP="005548B3">
            <w:pPr>
              <w:spacing w:after="0"/>
              <w:jc w:val="left"/>
              <w:rPr>
                <w:rFonts w:ascii="Trebuchet MS" w:hAnsi="Trebuchet MS"/>
                <w:b/>
                <w:sz w:val="16"/>
                <w:szCs w:val="16"/>
              </w:rPr>
            </w:pPr>
            <w:r w:rsidRPr="00167A1B">
              <w:rPr>
                <w:rFonts w:ascii="Trebuchet MS" w:hAnsi="Trebuchet MS"/>
                <w:b/>
                <w:sz w:val="16"/>
                <w:szCs w:val="16"/>
              </w:rPr>
              <w:t>PO2</w:t>
            </w:r>
          </w:p>
        </w:tc>
        <w:tc>
          <w:tcPr>
            <w:tcW w:w="944" w:type="dxa"/>
            <w:hideMark/>
          </w:tcPr>
          <w:p w14:paraId="26C401E8" w14:textId="77777777" w:rsidR="007A1F29" w:rsidRPr="00167A1B" w:rsidRDefault="007A1F29" w:rsidP="005548B3">
            <w:pPr>
              <w:spacing w:after="0"/>
              <w:jc w:val="left"/>
              <w:rPr>
                <w:rFonts w:ascii="Trebuchet MS" w:hAnsi="Trebuchet MS"/>
                <w:b/>
                <w:sz w:val="16"/>
                <w:szCs w:val="16"/>
              </w:rPr>
            </w:pPr>
            <w:r w:rsidRPr="00167A1B">
              <w:rPr>
                <w:rFonts w:ascii="Trebuchet MS" w:hAnsi="Trebuchet MS"/>
                <w:b/>
                <w:sz w:val="16"/>
                <w:szCs w:val="16"/>
              </w:rPr>
              <w:t>PO3</w:t>
            </w:r>
          </w:p>
        </w:tc>
        <w:tc>
          <w:tcPr>
            <w:tcW w:w="992" w:type="dxa"/>
            <w:hideMark/>
          </w:tcPr>
          <w:p w14:paraId="4889DA61" w14:textId="77777777" w:rsidR="007A1F29" w:rsidRPr="00167A1B" w:rsidRDefault="007A1F29" w:rsidP="005548B3">
            <w:pPr>
              <w:spacing w:after="0"/>
              <w:jc w:val="left"/>
              <w:rPr>
                <w:rFonts w:ascii="Trebuchet MS" w:hAnsi="Trebuchet MS"/>
                <w:b/>
                <w:sz w:val="16"/>
                <w:szCs w:val="16"/>
              </w:rPr>
            </w:pPr>
            <w:r w:rsidRPr="00167A1B">
              <w:rPr>
                <w:rFonts w:ascii="Trebuchet MS" w:hAnsi="Trebuchet MS"/>
                <w:b/>
                <w:sz w:val="16"/>
                <w:szCs w:val="16"/>
              </w:rPr>
              <w:t>PO4.a</w:t>
            </w:r>
          </w:p>
        </w:tc>
        <w:tc>
          <w:tcPr>
            <w:tcW w:w="992" w:type="dxa"/>
            <w:hideMark/>
          </w:tcPr>
          <w:p w14:paraId="6B8B8C15" w14:textId="77777777" w:rsidR="007A1F29" w:rsidRPr="00167A1B" w:rsidRDefault="007A1F29" w:rsidP="005548B3">
            <w:pPr>
              <w:spacing w:after="0"/>
              <w:jc w:val="left"/>
              <w:rPr>
                <w:rFonts w:ascii="Trebuchet MS" w:hAnsi="Trebuchet MS"/>
                <w:b/>
                <w:sz w:val="16"/>
                <w:szCs w:val="16"/>
              </w:rPr>
            </w:pPr>
            <w:r w:rsidRPr="00167A1B">
              <w:rPr>
                <w:rFonts w:ascii="Trebuchet MS" w:hAnsi="Trebuchet MS"/>
                <w:b/>
                <w:sz w:val="16"/>
                <w:szCs w:val="16"/>
              </w:rPr>
              <w:t>PO4.b</w:t>
            </w:r>
          </w:p>
        </w:tc>
        <w:tc>
          <w:tcPr>
            <w:tcW w:w="1128" w:type="dxa"/>
            <w:hideMark/>
          </w:tcPr>
          <w:p w14:paraId="638A0174" w14:textId="77777777" w:rsidR="007A1F29" w:rsidRPr="00167A1B" w:rsidRDefault="007A1F29" w:rsidP="005548B3">
            <w:pPr>
              <w:spacing w:after="0"/>
              <w:jc w:val="left"/>
              <w:rPr>
                <w:rFonts w:ascii="Trebuchet MS" w:hAnsi="Trebuchet MS"/>
                <w:b/>
                <w:sz w:val="16"/>
                <w:szCs w:val="16"/>
              </w:rPr>
            </w:pPr>
            <w:r w:rsidRPr="00167A1B">
              <w:rPr>
                <w:rFonts w:ascii="Trebuchet MS" w:hAnsi="Trebuchet MS"/>
                <w:b/>
                <w:sz w:val="16"/>
                <w:szCs w:val="16"/>
              </w:rPr>
              <w:t>PO5</w:t>
            </w:r>
          </w:p>
        </w:tc>
      </w:tr>
      <w:tr w:rsidR="007A1F29" w:rsidRPr="00167A1B" w14:paraId="6B05B477" w14:textId="77777777" w:rsidTr="00BC4FE7">
        <w:trPr>
          <w:cnfStyle w:val="100000000000" w:firstRow="1" w:lastRow="0" w:firstColumn="0" w:lastColumn="0" w:oddVBand="0" w:evenVBand="0" w:oddHBand="0" w:evenHBand="0" w:firstRowFirstColumn="0" w:firstRowLastColumn="0" w:lastRowFirstColumn="0" w:lastRowLastColumn="0"/>
          <w:trHeight w:val="915"/>
          <w:tblHeader/>
        </w:trPr>
        <w:tc>
          <w:tcPr>
            <w:tcW w:w="1023" w:type="dxa"/>
            <w:tcBorders>
              <w:bottom w:val="single" w:sz="4" w:space="0" w:color="438EF1" w:themeColor="text2" w:themeTint="99"/>
            </w:tcBorders>
            <w:noWrap/>
            <w:hideMark/>
          </w:tcPr>
          <w:p w14:paraId="401AEC67" w14:textId="77777777" w:rsidR="007A1F29" w:rsidRPr="00167A1B" w:rsidRDefault="007A1F29" w:rsidP="005548B3">
            <w:pPr>
              <w:spacing w:after="0"/>
              <w:jc w:val="left"/>
              <w:rPr>
                <w:rFonts w:ascii="Trebuchet MS" w:hAnsi="Trebuchet MS"/>
                <w:b/>
                <w:sz w:val="16"/>
                <w:szCs w:val="16"/>
              </w:rPr>
            </w:pPr>
          </w:p>
        </w:tc>
        <w:tc>
          <w:tcPr>
            <w:tcW w:w="1316" w:type="dxa"/>
            <w:tcBorders>
              <w:bottom w:val="single" w:sz="4" w:space="0" w:color="438EF1" w:themeColor="text2" w:themeTint="99"/>
            </w:tcBorders>
            <w:noWrap/>
            <w:hideMark/>
          </w:tcPr>
          <w:p w14:paraId="63EBEF87" w14:textId="77777777" w:rsidR="007A1F29" w:rsidRPr="00167A1B" w:rsidRDefault="007A1F29" w:rsidP="005548B3">
            <w:pPr>
              <w:spacing w:after="0"/>
              <w:jc w:val="left"/>
              <w:rPr>
                <w:sz w:val="20"/>
              </w:rPr>
            </w:pPr>
          </w:p>
        </w:tc>
        <w:tc>
          <w:tcPr>
            <w:tcW w:w="767" w:type="dxa"/>
            <w:tcBorders>
              <w:bottom w:val="single" w:sz="4" w:space="0" w:color="438EF1" w:themeColor="text2" w:themeTint="99"/>
            </w:tcBorders>
            <w:hideMark/>
          </w:tcPr>
          <w:p w14:paraId="6D50EC27" w14:textId="77777777" w:rsidR="007A1F29" w:rsidRPr="00167A1B" w:rsidRDefault="007A1F29" w:rsidP="005548B3">
            <w:pPr>
              <w:spacing w:after="0"/>
              <w:jc w:val="left"/>
              <w:rPr>
                <w:rFonts w:ascii="Trebuchet MS" w:hAnsi="Trebuchet MS"/>
                <w:b/>
                <w:sz w:val="16"/>
                <w:szCs w:val="16"/>
              </w:rPr>
            </w:pPr>
            <w:r w:rsidRPr="00167A1B">
              <w:rPr>
                <w:rFonts w:ascii="Trebuchet MS" w:hAnsi="Trebuchet MS"/>
                <w:b/>
                <w:sz w:val="16"/>
                <w:szCs w:val="16"/>
              </w:rPr>
              <w:t> </w:t>
            </w:r>
          </w:p>
        </w:tc>
        <w:tc>
          <w:tcPr>
            <w:tcW w:w="947" w:type="dxa"/>
            <w:tcBorders>
              <w:bottom w:val="single" w:sz="4" w:space="0" w:color="438EF1" w:themeColor="text2" w:themeTint="99"/>
            </w:tcBorders>
            <w:hideMark/>
          </w:tcPr>
          <w:p w14:paraId="54807367" w14:textId="77777777" w:rsidR="007A1F29" w:rsidRPr="00167A1B" w:rsidRDefault="007A1F29" w:rsidP="005548B3">
            <w:pPr>
              <w:spacing w:after="0"/>
              <w:jc w:val="left"/>
              <w:rPr>
                <w:rFonts w:ascii="Trebuchet MS" w:hAnsi="Trebuchet MS"/>
                <w:b/>
                <w:sz w:val="16"/>
                <w:szCs w:val="16"/>
              </w:rPr>
            </w:pPr>
            <w:r w:rsidRPr="00167A1B">
              <w:rPr>
                <w:rFonts w:ascii="Trebuchet MS" w:hAnsi="Trebuchet MS"/>
                <w:b/>
                <w:sz w:val="16"/>
                <w:szCs w:val="16"/>
              </w:rPr>
              <w:t>Harmonise device-end connectors</w:t>
            </w:r>
          </w:p>
        </w:tc>
        <w:tc>
          <w:tcPr>
            <w:tcW w:w="952" w:type="dxa"/>
            <w:tcBorders>
              <w:bottom w:val="single" w:sz="4" w:space="0" w:color="438EF1" w:themeColor="text2" w:themeTint="99"/>
            </w:tcBorders>
            <w:hideMark/>
          </w:tcPr>
          <w:p w14:paraId="5ED80B29" w14:textId="4592D4A9" w:rsidR="007A1F29" w:rsidRPr="00167A1B" w:rsidRDefault="007A1F29" w:rsidP="005548B3">
            <w:pPr>
              <w:spacing w:after="0"/>
              <w:jc w:val="left"/>
              <w:rPr>
                <w:rFonts w:ascii="Trebuchet MS" w:hAnsi="Trebuchet MS"/>
                <w:b/>
                <w:sz w:val="16"/>
                <w:szCs w:val="16"/>
              </w:rPr>
            </w:pPr>
            <w:r w:rsidRPr="00167A1B">
              <w:rPr>
                <w:rFonts w:ascii="Trebuchet MS" w:hAnsi="Trebuchet MS"/>
                <w:b/>
                <w:sz w:val="16"/>
                <w:szCs w:val="16"/>
              </w:rPr>
              <w:t xml:space="preserve">Require </w:t>
            </w:r>
            <w:r w:rsidR="008021A0" w:rsidRPr="00167A1B">
              <w:rPr>
                <w:rFonts w:ascii="Trebuchet MS" w:hAnsi="Trebuchet MS"/>
                <w:b/>
                <w:sz w:val="16"/>
                <w:szCs w:val="16"/>
              </w:rPr>
              <w:t>devices</w:t>
            </w:r>
            <w:r w:rsidRPr="00167A1B">
              <w:rPr>
                <w:rFonts w:ascii="Trebuchet MS" w:hAnsi="Trebuchet MS"/>
                <w:b/>
                <w:sz w:val="16"/>
                <w:szCs w:val="16"/>
              </w:rPr>
              <w:t xml:space="preserve"> to be compatible w</w:t>
            </w:r>
            <w:r w:rsidR="00BC4FE7" w:rsidRPr="00167A1B">
              <w:rPr>
                <w:rFonts w:ascii="Trebuchet MS" w:hAnsi="Trebuchet MS"/>
                <w:b/>
                <w:sz w:val="16"/>
                <w:szCs w:val="16"/>
              </w:rPr>
              <w:t>/</w:t>
            </w:r>
            <w:r w:rsidRPr="00167A1B">
              <w:rPr>
                <w:rFonts w:ascii="Trebuchet MS" w:hAnsi="Trebuchet MS"/>
                <w:b/>
                <w:sz w:val="16"/>
                <w:szCs w:val="16"/>
              </w:rPr>
              <w:t xml:space="preserve"> USB PD</w:t>
            </w:r>
          </w:p>
        </w:tc>
        <w:tc>
          <w:tcPr>
            <w:tcW w:w="944" w:type="dxa"/>
            <w:tcBorders>
              <w:bottom w:val="single" w:sz="4" w:space="0" w:color="438EF1" w:themeColor="text2" w:themeTint="99"/>
            </w:tcBorders>
            <w:hideMark/>
          </w:tcPr>
          <w:p w14:paraId="21310E72" w14:textId="164F00C8" w:rsidR="007A1F29" w:rsidRPr="00167A1B" w:rsidRDefault="007A1F29" w:rsidP="005548B3">
            <w:pPr>
              <w:spacing w:after="0"/>
              <w:jc w:val="left"/>
              <w:rPr>
                <w:rFonts w:ascii="Trebuchet MS" w:hAnsi="Trebuchet MS"/>
                <w:b/>
                <w:sz w:val="16"/>
                <w:szCs w:val="16"/>
              </w:rPr>
            </w:pPr>
            <w:r w:rsidRPr="00167A1B">
              <w:rPr>
                <w:rFonts w:ascii="Trebuchet MS" w:hAnsi="Trebuchet MS"/>
                <w:b/>
                <w:sz w:val="16"/>
                <w:szCs w:val="16"/>
              </w:rPr>
              <w:t xml:space="preserve">"Common" EPS for </w:t>
            </w:r>
            <w:r w:rsidR="00CE4C87" w:rsidRPr="00167A1B">
              <w:rPr>
                <w:rFonts w:ascii="Trebuchet MS" w:hAnsi="Trebuchet MS"/>
                <w:b/>
                <w:sz w:val="16"/>
                <w:szCs w:val="16"/>
              </w:rPr>
              <w:t>devices</w:t>
            </w:r>
          </w:p>
        </w:tc>
        <w:tc>
          <w:tcPr>
            <w:tcW w:w="992" w:type="dxa"/>
            <w:tcBorders>
              <w:bottom w:val="single" w:sz="4" w:space="0" w:color="438EF1" w:themeColor="text2" w:themeTint="99"/>
            </w:tcBorders>
            <w:hideMark/>
          </w:tcPr>
          <w:p w14:paraId="7203EA20" w14:textId="77777777" w:rsidR="007A1F29" w:rsidRPr="00167A1B" w:rsidRDefault="007A1F29" w:rsidP="005548B3">
            <w:pPr>
              <w:spacing w:after="0"/>
              <w:jc w:val="left"/>
              <w:rPr>
                <w:rFonts w:ascii="Trebuchet MS" w:hAnsi="Trebuchet MS"/>
                <w:b/>
                <w:sz w:val="16"/>
                <w:szCs w:val="16"/>
              </w:rPr>
            </w:pPr>
            <w:r w:rsidRPr="00167A1B">
              <w:rPr>
                <w:rFonts w:ascii="Trebuchet MS" w:hAnsi="Trebuchet MS"/>
                <w:b/>
                <w:sz w:val="16"/>
                <w:szCs w:val="16"/>
              </w:rPr>
              <w:t>Mandatory unbundling of EPS</w:t>
            </w:r>
          </w:p>
        </w:tc>
        <w:tc>
          <w:tcPr>
            <w:tcW w:w="992" w:type="dxa"/>
            <w:tcBorders>
              <w:bottom w:val="single" w:sz="4" w:space="0" w:color="438EF1" w:themeColor="text2" w:themeTint="99"/>
            </w:tcBorders>
            <w:hideMark/>
          </w:tcPr>
          <w:p w14:paraId="1B39CF1B" w14:textId="77777777" w:rsidR="007A1F29" w:rsidRPr="00167A1B" w:rsidRDefault="007A1F29" w:rsidP="005548B3">
            <w:pPr>
              <w:spacing w:after="0"/>
              <w:jc w:val="left"/>
              <w:rPr>
                <w:rFonts w:ascii="Trebuchet MS" w:hAnsi="Trebuchet MS"/>
                <w:b/>
                <w:sz w:val="16"/>
                <w:szCs w:val="16"/>
              </w:rPr>
            </w:pPr>
            <w:r w:rsidRPr="00167A1B">
              <w:rPr>
                <w:rFonts w:ascii="Trebuchet MS" w:hAnsi="Trebuchet MS"/>
                <w:b/>
                <w:sz w:val="16"/>
                <w:szCs w:val="16"/>
              </w:rPr>
              <w:t>Mandatory unbundling of EPS and Cable</w:t>
            </w:r>
          </w:p>
        </w:tc>
        <w:tc>
          <w:tcPr>
            <w:tcW w:w="1128" w:type="dxa"/>
            <w:tcBorders>
              <w:bottom w:val="single" w:sz="4" w:space="0" w:color="438EF1" w:themeColor="text2" w:themeTint="99"/>
            </w:tcBorders>
            <w:hideMark/>
          </w:tcPr>
          <w:p w14:paraId="13CAED7E" w14:textId="77777777" w:rsidR="007A1F29" w:rsidRPr="00167A1B" w:rsidRDefault="007A1F29" w:rsidP="005548B3">
            <w:pPr>
              <w:spacing w:after="0"/>
              <w:jc w:val="left"/>
              <w:rPr>
                <w:rFonts w:ascii="Trebuchet MS" w:hAnsi="Trebuchet MS"/>
                <w:b/>
                <w:sz w:val="16"/>
                <w:szCs w:val="16"/>
              </w:rPr>
            </w:pPr>
            <w:r w:rsidRPr="00167A1B">
              <w:rPr>
                <w:rFonts w:ascii="Trebuchet MS" w:hAnsi="Trebuchet MS"/>
                <w:b/>
                <w:sz w:val="16"/>
                <w:szCs w:val="16"/>
              </w:rPr>
              <w:t>Interoperability labelling / information scheme</w:t>
            </w:r>
          </w:p>
        </w:tc>
      </w:tr>
      <w:tr w:rsidR="00BC4FE7" w:rsidRPr="00167A1B" w14:paraId="2A614465" w14:textId="77777777" w:rsidTr="00BC4FE7">
        <w:trPr>
          <w:trHeight w:val="235"/>
        </w:trPr>
        <w:tc>
          <w:tcPr>
            <w:tcW w:w="1023" w:type="dxa"/>
            <w:vMerge w:val="restart"/>
            <w:tcBorders>
              <w:top w:val="single" w:sz="4" w:space="0" w:color="438EF1" w:themeColor="text2" w:themeTint="99"/>
            </w:tcBorders>
            <w:noWrap/>
            <w:hideMark/>
          </w:tcPr>
          <w:p w14:paraId="54E93430" w14:textId="5A207C78" w:rsidR="00BC4FE7" w:rsidRPr="00167A1B" w:rsidRDefault="00BC4FE7" w:rsidP="00BC4FE7">
            <w:pPr>
              <w:spacing w:after="0"/>
              <w:jc w:val="left"/>
              <w:rPr>
                <w:rFonts w:ascii="Trebuchet MS" w:hAnsi="Trebuchet MS"/>
                <w:b/>
                <w:sz w:val="16"/>
                <w:szCs w:val="16"/>
              </w:rPr>
            </w:pPr>
            <w:r w:rsidRPr="00167A1B">
              <w:rPr>
                <w:rFonts w:ascii="Trebuchet MS" w:hAnsi="Trebuchet MS"/>
                <w:b/>
                <w:sz w:val="16"/>
                <w:szCs w:val="16"/>
              </w:rPr>
              <w:t>GHG emissions [ktCO</w:t>
            </w:r>
            <w:r w:rsidRPr="00167A1B">
              <w:rPr>
                <w:rFonts w:ascii="Trebuchet MS" w:hAnsi="Trebuchet MS"/>
                <w:b/>
                <w:sz w:val="16"/>
                <w:szCs w:val="16"/>
                <w:vertAlign w:val="subscript"/>
              </w:rPr>
              <w:t>2</w:t>
            </w:r>
            <w:r w:rsidRPr="00167A1B">
              <w:rPr>
                <w:rFonts w:ascii="Trebuchet MS" w:hAnsi="Trebuchet MS"/>
                <w:b/>
                <w:sz w:val="16"/>
                <w:szCs w:val="16"/>
              </w:rPr>
              <w:t>e]</w:t>
            </w:r>
            <w:r w:rsidRPr="00167A1B">
              <w:rPr>
                <w:rStyle w:val="FootnoteReference"/>
                <w:b/>
                <w:szCs w:val="16"/>
              </w:rPr>
              <w:footnoteReference w:id="144"/>
            </w:r>
          </w:p>
        </w:tc>
        <w:tc>
          <w:tcPr>
            <w:tcW w:w="1316" w:type="dxa"/>
            <w:tcBorders>
              <w:top w:val="single" w:sz="4" w:space="0" w:color="438EF1" w:themeColor="text2" w:themeTint="99"/>
            </w:tcBorders>
            <w:noWrap/>
            <w:vAlign w:val="center"/>
            <w:hideMark/>
          </w:tcPr>
          <w:p w14:paraId="1183F221" w14:textId="77777777" w:rsidR="00BC4FE7" w:rsidRPr="00167A1B" w:rsidRDefault="00BC4FE7" w:rsidP="007A1F29">
            <w:pPr>
              <w:spacing w:after="0"/>
              <w:jc w:val="left"/>
              <w:rPr>
                <w:rFonts w:ascii="Trebuchet MS" w:hAnsi="Trebuchet MS"/>
                <w:b/>
                <w:sz w:val="16"/>
                <w:szCs w:val="16"/>
              </w:rPr>
            </w:pPr>
            <w:r w:rsidRPr="00167A1B">
              <w:rPr>
                <w:rFonts w:ascii="Trebuchet MS" w:hAnsi="Trebuchet MS"/>
                <w:b/>
                <w:sz w:val="16"/>
                <w:szCs w:val="16"/>
              </w:rPr>
              <w:t>Total 2024-2030</w:t>
            </w:r>
          </w:p>
        </w:tc>
        <w:tc>
          <w:tcPr>
            <w:tcW w:w="767" w:type="dxa"/>
            <w:tcBorders>
              <w:top w:val="single" w:sz="4" w:space="0" w:color="438EF1" w:themeColor="text2" w:themeTint="99"/>
            </w:tcBorders>
            <w:noWrap/>
            <w:vAlign w:val="bottom"/>
            <w:hideMark/>
          </w:tcPr>
          <w:p w14:paraId="0DEC838E" w14:textId="30878D40"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9,052</w:t>
            </w:r>
          </w:p>
        </w:tc>
        <w:tc>
          <w:tcPr>
            <w:tcW w:w="947" w:type="dxa"/>
            <w:tcBorders>
              <w:top w:val="single" w:sz="4" w:space="0" w:color="438EF1" w:themeColor="text2" w:themeTint="99"/>
            </w:tcBorders>
            <w:noWrap/>
            <w:vAlign w:val="bottom"/>
            <w:hideMark/>
          </w:tcPr>
          <w:p w14:paraId="457F8E77" w14:textId="251738F7"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9,226</w:t>
            </w:r>
          </w:p>
        </w:tc>
        <w:tc>
          <w:tcPr>
            <w:tcW w:w="952" w:type="dxa"/>
            <w:tcBorders>
              <w:top w:val="single" w:sz="4" w:space="0" w:color="438EF1" w:themeColor="text2" w:themeTint="99"/>
            </w:tcBorders>
            <w:noWrap/>
            <w:vAlign w:val="bottom"/>
            <w:hideMark/>
          </w:tcPr>
          <w:p w14:paraId="498947B1" w14:textId="6E5ED6AF"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8,995</w:t>
            </w:r>
          </w:p>
        </w:tc>
        <w:tc>
          <w:tcPr>
            <w:tcW w:w="944" w:type="dxa"/>
            <w:tcBorders>
              <w:top w:val="single" w:sz="4" w:space="0" w:color="438EF1" w:themeColor="text2" w:themeTint="99"/>
            </w:tcBorders>
            <w:noWrap/>
            <w:vAlign w:val="bottom"/>
            <w:hideMark/>
          </w:tcPr>
          <w:p w14:paraId="329030B0" w14:textId="1E3822F1"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9,171</w:t>
            </w:r>
          </w:p>
        </w:tc>
        <w:tc>
          <w:tcPr>
            <w:tcW w:w="992" w:type="dxa"/>
            <w:tcBorders>
              <w:top w:val="single" w:sz="4" w:space="0" w:color="438EF1" w:themeColor="text2" w:themeTint="99"/>
            </w:tcBorders>
            <w:noWrap/>
            <w:vAlign w:val="bottom"/>
            <w:hideMark/>
          </w:tcPr>
          <w:p w14:paraId="60A88C2E" w14:textId="449A961A"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8,047</w:t>
            </w:r>
          </w:p>
        </w:tc>
        <w:tc>
          <w:tcPr>
            <w:tcW w:w="992" w:type="dxa"/>
            <w:tcBorders>
              <w:top w:val="single" w:sz="4" w:space="0" w:color="438EF1" w:themeColor="text2" w:themeTint="99"/>
            </w:tcBorders>
            <w:noWrap/>
            <w:vAlign w:val="bottom"/>
            <w:hideMark/>
          </w:tcPr>
          <w:p w14:paraId="3D169C0D" w14:textId="551AC5E3"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6,667</w:t>
            </w:r>
          </w:p>
        </w:tc>
        <w:tc>
          <w:tcPr>
            <w:tcW w:w="1128" w:type="dxa"/>
            <w:tcBorders>
              <w:top w:val="single" w:sz="4" w:space="0" w:color="438EF1" w:themeColor="text2" w:themeTint="99"/>
            </w:tcBorders>
            <w:noWrap/>
            <w:vAlign w:val="bottom"/>
            <w:hideMark/>
          </w:tcPr>
          <w:p w14:paraId="276D624F" w14:textId="03E72E37"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8,976</w:t>
            </w:r>
          </w:p>
        </w:tc>
      </w:tr>
      <w:tr w:rsidR="00BC4FE7" w:rsidRPr="00167A1B" w14:paraId="3B3A1637" w14:textId="77777777" w:rsidTr="00B70444">
        <w:trPr>
          <w:trHeight w:val="300"/>
        </w:trPr>
        <w:tc>
          <w:tcPr>
            <w:tcW w:w="1023" w:type="dxa"/>
            <w:vMerge/>
            <w:noWrap/>
            <w:vAlign w:val="center"/>
            <w:hideMark/>
          </w:tcPr>
          <w:p w14:paraId="7089AC68" w14:textId="7F88943D" w:rsidR="00BC4FE7" w:rsidRPr="00167A1B" w:rsidRDefault="00BC4FE7" w:rsidP="007A1F29">
            <w:pPr>
              <w:spacing w:after="0"/>
              <w:jc w:val="left"/>
              <w:rPr>
                <w:rFonts w:ascii="Trebuchet MS" w:hAnsi="Trebuchet MS"/>
                <w:sz w:val="16"/>
                <w:szCs w:val="16"/>
              </w:rPr>
            </w:pPr>
          </w:p>
        </w:tc>
        <w:tc>
          <w:tcPr>
            <w:tcW w:w="1316" w:type="dxa"/>
            <w:noWrap/>
            <w:vAlign w:val="center"/>
            <w:hideMark/>
          </w:tcPr>
          <w:p w14:paraId="6CA80A30"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Difference with baseline</w:t>
            </w:r>
          </w:p>
        </w:tc>
        <w:tc>
          <w:tcPr>
            <w:tcW w:w="767" w:type="dxa"/>
            <w:noWrap/>
            <w:vAlign w:val="bottom"/>
            <w:hideMark/>
          </w:tcPr>
          <w:p w14:paraId="059BCFBF" w14:textId="1BA014B3"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 </w:t>
            </w:r>
          </w:p>
        </w:tc>
        <w:tc>
          <w:tcPr>
            <w:tcW w:w="947" w:type="dxa"/>
            <w:noWrap/>
            <w:vAlign w:val="bottom"/>
            <w:hideMark/>
          </w:tcPr>
          <w:p w14:paraId="457D930D" w14:textId="2121508E"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174</w:t>
            </w:r>
          </w:p>
        </w:tc>
        <w:tc>
          <w:tcPr>
            <w:tcW w:w="952" w:type="dxa"/>
            <w:noWrap/>
            <w:vAlign w:val="bottom"/>
            <w:hideMark/>
          </w:tcPr>
          <w:p w14:paraId="7D7F2A31" w14:textId="509B8B8C"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-57</w:t>
            </w:r>
          </w:p>
        </w:tc>
        <w:tc>
          <w:tcPr>
            <w:tcW w:w="944" w:type="dxa"/>
            <w:noWrap/>
            <w:vAlign w:val="bottom"/>
            <w:hideMark/>
          </w:tcPr>
          <w:p w14:paraId="12829D27" w14:textId="5285F63B"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119</w:t>
            </w:r>
          </w:p>
        </w:tc>
        <w:tc>
          <w:tcPr>
            <w:tcW w:w="992" w:type="dxa"/>
            <w:noWrap/>
            <w:vAlign w:val="bottom"/>
            <w:hideMark/>
          </w:tcPr>
          <w:p w14:paraId="37D3A4AE" w14:textId="66F0B7C1"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-1,005</w:t>
            </w:r>
          </w:p>
        </w:tc>
        <w:tc>
          <w:tcPr>
            <w:tcW w:w="992" w:type="dxa"/>
            <w:noWrap/>
            <w:vAlign w:val="bottom"/>
            <w:hideMark/>
          </w:tcPr>
          <w:p w14:paraId="4D6173F0" w14:textId="420107EE"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-2,385</w:t>
            </w:r>
          </w:p>
        </w:tc>
        <w:tc>
          <w:tcPr>
            <w:tcW w:w="1128" w:type="dxa"/>
            <w:noWrap/>
            <w:vAlign w:val="bottom"/>
            <w:hideMark/>
          </w:tcPr>
          <w:p w14:paraId="2EA99807" w14:textId="7DB709BA"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-76</w:t>
            </w:r>
          </w:p>
        </w:tc>
      </w:tr>
      <w:tr w:rsidR="00BC4FE7" w:rsidRPr="00167A1B" w14:paraId="39A3E15D" w14:textId="77777777" w:rsidTr="00B70444">
        <w:trPr>
          <w:trHeight w:val="300"/>
        </w:trPr>
        <w:tc>
          <w:tcPr>
            <w:tcW w:w="1023" w:type="dxa"/>
            <w:vMerge/>
            <w:noWrap/>
            <w:vAlign w:val="center"/>
            <w:hideMark/>
          </w:tcPr>
          <w:p w14:paraId="3E73155F" w14:textId="1D05BDB6" w:rsidR="00BC4FE7" w:rsidRPr="00167A1B" w:rsidRDefault="00BC4FE7" w:rsidP="007A1F29">
            <w:pPr>
              <w:spacing w:after="0"/>
              <w:jc w:val="left"/>
              <w:rPr>
                <w:rFonts w:ascii="Trebuchet MS" w:hAnsi="Trebuchet MS"/>
                <w:sz w:val="16"/>
                <w:szCs w:val="16"/>
              </w:rPr>
            </w:pPr>
          </w:p>
        </w:tc>
        <w:tc>
          <w:tcPr>
            <w:tcW w:w="1316" w:type="dxa"/>
            <w:noWrap/>
            <w:vAlign w:val="center"/>
            <w:hideMark/>
          </w:tcPr>
          <w:p w14:paraId="6007ABBC"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Annual average</w:t>
            </w:r>
          </w:p>
        </w:tc>
        <w:tc>
          <w:tcPr>
            <w:tcW w:w="767" w:type="dxa"/>
            <w:noWrap/>
            <w:vAlign w:val="bottom"/>
            <w:hideMark/>
          </w:tcPr>
          <w:p w14:paraId="21543D6A" w14:textId="16EE97E3"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1,293</w:t>
            </w:r>
          </w:p>
        </w:tc>
        <w:tc>
          <w:tcPr>
            <w:tcW w:w="947" w:type="dxa"/>
            <w:noWrap/>
            <w:vAlign w:val="bottom"/>
            <w:hideMark/>
          </w:tcPr>
          <w:p w14:paraId="37C4D77C" w14:textId="3C05E37F"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1,318</w:t>
            </w:r>
          </w:p>
        </w:tc>
        <w:tc>
          <w:tcPr>
            <w:tcW w:w="952" w:type="dxa"/>
            <w:noWrap/>
            <w:vAlign w:val="bottom"/>
            <w:hideMark/>
          </w:tcPr>
          <w:p w14:paraId="158B90EF" w14:textId="070D0460"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1,285</w:t>
            </w:r>
          </w:p>
        </w:tc>
        <w:tc>
          <w:tcPr>
            <w:tcW w:w="944" w:type="dxa"/>
            <w:noWrap/>
            <w:vAlign w:val="bottom"/>
            <w:hideMark/>
          </w:tcPr>
          <w:p w14:paraId="2643CEFB" w14:textId="1B97E267"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1,310</w:t>
            </w:r>
          </w:p>
        </w:tc>
        <w:tc>
          <w:tcPr>
            <w:tcW w:w="992" w:type="dxa"/>
            <w:noWrap/>
            <w:vAlign w:val="bottom"/>
            <w:hideMark/>
          </w:tcPr>
          <w:p w14:paraId="126848D4" w14:textId="0DC71543"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1,150</w:t>
            </w:r>
          </w:p>
        </w:tc>
        <w:tc>
          <w:tcPr>
            <w:tcW w:w="992" w:type="dxa"/>
            <w:noWrap/>
            <w:vAlign w:val="bottom"/>
            <w:hideMark/>
          </w:tcPr>
          <w:p w14:paraId="45BEB818" w14:textId="47AF5C38"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952</w:t>
            </w:r>
          </w:p>
        </w:tc>
        <w:tc>
          <w:tcPr>
            <w:tcW w:w="1128" w:type="dxa"/>
            <w:noWrap/>
            <w:vAlign w:val="bottom"/>
            <w:hideMark/>
          </w:tcPr>
          <w:p w14:paraId="40A94AB5" w14:textId="7F3B407B"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1,282</w:t>
            </w:r>
          </w:p>
        </w:tc>
      </w:tr>
      <w:tr w:rsidR="00BC4FE7" w:rsidRPr="00167A1B" w14:paraId="5EFB69A7" w14:textId="77777777" w:rsidTr="00B70444">
        <w:trPr>
          <w:trHeight w:val="300"/>
        </w:trPr>
        <w:tc>
          <w:tcPr>
            <w:tcW w:w="1023" w:type="dxa"/>
            <w:vMerge/>
            <w:noWrap/>
            <w:vAlign w:val="center"/>
            <w:hideMark/>
          </w:tcPr>
          <w:p w14:paraId="5F097DEE" w14:textId="661B177C" w:rsidR="00BC4FE7" w:rsidRPr="00167A1B" w:rsidRDefault="00BC4FE7" w:rsidP="007A1F29">
            <w:pPr>
              <w:spacing w:after="0"/>
              <w:jc w:val="left"/>
              <w:rPr>
                <w:rFonts w:ascii="Trebuchet MS" w:hAnsi="Trebuchet MS"/>
                <w:sz w:val="16"/>
                <w:szCs w:val="16"/>
              </w:rPr>
            </w:pPr>
          </w:p>
        </w:tc>
        <w:tc>
          <w:tcPr>
            <w:tcW w:w="1316" w:type="dxa"/>
            <w:noWrap/>
            <w:vAlign w:val="center"/>
            <w:hideMark/>
          </w:tcPr>
          <w:p w14:paraId="0A3108CD"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Difference with baseline</w:t>
            </w:r>
          </w:p>
        </w:tc>
        <w:tc>
          <w:tcPr>
            <w:tcW w:w="767" w:type="dxa"/>
            <w:noWrap/>
            <w:vAlign w:val="bottom"/>
            <w:hideMark/>
          </w:tcPr>
          <w:p w14:paraId="162B652F" w14:textId="02D8960B"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 </w:t>
            </w:r>
          </w:p>
        </w:tc>
        <w:tc>
          <w:tcPr>
            <w:tcW w:w="947" w:type="dxa"/>
            <w:noWrap/>
            <w:vAlign w:val="bottom"/>
            <w:hideMark/>
          </w:tcPr>
          <w:p w14:paraId="19D58535" w14:textId="1F429885"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25</w:t>
            </w:r>
          </w:p>
        </w:tc>
        <w:tc>
          <w:tcPr>
            <w:tcW w:w="952" w:type="dxa"/>
            <w:noWrap/>
            <w:vAlign w:val="bottom"/>
            <w:hideMark/>
          </w:tcPr>
          <w:p w14:paraId="2F640085" w14:textId="6CAF03EE"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-8</w:t>
            </w:r>
          </w:p>
        </w:tc>
        <w:tc>
          <w:tcPr>
            <w:tcW w:w="944" w:type="dxa"/>
            <w:noWrap/>
            <w:vAlign w:val="bottom"/>
            <w:hideMark/>
          </w:tcPr>
          <w:p w14:paraId="2A74C5FC" w14:textId="7C712B59"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17</w:t>
            </w:r>
          </w:p>
        </w:tc>
        <w:tc>
          <w:tcPr>
            <w:tcW w:w="992" w:type="dxa"/>
            <w:noWrap/>
            <w:vAlign w:val="bottom"/>
            <w:hideMark/>
          </w:tcPr>
          <w:p w14:paraId="5CDC1BF4" w14:textId="3061595A"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-144</w:t>
            </w:r>
          </w:p>
        </w:tc>
        <w:tc>
          <w:tcPr>
            <w:tcW w:w="992" w:type="dxa"/>
            <w:noWrap/>
            <w:vAlign w:val="bottom"/>
            <w:hideMark/>
          </w:tcPr>
          <w:p w14:paraId="03293D74" w14:textId="1CA92ED1"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-341</w:t>
            </w:r>
          </w:p>
        </w:tc>
        <w:tc>
          <w:tcPr>
            <w:tcW w:w="1128" w:type="dxa"/>
            <w:noWrap/>
            <w:vAlign w:val="bottom"/>
            <w:hideMark/>
          </w:tcPr>
          <w:p w14:paraId="60274E80" w14:textId="3FED6A33"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-11</w:t>
            </w:r>
          </w:p>
        </w:tc>
      </w:tr>
      <w:tr w:rsidR="00BC4FE7" w:rsidRPr="00167A1B" w14:paraId="7A275E36" w14:textId="77777777" w:rsidTr="00B70444">
        <w:trPr>
          <w:trHeight w:val="300"/>
        </w:trPr>
        <w:tc>
          <w:tcPr>
            <w:tcW w:w="1023" w:type="dxa"/>
            <w:vMerge/>
            <w:tcBorders>
              <w:bottom w:val="single" w:sz="4" w:space="0" w:color="438EF1" w:themeColor="text2" w:themeTint="99"/>
            </w:tcBorders>
            <w:noWrap/>
            <w:vAlign w:val="center"/>
            <w:hideMark/>
          </w:tcPr>
          <w:p w14:paraId="6E1124C0" w14:textId="0DB8BA0A" w:rsidR="00BC4FE7" w:rsidRPr="00167A1B" w:rsidRDefault="00BC4FE7" w:rsidP="007A1F29">
            <w:pPr>
              <w:spacing w:after="0"/>
              <w:jc w:val="left"/>
              <w:rPr>
                <w:rFonts w:ascii="Trebuchet MS" w:hAnsi="Trebuchet MS"/>
                <w:sz w:val="16"/>
                <w:szCs w:val="16"/>
              </w:rPr>
            </w:pPr>
          </w:p>
        </w:tc>
        <w:tc>
          <w:tcPr>
            <w:tcW w:w="1316" w:type="dxa"/>
            <w:tcBorders>
              <w:bottom w:val="single" w:sz="4" w:space="0" w:color="438EF1" w:themeColor="text2" w:themeTint="99"/>
            </w:tcBorders>
            <w:noWrap/>
            <w:vAlign w:val="center"/>
            <w:hideMark/>
          </w:tcPr>
          <w:p w14:paraId="22BBC7F9"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As %</w:t>
            </w:r>
          </w:p>
        </w:tc>
        <w:tc>
          <w:tcPr>
            <w:tcW w:w="767" w:type="dxa"/>
            <w:tcBorders>
              <w:bottom w:val="single" w:sz="4" w:space="0" w:color="438EF1" w:themeColor="text2" w:themeTint="99"/>
            </w:tcBorders>
            <w:noWrap/>
            <w:vAlign w:val="bottom"/>
            <w:hideMark/>
          </w:tcPr>
          <w:p w14:paraId="18F3566E" w14:textId="081F2807"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 </w:t>
            </w:r>
          </w:p>
        </w:tc>
        <w:tc>
          <w:tcPr>
            <w:tcW w:w="947" w:type="dxa"/>
            <w:tcBorders>
              <w:bottom w:val="single" w:sz="4" w:space="0" w:color="438EF1" w:themeColor="text2" w:themeTint="99"/>
            </w:tcBorders>
            <w:noWrap/>
            <w:vAlign w:val="bottom"/>
            <w:hideMark/>
          </w:tcPr>
          <w:p w14:paraId="4A476B90" w14:textId="3106AAF3"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1.9%</w:t>
            </w:r>
          </w:p>
        </w:tc>
        <w:tc>
          <w:tcPr>
            <w:tcW w:w="952" w:type="dxa"/>
            <w:tcBorders>
              <w:bottom w:val="single" w:sz="4" w:space="0" w:color="438EF1" w:themeColor="text2" w:themeTint="99"/>
            </w:tcBorders>
            <w:noWrap/>
            <w:vAlign w:val="bottom"/>
            <w:hideMark/>
          </w:tcPr>
          <w:p w14:paraId="30F65698" w14:textId="08DE4054"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-0.6%</w:t>
            </w:r>
          </w:p>
        </w:tc>
        <w:tc>
          <w:tcPr>
            <w:tcW w:w="944" w:type="dxa"/>
            <w:tcBorders>
              <w:bottom w:val="single" w:sz="4" w:space="0" w:color="438EF1" w:themeColor="text2" w:themeTint="99"/>
            </w:tcBorders>
            <w:noWrap/>
            <w:vAlign w:val="bottom"/>
            <w:hideMark/>
          </w:tcPr>
          <w:p w14:paraId="7564D28B" w14:textId="001E0545"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1.3%</w:t>
            </w:r>
          </w:p>
        </w:tc>
        <w:tc>
          <w:tcPr>
            <w:tcW w:w="992" w:type="dxa"/>
            <w:tcBorders>
              <w:bottom w:val="single" w:sz="4" w:space="0" w:color="438EF1" w:themeColor="text2" w:themeTint="99"/>
            </w:tcBorders>
            <w:noWrap/>
            <w:vAlign w:val="bottom"/>
            <w:hideMark/>
          </w:tcPr>
          <w:p w14:paraId="37EE09B8" w14:textId="57E67033"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-11.1%</w:t>
            </w:r>
          </w:p>
        </w:tc>
        <w:tc>
          <w:tcPr>
            <w:tcW w:w="992" w:type="dxa"/>
            <w:tcBorders>
              <w:bottom w:val="single" w:sz="4" w:space="0" w:color="438EF1" w:themeColor="text2" w:themeTint="99"/>
            </w:tcBorders>
            <w:noWrap/>
            <w:vAlign w:val="bottom"/>
            <w:hideMark/>
          </w:tcPr>
          <w:p w14:paraId="41F7AEFC" w14:textId="2FCD8A1C"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-26.3%</w:t>
            </w:r>
          </w:p>
        </w:tc>
        <w:tc>
          <w:tcPr>
            <w:tcW w:w="1128" w:type="dxa"/>
            <w:tcBorders>
              <w:bottom w:val="single" w:sz="4" w:space="0" w:color="438EF1" w:themeColor="text2" w:themeTint="99"/>
            </w:tcBorders>
            <w:noWrap/>
            <w:vAlign w:val="bottom"/>
            <w:hideMark/>
          </w:tcPr>
          <w:p w14:paraId="5600DCE7" w14:textId="30A6D02D"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-0.8%</w:t>
            </w:r>
          </w:p>
        </w:tc>
      </w:tr>
      <w:tr w:rsidR="00BC4FE7" w:rsidRPr="00167A1B" w14:paraId="4B6174BC" w14:textId="77777777" w:rsidTr="00B70444">
        <w:trPr>
          <w:trHeight w:val="300"/>
        </w:trPr>
        <w:tc>
          <w:tcPr>
            <w:tcW w:w="1023" w:type="dxa"/>
            <w:vMerge w:val="restart"/>
            <w:tcBorders>
              <w:top w:val="single" w:sz="4" w:space="0" w:color="438EF1" w:themeColor="text2" w:themeTint="99"/>
            </w:tcBorders>
            <w:noWrap/>
            <w:vAlign w:val="center"/>
            <w:hideMark/>
          </w:tcPr>
          <w:p w14:paraId="535624B8" w14:textId="524D0920" w:rsidR="00BC4FE7" w:rsidRPr="00167A1B" w:rsidRDefault="00BC4FE7" w:rsidP="007A1F29">
            <w:pPr>
              <w:spacing w:after="0"/>
              <w:jc w:val="left"/>
              <w:rPr>
                <w:rFonts w:ascii="Trebuchet MS" w:hAnsi="Trebuchet MS"/>
                <w:b/>
                <w:sz w:val="16"/>
                <w:szCs w:val="16"/>
              </w:rPr>
            </w:pPr>
            <w:r w:rsidRPr="00167A1B">
              <w:rPr>
                <w:rFonts w:ascii="Trebuchet MS" w:hAnsi="Trebuchet MS"/>
                <w:b/>
                <w:sz w:val="16"/>
                <w:szCs w:val="16"/>
              </w:rPr>
              <w:t>Material Use [tonnes]</w:t>
            </w:r>
            <w:r w:rsidRPr="00167A1B">
              <w:rPr>
                <w:rStyle w:val="FootnoteReference"/>
                <w:b/>
                <w:szCs w:val="16"/>
              </w:rPr>
              <w:footnoteReference w:id="145"/>
            </w:r>
          </w:p>
        </w:tc>
        <w:tc>
          <w:tcPr>
            <w:tcW w:w="1316" w:type="dxa"/>
            <w:tcBorders>
              <w:top w:val="single" w:sz="4" w:space="0" w:color="438EF1" w:themeColor="text2" w:themeTint="99"/>
            </w:tcBorders>
            <w:noWrap/>
            <w:vAlign w:val="center"/>
            <w:hideMark/>
          </w:tcPr>
          <w:p w14:paraId="2ACB7E49" w14:textId="77777777" w:rsidR="00BC4FE7" w:rsidRPr="00167A1B" w:rsidRDefault="00BC4FE7" w:rsidP="007A1F29">
            <w:pPr>
              <w:spacing w:after="0"/>
              <w:jc w:val="left"/>
              <w:rPr>
                <w:rFonts w:ascii="Trebuchet MS" w:hAnsi="Trebuchet MS"/>
                <w:b/>
                <w:sz w:val="16"/>
                <w:szCs w:val="16"/>
              </w:rPr>
            </w:pPr>
            <w:r w:rsidRPr="00167A1B">
              <w:rPr>
                <w:rFonts w:ascii="Trebuchet MS" w:hAnsi="Trebuchet MS"/>
                <w:b/>
                <w:sz w:val="16"/>
                <w:szCs w:val="16"/>
              </w:rPr>
              <w:t>Total 2024-2030</w:t>
            </w:r>
          </w:p>
        </w:tc>
        <w:tc>
          <w:tcPr>
            <w:tcW w:w="767" w:type="dxa"/>
            <w:tcBorders>
              <w:top w:val="single" w:sz="4" w:space="0" w:color="438EF1" w:themeColor="text2" w:themeTint="99"/>
            </w:tcBorders>
            <w:noWrap/>
            <w:vAlign w:val="bottom"/>
            <w:hideMark/>
          </w:tcPr>
          <w:p w14:paraId="5BB88F62" w14:textId="6096F5C9"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179,371</w:t>
            </w:r>
          </w:p>
        </w:tc>
        <w:tc>
          <w:tcPr>
            <w:tcW w:w="947" w:type="dxa"/>
            <w:tcBorders>
              <w:top w:val="single" w:sz="4" w:space="0" w:color="438EF1" w:themeColor="text2" w:themeTint="99"/>
            </w:tcBorders>
            <w:noWrap/>
            <w:vAlign w:val="bottom"/>
            <w:hideMark/>
          </w:tcPr>
          <w:p w14:paraId="52618CC6" w14:textId="7185219F"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183,033</w:t>
            </w:r>
          </w:p>
        </w:tc>
        <w:tc>
          <w:tcPr>
            <w:tcW w:w="952" w:type="dxa"/>
            <w:tcBorders>
              <w:top w:val="single" w:sz="4" w:space="0" w:color="438EF1" w:themeColor="text2" w:themeTint="99"/>
            </w:tcBorders>
            <w:noWrap/>
            <w:vAlign w:val="bottom"/>
            <w:hideMark/>
          </w:tcPr>
          <w:p w14:paraId="03627089" w14:textId="785B2A63"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178,459</w:t>
            </w:r>
          </w:p>
        </w:tc>
        <w:tc>
          <w:tcPr>
            <w:tcW w:w="944" w:type="dxa"/>
            <w:tcBorders>
              <w:top w:val="single" w:sz="4" w:space="0" w:color="438EF1" w:themeColor="text2" w:themeTint="99"/>
            </w:tcBorders>
            <w:noWrap/>
            <w:vAlign w:val="bottom"/>
            <w:hideMark/>
          </w:tcPr>
          <w:p w14:paraId="7283DAC2" w14:textId="3AFCCA9C"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181,136</w:t>
            </w:r>
          </w:p>
        </w:tc>
        <w:tc>
          <w:tcPr>
            <w:tcW w:w="992" w:type="dxa"/>
            <w:tcBorders>
              <w:top w:val="single" w:sz="4" w:space="0" w:color="438EF1" w:themeColor="text2" w:themeTint="99"/>
            </w:tcBorders>
            <w:noWrap/>
            <w:vAlign w:val="bottom"/>
            <w:hideMark/>
          </w:tcPr>
          <w:p w14:paraId="476C3E03" w14:textId="0042B69A"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165,619</w:t>
            </w:r>
          </w:p>
        </w:tc>
        <w:tc>
          <w:tcPr>
            <w:tcW w:w="992" w:type="dxa"/>
            <w:tcBorders>
              <w:top w:val="single" w:sz="4" w:space="0" w:color="438EF1" w:themeColor="text2" w:themeTint="99"/>
            </w:tcBorders>
            <w:noWrap/>
            <w:vAlign w:val="bottom"/>
            <w:hideMark/>
          </w:tcPr>
          <w:p w14:paraId="1E93C48C" w14:textId="04319FC0"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126,707</w:t>
            </w:r>
          </w:p>
        </w:tc>
        <w:tc>
          <w:tcPr>
            <w:tcW w:w="1128" w:type="dxa"/>
            <w:tcBorders>
              <w:top w:val="single" w:sz="4" w:space="0" w:color="438EF1" w:themeColor="text2" w:themeTint="99"/>
            </w:tcBorders>
            <w:noWrap/>
            <w:vAlign w:val="bottom"/>
            <w:hideMark/>
          </w:tcPr>
          <w:p w14:paraId="25E7DEF7" w14:textId="2EA2C037"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178,043</w:t>
            </w:r>
          </w:p>
        </w:tc>
      </w:tr>
      <w:tr w:rsidR="00BC4FE7" w:rsidRPr="00167A1B" w14:paraId="4D8EAD80" w14:textId="77777777" w:rsidTr="00B70444">
        <w:trPr>
          <w:trHeight w:val="300"/>
        </w:trPr>
        <w:tc>
          <w:tcPr>
            <w:tcW w:w="1023" w:type="dxa"/>
            <w:vMerge/>
            <w:noWrap/>
            <w:vAlign w:val="center"/>
            <w:hideMark/>
          </w:tcPr>
          <w:p w14:paraId="74C82351" w14:textId="6DCF39FD" w:rsidR="00BC4FE7" w:rsidRPr="00167A1B" w:rsidRDefault="00BC4FE7" w:rsidP="007A1F29">
            <w:pPr>
              <w:spacing w:after="0"/>
              <w:jc w:val="left"/>
              <w:rPr>
                <w:rFonts w:ascii="Trebuchet MS" w:hAnsi="Trebuchet MS"/>
                <w:sz w:val="16"/>
                <w:szCs w:val="16"/>
              </w:rPr>
            </w:pPr>
          </w:p>
        </w:tc>
        <w:tc>
          <w:tcPr>
            <w:tcW w:w="1316" w:type="dxa"/>
            <w:noWrap/>
            <w:vAlign w:val="center"/>
            <w:hideMark/>
          </w:tcPr>
          <w:p w14:paraId="3CFFBE28"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Difference with baseline</w:t>
            </w:r>
          </w:p>
        </w:tc>
        <w:tc>
          <w:tcPr>
            <w:tcW w:w="767" w:type="dxa"/>
            <w:noWrap/>
            <w:vAlign w:val="bottom"/>
            <w:hideMark/>
          </w:tcPr>
          <w:p w14:paraId="3A2ED561" w14:textId="19695DB9"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 </w:t>
            </w:r>
          </w:p>
        </w:tc>
        <w:tc>
          <w:tcPr>
            <w:tcW w:w="947" w:type="dxa"/>
            <w:noWrap/>
            <w:vAlign w:val="bottom"/>
            <w:hideMark/>
          </w:tcPr>
          <w:p w14:paraId="31BCC3B4" w14:textId="19190E0F"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3,662</w:t>
            </w:r>
          </w:p>
        </w:tc>
        <w:tc>
          <w:tcPr>
            <w:tcW w:w="952" w:type="dxa"/>
            <w:noWrap/>
            <w:vAlign w:val="bottom"/>
            <w:hideMark/>
          </w:tcPr>
          <w:p w14:paraId="31ACA596" w14:textId="50609D2E"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-913</w:t>
            </w:r>
          </w:p>
        </w:tc>
        <w:tc>
          <w:tcPr>
            <w:tcW w:w="944" w:type="dxa"/>
            <w:noWrap/>
            <w:vAlign w:val="bottom"/>
            <w:hideMark/>
          </w:tcPr>
          <w:p w14:paraId="47593320" w14:textId="71D34311"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1,764</w:t>
            </w:r>
          </w:p>
        </w:tc>
        <w:tc>
          <w:tcPr>
            <w:tcW w:w="992" w:type="dxa"/>
            <w:noWrap/>
            <w:vAlign w:val="bottom"/>
            <w:hideMark/>
          </w:tcPr>
          <w:p w14:paraId="440B1EFA" w14:textId="0EC3C152"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-13,752</w:t>
            </w:r>
          </w:p>
        </w:tc>
        <w:tc>
          <w:tcPr>
            <w:tcW w:w="992" w:type="dxa"/>
            <w:noWrap/>
            <w:vAlign w:val="bottom"/>
            <w:hideMark/>
          </w:tcPr>
          <w:p w14:paraId="79B03A2E" w14:textId="47B4342C"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-52,664</w:t>
            </w:r>
          </w:p>
        </w:tc>
        <w:tc>
          <w:tcPr>
            <w:tcW w:w="1128" w:type="dxa"/>
            <w:noWrap/>
            <w:vAlign w:val="bottom"/>
            <w:hideMark/>
          </w:tcPr>
          <w:p w14:paraId="78B4DCFC" w14:textId="7844E16A"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-1,329</w:t>
            </w:r>
          </w:p>
        </w:tc>
      </w:tr>
      <w:tr w:rsidR="00BC4FE7" w:rsidRPr="00167A1B" w14:paraId="4974D63F" w14:textId="77777777" w:rsidTr="00B70444">
        <w:trPr>
          <w:trHeight w:val="300"/>
        </w:trPr>
        <w:tc>
          <w:tcPr>
            <w:tcW w:w="1023" w:type="dxa"/>
            <w:vMerge/>
            <w:noWrap/>
            <w:vAlign w:val="center"/>
            <w:hideMark/>
          </w:tcPr>
          <w:p w14:paraId="75A2EE60" w14:textId="4949FA9A" w:rsidR="00BC4FE7" w:rsidRPr="00167A1B" w:rsidRDefault="00BC4FE7" w:rsidP="007A1F29">
            <w:pPr>
              <w:spacing w:after="0"/>
              <w:jc w:val="left"/>
              <w:rPr>
                <w:rFonts w:ascii="Trebuchet MS" w:hAnsi="Trebuchet MS"/>
                <w:sz w:val="16"/>
                <w:szCs w:val="16"/>
              </w:rPr>
            </w:pPr>
          </w:p>
        </w:tc>
        <w:tc>
          <w:tcPr>
            <w:tcW w:w="1316" w:type="dxa"/>
            <w:noWrap/>
            <w:vAlign w:val="center"/>
            <w:hideMark/>
          </w:tcPr>
          <w:p w14:paraId="069FC1C7"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Annual average</w:t>
            </w:r>
          </w:p>
        </w:tc>
        <w:tc>
          <w:tcPr>
            <w:tcW w:w="767" w:type="dxa"/>
            <w:noWrap/>
            <w:vAlign w:val="bottom"/>
            <w:hideMark/>
          </w:tcPr>
          <w:p w14:paraId="39D9AE29" w14:textId="641949A9"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25,624</w:t>
            </w:r>
          </w:p>
        </w:tc>
        <w:tc>
          <w:tcPr>
            <w:tcW w:w="947" w:type="dxa"/>
            <w:noWrap/>
            <w:vAlign w:val="bottom"/>
            <w:hideMark/>
          </w:tcPr>
          <w:p w14:paraId="6EFB1D94" w14:textId="5E5882D6"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26,148</w:t>
            </w:r>
          </w:p>
        </w:tc>
        <w:tc>
          <w:tcPr>
            <w:tcW w:w="952" w:type="dxa"/>
            <w:noWrap/>
            <w:vAlign w:val="bottom"/>
            <w:hideMark/>
          </w:tcPr>
          <w:p w14:paraId="32AAA9EE" w14:textId="0FE56A42"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25,494</w:t>
            </w:r>
          </w:p>
        </w:tc>
        <w:tc>
          <w:tcPr>
            <w:tcW w:w="944" w:type="dxa"/>
            <w:noWrap/>
            <w:vAlign w:val="bottom"/>
            <w:hideMark/>
          </w:tcPr>
          <w:p w14:paraId="5845F058" w14:textId="4063C32E"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25,877</w:t>
            </w:r>
          </w:p>
        </w:tc>
        <w:tc>
          <w:tcPr>
            <w:tcW w:w="992" w:type="dxa"/>
            <w:noWrap/>
            <w:vAlign w:val="bottom"/>
            <w:hideMark/>
          </w:tcPr>
          <w:p w14:paraId="0E22347E" w14:textId="104065BF"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23,660</w:t>
            </w:r>
          </w:p>
        </w:tc>
        <w:tc>
          <w:tcPr>
            <w:tcW w:w="992" w:type="dxa"/>
            <w:noWrap/>
            <w:vAlign w:val="bottom"/>
            <w:hideMark/>
          </w:tcPr>
          <w:p w14:paraId="5144750D" w14:textId="4269135F"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18,101</w:t>
            </w:r>
          </w:p>
        </w:tc>
        <w:tc>
          <w:tcPr>
            <w:tcW w:w="1128" w:type="dxa"/>
            <w:noWrap/>
            <w:vAlign w:val="bottom"/>
            <w:hideMark/>
          </w:tcPr>
          <w:p w14:paraId="4A4B652A" w14:textId="5F76E373"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25,435</w:t>
            </w:r>
          </w:p>
        </w:tc>
      </w:tr>
      <w:tr w:rsidR="00BC4FE7" w:rsidRPr="00167A1B" w14:paraId="3107881B" w14:textId="77777777" w:rsidTr="00B70444">
        <w:trPr>
          <w:trHeight w:val="300"/>
        </w:trPr>
        <w:tc>
          <w:tcPr>
            <w:tcW w:w="1023" w:type="dxa"/>
            <w:vMerge/>
            <w:noWrap/>
            <w:vAlign w:val="center"/>
            <w:hideMark/>
          </w:tcPr>
          <w:p w14:paraId="224C0E7F" w14:textId="3FFA4E08" w:rsidR="00BC4FE7" w:rsidRPr="00167A1B" w:rsidRDefault="00BC4FE7" w:rsidP="007A1F29">
            <w:pPr>
              <w:spacing w:after="0"/>
              <w:jc w:val="left"/>
              <w:rPr>
                <w:rFonts w:ascii="Trebuchet MS" w:hAnsi="Trebuchet MS"/>
                <w:sz w:val="16"/>
                <w:szCs w:val="16"/>
              </w:rPr>
            </w:pPr>
          </w:p>
        </w:tc>
        <w:tc>
          <w:tcPr>
            <w:tcW w:w="1316" w:type="dxa"/>
            <w:noWrap/>
            <w:vAlign w:val="center"/>
            <w:hideMark/>
          </w:tcPr>
          <w:p w14:paraId="5AD4EF48"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Difference with baseline</w:t>
            </w:r>
          </w:p>
        </w:tc>
        <w:tc>
          <w:tcPr>
            <w:tcW w:w="767" w:type="dxa"/>
            <w:noWrap/>
            <w:vAlign w:val="bottom"/>
            <w:hideMark/>
          </w:tcPr>
          <w:p w14:paraId="35EC927F" w14:textId="05AEBD96"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 </w:t>
            </w:r>
          </w:p>
        </w:tc>
        <w:tc>
          <w:tcPr>
            <w:tcW w:w="947" w:type="dxa"/>
            <w:noWrap/>
            <w:vAlign w:val="bottom"/>
            <w:hideMark/>
          </w:tcPr>
          <w:p w14:paraId="4FBCD6D8" w14:textId="2D4298A9"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523</w:t>
            </w:r>
          </w:p>
        </w:tc>
        <w:tc>
          <w:tcPr>
            <w:tcW w:w="952" w:type="dxa"/>
            <w:noWrap/>
            <w:vAlign w:val="bottom"/>
            <w:hideMark/>
          </w:tcPr>
          <w:p w14:paraId="1A8B0BF7" w14:textId="3B32625A"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-130</w:t>
            </w:r>
          </w:p>
        </w:tc>
        <w:tc>
          <w:tcPr>
            <w:tcW w:w="944" w:type="dxa"/>
            <w:noWrap/>
            <w:vAlign w:val="bottom"/>
            <w:hideMark/>
          </w:tcPr>
          <w:p w14:paraId="6356C0FE" w14:textId="282300A6"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252</w:t>
            </w:r>
          </w:p>
        </w:tc>
        <w:tc>
          <w:tcPr>
            <w:tcW w:w="992" w:type="dxa"/>
            <w:noWrap/>
            <w:vAlign w:val="bottom"/>
            <w:hideMark/>
          </w:tcPr>
          <w:p w14:paraId="1236CE4E" w14:textId="6A0C4410"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-1,965</w:t>
            </w:r>
          </w:p>
        </w:tc>
        <w:tc>
          <w:tcPr>
            <w:tcW w:w="992" w:type="dxa"/>
            <w:noWrap/>
            <w:vAlign w:val="bottom"/>
            <w:hideMark/>
          </w:tcPr>
          <w:p w14:paraId="5B954DBE" w14:textId="431E057A"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-7,523</w:t>
            </w:r>
          </w:p>
        </w:tc>
        <w:tc>
          <w:tcPr>
            <w:tcW w:w="1128" w:type="dxa"/>
            <w:noWrap/>
            <w:vAlign w:val="bottom"/>
            <w:hideMark/>
          </w:tcPr>
          <w:p w14:paraId="09D44FD6" w14:textId="28DCDE29"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-190</w:t>
            </w:r>
          </w:p>
        </w:tc>
      </w:tr>
      <w:tr w:rsidR="00BC4FE7" w:rsidRPr="00167A1B" w14:paraId="6F96771B" w14:textId="77777777" w:rsidTr="00B70444">
        <w:trPr>
          <w:trHeight w:val="300"/>
        </w:trPr>
        <w:tc>
          <w:tcPr>
            <w:tcW w:w="1023" w:type="dxa"/>
            <w:vMerge/>
            <w:tcBorders>
              <w:bottom w:val="single" w:sz="4" w:space="0" w:color="438EF1" w:themeColor="text2" w:themeTint="99"/>
            </w:tcBorders>
            <w:noWrap/>
            <w:vAlign w:val="center"/>
            <w:hideMark/>
          </w:tcPr>
          <w:p w14:paraId="08FD329A" w14:textId="2094EE8A" w:rsidR="00BC4FE7" w:rsidRPr="00167A1B" w:rsidRDefault="00BC4FE7" w:rsidP="007A1F29">
            <w:pPr>
              <w:spacing w:after="0"/>
              <w:jc w:val="left"/>
              <w:rPr>
                <w:rFonts w:ascii="Trebuchet MS" w:hAnsi="Trebuchet MS"/>
                <w:sz w:val="16"/>
                <w:szCs w:val="16"/>
              </w:rPr>
            </w:pPr>
          </w:p>
        </w:tc>
        <w:tc>
          <w:tcPr>
            <w:tcW w:w="1316" w:type="dxa"/>
            <w:tcBorders>
              <w:bottom w:val="single" w:sz="4" w:space="0" w:color="438EF1" w:themeColor="text2" w:themeTint="99"/>
            </w:tcBorders>
            <w:noWrap/>
            <w:vAlign w:val="center"/>
            <w:hideMark/>
          </w:tcPr>
          <w:p w14:paraId="748AF9A9"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As %</w:t>
            </w:r>
          </w:p>
        </w:tc>
        <w:tc>
          <w:tcPr>
            <w:tcW w:w="767" w:type="dxa"/>
            <w:tcBorders>
              <w:bottom w:val="single" w:sz="4" w:space="0" w:color="438EF1" w:themeColor="text2" w:themeTint="99"/>
            </w:tcBorders>
            <w:noWrap/>
            <w:vAlign w:val="bottom"/>
            <w:hideMark/>
          </w:tcPr>
          <w:p w14:paraId="1298BFAF" w14:textId="04AFD00D"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 </w:t>
            </w:r>
          </w:p>
        </w:tc>
        <w:tc>
          <w:tcPr>
            <w:tcW w:w="947" w:type="dxa"/>
            <w:tcBorders>
              <w:bottom w:val="single" w:sz="4" w:space="0" w:color="438EF1" w:themeColor="text2" w:themeTint="99"/>
            </w:tcBorders>
            <w:noWrap/>
            <w:vAlign w:val="bottom"/>
            <w:hideMark/>
          </w:tcPr>
          <w:p w14:paraId="08FE56A6" w14:textId="440FF1F2"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2.0%</w:t>
            </w:r>
          </w:p>
        </w:tc>
        <w:tc>
          <w:tcPr>
            <w:tcW w:w="952" w:type="dxa"/>
            <w:tcBorders>
              <w:bottom w:val="single" w:sz="4" w:space="0" w:color="438EF1" w:themeColor="text2" w:themeTint="99"/>
            </w:tcBorders>
            <w:noWrap/>
            <w:vAlign w:val="bottom"/>
            <w:hideMark/>
          </w:tcPr>
          <w:p w14:paraId="204EC904" w14:textId="490013F6"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-0.5%</w:t>
            </w:r>
          </w:p>
        </w:tc>
        <w:tc>
          <w:tcPr>
            <w:tcW w:w="944" w:type="dxa"/>
            <w:tcBorders>
              <w:bottom w:val="single" w:sz="4" w:space="0" w:color="438EF1" w:themeColor="text2" w:themeTint="99"/>
            </w:tcBorders>
            <w:noWrap/>
            <w:vAlign w:val="bottom"/>
            <w:hideMark/>
          </w:tcPr>
          <w:p w14:paraId="09826676" w14:textId="67EE79BC"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1.0%</w:t>
            </w:r>
          </w:p>
        </w:tc>
        <w:tc>
          <w:tcPr>
            <w:tcW w:w="992" w:type="dxa"/>
            <w:tcBorders>
              <w:bottom w:val="single" w:sz="4" w:space="0" w:color="438EF1" w:themeColor="text2" w:themeTint="99"/>
            </w:tcBorders>
            <w:noWrap/>
            <w:vAlign w:val="bottom"/>
            <w:hideMark/>
          </w:tcPr>
          <w:p w14:paraId="6AA185B2" w14:textId="05EA0048"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-7.7%</w:t>
            </w:r>
          </w:p>
        </w:tc>
        <w:tc>
          <w:tcPr>
            <w:tcW w:w="992" w:type="dxa"/>
            <w:tcBorders>
              <w:bottom w:val="single" w:sz="4" w:space="0" w:color="438EF1" w:themeColor="text2" w:themeTint="99"/>
            </w:tcBorders>
            <w:noWrap/>
            <w:vAlign w:val="bottom"/>
            <w:hideMark/>
          </w:tcPr>
          <w:p w14:paraId="5192ECC8" w14:textId="53775E3C"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-29.4%</w:t>
            </w:r>
          </w:p>
        </w:tc>
        <w:tc>
          <w:tcPr>
            <w:tcW w:w="1128" w:type="dxa"/>
            <w:tcBorders>
              <w:bottom w:val="single" w:sz="4" w:space="0" w:color="438EF1" w:themeColor="text2" w:themeTint="99"/>
            </w:tcBorders>
            <w:noWrap/>
            <w:vAlign w:val="bottom"/>
            <w:hideMark/>
          </w:tcPr>
          <w:p w14:paraId="0C929CCF" w14:textId="7A2BB2BF"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-0.7%</w:t>
            </w:r>
          </w:p>
        </w:tc>
      </w:tr>
      <w:tr w:rsidR="00BC4FE7" w:rsidRPr="00167A1B" w14:paraId="49631196" w14:textId="77777777" w:rsidTr="00B70444">
        <w:trPr>
          <w:trHeight w:val="270"/>
        </w:trPr>
        <w:tc>
          <w:tcPr>
            <w:tcW w:w="1023" w:type="dxa"/>
            <w:vMerge w:val="restart"/>
            <w:tcBorders>
              <w:top w:val="single" w:sz="4" w:space="0" w:color="438EF1" w:themeColor="text2" w:themeTint="99"/>
            </w:tcBorders>
            <w:noWrap/>
            <w:vAlign w:val="center"/>
            <w:hideMark/>
          </w:tcPr>
          <w:p w14:paraId="7A6432B4" w14:textId="2CC657F9" w:rsidR="00BC4FE7" w:rsidRPr="00167A1B" w:rsidRDefault="00BC4FE7" w:rsidP="007A1F29">
            <w:pPr>
              <w:spacing w:after="0"/>
              <w:jc w:val="left"/>
              <w:rPr>
                <w:rFonts w:ascii="Trebuchet MS" w:hAnsi="Trebuchet MS"/>
                <w:b/>
                <w:sz w:val="16"/>
                <w:szCs w:val="16"/>
              </w:rPr>
            </w:pPr>
            <w:r w:rsidRPr="00167A1B">
              <w:rPr>
                <w:rFonts w:ascii="Trebuchet MS" w:hAnsi="Trebuchet MS"/>
                <w:b/>
                <w:sz w:val="16"/>
                <w:szCs w:val="16"/>
              </w:rPr>
              <w:t>E-waste [tonnes]</w:t>
            </w:r>
            <w:r w:rsidRPr="00167A1B">
              <w:rPr>
                <w:rStyle w:val="FootnoteReference"/>
                <w:b/>
                <w:szCs w:val="16"/>
              </w:rPr>
              <w:footnoteReference w:id="146"/>
            </w:r>
          </w:p>
        </w:tc>
        <w:tc>
          <w:tcPr>
            <w:tcW w:w="1316" w:type="dxa"/>
            <w:tcBorders>
              <w:top w:val="single" w:sz="4" w:space="0" w:color="438EF1" w:themeColor="text2" w:themeTint="99"/>
            </w:tcBorders>
            <w:noWrap/>
            <w:vAlign w:val="center"/>
            <w:hideMark/>
          </w:tcPr>
          <w:p w14:paraId="70FA12CE" w14:textId="77777777" w:rsidR="00BC4FE7" w:rsidRPr="00167A1B" w:rsidRDefault="00BC4FE7" w:rsidP="007A1F29">
            <w:pPr>
              <w:spacing w:after="0"/>
              <w:jc w:val="left"/>
              <w:rPr>
                <w:rFonts w:ascii="Trebuchet MS" w:hAnsi="Trebuchet MS"/>
                <w:b/>
                <w:sz w:val="16"/>
                <w:szCs w:val="16"/>
              </w:rPr>
            </w:pPr>
            <w:r w:rsidRPr="00167A1B">
              <w:rPr>
                <w:rFonts w:ascii="Trebuchet MS" w:hAnsi="Trebuchet MS"/>
                <w:b/>
                <w:sz w:val="16"/>
                <w:szCs w:val="16"/>
              </w:rPr>
              <w:t>Total 2024-2030</w:t>
            </w:r>
          </w:p>
        </w:tc>
        <w:tc>
          <w:tcPr>
            <w:tcW w:w="767" w:type="dxa"/>
            <w:tcBorders>
              <w:top w:val="single" w:sz="4" w:space="0" w:color="438EF1" w:themeColor="text2" w:themeTint="99"/>
            </w:tcBorders>
            <w:noWrap/>
            <w:vAlign w:val="bottom"/>
            <w:hideMark/>
          </w:tcPr>
          <w:p w14:paraId="44B06CEF" w14:textId="23A636D4"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155,463</w:t>
            </w:r>
          </w:p>
        </w:tc>
        <w:tc>
          <w:tcPr>
            <w:tcW w:w="947" w:type="dxa"/>
            <w:tcBorders>
              <w:top w:val="single" w:sz="4" w:space="0" w:color="438EF1" w:themeColor="text2" w:themeTint="99"/>
            </w:tcBorders>
            <w:noWrap/>
            <w:vAlign w:val="bottom"/>
            <w:hideMark/>
          </w:tcPr>
          <w:p w14:paraId="3F4FEFA8" w14:textId="147DCE88"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157,419</w:t>
            </w:r>
          </w:p>
        </w:tc>
        <w:tc>
          <w:tcPr>
            <w:tcW w:w="952" w:type="dxa"/>
            <w:tcBorders>
              <w:top w:val="single" w:sz="4" w:space="0" w:color="438EF1" w:themeColor="text2" w:themeTint="99"/>
            </w:tcBorders>
            <w:noWrap/>
            <w:vAlign w:val="bottom"/>
            <w:hideMark/>
          </w:tcPr>
          <w:p w14:paraId="78A9C9E8" w14:textId="08F0B2D0"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155,382</w:t>
            </w:r>
          </w:p>
        </w:tc>
        <w:tc>
          <w:tcPr>
            <w:tcW w:w="944" w:type="dxa"/>
            <w:tcBorders>
              <w:top w:val="single" w:sz="4" w:space="0" w:color="438EF1" w:themeColor="text2" w:themeTint="99"/>
            </w:tcBorders>
            <w:noWrap/>
            <w:vAlign w:val="bottom"/>
            <w:hideMark/>
          </w:tcPr>
          <w:p w14:paraId="24B3CD3B" w14:textId="029DE065"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156,422</w:t>
            </w:r>
          </w:p>
        </w:tc>
        <w:tc>
          <w:tcPr>
            <w:tcW w:w="992" w:type="dxa"/>
            <w:tcBorders>
              <w:top w:val="single" w:sz="4" w:space="0" w:color="438EF1" w:themeColor="text2" w:themeTint="99"/>
            </w:tcBorders>
            <w:noWrap/>
            <w:vAlign w:val="bottom"/>
            <w:hideMark/>
          </w:tcPr>
          <w:p w14:paraId="20D52554" w14:textId="546548FB"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149,645</w:t>
            </w:r>
          </w:p>
        </w:tc>
        <w:tc>
          <w:tcPr>
            <w:tcW w:w="992" w:type="dxa"/>
            <w:tcBorders>
              <w:top w:val="single" w:sz="4" w:space="0" w:color="438EF1" w:themeColor="text2" w:themeTint="99"/>
            </w:tcBorders>
            <w:noWrap/>
            <w:vAlign w:val="bottom"/>
            <w:hideMark/>
          </w:tcPr>
          <w:p w14:paraId="2C05D9A3" w14:textId="3DFF20BA"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133,692</w:t>
            </w:r>
          </w:p>
        </w:tc>
        <w:tc>
          <w:tcPr>
            <w:tcW w:w="1128" w:type="dxa"/>
            <w:tcBorders>
              <w:top w:val="single" w:sz="4" w:space="0" w:color="438EF1" w:themeColor="text2" w:themeTint="99"/>
            </w:tcBorders>
            <w:noWrap/>
            <w:vAlign w:val="bottom"/>
            <w:hideMark/>
          </w:tcPr>
          <w:p w14:paraId="777B1F0C" w14:textId="6DF74FAC"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154,948</w:t>
            </w:r>
          </w:p>
        </w:tc>
      </w:tr>
      <w:tr w:rsidR="00BC4FE7" w:rsidRPr="00167A1B" w14:paraId="3C9838AD" w14:textId="77777777" w:rsidTr="00B70444">
        <w:trPr>
          <w:trHeight w:val="270"/>
        </w:trPr>
        <w:tc>
          <w:tcPr>
            <w:tcW w:w="1023" w:type="dxa"/>
            <w:vMerge/>
            <w:noWrap/>
            <w:vAlign w:val="center"/>
            <w:hideMark/>
          </w:tcPr>
          <w:p w14:paraId="78A675A4" w14:textId="7B05F5F6" w:rsidR="00BC4FE7" w:rsidRPr="00167A1B" w:rsidRDefault="00BC4FE7" w:rsidP="007A1F29">
            <w:pPr>
              <w:spacing w:after="0"/>
              <w:jc w:val="left"/>
              <w:rPr>
                <w:rFonts w:ascii="Trebuchet MS" w:hAnsi="Trebuchet MS"/>
                <w:sz w:val="16"/>
                <w:szCs w:val="16"/>
              </w:rPr>
            </w:pPr>
          </w:p>
        </w:tc>
        <w:tc>
          <w:tcPr>
            <w:tcW w:w="1316" w:type="dxa"/>
            <w:noWrap/>
            <w:vAlign w:val="center"/>
            <w:hideMark/>
          </w:tcPr>
          <w:p w14:paraId="24FBFFBA"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Difference with baseline</w:t>
            </w:r>
          </w:p>
        </w:tc>
        <w:tc>
          <w:tcPr>
            <w:tcW w:w="767" w:type="dxa"/>
            <w:noWrap/>
            <w:vAlign w:val="bottom"/>
            <w:hideMark/>
          </w:tcPr>
          <w:p w14:paraId="728E52D1" w14:textId="17AB207B"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 </w:t>
            </w:r>
          </w:p>
        </w:tc>
        <w:tc>
          <w:tcPr>
            <w:tcW w:w="947" w:type="dxa"/>
            <w:noWrap/>
            <w:vAlign w:val="bottom"/>
            <w:hideMark/>
          </w:tcPr>
          <w:p w14:paraId="590C0A5E" w14:textId="607E8FA9"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1,957</w:t>
            </w:r>
          </w:p>
        </w:tc>
        <w:tc>
          <w:tcPr>
            <w:tcW w:w="952" w:type="dxa"/>
            <w:noWrap/>
            <w:vAlign w:val="bottom"/>
            <w:hideMark/>
          </w:tcPr>
          <w:p w14:paraId="3DF6AE76" w14:textId="07EF3FD3"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-81</w:t>
            </w:r>
          </w:p>
        </w:tc>
        <w:tc>
          <w:tcPr>
            <w:tcW w:w="944" w:type="dxa"/>
            <w:noWrap/>
            <w:vAlign w:val="bottom"/>
            <w:hideMark/>
          </w:tcPr>
          <w:p w14:paraId="3B8FB770" w14:textId="6BA7852D"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959</w:t>
            </w:r>
          </w:p>
        </w:tc>
        <w:tc>
          <w:tcPr>
            <w:tcW w:w="992" w:type="dxa"/>
            <w:noWrap/>
            <w:vAlign w:val="bottom"/>
            <w:hideMark/>
          </w:tcPr>
          <w:p w14:paraId="137D23F9" w14:textId="4AE1D80C"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-5,817</w:t>
            </w:r>
          </w:p>
        </w:tc>
        <w:tc>
          <w:tcPr>
            <w:tcW w:w="992" w:type="dxa"/>
            <w:noWrap/>
            <w:vAlign w:val="bottom"/>
            <w:hideMark/>
          </w:tcPr>
          <w:p w14:paraId="42D9CA98" w14:textId="4CB871FB"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-21,770</w:t>
            </w:r>
          </w:p>
        </w:tc>
        <w:tc>
          <w:tcPr>
            <w:tcW w:w="1128" w:type="dxa"/>
            <w:noWrap/>
            <w:vAlign w:val="bottom"/>
            <w:hideMark/>
          </w:tcPr>
          <w:p w14:paraId="383DF978" w14:textId="342D6A9E"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-515</w:t>
            </w:r>
          </w:p>
        </w:tc>
      </w:tr>
      <w:tr w:rsidR="00BC4FE7" w:rsidRPr="00167A1B" w14:paraId="37E135DC" w14:textId="77777777" w:rsidTr="00BC4FE7">
        <w:trPr>
          <w:trHeight w:val="237"/>
        </w:trPr>
        <w:tc>
          <w:tcPr>
            <w:tcW w:w="1023" w:type="dxa"/>
            <w:vMerge/>
            <w:noWrap/>
            <w:vAlign w:val="center"/>
            <w:hideMark/>
          </w:tcPr>
          <w:p w14:paraId="36C314A6" w14:textId="3C8B9227" w:rsidR="00BC4FE7" w:rsidRPr="00167A1B" w:rsidRDefault="00BC4FE7" w:rsidP="007A1F29">
            <w:pPr>
              <w:spacing w:after="0"/>
              <w:jc w:val="left"/>
              <w:rPr>
                <w:rFonts w:ascii="Trebuchet MS" w:hAnsi="Trebuchet MS"/>
                <w:sz w:val="16"/>
                <w:szCs w:val="16"/>
              </w:rPr>
            </w:pPr>
          </w:p>
        </w:tc>
        <w:tc>
          <w:tcPr>
            <w:tcW w:w="1316" w:type="dxa"/>
            <w:noWrap/>
            <w:vAlign w:val="center"/>
            <w:hideMark/>
          </w:tcPr>
          <w:p w14:paraId="74FBE8F0"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Annual average</w:t>
            </w:r>
          </w:p>
        </w:tc>
        <w:tc>
          <w:tcPr>
            <w:tcW w:w="767" w:type="dxa"/>
            <w:noWrap/>
            <w:vAlign w:val="bottom"/>
            <w:hideMark/>
          </w:tcPr>
          <w:p w14:paraId="7F2427B5" w14:textId="74C003D3"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22,209</w:t>
            </w:r>
          </w:p>
        </w:tc>
        <w:tc>
          <w:tcPr>
            <w:tcW w:w="947" w:type="dxa"/>
            <w:noWrap/>
            <w:vAlign w:val="bottom"/>
            <w:hideMark/>
          </w:tcPr>
          <w:p w14:paraId="291459F2" w14:textId="440CC184"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22,488</w:t>
            </w:r>
          </w:p>
        </w:tc>
        <w:tc>
          <w:tcPr>
            <w:tcW w:w="952" w:type="dxa"/>
            <w:noWrap/>
            <w:vAlign w:val="bottom"/>
            <w:hideMark/>
          </w:tcPr>
          <w:p w14:paraId="0CCB50E4" w14:textId="23E27523"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22,197</w:t>
            </w:r>
          </w:p>
        </w:tc>
        <w:tc>
          <w:tcPr>
            <w:tcW w:w="944" w:type="dxa"/>
            <w:noWrap/>
            <w:vAlign w:val="bottom"/>
            <w:hideMark/>
          </w:tcPr>
          <w:p w14:paraId="6EEAE23D" w14:textId="46C1A1C9"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22,346</w:t>
            </w:r>
          </w:p>
        </w:tc>
        <w:tc>
          <w:tcPr>
            <w:tcW w:w="992" w:type="dxa"/>
            <w:noWrap/>
            <w:vAlign w:val="bottom"/>
            <w:hideMark/>
          </w:tcPr>
          <w:p w14:paraId="43F62CD4" w14:textId="7CB1DCC1"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21,378</w:t>
            </w:r>
          </w:p>
        </w:tc>
        <w:tc>
          <w:tcPr>
            <w:tcW w:w="992" w:type="dxa"/>
            <w:noWrap/>
            <w:vAlign w:val="bottom"/>
            <w:hideMark/>
          </w:tcPr>
          <w:p w14:paraId="5622A5CB" w14:textId="0A84EE99"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19,099</w:t>
            </w:r>
          </w:p>
        </w:tc>
        <w:tc>
          <w:tcPr>
            <w:tcW w:w="1128" w:type="dxa"/>
            <w:noWrap/>
            <w:vAlign w:val="bottom"/>
            <w:hideMark/>
          </w:tcPr>
          <w:p w14:paraId="0A3F425A" w14:textId="37E498AB"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22,135</w:t>
            </w:r>
          </w:p>
        </w:tc>
      </w:tr>
      <w:tr w:rsidR="00BC4FE7" w:rsidRPr="00167A1B" w14:paraId="646F97D7" w14:textId="77777777" w:rsidTr="00B70444">
        <w:trPr>
          <w:trHeight w:val="285"/>
        </w:trPr>
        <w:tc>
          <w:tcPr>
            <w:tcW w:w="1023" w:type="dxa"/>
            <w:vMerge/>
            <w:noWrap/>
            <w:vAlign w:val="center"/>
            <w:hideMark/>
          </w:tcPr>
          <w:p w14:paraId="55DC177B" w14:textId="1E6EA11F" w:rsidR="00BC4FE7" w:rsidRPr="00167A1B" w:rsidRDefault="00BC4FE7" w:rsidP="007A1F29">
            <w:pPr>
              <w:spacing w:after="0"/>
              <w:jc w:val="left"/>
              <w:rPr>
                <w:rFonts w:ascii="Trebuchet MS" w:hAnsi="Trebuchet MS"/>
                <w:sz w:val="16"/>
                <w:szCs w:val="16"/>
              </w:rPr>
            </w:pPr>
          </w:p>
        </w:tc>
        <w:tc>
          <w:tcPr>
            <w:tcW w:w="1316" w:type="dxa"/>
            <w:noWrap/>
            <w:vAlign w:val="center"/>
            <w:hideMark/>
          </w:tcPr>
          <w:p w14:paraId="777DAC5C"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Difference with baseline</w:t>
            </w:r>
          </w:p>
        </w:tc>
        <w:tc>
          <w:tcPr>
            <w:tcW w:w="767" w:type="dxa"/>
            <w:noWrap/>
            <w:vAlign w:val="bottom"/>
            <w:hideMark/>
          </w:tcPr>
          <w:p w14:paraId="2B4A4E18" w14:textId="396E033A"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 </w:t>
            </w:r>
          </w:p>
        </w:tc>
        <w:tc>
          <w:tcPr>
            <w:tcW w:w="947" w:type="dxa"/>
            <w:noWrap/>
            <w:vAlign w:val="bottom"/>
            <w:hideMark/>
          </w:tcPr>
          <w:p w14:paraId="5CA2AE2E" w14:textId="2E6CF7F8"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280</w:t>
            </w:r>
          </w:p>
        </w:tc>
        <w:tc>
          <w:tcPr>
            <w:tcW w:w="952" w:type="dxa"/>
            <w:noWrap/>
            <w:vAlign w:val="bottom"/>
            <w:hideMark/>
          </w:tcPr>
          <w:p w14:paraId="68011524" w14:textId="14892D19"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-12</w:t>
            </w:r>
          </w:p>
        </w:tc>
        <w:tc>
          <w:tcPr>
            <w:tcW w:w="944" w:type="dxa"/>
            <w:noWrap/>
            <w:vAlign w:val="bottom"/>
            <w:hideMark/>
          </w:tcPr>
          <w:p w14:paraId="0C94FEA4" w14:textId="5C3104E2"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137</w:t>
            </w:r>
          </w:p>
        </w:tc>
        <w:tc>
          <w:tcPr>
            <w:tcW w:w="992" w:type="dxa"/>
            <w:noWrap/>
            <w:vAlign w:val="bottom"/>
            <w:hideMark/>
          </w:tcPr>
          <w:p w14:paraId="4AF99705" w14:textId="7C4A259C"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-831</w:t>
            </w:r>
          </w:p>
        </w:tc>
        <w:tc>
          <w:tcPr>
            <w:tcW w:w="992" w:type="dxa"/>
            <w:noWrap/>
            <w:vAlign w:val="bottom"/>
            <w:hideMark/>
          </w:tcPr>
          <w:p w14:paraId="6423728E" w14:textId="4DA8BF0D"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-3,110</w:t>
            </w:r>
          </w:p>
        </w:tc>
        <w:tc>
          <w:tcPr>
            <w:tcW w:w="1128" w:type="dxa"/>
            <w:noWrap/>
            <w:vAlign w:val="bottom"/>
            <w:hideMark/>
          </w:tcPr>
          <w:p w14:paraId="3EEEA653" w14:textId="313D19A2"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-74</w:t>
            </w:r>
          </w:p>
        </w:tc>
      </w:tr>
      <w:tr w:rsidR="00BC4FE7" w:rsidRPr="00167A1B" w14:paraId="7E180A00" w14:textId="77777777" w:rsidTr="00B70444">
        <w:trPr>
          <w:trHeight w:val="300"/>
        </w:trPr>
        <w:tc>
          <w:tcPr>
            <w:tcW w:w="1023" w:type="dxa"/>
            <w:vMerge/>
            <w:tcBorders>
              <w:bottom w:val="single" w:sz="4" w:space="0" w:color="438EF1" w:themeColor="text2" w:themeTint="99"/>
            </w:tcBorders>
            <w:noWrap/>
            <w:vAlign w:val="center"/>
            <w:hideMark/>
          </w:tcPr>
          <w:p w14:paraId="2820FD35" w14:textId="26269754" w:rsidR="00BC4FE7" w:rsidRPr="00167A1B" w:rsidRDefault="00BC4FE7" w:rsidP="007A1F29">
            <w:pPr>
              <w:spacing w:after="0"/>
              <w:jc w:val="left"/>
              <w:rPr>
                <w:rFonts w:ascii="Trebuchet MS" w:hAnsi="Trebuchet MS"/>
                <w:sz w:val="16"/>
                <w:szCs w:val="16"/>
              </w:rPr>
            </w:pPr>
          </w:p>
        </w:tc>
        <w:tc>
          <w:tcPr>
            <w:tcW w:w="1316" w:type="dxa"/>
            <w:tcBorders>
              <w:bottom w:val="single" w:sz="4" w:space="0" w:color="438EF1" w:themeColor="text2" w:themeTint="99"/>
            </w:tcBorders>
            <w:noWrap/>
            <w:vAlign w:val="center"/>
            <w:hideMark/>
          </w:tcPr>
          <w:p w14:paraId="149E9586"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As %</w:t>
            </w:r>
          </w:p>
        </w:tc>
        <w:tc>
          <w:tcPr>
            <w:tcW w:w="767" w:type="dxa"/>
            <w:tcBorders>
              <w:bottom w:val="single" w:sz="4" w:space="0" w:color="438EF1" w:themeColor="text2" w:themeTint="99"/>
            </w:tcBorders>
            <w:noWrap/>
            <w:vAlign w:val="bottom"/>
            <w:hideMark/>
          </w:tcPr>
          <w:p w14:paraId="22DB0328" w14:textId="63171866"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 </w:t>
            </w:r>
          </w:p>
        </w:tc>
        <w:tc>
          <w:tcPr>
            <w:tcW w:w="947" w:type="dxa"/>
            <w:tcBorders>
              <w:bottom w:val="single" w:sz="4" w:space="0" w:color="438EF1" w:themeColor="text2" w:themeTint="99"/>
            </w:tcBorders>
            <w:noWrap/>
            <w:vAlign w:val="bottom"/>
            <w:hideMark/>
          </w:tcPr>
          <w:p w14:paraId="4714E854" w14:textId="63D46EC8"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1.3%</w:t>
            </w:r>
          </w:p>
        </w:tc>
        <w:tc>
          <w:tcPr>
            <w:tcW w:w="952" w:type="dxa"/>
            <w:tcBorders>
              <w:bottom w:val="single" w:sz="4" w:space="0" w:color="438EF1" w:themeColor="text2" w:themeTint="99"/>
            </w:tcBorders>
            <w:noWrap/>
            <w:vAlign w:val="bottom"/>
            <w:hideMark/>
          </w:tcPr>
          <w:p w14:paraId="0821AD58" w14:textId="2341239B"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-0.1%</w:t>
            </w:r>
          </w:p>
        </w:tc>
        <w:tc>
          <w:tcPr>
            <w:tcW w:w="944" w:type="dxa"/>
            <w:tcBorders>
              <w:bottom w:val="single" w:sz="4" w:space="0" w:color="438EF1" w:themeColor="text2" w:themeTint="99"/>
            </w:tcBorders>
            <w:noWrap/>
            <w:vAlign w:val="bottom"/>
            <w:hideMark/>
          </w:tcPr>
          <w:p w14:paraId="0F03BFBF" w14:textId="30360F9D"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0.6%</w:t>
            </w:r>
          </w:p>
        </w:tc>
        <w:tc>
          <w:tcPr>
            <w:tcW w:w="992" w:type="dxa"/>
            <w:tcBorders>
              <w:bottom w:val="single" w:sz="4" w:space="0" w:color="438EF1" w:themeColor="text2" w:themeTint="99"/>
            </w:tcBorders>
            <w:noWrap/>
            <w:vAlign w:val="bottom"/>
            <w:hideMark/>
          </w:tcPr>
          <w:p w14:paraId="1DDFAD66" w14:textId="4F2A8C94"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-3.7%</w:t>
            </w:r>
          </w:p>
        </w:tc>
        <w:tc>
          <w:tcPr>
            <w:tcW w:w="992" w:type="dxa"/>
            <w:tcBorders>
              <w:bottom w:val="single" w:sz="4" w:space="0" w:color="438EF1" w:themeColor="text2" w:themeTint="99"/>
            </w:tcBorders>
            <w:noWrap/>
            <w:vAlign w:val="bottom"/>
            <w:hideMark/>
          </w:tcPr>
          <w:p w14:paraId="290BDF93" w14:textId="2DC5B8D7"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-14.0%</w:t>
            </w:r>
          </w:p>
        </w:tc>
        <w:tc>
          <w:tcPr>
            <w:tcW w:w="1128" w:type="dxa"/>
            <w:tcBorders>
              <w:bottom w:val="single" w:sz="4" w:space="0" w:color="438EF1" w:themeColor="text2" w:themeTint="99"/>
            </w:tcBorders>
            <w:noWrap/>
            <w:vAlign w:val="bottom"/>
            <w:hideMark/>
          </w:tcPr>
          <w:p w14:paraId="478CC2C0" w14:textId="573DD35C"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-0.3%</w:t>
            </w:r>
          </w:p>
        </w:tc>
      </w:tr>
      <w:tr w:rsidR="00BC4FE7" w:rsidRPr="00167A1B" w14:paraId="39894603" w14:textId="77777777" w:rsidTr="00B70444">
        <w:trPr>
          <w:trHeight w:val="285"/>
        </w:trPr>
        <w:tc>
          <w:tcPr>
            <w:tcW w:w="1023" w:type="dxa"/>
            <w:vMerge w:val="restart"/>
            <w:tcBorders>
              <w:top w:val="single" w:sz="4" w:space="0" w:color="438EF1" w:themeColor="text2" w:themeTint="99"/>
            </w:tcBorders>
            <w:noWrap/>
            <w:vAlign w:val="center"/>
            <w:hideMark/>
          </w:tcPr>
          <w:p w14:paraId="7B44A26C" w14:textId="60D75C36" w:rsidR="00BC4FE7" w:rsidRPr="00167A1B" w:rsidRDefault="00BC4FE7" w:rsidP="007A1F29">
            <w:pPr>
              <w:spacing w:after="0"/>
              <w:jc w:val="left"/>
              <w:rPr>
                <w:rFonts w:ascii="Trebuchet MS" w:hAnsi="Trebuchet MS"/>
                <w:b/>
                <w:sz w:val="16"/>
                <w:szCs w:val="16"/>
              </w:rPr>
            </w:pPr>
            <w:r w:rsidRPr="00167A1B">
              <w:rPr>
                <w:rFonts w:ascii="Trebuchet MS" w:hAnsi="Trebuchet MS"/>
                <w:b/>
                <w:sz w:val="16"/>
                <w:szCs w:val="16"/>
              </w:rPr>
              <w:t>Of which Untreated [tonnes]</w:t>
            </w:r>
            <w:r w:rsidRPr="00167A1B">
              <w:rPr>
                <w:rStyle w:val="FootnoteReference"/>
                <w:b/>
                <w:szCs w:val="16"/>
              </w:rPr>
              <w:footnoteReference w:id="147"/>
            </w:r>
          </w:p>
        </w:tc>
        <w:tc>
          <w:tcPr>
            <w:tcW w:w="1316" w:type="dxa"/>
            <w:tcBorders>
              <w:top w:val="single" w:sz="4" w:space="0" w:color="438EF1" w:themeColor="text2" w:themeTint="99"/>
            </w:tcBorders>
            <w:noWrap/>
            <w:vAlign w:val="center"/>
            <w:hideMark/>
          </w:tcPr>
          <w:p w14:paraId="13181654" w14:textId="77777777" w:rsidR="00BC4FE7" w:rsidRPr="00167A1B" w:rsidRDefault="00BC4FE7" w:rsidP="007A1F29">
            <w:pPr>
              <w:spacing w:after="0"/>
              <w:jc w:val="left"/>
              <w:rPr>
                <w:rFonts w:ascii="Trebuchet MS" w:hAnsi="Trebuchet MS"/>
                <w:b/>
                <w:sz w:val="16"/>
                <w:szCs w:val="16"/>
              </w:rPr>
            </w:pPr>
            <w:r w:rsidRPr="00167A1B">
              <w:rPr>
                <w:rFonts w:ascii="Trebuchet MS" w:hAnsi="Trebuchet MS"/>
                <w:b/>
                <w:sz w:val="16"/>
                <w:szCs w:val="16"/>
              </w:rPr>
              <w:t>Total 2024-2030</w:t>
            </w:r>
          </w:p>
        </w:tc>
        <w:tc>
          <w:tcPr>
            <w:tcW w:w="767" w:type="dxa"/>
            <w:tcBorders>
              <w:top w:val="single" w:sz="4" w:space="0" w:color="438EF1" w:themeColor="text2" w:themeTint="99"/>
            </w:tcBorders>
            <w:noWrap/>
            <w:vAlign w:val="bottom"/>
            <w:hideMark/>
          </w:tcPr>
          <w:p w14:paraId="1E1D4931" w14:textId="7A1F544F"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31,914</w:t>
            </w:r>
          </w:p>
        </w:tc>
        <w:tc>
          <w:tcPr>
            <w:tcW w:w="947" w:type="dxa"/>
            <w:tcBorders>
              <w:top w:val="single" w:sz="4" w:space="0" w:color="438EF1" w:themeColor="text2" w:themeTint="99"/>
            </w:tcBorders>
            <w:noWrap/>
            <w:vAlign w:val="bottom"/>
            <w:hideMark/>
          </w:tcPr>
          <w:p w14:paraId="648DAAE0" w14:textId="52346610"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32,301</w:t>
            </w:r>
          </w:p>
        </w:tc>
        <w:tc>
          <w:tcPr>
            <w:tcW w:w="952" w:type="dxa"/>
            <w:tcBorders>
              <w:top w:val="single" w:sz="4" w:space="0" w:color="438EF1" w:themeColor="text2" w:themeTint="99"/>
            </w:tcBorders>
            <w:noWrap/>
            <w:vAlign w:val="bottom"/>
            <w:hideMark/>
          </w:tcPr>
          <w:p w14:paraId="29E1378E" w14:textId="06763D1D"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31,905</w:t>
            </w:r>
          </w:p>
        </w:tc>
        <w:tc>
          <w:tcPr>
            <w:tcW w:w="944" w:type="dxa"/>
            <w:tcBorders>
              <w:top w:val="single" w:sz="4" w:space="0" w:color="438EF1" w:themeColor="text2" w:themeTint="99"/>
            </w:tcBorders>
            <w:noWrap/>
            <w:vAlign w:val="bottom"/>
            <w:hideMark/>
          </w:tcPr>
          <w:p w14:paraId="401D16CE" w14:textId="5789B569"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32,107</w:t>
            </w:r>
          </w:p>
        </w:tc>
        <w:tc>
          <w:tcPr>
            <w:tcW w:w="992" w:type="dxa"/>
            <w:tcBorders>
              <w:top w:val="single" w:sz="4" w:space="0" w:color="438EF1" w:themeColor="text2" w:themeTint="99"/>
            </w:tcBorders>
            <w:noWrap/>
            <w:vAlign w:val="bottom"/>
            <w:hideMark/>
          </w:tcPr>
          <w:p w14:paraId="3700BCF8" w14:textId="235EBF97"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30,782</w:t>
            </w:r>
          </w:p>
        </w:tc>
        <w:tc>
          <w:tcPr>
            <w:tcW w:w="992" w:type="dxa"/>
            <w:tcBorders>
              <w:top w:val="single" w:sz="4" w:space="0" w:color="438EF1" w:themeColor="text2" w:themeTint="99"/>
            </w:tcBorders>
            <w:noWrap/>
            <w:vAlign w:val="bottom"/>
            <w:hideMark/>
          </w:tcPr>
          <w:p w14:paraId="325E51A8" w14:textId="71DBE65F"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27,720</w:t>
            </w:r>
          </w:p>
        </w:tc>
        <w:tc>
          <w:tcPr>
            <w:tcW w:w="1128" w:type="dxa"/>
            <w:tcBorders>
              <w:top w:val="single" w:sz="4" w:space="0" w:color="438EF1" w:themeColor="text2" w:themeTint="99"/>
            </w:tcBorders>
            <w:noWrap/>
            <w:vAlign w:val="bottom"/>
            <w:hideMark/>
          </w:tcPr>
          <w:p w14:paraId="676F7285" w14:textId="56176F7D"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31,815</w:t>
            </w:r>
          </w:p>
        </w:tc>
      </w:tr>
      <w:tr w:rsidR="00BC4FE7" w:rsidRPr="00167A1B" w14:paraId="246BF7DF" w14:textId="77777777" w:rsidTr="00B70444">
        <w:trPr>
          <w:trHeight w:val="300"/>
        </w:trPr>
        <w:tc>
          <w:tcPr>
            <w:tcW w:w="1023" w:type="dxa"/>
            <w:vMerge/>
            <w:noWrap/>
            <w:vAlign w:val="center"/>
            <w:hideMark/>
          </w:tcPr>
          <w:p w14:paraId="624FB7EE" w14:textId="39DDC514" w:rsidR="00BC4FE7" w:rsidRPr="00167A1B" w:rsidRDefault="00BC4FE7" w:rsidP="007A1F29">
            <w:pPr>
              <w:spacing w:after="0"/>
              <w:jc w:val="left"/>
              <w:rPr>
                <w:rFonts w:ascii="Trebuchet MS" w:hAnsi="Trebuchet MS"/>
                <w:sz w:val="16"/>
                <w:szCs w:val="16"/>
              </w:rPr>
            </w:pPr>
          </w:p>
        </w:tc>
        <w:tc>
          <w:tcPr>
            <w:tcW w:w="1316" w:type="dxa"/>
            <w:noWrap/>
            <w:vAlign w:val="center"/>
            <w:hideMark/>
          </w:tcPr>
          <w:p w14:paraId="2750134F"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Difference with baseline</w:t>
            </w:r>
          </w:p>
        </w:tc>
        <w:tc>
          <w:tcPr>
            <w:tcW w:w="767" w:type="dxa"/>
            <w:noWrap/>
            <w:vAlign w:val="bottom"/>
            <w:hideMark/>
          </w:tcPr>
          <w:p w14:paraId="46017C1D" w14:textId="5B239B23"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 </w:t>
            </w:r>
          </w:p>
        </w:tc>
        <w:tc>
          <w:tcPr>
            <w:tcW w:w="947" w:type="dxa"/>
            <w:noWrap/>
            <w:vAlign w:val="bottom"/>
            <w:hideMark/>
          </w:tcPr>
          <w:p w14:paraId="42034A23" w14:textId="206304D5"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388</w:t>
            </w:r>
          </w:p>
        </w:tc>
        <w:tc>
          <w:tcPr>
            <w:tcW w:w="952" w:type="dxa"/>
            <w:noWrap/>
            <w:vAlign w:val="bottom"/>
            <w:hideMark/>
          </w:tcPr>
          <w:p w14:paraId="1340063F" w14:textId="229F6079"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-8</w:t>
            </w:r>
          </w:p>
        </w:tc>
        <w:tc>
          <w:tcPr>
            <w:tcW w:w="944" w:type="dxa"/>
            <w:noWrap/>
            <w:vAlign w:val="bottom"/>
            <w:hideMark/>
          </w:tcPr>
          <w:p w14:paraId="1A3C5716" w14:textId="03E3EE90"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193</w:t>
            </w:r>
          </w:p>
        </w:tc>
        <w:tc>
          <w:tcPr>
            <w:tcW w:w="992" w:type="dxa"/>
            <w:noWrap/>
            <w:vAlign w:val="bottom"/>
            <w:hideMark/>
          </w:tcPr>
          <w:p w14:paraId="17E5A350" w14:textId="72F76A03"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-1,132</w:t>
            </w:r>
          </w:p>
        </w:tc>
        <w:tc>
          <w:tcPr>
            <w:tcW w:w="992" w:type="dxa"/>
            <w:noWrap/>
            <w:vAlign w:val="bottom"/>
            <w:hideMark/>
          </w:tcPr>
          <w:p w14:paraId="5FB6F001" w14:textId="6D4FA0EE"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-4,194</w:t>
            </w:r>
          </w:p>
        </w:tc>
        <w:tc>
          <w:tcPr>
            <w:tcW w:w="1128" w:type="dxa"/>
            <w:noWrap/>
            <w:vAlign w:val="bottom"/>
            <w:hideMark/>
          </w:tcPr>
          <w:p w14:paraId="08223C32" w14:textId="2FFCE15E"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-99</w:t>
            </w:r>
          </w:p>
        </w:tc>
      </w:tr>
      <w:tr w:rsidR="00BC4FE7" w:rsidRPr="00167A1B" w14:paraId="54B3F9C8" w14:textId="77777777" w:rsidTr="00B70444">
        <w:trPr>
          <w:trHeight w:val="285"/>
        </w:trPr>
        <w:tc>
          <w:tcPr>
            <w:tcW w:w="1023" w:type="dxa"/>
            <w:vMerge/>
            <w:noWrap/>
            <w:vAlign w:val="center"/>
            <w:hideMark/>
          </w:tcPr>
          <w:p w14:paraId="5D10F835" w14:textId="5DF1AA24" w:rsidR="00BC4FE7" w:rsidRPr="00167A1B" w:rsidRDefault="00BC4FE7" w:rsidP="007A1F29">
            <w:pPr>
              <w:spacing w:after="0"/>
              <w:jc w:val="left"/>
              <w:rPr>
                <w:rFonts w:ascii="Trebuchet MS" w:hAnsi="Trebuchet MS"/>
                <w:sz w:val="16"/>
                <w:szCs w:val="16"/>
              </w:rPr>
            </w:pPr>
          </w:p>
        </w:tc>
        <w:tc>
          <w:tcPr>
            <w:tcW w:w="1316" w:type="dxa"/>
            <w:noWrap/>
            <w:vAlign w:val="center"/>
            <w:hideMark/>
          </w:tcPr>
          <w:p w14:paraId="6F0EED0E"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Annual average</w:t>
            </w:r>
          </w:p>
        </w:tc>
        <w:tc>
          <w:tcPr>
            <w:tcW w:w="767" w:type="dxa"/>
            <w:noWrap/>
            <w:vAlign w:val="bottom"/>
            <w:hideMark/>
          </w:tcPr>
          <w:p w14:paraId="2AA93031" w14:textId="30E5E5AE"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4,559</w:t>
            </w:r>
          </w:p>
        </w:tc>
        <w:tc>
          <w:tcPr>
            <w:tcW w:w="947" w:type="dxa"/>
            <w:noWrap/>
            <w:vAlign w:val="bottom"/>
            <w:hideMark/>
          </w:tcPr>
          <w:p w14:paraId="37AA9640" w14:textId="37351E71"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4,614</w:t>
            </w:r>
          </w:p>
        </w:tc>
        <w:tc>
          <w:tcPr>
            <w:tcW w:w="952" w:type="dxa"/>
            <w:noWrap/>
            <w:vAlign w:val="bottom"/>
            <w:hideMark/>
          </w:tcPr>
          <w:p w14:paraId="2652F5E9" w14:textId="507A4A4C"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4,558</w:t>
            </w:r>
          </w:p>
        </w:tc>
        <w:tc>
          <w:tcPr>
            <w:tcW w:w="944" w:type="dxa"/>
            <w:noWrap/>
            <w:vAlign w:val="bottom"/>
            <w:hideMark/>
          </w:tcPr>
          <w:p w14:paraId="57B0AB42" w14:textId="393620BF"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4,587</w:t>
            </w:r>
          </w:p>
        </w:tc>
        <w:tc>
          <w:tcPr>
            <w:tcW w:w="992" w:type="dxa"/>
            <w:noWrap/>
            <w:vAlign w:val="bottom"/>
            <w:hideMark/>
          </w:tcPr>
          <w:p w14:paraId="2FA6E4FC" w14:textId="5F7E374C"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4,397</w:t>
            </w:r>
          </w:p>
        </w:tc>
        <w:tc>
          <w:tcPr>
            <w:tcW w:w="992" w:type="dxa"/>
            <w:noWrap/>
            <w:vAlign w:val="bottom"/>
            <w:hideMark/>
          </w:tcPr>
          <w:p w14:paraId="30AB6181" w14:textId="3ED95800"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3,960</w:t>
            </w:r>
          </w:p>
        </w:tc>
        <w:tc>
          <w:tcPr>
            <w:tcW w:w="1128" w:type="dxa"/>
            <w:noWrap/>
            <w:vAlign w:val="bottom"/>
            <w:hideMark/>
          </w:tcPr>
          <w:p w14:paraId="39C8500E" w14:textId="4C9DC2EF"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4,545</w:t>
            </w:r>
          </w:p>
        </w:tc>
      </w:tr>
      <w:tr w:rsidR="00BC4FE7" w:rsidRPr="00167A1B" w14:paraId="68A88A9A" w14:textId="77777777" w:rsidTr="00B70444">
        <w:trPr>
          <w:trHeight w:val="300"/>
        </w:trPr>
        <w:tc>
          <w:tcPr>
            <w:tcW w:w="1023" w:type="dxa"/>
            <w:vMerge/>
            <w:noWrap/>
            <w:vAlign w:val="center"/>
            <w:hideMark/>
          </w:tcPr>
          <w:p w14:paraId="17825F8D" w14:textId="3C35222C" w:rsidR="00BC4FE7" w:rsidRPr="00167A1B" w:rsidRDefault="00BC4FE7" w:rsidP="007A1F29">
            <w:pPr>
              <w:spacing w:after="0"/>
              <w:jc w:val="left"/>
              <w:rPr>
                <w:rFonts w:ascii="Trebuchet MS" w:hAnsi="Trebuchet MS"/>
                <w:sz w:val="16"/>
                <w:szCs w:val="16"/>
              </w:rPr>
            </w:pPr>
          </w:p>
        </w:tc>
        <w:tc>
          <w:tcPr>
            <w:tcW w:w="1316" w:type="dxa"/>
            <w:noWrap/>
            <w:vAlign w:val="center"/>
            <w:hideMark/>
          </w:tcPr>
          <w:p w14:paraId="7F985B4B"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Difference with baseline</w:t>
            </w:r>
          </w:p>
        </w:tc>
        <w:tc>
          <w:tcPr>
            <w:tcW w:w="767" w:type="dxa"/>
            <w:noWrap/>
            <w:vAlign w:val="bottom"/>
            <w:hideMark/>
          </w:tcPr>
          <w:p w14:paraId="12F3397F" w14:textId="13A5D9BE"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 </w:t>
            </w:r>
          </w:p>
        </w:tc>
        <w:tc>
          <w:tcPr>
            <w:tcW w:w="947" w:type="dxa"/>
            <w:noWrap/>
            <w:vAlign w:val="bottom"/>
            <w:hideMark/>
          </w:tcPr>
          <w:p w14:paraId="17F16A52" w14:textId="5C8A8BD7"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55</w:t>
            </w:r>
          </w:p>
        </w:tc>
        <w:tc>
          <w:tcPr>
            <w:tcW w:w="952" w:type="dxa"/>
            <w:noWrap/>
            <w:vAlign w:val="bottom"/>
            <w:hideMark/>
          </w:tcPr>
          <w:p w14:paraId="23889393" w14:textId="54E63E45"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w:t>
            </w:r>
          </w:p>
        </w:tc>
        <w:tc>
          <w:tcPr>
            <w:tcW w:w="944" w:type="dxa"/>
            <w:noWrap/>
            <w:vAlign w:val="bottom"/>
            <w:hideMark/>
          </w:tcPr>
          <w:p w14:paraId="49922254" w14:textId="4C315DF8"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28</w:t>
            </w:r>
          </w:p>
        </w:tc>
        <w:tc>
          <w:tcPr>
            <w:tcW w:w="992" w:type="dxa"/>
            <w:noWrap/>
            <w:vAlign w:val="bottom"/>
            <w:hideMark/>
          </w:tcPr>
          <w:p w14:paraId="063BC5A3" w14:textId="0EA6509B"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-162</w:t>
            </w:r>
          </w:p>
        </w:tc>
        <w:tc>
          <w:tcPr>
            <w:tcW w:w="992" w:type="dxa"/>
            <w:noWrap/>
            <w:vAlign w:val="bottom"/>
            <w:hideMark/>
          </w:tcPr>
          <w:p w14:paraId="3E19BEE1" w14:textId="463317E1"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-599</w:t>
            </w:r>
          </w:p>
        </w:tc>
        <w:tc>
          <w:tcPr>
            <w:tcW w:w="1128" w:type="dxa"/>
            <w:noWrap/>
            <w:vAlign w:val="bottom"/>
            <w:hideMark/>
          </w:tcPr>
          <w:p w14:paraId="7CBC8E35" w14:textId="66749B5D"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-14</w:t>
            </w:r>
          </w:p>
        </w:tc>
      </w:tr>
      <w:tr w:rsidR="00BC4FE7" w:rsidRPr="00167A1B" w14:paraId="65174FA2" w14:textId="77777777" w:rsidTr="00B70444">
        <w:trPr>
          <w:trHeight w:val="285"/>
        </w:trPr>
        <w:tc>
          <w:tcPr>
            <w:tcW w:w="1023" w:type="dxa"/>
            <w:vMerge/>
            <w:tcBorders>
              <w:bottom w:val="single" w:sz="4" w:space="0" w:color="438EF1" w:themeColor="text2" w:themeTint="99"/>
            </w:tcBorders>
            <w:noWrap/>
            <w:vAlign w:val="center"/>
            <w:hideMark/>
          </w:tcPr>
          <w:p w14:paraId="24DA1FD2" w14:textId="10E8282D" w:rsidR="00BC4FE7" w:rsidRPr="00167A1B" w:rsidRDefault="00BC4FE7" w:rsidP="007A1F29">
            <w:pPr>
              <w:spacing w:after="0"/>
              <w:jc w:val="left"/>
              <w:rPr>
                <w:rFonts w:ascii="Trebuchet MS" w:hAnsi="Trebuchet MS"/>
                <w:sz w:val="16"/>
                <w:szCs w:val="16"/>
              </w:rPr>
            </w:pPr>
          </w:p>
        </w:tc>
        <w:tc>
          <w:tcPr>
            <w:tcW w:w="1316" w:type="dxa"/>
            <w:tcBorders>
              <w:bottom w:val="single" w:sz="4" w:space="0" w:color="438EF1" w:themeColor="text2" w:themeTint="99"/>
            </w:tcBorders>
            <w:noWrap/>
            <w:vAlign w:val="center"/>
            <w:hideMark/>
          </w:tcPr>
          <w:p w14:paraId="5F038804"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As %</w:t>
            </w:r>
          </w:p>
        </w:tc>
        <w:tc>
          <w:tcPr>
            <w:tcW w:w="767" w:type="dxa"/>
            <w:tcBorders>
              <w:bottom w:val="single" w:sz="4" w:space="0" w:color="438EF1" w:themeColor="text2" w:themeTint="99"/>
            </w:tcBorders>
            <w:noWrap/>
            <w:vAlign w:val="bottom"/>
            <w:hideMark/>
          </w:tcPr>
          <w:p w14:paraId="2585DB4B" w14:textId="1CB22CC8"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 </w:t>
            </w:r>
          </w:p>
        </w:tc>
        <w:tc>
          <w:tcPr>
            <w:tcW w:w="947" w:type="dxa"/>
            <w:tcBorders>
              <w:bottom w:val="single" w:sz="4" w:space="0" w:color="438EF1" w:themeColor="text2" w:themeTint="99"/>
            </w:tcBorders>
            <w:noWrap/>
            <w:vAlign w:val="bottom"/>
            <w:hideMark/>
          </w:tcPr>
          <w:p w14:paraId="1B3A9DEC" w14:textId="34B77AD2"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1.2%</w:t>
            </w:r>
          </w:p>
        </w:tc>
        <w:tc>
          <w:tcPr>
            <w:tcW w:w="952" w:type="dxa"/>
            <w:tcBorders>
              <w:bottom w:val="single" w:sz="4" w:space="0" w:color="438EF1" w:themeColor="text2" w:themeTint="99"/>
            </w:tcBorders>
            <w:noWrap/>
            <w:vAlign w:val="bottom"/>
            <w:hideMark/>
          </w:tcPr>
          <w:p w14:paraId="32C919C3" w14:textId="696D8637"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0.0%</w:t>
            </w:r>
          </w:p>
        </w:tc>
        <w:tc>
          <w:tcPr>
            <w:tcW w:w="944" w:type="dxa"/>
            <w:tcBorders>
              <w:bottom w:val="single" w:sz="4" w:space="0" w:color="438EF1" w:themeColor="text2" w:themeTint="99"/>
            </w:tcBorders>
            <w:noWrap/>
            <w:vAlign w:val="bottom"/>
            <w:hideMark/>
          </w:tcPr>
          <w:p w14:paraId="67EE1C10" w14:textId="33FD2EFE"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0.6%</w:t>
            </w:r>
          </w:p>
        </w:tc>
        <w:tc>
          <w:tcPr>
            <w:tcW w:w="992" w:type="dxa"/>
            <w:tcBorders>
              <w:bottom w:val="single" w:sz="4" w:space="0" w:color="438EF1" w:themeColor="text2" w:themeTint="99"/>
            </w:tcBorders>
            <w:noWrap/>
            <w:vAlign w:val="bottom"/>
            <w:hideMark/>
          </w:tcPr>
          <w:p w14:paraId="34B783EE" w14:textId="16F7ADA5"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-3.5%</w:t>
            </w:r>
          </w:p>
        </w:tc>
        <w:tc>
          <w:tcPr>
            <w:tcW w:w="992" w:type="dxa"/>
            <w:tcBorders>
              <w:bottom w:val="single" w:sz="4" w:space="0" w:color="438EF1" w:themeColor="text2" w:themeTint="99"/>
            </w:tcBorders>
            <w:noWrap/>
            <w:vAlign w:val="bottom"/>
            <w:hideMark/>
          </w:tcPr>
          <w:p w14:paraId="7F4D0D6F" w14:textId="7E802C9B"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-13.1%</w:t>
            </w:r>
          </w:p>
        </w:tc>
        <w:tc>
          <w:tcPr>
            <w:tcW w:w="1128" w:type="dxa"/>
            <w:tcBorders>
              <w:bottom w:val="single" w:sz="4" w:space="0" w:color="438EF1" w:themeColor="text2" w:themeTint="99"/>
            </w:tcBorders>
            <w:noWrap/>
            <w:vAlign w:val="bottom"/>
            <w:hideMark/>
          </w:tcPr>
          <w:p w14:paraId="4A096292" w14:textId="1DC7DF91"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-0.3%</w:t>
            </w:r>
          </w:p>
        </w:tc>
      </w:tr>
      <w:tr w:rsidR="00BC4FE7" w:rsidRPr="00167A1B" w14:paraId="63550A25" w14:textId="77777777" w:rsidTr="00B70444">
        <w:trPr>
          <w:trHeight w:val="300"/>
        </w:trPr>
        <w:tc>
          <w:tcPr>
            <w:tcW w:w="1023" w:type="dxa"/>
            <w:vMerge w:val="restart"/>
            <w:tcBorders>
              <w:top w:val="single" w:sz="4" w:space="0" w:color="438EF1" w:themeColor="text2" w:themeTint="99"/>
            </w:tcBorders>
            <w:noWrap/>
            <w:vAlign w:val="center"/>
            <w:hideMark/>
          </w:tcPr>
          <w:p w14:paraId="4A56D676" w14:textId="6E32F34C" w:rsidR="00BC4FE7" w:rsidRPr="00167A1B" w:rsidRDefault="00BC4FE7" w:rsidP="007A1F29">
            <w:pPr>
              <w:spacing w:after="0"/>
              <w:jc w:val="left"/>
              <w:rPr>
                <w:rFonts w:ascii="Trebuchet MS" w:hAnsi="Trebuchet MS"/>
                <w:b/>
                <w:sz w:val="16"/>
                <w:szCs w:val="16"/>
              </w:rPr>
            </w:pPr>
            <w:r w:rsidRPr="00167A1B">
              <w:rPr>
                <w:rFonts w:ascii="Trebuchet MS" w:hAnsi="Trebuchet MS"/>
                <w:b/>
                <w:sz w:val="16"/>
                <w:szCs w:val="16"/>
              </w:rPr>
              <w:t>Of which Recycled [tonnes]</w:t>
            </w:r>
            <w:r w:rsidRPr="00167A1B">
              <w:rPr>
                <w:rStyle w:val="FootnoteReference"/>
                <w:b/>
                <w:szCs w:val="16"/>
              </w:rPr>
              <w:footnoteReference w:id="148"/>
            </w:r>
          </w:p>
        </w:tc>
        <w:tc>
          <w:tcPr>
            <w:tcW w:w="1316" w:type="dxa"/>
            <w:tcBorders>
              <w:top w:val="single" w:sz="4" w:space="0" w:color="438EF1" w:themeColor="text2" w:themeTint="99"/>
            </w:tcBorders>
            <w:noWrap/>
            <w:vAlign w:val="center"/>
            <w:hideMark/>
          </w:tcPr>
          <w:p w14:paraId="006E5A31" w14:textId="77777777" w:rsidR="00BC4FE7" w:rsidRPr="00167A1B" w:rsidRDefault="00BC4FE7" w:rsidP="007A1F29">
            <w:pPr>
              <w:spacing w:after="0"/>
              <w:jc w:val="left"/>
              <w:rPr>
                <w:rFonts w:ascii="Trebuchet MS" w:hAnsi="Trebuchet MS"/>
                <w:b/>
                <w:sz w:val="16"/>
                <w:szCs w:val="16"/>
              </w:rPr>
            </w:pPr>
            <w:r w:rsidRPr="00167A1B">
              <w:rPr>
                <w:rFonts w:ascii="Trebuchet MS" w:hAnsi="Trebuchet MS"/>
                <w:b/>
                <w:sz w:val="16"/>
                <w:szCs w:val="16"/>
              </w:rPr>
              <w:t>Total 2024-2030</w:t>
            </w:r>
          </w:p>
        </w:tc>
        <w:tc>
          <w:tcPr>
            <w:tcW w:w="767" w:type="dxa"/>
            <w:tcBorders>
              <w:top w:val="single" w:sz="4" w:space="0" w:color="438EF1" w:themeColor="text2" w:themeTint="99"/>
            </w:tcBorders>
            <w:noWrap/>
            <w:vAlign w:val="bottom"/>
            <w:hideMark/>
          </w:tcPr>
          <w:p w14:paraId="2486BDCE" w14:textId="656597BE"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82,899</w:t>
            </w:r>
          </w:p>
        </w:tc>
        <w:tc>
          <w:tcPr>
            <w:tcW w:w="947" w:type="dxa"/>
            <w:tcBorders>
              <w:top w:val="single" w:sz="4" w:space="0" w:color="438EF1" w:themeColor="text2" w:themeTint="99"/>
            </w:tcBorders>
            <w:noWrap/>
            <w:vAlign w:val="bottom"/>
            <w:hideMark/>
          </w:tcPr>
          <w:p w14:paraId="602C3D8F" w14:textId="65DCB7F1"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84,103</w:t>
            </w:r>
          </w:p>
        </w:tc>
        <w:tc>
          <w:tcPr>
            <w:tcW w:w="952" w:type="dxa"/>
            <w:tcBorders>
              <w:top w:val="single" w:sz="4" w:space="0" w:color="438EF1" w:themeColor="text2" w:themeTint="99"/>
            </w:tcBorders>
            <w:noWrap/>
            <w:vAlign w:val="bottom"/>
            <w:hideMark/>
          </w:tcPr>
          <w:p w14:paraId="1C42855C" w14:textId="388B85C4"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82,929</w:t>
            </w:r>
          </w:p>
        </w:tc>
        <w:tc>
          <w:tcPr>
            <w:tcW w:w="944" w:type="dxa"/>
            <w:tcBorders>
              <w:top w:val="single" w:sz="4" w:space="0" w:color="438EF1" w:themeColor="text2" w:themeTint="99"/>
            </w:tcBorders>
            <w:noWrap/>
            <w:vAlign w:val="bottom"/>
            <w:hideMark/>
          </w:tcPr>
          <w:p w14:paraId="3F02D385" w14:textId="5EAEC424"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83,443</w:t>
            </w:r>
          </w:p>
        </w:tc>
        <w:tc>
          <w:tcPr>
            <w:tcW w:w="992" w:type="dxa"/>
            <w:tcBorders>
              <w:top w:val="single" w:sz="4" w:space="0" w:color="438EF1" w:themeColor="text2" w:themeTint="99"/>
            </w:tcBorders>
            <w:noWrap/>
            <w:vAlign w:val="bottom"/>
            <w:hideMark/>
          </w:tcPr>
          <w:p w14:paraId="6A795886" w14:textId="43E72564"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80,180</w:t>
            </w:r>
          </w:p>
        </w:tc>
        <w:tc>
          <w:tcPr>
            <w:tcW w:w="992" w:type="dxa"/>
            <w:tcBorders>
              <w:top w:val="single" w:sz="4" w:space="0" w:color="438EF1" w:themeColor="text2" w:themeTint="99"/>
            </w:tcBorders>
            <w:noWrap/>
            <w:vAlign w:val="bottom"/>
            <w:hideMark/>
          </w:tcPr>
          <w:p w14:paraId="4C460A42" w14:textId="282889A4"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70,451</w:t>
            </w:r>
          </w:p>
        </w:tc>
        <w:tc>
          <w:tcPr>
            <w:tcW w:w="1128" w:type="dxa"/>
            <w:tcBorders>
              <w:top w:val="single" w:sz="4" w:space="0" w:color="438EF1" w:themeColor="text2" w:themeTint="99"/>
            </w:tcBorders>
            <w:noWrap/>
            <w:vAlign w:val="bottom"/>
            <w:hideMark/>
          </w:tcPr>
          <w:p w14:paraId="3604704D" w14:textId="2CCE7EBE" w:rsidR="00BC4FE7" w:rsidRPr="00167A1B" w:rsidRDefault="00BC4FE7" w:rsidP="007A1F29">
            <w:pPr>
              <w:spacing w:after="0"/>
              <w:jc w:val="right"/>
              <w:rPr>
                <w:rFonts w:ascii="Trebuchet MS" w:hAnsi="Trebuchet MS"/>
                <w:b/>
                <w:sz w:val="16"/>
                <w:szCs w:val="16"/>
              </w:rPr>
            </w:pPr>
            <w:r w:rsidRPr="00167A1B">
              <w:rPr>
                <w:rFonts w:ascii="Trebuchet MS" w:hAnsi="Trebuchet MS"/>
                <w:b/>
                <w:bCs/>
                <w:sz w:val="16"/>
                <w:szCs w:val="16"/>
              </w:rPr>
              <w:t>82,627</w:t>
            </w:r>
          </w:p>
        </w:tc>
      </w:tr>
      <w:tr w:rsidR="00BC4FE7" w:rsidRPr="00167A1B" w14:paraId="1597D8BB" w14:textId="77777777" w:rsidTr="00B70444">
        <w:trPr>
          <w:trHeight w:val="285"/>
        </w:trPr>
        <w:tc>
          <w:tcPr>
            <w:tcW w:w="1023" w:type="dxa"/>
            <w:vMerge/>
            <w:noWrap/>
            <w:vAlign w:val="center"/>
            <w:hideMark/>
          </w:tcPr>
          <w:p w14:paraId="507314EB" w14:textId="24999A30" w:rsidR="00BC4FE7" w:rsidRPr="00167A1B" w:rsidRDefault="00BC4FE7" w:rsidP="007A1F29">
            <w:pPr>
              <w:spacing w:after="0"/>
              <w:jc w:val="left"/>
              <w:rPr>
                <w:rFonts w:ascii="Trebuchet MS" w:hAnsi="Trebuchet MS"/>
                <w:sz w:val="16"/>
                <w:szCs w:val="16"/>
              </w:rPr>
            </w:pPr>
          </w:p>
        </w:tc>
        <w:tc>
          <w:tcPr>
            <w:tcW w:w="1316" w:type="dxa"/>
            <w:noWrap/>
            <w:vAlign w:val="center"/>
            <w:hideMark/>
          </w:tcPr>
          <w:p w14:paraId="69F64F4A"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Difference with baseline</w:t>
            </w:r>
          </w:p>
        </w:tc>
        <w:tc>
          <w:tcPr>
            <w:tcW w:w="767" w:type="dxa"/>
            <w:noWrap/>
            <w:vAlign w:val="bottom"/>
            <w:hideMark/>
          </w:tcPr>
          <w:p w14:paraId="294CB482" w14:textId="3AA6D472"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 </w:t>
            </w:r>
          </w:p>
        </w:tc>
        <w:tc>
          <w:tcPr>
            <w:tcW w:w="947" w:type="dxa"/>
            <w:noWrap/>
            <w:vAlign w:val="bottom"/>
            <w:hideMark/>
          </w:tcPr>
          <w:p w14:paraId="7EB5A4E8" w14:textId="499A9A2A"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1,204</w:t>
            </w:r>
          </w:p>
        </w:tc>
        <w:tc>
          <w:tcPr>
            <w:tcW w:w="952" w:type="dxa"/>
            <w:noWrap/>
            <w:vAlign w:val="bottom"/>
            <w:hideMark/>
          </w:tcPr>
          <w:p w14:paraId="198455A4" w14:textId="1DCE5DCA"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9C0006"/>
                <w:sz w:val="16"/>
                <w:szCs w:val="16"/>
              </w:rPr>
              <w:t>30</w:t>
            </w:r>
          </w:p>
        </w:tc>
        <w:tc>
          <w:tcPr>
            <w:tcW w:w="944" w:type="dxa"/>
            <w:noWrap/>
            <w:vAlign w:val="bottom"/>
            <w:hideMark/>
          </w:tcPr>
          <w:p w14:paraId="04D623B6" w14:textId="01830CFE"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544</w:t>
            </w:r>
          </w:p>
        </w:tc>
        <w:tc>
          <w:tcPr>
            <w:tcW w:w="992" w:type="dxa"/>
            <w:noWrap/>
            <w:vAlign w:val="bottom"/>
            <w:hideMark/>
          </w:tcPr>
          <w:p w14:paraId="2624BA43" w14:textId="67AEED0B"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-2,719</w:t>
            </w:r>
          </w:p>
        </w:tc>
        <w:tc>
          <w:tcPr>
            <w:tcW w:w="992" w:type="dxa"/>
            <w:noWrap/>
            <w:vAlign w:val="bottom"/>
            <w:hideMark/>
          </w:tcPr>
          <w:p w14:paraId="6A0A5835" w14:textId="7AF5F956"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-12,447</w:t>
            </w:r>
          </w:p>
        </w:tc>
        <w:tc>
          <w:tcPr>
            <w:tcW w:w="1128" w:type="dxa"/>
            <w:noWrap/>
            <w:vAlign w:val="bottom"/>
            <w:hideMark/>
          </w:tcPr>
          <w:p w14:paraId="29E6C81D" w14:textId="33080360"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-272</w:t>
            </w:r>
          </w:p>
        </w:tc>
      </w:tr>
      <w:tr w:rsidR="00BC4FE7" w:rsidRPr="00167A1B" w14:paraId="11DB0301" w14:textId="77777777" w:rsidTr="00B70444">
        <w:trPr>
          <w:trHeight w:val="300"/>
        </w:trPr>
        <w:tc>
          <w:tcPr>
            <w:tcW w:w="1023" w:type="dxa"/>
            <w:vMerge/>
            <w:noWrap/>
            <w:vAlign w:val="center"/>
            <w:hideMark/>
          </w:tcPr>
          <w:p w14:paraId="7D622963" w14:textId="3AB113D4" w:rsidR="00BC4FE7" w:rsidRPr="00167A1B" w:rsidRDefault="00BC4FE7" w:rsidP="007A1F29">
            <w:pPr>
              <w:spacing w:after="0"/>
              <w:jc w:val="left"/>
              <w:rPr>
                <w:rFonts w:ascii="Trebuchet MS" w:hAnsi="Trebuchet MS"/>
                <w:sz w:val="16"/>
                <w:szCs w:val="16"/>
              </w:rPr>
            </w:pPr>
          </w:p>
        </w:tc>
        <w:tc>
          <w:tcPr>
            <w:tcW w:w="1316" w:type="dxa"/>
            <w:noWrap/>
            <w:vAlign w:val="center"/>
            <w:hideMark/>
          </w:tcPr>
          <w:p w14:paraId="39DAC8A8"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Annual average</w:t>
            </w:r>
          </w:p>
        </w:tc>
        <w:tc>
          <w:tcPr>
            <w:tcW w:w="767" w:type="dxa"/>
            <w:noWrap/>
            <w:vAlign w:val="bottom"/>
            <w:hideMark/>
          </w:tcPr>
          <w:p w14:paraId="19509B18" w14:textId="3323B6F2"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11,843</w:t>
            </w:r>
          </w:p>
        </w:tc>
        <w:tc>
          <w:tcPr>
            <w:tcW w:w="947" w:type="dxa"/>
            <w:noWrap/>
            <w:vAlign w:val="bottom"/>
            <w:hideMark/>
          </w:tcPr>
          <w:p w14:paraId="445A94D3" w14:textId="10F4381D"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12,015</w:t>
            </w:r>
          </w:p>
        </w:tc>
        <w:tc>
          <w:tcPr>
            <w:tcW w:w="952" w:type="dxa"/>
            <w:noWrap/>
            <w:vAlign w:val="bottom"/>
            <w:hideMark/>
          </w:tcPr>
          <w:p w14:paraId="620C49D4" w14:textId="5CFC1A50"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11,847</w:t>
            </w:r>
          </w:p>
        </w:tc>
        <w:tc>
          <w:tcPr>
            <w:tcW w:w="944" w:type="dxa"/>
            <w:noWrap/>
            <w:vAlign w:val="bottom"/>
            <w:hideMark/>
          </w:tcPr>
          <w:p w14:paraId="0C79286E" w14:textId="2BB3C53A"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11,920</w:t>
            </w:r>
          </w:p>
        </w:tc>
        <w:tc>
          <w:tcPr>
            <w:tcW w:w="992" w:type="dxa"/>
            <w:noWrap/>
            <w:vAlign w:val="bottom"/>
            <w:hideMark/>
          </w:tcPr>
          <w:p w14:paraId="1F10B258" w14:textId="268E9CE8"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11,454</w:t>
            </w:r>
          </w:p>
        </w:tc>
        <w:tc>
          <w:tcPr>
            <w:tcW w:w="992" w:type="dxa"/>
            <w:noWrap/>
            <w:vAlign w:val="bottom"/>
            <w:hideMark/>
          </w:tcPr>
          <w:p w14:paraId="5E969E27" w14:textId="7DA63392"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10,064</w:t>
            </w:r>
          </w:p>
        </w:tc>
        <w:tc>
          <w:tcPr>
            <w:tcW w:w="1128" w:type="dxa"/>
            <w:noWrap/>
            <w:vAlign w:val="bottom"/>
            <w:hideMark/>
          </w:tcPr>
          <w:p w14:paraId="533E233F" w14:textId="0CF95C84"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11,804</w:t>
            </w:r>
          </w:p>
        </w:tc>
      </w:tr>
      <w:tr w:rsidR="00BC4FE7" w:rsidRPr="00167A1B" w14:paraId="2F8C17A3" w14:textId="77777777" w:rsidTr="00B70444">
        <w:trPr>
          <w:trHeight w:val="270"/>
        </w:trPr>
        <w:tc>
          <w:tcPr>
            <w:tcW w:w="1023" w:type="dxa"/>
            <w:vMerge/>
            <w:noWrap/>
            <w:vAlign w:val="center"/>
            <w:hideMark/>
          </w:tcPr>
          <w:p w14:paraId="1A0EEC0C" w14:textId="48E5FA64" w:rsidR="00BC4FE7" w:rsidRPr="00167A1B" w:rsidRDefault="00BC4FE7" w:rsidP="007A1F29">
            <w:pPr>
              <w:spacing w:after="0"/>
              <w:jc w:val="left"/>
              <w:rPr>
                <w:rFonts w:ascii="Trebuchet MS" w:hAnsi="Trebuchet MS"/>
                <w:sz w:val="16"/>
                <w:szCs w:val="16"/>
              </w:rPr>
            </w:pPr>
          </w:p>
        </w:tc>
        <w:tc>
          <w:tcPr>
            <w:tcW w:w="1316" w:type="dxa"/>
            <w:noWrap/>
            <w:vAlign w:val="center"/>
            <w:hideMark/>
          </w:tcPr>
          <w:p w14:paraId="4982420E"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Difference with baseline</w:t>
            </w:r>
          </w:p>
        </w:tc>
        <w:tc>
          <w:tcPr>
            <w:tcW w:w="767" w:type="dxa"/>
            <w:noWrap/>
            <w:vAlign w:val="bottom"/>
            <w:hideMark/>
          </w:tcPr>
          <w:p w14:paraId="252CE7AF" w14:textId="334ECABD"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 </w:t>
            </w:r>
          </w:p>
        </w:tc>
        <w:tc>
          <w:tcPr>
            <w:tcW w:w="947" w:type="dxa"/>
            <w:noWrap/>
            <w:vAlign w:val="bottom"/>
            <w:hideMark/>
          </w:tcPr>
          <w:p w14:paraId="46C0DAD2" w14:textId="3FC3D45D"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172</w:t>
            </w:r>
          </w:p>
        </w:tc>
        <w:tc>
          <w:tcPr>
            <w:tcW w:w="952" w:type="dxa"/>
            <w:noWrap/>
            <w:vAlign w:val="bottom"/>
            <w:hideMark/>
          </w:tcPr>
          <w:p w14:paraId="6F97979B" w14:textId="3B0466F1"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9C0006"/>
                <w:sz w:val="16"/>
                <w:szCs w:val="16"/>
              </w:rPr>
              <w:t>4</w:t>
            </w:r>
          </w:p>
        </w:tc>
        <w:tc>
          <w:tcPr>
            <w:tcW w:w="944" w:type="dxa"/>
            <w:noWrap/>
            <w:vAlign w:val="bottom"/>
            <w:hideMark/>
          </w:tcPr>
          <w:p w14:paraId="25A0160A" w14:textId="6C918A31"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78</w:t>
            </w:r>
          </w:p>
        </w:tc>
        <w:tc>
          <w:tcPr>
            <w:tcW w:w="992" w:type="dxa"/>
            <w:noWrap/>
            <w:vAlign w:val="bottom"/>
            <w:hideMark/>
          </w:tcPr>
          <w:p w14:paraId="097A3383" w14:textId="1CE4D2E8"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-388</w:t>
            </w:r>
          </w:p>
        </w:tc>
        <w:tc>
          <w:tcPr>
            <w:tcW w:w="992" w:type="dxa"/>
            <w:noWrap/>
            <w:vAlign w:val="bottom"/>
            <w:hideMark/>
          </w:tcPr>
          <w:p w14:paraId="3016CCB5" w14:textId="567F81B9"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-1,778</w:t>
            </w:r>
          </w:p>
        </w:tc>
        <w:tc>
          <w:tcPr>
            <w:tcW w:w="1128" w:type="dxa"/>
            <w:noWrap/>
            <w:vAlign w:val="bottom"/>
            <w:hideMark/>
          </w:tcPr>
          <w:p w14:paraId="75B8045B" w14:textId="494DB5A9"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-39</w:t>
            </w:r>
          </w:p>
        </w:tc>
      </w:tr>
      <w:tr w:rsidR="00BC4FE7" w:rsidRPr="00167A1B" w14:paraId="568ECBC1" w14:textId="77777777" w:rsidTr="00B70444">
        <w:trPr>
          <w:trHeight w:val="270"/>
        </w:trPr>
        <w:tc>
          <w:tcPr>
            <w:tcW w:w="1023" w:type="dxa"/>
            <w:vMerge/>
            <w:noWrap/>
            <w:vAlign w:val="center"/>
            <w:hideMark/>
          </w:tcPr>
          <w:p w14:paraId="2C73965E" w14:textId="48CC0F7D" w:rsidR="00BC4FE7" w:rsidRPr="00167A1B" w:rsidRDefault="00BC4FE7" w:rsidP="007A1F29">
            <w:pPr>
              <w:spacing w:after="0"/>
              <w:jc w:val="left"/>
              <w:rPr>
                <w:rFonts w:ascii="Trebuchet MS" w:hAnsi="Trebuchet MS"/>
                <w:sz w:val="16"/>
                <w:szCs w:val="16"/>
              </w:rPr>
            </w:pPr>
          </w:p>
        </w:tc>
        <w:tc>
          <w:tcPr>
            <w:tcW w:w="1316" w:type="dxa"/>
            <w:noWrap/>
            <w:vAlign w:val="center"/>
            <w:hideMark/>
          </w:tcPr>
          <w:p w14:paraId="695C58EE" w14:textId="77777777" w:rsidR="00BC4FE7" w:rsidRPr="00167A1B" w:rsidRDefault="00BC4FE7" w:rsidP="007A1F29">
            <w:pPr>
              <w:spacing w:after="0"/>
              <w:jc w:val="left"/>
              <w:rPr>
                <w:rFonts w:ascii="Trebuchet MS" w:hAnsi="Trebuchet MS"/>
                <w:sz w:val="16"/>
                <w:szCs w:val="16"/>
              </w:rPr>
            </w:pPr>
            <w:r w:rsidRPr="00167A1B">
              <w:rPr>
                <w:rFonts w:ascii="Trebuchet MS" w:hAnsi="Trebuchet MS"/>
                <w:sz w:val="16"/>
                <w:szCs w:val="16"/>
              </w:rPr>
              <w:t>As %</w:t>
            </w:r>
          </w:p>
        </w:tc>
        <w:tc>
          <w:tcPr>
            <w:tcW w:w="767" w:type="dxa"/>
            <w:noWrap/>
            <w:vAlign w:val="bottom"/>
            <w:hideMark/>
          </w:tcPr>
          <w:p w14:paraId="16CC98ED" w14:textId="1C292FBF" w:rsidR="00BC4FE7" w:rsidRPr="00167A1B" w:rsidRDefault="00BC4FE7" w:rsidP="007A1F29">
            <w:pPr>
              <w:spacing w:after="0"/>
              <w:jc w:val="right"/>
              <w:rPr>
                <w:rFonts w:ascii="Trebuchet MS" w:hAnsi="Trebuchet MS"/>
                <w:sz w:val="16"/>
                <w:szCs w:val="16"/>
              </w:rPr>
            </w:pPr>
            <w:r w:rsidRPr="00167A1B">
              <w:rPr>
                <w:rFonts w:ascii="Trebuchet MS" w:hAnsi="Trebuchet MS"/>
                <w:sz w:val="16"/>
                <w:szCs w:val="16"/>
              </w:rPr>
              <w:t> </w:t>
            </w:r>
          </w:p>
        </w:tc>
        <w:tc>
          <w:tcPr>
            <w:tcW w:w="947" w:type="dxa"/>
            <w:noWrap/>
            <w:vAlign w:val="bottom"/>
            <w:hideMark/>
          </w:tcPr>
          <w:p w14:paraId="4213763E" w14:textId="300F64D7"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1.5%</w:t>
            </w:r>
          </w:p>
        </w:tc>
        <w:tc>
          <w:tcPr>
            <w:tcW w:w="952" w:type="dxa"/>
            <w:noWrap/>
            <w:vAlign w:val="bottom"/>
            <w:hideMark/>
          </w:tcPr>
          <w:p w14:paraId="7FAC0090" w14:textId="5B767AD5"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9C0006"/>
                <w:sz w:val="16"/>
                <w:szCs w:val="16"/>
              </w:rPr>
              <w:t>0.0%</w:t>
            </w:r>
          </w:p>
        </w:tc>
        <w:tc>
          <w:tcPr>
            <w:tcW w:w="944" w:type="dxa"/>
            <w:noWrap/>
            <w:vAlign w:val="bottom"/>
            <w:hideMark/>
          </w:tcPr>
          <w:p w14:paraId="049E7E91" w14:textId="6FE7B768" w:rsidR="00BC4FE7" w:rsidRPr="00167A1B" w:rsidRDefault="00BC4FE7" w:rsidP="007A1F29">
            <w:pPr>
              <w:spacing w:after="0"/>
              <w:jc w:val="right"/>
              <w:rPr>
                <w:rFonts w:ascii="Trebuchet MS" w:hAnsi="Trebuchet MS"/>
                <w:color w:val="9C0006"/>
                <w:sz w:val="16"/>
                <w:szCs w:val="16"/>
              </w:rPr>
            </w:pPr>
            <w:r w:rsidRPr="00167A1B">
              <w:rPr>
                <w:rFonts w:ascii="Trebuchet MS" w:hAnsi="Trebuchet MS"/>
                <w:color w:val="9C0006"/>
                <w:sz w:val="16"/>
                <w:szCs w:val="16"/>
              </w:rPr>
              <w:t>0.7%</w:t>
            </w:r>
          </w:p>
        </w:tc>
        <w:tc>
          <w:tcPr>
            <w:tcW w:w="992" w:type="dxa"/>
            <w:noWrap/>
            <w:vAlign w:val="bottom"/>
            <w:hideMark/>
          </w:tcPr>
          <w:p w14:paraId="4F6A23AB" w14:textId="291E77EB"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-3.3%</w:t>
            </w:r>
          </w:p>
        </w:tc>
        <w:tc>
          <w:tcPr>
            <w:tcW w:w="992" w:type="dxa"/>
            <w:noWrap/>
            <w:vAlign w:val="bottom"/>
            <w:hideMark/>
          </w:tcPr>
          <w:p w14:paraId="35E72A4B" w14:textId="2BC3BD37"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-15.0%</w:t>
            </w:r>
          </w:p>
        </w:tc>
        <w:tc>
          <w:tcPr>
            <w:tcW w:w="1128" w:type="dxa"/>
            <w:noWrap/>
            <w:vAlign w:val="bottom"/>
            <w:hideMark/>
          </w:tcPr>
          <w:p w14:paraId="004E4A8E" w14:textId="74ABF324" w:rsidR="00BC4FE7" w:rsidRPr="00167A1B" w:rsidRDefault="00BC4FE7" w:rsidP="007A1F29">
            <w:pPr>
              <w:spacing w:after="0"/>
              <w:jc w:val="right"/>
              <w:rPr>
                <w:rFonts w:ascii="Trebuchet MS" w:hAnsi="Trebuchet MS"/>
                <w:color w:val="006100"/>
                <w:sz w:val="16"/>
                <w:szCs w:val="16"/>
              </w:rPr>
            </w:pPr>
            <w:r w:rsidRPr="00167A1B">
              <w:rPr>
                <w:rFonts w:ascii="Trebuchet MS" w:hAnsi="Trebuchet MS"/>
                <w:color w:val="006100"/>
                <w:sz w:val="16"/>
                <w:szCs w:val="16"/>
              </w:rPr>
              <w:t>-0.3%</w:t>
            </w:r>
          </w:p>
        </w:tc>
      </w:tr>
    </w:tbl>
    <w:p w14:paraId="46EFB808" w14:textId="6808D88E" w:rsidR="007A1F29" w:rsidRPr="00167A1B" w:rsidRDefault="000C755F" w:rsidP="00BC4FE7">
      <w:pPr>
        <w:pStyle w:val="Caption"/>
        <w:keepNext w:val="0"/>
        <w:jc w:val="both"/>
        <w:rPr>
          <w:bCs/>
          <w:i w:val="0"/>
          <w:iCs/>
          <w:szCs w:val="18"/>
        </w:rPr>
      </w:pPr>
      <w:r w:rsidRPr="00167A1B">
        <w:rPr>
          <w:b/>
          <w:i w:val="0"/>
          <w:iCs/>
          <w:szCs w:val="18"/>
        </w:rPr>
        <w:t>Source</w:t>
      </w:r>
      <w:r w:rsidRPr="00167A1B">
        <w:rPr>
          <w:bCs/>
          <w:i w:val="0"/>
          <w:iCs/>
          <w:szCs w:val="18"/>
        </w:rPr>
        <w:t>:  Own TRI-STOCK-CHARGER model calculations.</w:t>
      </w:r>
    </w:p>
    <w:p w14:paraId="45FEABDF" w14:textId="3BA936F5" w:rsidR="00304598" w:rsidRPr="00167A1B" w:rsidRDefault="00304598" w:rsidP="00304598">
      <w:pPr>
        <w:pStyle w:val="Caption"/>
      </w:pPr>
      <w:r w:rsidRPr="00167A1B">
        <w:lastRenderedPageBreak/>
        <w:t xml:space="preserve">Table </w:t>
      </w:r>
      <w:r w:rsidRPr="00167A1B">
        <w:fldChar w:fldCharType="begin"/>
      </w:r>
      <w:r w:rsidRPr="00167A1B">
        <w:instrText xml:space="preserve"> SEQ Table \* ARABIC </w:instrText>
      </w:r>
      <w:r w:rsidRPr="00167A1B">
        <w:fldChar w:fldCharType="separate"/>
      </w:r>
      <w:r w:rsidR="00953106" w:rsidRPr="00167A1B">
        <w:t>27</w:t>
      </w:r>
      <w:r w:rsidRPr="00167A1B">
        <w:fldChar w:fldCharType="end"/>
      </w:r>
      <w:r w:rsidRPr="00167A1B">
        <w:t>. Quantitative economic impacts of the policy options for mobile phones, tablets, earwear and cameras</w:t>
      </w:r>
    </w:p>
    <w:tbl>
      <w:tblPr>
        <w:tblStyle w:val="TableGrid"/>
        <w:tblW w:w="0" w:type="auto"/>
        <w:tblLayout w:type="fixed"/>
        <w:tblCellMar>
          <w:left w:w="57" w:type="dxa"/>
          <w:right w:w="57" w:type="dxa"/>
        </w:tblCellMar>
        <w:tblLook w:val="04A0" w:firstRow="1" w:lastRow="0" w:firstColumn="1" w:lastColumn="0" w:noHBand="0" w:noVBand="1"/>
      </w:tblPr>
      <w:tblGrid>
        <w:gridCol w:w="1271"/>
        <w:gridCol w:w="1112"/>
        <w:gridCol w:w="1113"/>
        <w:gridCol w:w="1113"/>
        <w:gridCol w:w="1113"/>
        <w:gridCol w:w="1113"/>
        <w:gridCol w:w="1113"/>
        <w:gridCol w:w="1113"/>
      </w:tblGrid>
      <w:tr w:rsidR="00304598" w:rsidRPr="00167A1B" w14:paraId="4CF5F462" w14:textId="77777777" w:rsidTr="00814371">
        <w:trPr>
          <w:cnfStyle w:val="100000000000" w:firstRow="1" w:lastRow="0" w:firstColumn="0" w:lastColumn="0" w:oddVBand="0" w:evenVBand="0" w:oddHBand="0" w:evenHBand="0" w:firstRowFirstColumn="0" w:firstRowLastColumn="0" w:lastRowFirstColumn="0" w:lastRowLastColumn="0"/>
          <w:trHeight w:val="270"/>
          <w:tblHeader/>
        </w:trPr>
        <w:tc>
          <w:tcPr>
            <w:tcW w:w="1271" w:type="dxa"/>
            <w:noWrap/>
            <w:hideMark/>
          </w:tcPr>
          <w:p w14:paraId="05C4351B" w14:textId="77777777" w:rsidR="00304598" w:rsidRPr="00167A1B" w:rsidRDefault="00304598" w:rsidP="000C755F">
            <w:pPr>
              <w:keepNext/>
              <w:spacing w:after="0"/>
              <w:jc w:val="left"/>
              <w:rPr>
                <w:rFonts w:ascii="Arial" w:hAnsi="Arial" w:cs="Arial"/>
                <w:sz w:val="16"/>
                <w:szCs w:val="16"/>
                <w:lang w:eastAsia="en-GB"/>
              </w:rPr>
            </w:pPr>
            <w:r w:rsidRPr="00167A1B">
              <w:rPr>
                <w:rFonts w:ascii="Arial" w:hAnsi="Arial" w:cs="Arial"/>
                <w:sz w:val="16"/>
                <w:szCs w:val="16"/>
                <w:lang w:eastAsia="en-GB"/>
              </w:rPr>
              <w:t> </w:t>
            </w:r>
          </w:p>
        </w:tc>
        <w:tc>
          <w:tcPr>
            <w:tcW w:w="1112" w:type="dxa"/>
            <w:hideMark/>
          </w:tcPr>
          <w:p w14:paraId="5335F0D9" w14:textId="77777777" w:rsidR="00304598" w:rsidRPr="00167A1B" w:rsidRDefault="00304598" w:rsidP="000C755F">
            <w:pPr>
              <w:keepNext/>
              <w:spacing w:after="0"/>
              <w:jc w:val="left"/>
              <w:rPr>
                <w:rFonts w:ascii="Trebuchet MS" w:hAnsi="Trebuchet MS"/>
                <w:b/>
                <w:bCs/>
                <w:sz w:val="16"/>
                <w:szCs w:val="16"/>
                <w:lang w:eastAsia="en-GB"/>
              </w:rPr>
            </w:pPr>
            <w:r w:rsidRPr="00167A1B">
              <w:rPr>
                <w:rFonts w:ascii="Trebuchet MS" w:hAnsi="Trebuchet MS"/>
                <w:b/>
                <w:bCs/>
                <w:sz w:val="16"/>
                <w:szCs w:val="16"/>
                <w:lang w:eastAsia="en-GB"/>
              </w:rPr>
              <w:t>Baseline</w:t>
            </w:r>
          </w:p>
        </w:tc>
        <w:tc>
          <w:tcPr>
            <w:tcW w:w="1113" w:type="dxa"/>
            <w:hideMark/>
          </w:tcPr>
          <w:p w14:paraId="57659CD5" w14:textId="77777777" w:rsidR="00304598" w:rsidRPr="00167A1B" w:rsidRDefault="00304598" w:rsidP="000C755F">
            <w:pPr>
              <w:keepNext/>
              <w:spacing w:after="0"/>
              <w:jc w:val="left"/>
              <w:rPr>
                <w:rFonts w:ascii="Trebuchet MS" w:hAnsi="Trebuchet MS"/>
                <w:b/>
                <w:bCs/>
                <w:sz w:val="16"/>
                <w:szCs w:val="16"/>
                <w:lang w:eastAsia="en-GB"/>
              </w:rPr>
            </w:pPr>
            <w:r w:rsidRPr="00167A1B">
              <w:rPr>
                <w:rFonts w:ascii="Trebuchet MS" w:hAnsi="Trebuchet MS"/>
                <w:b/>
                <w:bCs/>
                <w:sz w:val="16"/>
                <w:szCs w:val="16"/>
                <w:lang w:eastAsia="en-GB"/>
              </w:rPr>
              <w:t>PO1</w:t>
            </w:r>
          </w:p>
        </w:tc>
        <w:tc>
          <w:tcPr>
            <w:tcW w:w="1113" w:type="dxa"/>
            <w:hideMark/>
          </w:tcPr>
          <w:p w14:paraId="703E75B6" w14:textId="77777777" w:rsidR="00304598" w:rsidRPr="00167A1B" w:rsidRDefault="00304598" w:rsidP="000C755F">
            <w:pPr>
              <w:keepNext/>
              <w:spacing w:after="0"/>
              <w:jc w:val="left"/>
              <w:rPr>
                <w:rFonts w:ascii="Trebuchet MS" w:hAnsi="Trebuchet MS"/>
                <w:b/>
                <w:bCs/>
                <w:sz w:val="16"/>
                <w:szCs w:val="16"/>
                <w:lang w:eastAsia="en-GB"/>
              </w:rPr>
            </w:pPr>
            <w:r w:rsidRPr="00167A1B">
              <w:rPr>
                <w:rFonts w:ascii="Trebuchet MS" w:hAnsi="Trebuchet MS"/>
                <w:b/>
                <w:bCs/>
                <w:sz w:val="16"/>
                <w:szCs w:val="16"/>
                <w:lang w:eastAsia="en-GB"/>
              </w:rPr>
              <w:t>PO2</w:t>
            </w:r>
          </w:p>
        </w:tc>
        <w:tc>
          <w:tcPr>
            <w:tcW w:w="1113" w:type="dxa"/>
            <w:hideMark/>
          </w:tcPr>
          <w:p w14:paraId="2736BB42" w14:textId="77777777" w:rsidR="00304598" w:rsidRPr="00167A1B" w:rsidRDefault="00304598" w:rsidP="000C755F">
            <w:pPr>
              <w:keepNext/>
              <w:spacing w:after="0"/>
              <w:jc w:val="left"/>
              <w:rPr>
                <w:rFonts w:ascii="Trebuchet MS" w:hAnsi="Trebuchet MS"/>
                <w:b/>
                <w:bCs/>
                <w:sz w:val="16"/>
                <w:szCs w:val="16"/>
                <w:lang w:eastAsia="en-GB"/>
              </w:rPr>
            </w:pPr>
            <w:r w:rsidRPr="00167A1B">
              <w:rPr>
                <w:rFonts w:ascii="Trebuchet MS" w:hAnsi="Trebuchet MS"/>
                <w:b/>
                <w:bCs/>
                <w:sz w:val="16"/>
                <w:szCs w:val="16"/>
                <w:lang w:eastAsia="en-GB"/>
              </w:rPr>
              <w:t>PO3</w:t>
            </w:r>
          </w:p>
        </w:tc>
        <w:tc>
          <w:tcPr>
            <w:tcW w:w="1113" w:type="dxa"/>
            <w:hideMark/>
          </w:tcPr>
          <w:p w14:paraId="79BA9B6E" w14:textId="77777777" w:rsidR="00304598" w:rsidRPr="00167A1B" w:rsidRDefault="00304598" w:rsidP="000C755F">
            <w:pPr>
              <w:keepNext/>
              <w:spacing w:after="0"/>
              <w:jc w:val="left"/>
              <w:rPr>
                <w:rFonts w:ascii="Trebuchet MS" w:hAnsi="Trebuchet MS"/>
                <w:b/>
                <w:bCs/>
                <w:sz w:val="16"/>
                <w:szCs w:val="16"/>
                <w:lang w:eastAsia="en-GB"/>
              </w:rPr>
            </w:pPr>
            <w:r w:rsidRPr="00167A1B">
              <w:rPr>
                <w:rFonts w:ascii="Trebuchet MS" w:hAnsi="Trebuchet MS"/>
                <w:b/>
                <w:bCs/>
                <w:sz w:val="16"/>
                <w:szCs w:val="16"/>
                <w:lang w:eastAsia="en-GB"/>
              </w:rPr>
              <w:t>PO4.a</w:t>
            </w:r>
          </w:p>
        </w:tc>
        <w:tc>
          <w:tcPr>
            <w:tcW w:w="1113" w:type="dxa"/>
            <w:hideMark/>
          </w:tcPr>
          <w:p w14:paraId="06E9BD9B" w14:textId="77777777" w:rsidR="00304598" w:rsidRPr="00167A1B" w:rsidRDefault="00304598" w:rsidP="000C755F">
            <w:pPr>
              <w:keepNext/>
              <w:spacing w:after="0"/>
              <w:jc w:val="left"/>
              <w:rPr>
                <w:rFonts w:ascii="Trebuchet MS" w:hAnsi="Trebuchet MS"/>
                <w:b/>
                <w:bCs/>
                <w:sz w:val="16"/>
                <w:szCs w:val="16"/>
                <w:lang w:eastAsia="en-GB"/>
              </w:rPr>
            </w:pPr>
            <w:r w:rsidRPr="00167A1B">
              <w:rPr>
                <w:rFonts w:ascii="Trebuchet MS" w:hAnsi="Trebuchet MS"/>
                <w:b/>
                <w:bCs/>
                <w:sz w:val="16"/>
                <w:szCs w:val="16"/>
                <w:lang w:eastAsia="en-GB"/>
              </w:rPr>
              <w:t>PO4.b</w:t>
            </w:r>
          </w:p>
        </w:tc>
        <w:tc>
          <w:tcPr>
            <w:tcW w:w="1113" w:type="dxa"/>
            <w:hideMark/>
          </w:tcPr>
          <w:p w14:paraId="501B937D" w14:textId="77777777" w:rsidR="00304598" w:rsidRPr="00167A1B" w:rsidRDefault="00304598" w:rsidP="000C755F">
            <w:pPr>
              <w:keepNext/>
              <w:spacing w:after="0"/>
              <w:jc w:val="left"/>
              <w:rPr>
                <w:rFonts w:ascii="Trebuchet MS" w:hAnsi="Trebuchet MS"/>
                <w:b/>
                <w:bCs/>
                <w:sz w:val="16"/>
                <w:szCs w:val="16"/>
                <w:lang w:eastAsia="en-GB"/>
              </w:rPr>
            </w:pPr>
            <w:r w:rsidRPr="00167A1B">
              <w:rPr>
                <w:rFonts w:ascii="Trebuchet MS" w:hAnsi="Trebuchet MS"/>
                <w:b/>
                <w:bCs/>
                <w:sz w:val="16"/>
                <w:szCs w:val="16"/>
                <w:lang w:eastAsia="en-GB"/>
              </w:rPr>
              <w:t>PO5</w:t>
            </w:r>
          </w:p>
        </w:tc>
      </w:tr>
      <w:tr w:rsidR="00304598" w:rsidRPr="00167A1B" w14:paraId="6199A202" w14:textId="77777777" w:rsidTr="00814371">
        <w:trPr>
          <w:trHeight w:val="270"/>
        </w:trPr>
        <w:tc>
          <w:tcPr>
            <w:tcW w:w="1271" w:type="dxa"/>
            <w:noWrap/>
          </w:tcPr>
          <w:p w14:paraId="12AD2281" w14:textId="77777777" w:rsidR="00304598" w:rsidRPr="00167A1B" w:rsidRDefault="00304598" w:rsidP="000C755F">
            <w:pPr>
              <w:keepNext/>
              <w:spacing w:after="0"/>
              <w:jc w:val="left"/>
              <w:rPr>
                <w:rFonts w:ascii="Arial" w:hAnsi="Arial" w:cs="Arial"/>
                <w:sz w:val="16"/>
                <w:szCs w:val="16"/>
                <w:lang w:eastAsia="en-GB"/>
              </w:rPr>
            </w:pPr>
          </w:p>
        </w:tc>
        <w:tc>
          <w:tcPr>
            <w:tcW w:w="1112" w:type="dxa"/>
          </w:tcPr>
          <w:p w14:paraId="17116C9B" w14:textId="77777777" w:rsidR="00304598" w:rsidRPr="00167A1B" w:rsidRDefault="00304598" w:rsidP="000C755F">
            <w:pPr>
              <w:keepNext/>
              <w:spacing w:after="0"/>
              <w:jc w:val="left"/>
              <w:rPr>
                <w:rFonts w:ascii="Trebuchet MS" w:hAnsi="Trebuchet MS"/>
                <w:b/>
                <w:bCs/>
                <w:sz w:val="16"/>
                <w:szCs w:val="16"/>
                <w:lang w:eastAsia="en-GB"/>
              </w:rPr>
            </w:pPr>
          </w:p>
        </w:tc>
        <w:tc>
          <w:tcPr>
            <w:tcW w:w="1113" w:type="dxa"/>
            <w:tcBorders>
              <w:top w:val="single" w:sz="4" w:space="0" w:color="FFFFFF"/>
              <w:left w:val="single" w:sz="4" w:space="0" w:color="FFFFFF"/>
              <w:bottom w:val="single" w:sz="4" w:space="0" w:color="438EF1" w:themeColor="text2" w:themeTint="99"/>
              <w:right w:val="single" w:sz="4" w:space="0" w:color="FFFFFF"/>
            </w:tcBorders>
          </w:tcPr>
          <w:p w14:paraId="12804390" w14:textId="77777777" w:rsidR="00304598" w:rsidRPr="00167A1B" w:rsidRDefault="00304598" w:rsidP="000C755F">
            <w:pPr>
              <w:keepNext/>
              <w:spacing w:after="0"/>
              <w:jc w:val="left"/>
              <w:rPr>
                <w:rFonts w:ascii="Trebuchet MS" w:hAnsi="Trebuchet MS"/>
                <w:b/>
                <w:bCs/>
                <w:sz w:val="16"/>
                <w:szCs w:val="16"/>
                <w:lang w:eastAsia="en-GB"/>
              </w:rPr>
            </w:pPr>
            <w:r w:rsidRPr="00167A1B">
              <w:rPr>
                <w:rFonts w:ascii="Trebuchet MS" w:hAnsi="Trebuchet MS"/>
                <w:b/>
                <w:sz w:val="16"/>
                <w:szCs w:val="16"/>
              </w:rPr>
              <w:t>Harmonise device-end connectors</w:t>
            </w:r>
          </w:p>
        </w:tc>
        <w:tc>
          <w:tcPr>
            <w:tcW w:w="1113" w:type="dxa"/>
            <w:tcBorders>
              <w:top w:val="single" w:sz="4" w:space="0" w:color="FFFFFF"/>
              <w:left w:val="single" w:sz="4" w:space="0" w:color="FFFFFF"/>
              <w:bottom w:val="single" w:sz="4" w:space="0" w:color="438EF1" w:themeColor="text2" w:themeTint="99"/>
              <w:right w:val="single" w:sz="4" w:space="0" w:color="FFFFFF"/>
            </w:tcBorders>
          </w:tcPr>
          <w:p w14:paraId="5DACA934" w14:textId="31AD5CCC" w:rsidR="00304598" w:rsidRPr="00167A1B" w:rsidRDefault="00304598" w:rsidP="000C755F">
            <w:pPr>
              <w:keepNext/>
              <w:spacing w:after="0"/>
              <w:jc w:val="left"/>
              <w:rPr>
                <w:rFonts w:ascii="Trebuchet MS" w:hAnsi="Trebuchet MS"/>
                <w:b/>
                <w:bCs/>
                <w:sz w:val="16"/>
                <w:szCs w:val="16"/>
                <w:lang w:eastAsia="en-GB"/>
              </w:rPr>
            </w:pPr>
            <w:r w:rsidRPr="00167A1B">
              <w:rPr>
                <w:rFonts w:ascii="Trebuchet MS" w:hAnsi="Trebuchet MS"/>
                <w:b/>
                <w:sz w:val="16"/>
                <w:szCs w:val="16"/>
              </w:rPr>
              <w:t xml:space="preserve">Require </w:t>
            </w:r>
            <w:r w:rsidR="008021A0" w:rsidRPr="00167A1B">
              <w:rPr>
                <w:rFonts w:ascii="Trebuchet MS" w:hAnsi="Trebuchet MS"/>
                <w:b/>
                <w:sz w:val="16"/>
                <w:szCs w:val="16"/>
              </w:rPr>
              <w:t>devices</w:t>
            </w:r>
            <w:r w:rsidRPr="00167A1B">
              <w:rPr>
                <w:rFonts w:ascii="Trebuchet MS" w:hAnsi="Trebuchet MS"/>
                <w:b/>
                <w:sz w:val="16"/>
                <w:szCs w:val="16"/>
              </w:rPr>
              <w:t xml:space="preserve"> to be compatible with USB PD</w:t>
            </w:r>
          </w:p>
        </w:tc>
        <w:tc>
          <w:tcPr>
            <w:tcW w:w="1113" w:type="dxa"/>
            <w:tcBorders>
              <w:top w:val="single" w:sz="4" w:space="0" w:color="FFFFFF"/>
              <w:left w:val="single" w:sz="4" w:space="0" w:color="FFFFFF"/>
              <w:bottom w:val="single" w:sz="4" w:space="0" w:color="438EF1" w:themeColor="text2" w:themeTint="99"/>
              <w:right w:val="single" w:sz="4" w:space="0" w:color="FFFFFF"/>
            </w:tcBorders>
          </w:tcPr>
          <w:p w14:paraId="43E40B14" w14:textId="62CDCA29" w:rsidR="00304598" w:rsidRPr="00167A1B" w:rsidRDefault="00304598" w:rsidP="000C755F">
            <w:pPr>
              <w:keepNext/>
              <w:spacing w:after="0"/>
              <w:jc w:val="left"/>
              <w:rPr>
                <w:rFonts w:ascii="Trebuchet MS" w:hAnsi="Trebuchet MS"/>
                <w:b/>
                <w:bCs/>
                <w:sz w:val="16"/>
                <w:szCs w:val="16"/>
                <w:lang w:eastAsia="en-GB"/>
              </w:rPr>
            </w:pPr>
            <w:r w:rsidRPr="00167A1B">
              <w:rPr>
                <w:rFonts w:ascii="Trebuchet MS" w:hAnsi="Trebuchet MS"/>
                <w:b/>
                <w:sz w:val="16"/>
                <w:szCs w:val="16"/>
              </w:rPr>
              <w:t xml:space="preserve">"Common" EPS for </w:t>
            </w:r>
            <w:r w:rsidR="00CE4C87" w:rsidRPr="00167A1B">
              <w:rPr>
                <w:rFonts w:ascii="Trebuchet MS" w:hAnsi="Trebuchet MS"/>
                <w:b/>
                <w:sz w:val="16"/>
                <w:szCs w:val="16"/>
              </w:rPr>
              <w:t>devices</w:t>
            </w:r>
          </w:p>
        </w:tc>
        <w:tc>
          <w:tcPr>
            <w:tcW w:w="1113" w:type="dxa"/>
            <w:tcBorders>
              <w:top w:val="single" w:sz="4" w:space="0" w:color="FFFFFF"/>
              <w:left w:val="single" w:sz="4" w:space="0" w:color="FFFFFF"/>
              <w:bottom w:val="single" w:sz="4" w:space="0" w:color="438EF1" w:themeColor="text2" w:themeTint="99"/>
              <w:right w:val="single" w:sz="4" w:space="0" w:color="FFFFFF"/>
            </w:tcBorders>
          </w:tcPr>
          <w:p w14:paraId="1E89DA48" w14:textId="77777777" w:rsidR="00304598" w:rsidRPr="00167A1B" w:rsidRDefault="00304598" w:rsidP="000C755F">
            <w:pPr>
              <w:keepNext/>
              <w:spacing w:after="0"/>
              <w:jc w:val="left"/>
              <w:rPr>
                <w:rFonts w:ascii="Trebuchet MS" w:hAnsi="Trebuchet MS"/>
                <w:b/>
                <w:bCs/>
                <w:sz w:val="16"/>
                <w:szCs w:val="16"/>
                <w:lang w:eastAsia="en-GB"/>
              </w:rPr>
            </w:pPr>
            <w:r w:rsidRPr="00167A1B">
              <w:rPr>
                <w:rFonts w:ascii="Trebuchet MS" w:hAnsi="Trebuchet MS"/>
                <w:b/>
                <w:sz w:val="16"/>
                <w:szCs w:val="16"/>
              </w:rPr>
              <w:t>Mandatory unbundling of EPS</w:t>
            </w:r>
          </w:p>
        </w:tc>
        <w:tc>
          <w:tcPr>
            <w:tcW w:w="1113" w:type="dxa"/>
            <w:tcBorders>
              <w:top w:val="single" w:sz="4" w:space="0" w:color="FFFFFF"/>
              <w:left w:val="single" w:sz="4" w:space="0" w:color="FFFFFF"/>
              <w:bottom w:val="single" w:sz="4" w:space="0" w:color="438EF1" w:themeColor="text2" w:themeTint="99"/>
              <w:right w:val="single" w:sz="4" w:space="0" w:color="FFFFFF"/>
            </w:tcBorders>
          </w:tcPr>
          <w:p w14:paraId="2987B1BB" w14:textId="77777777" w:rsidR="00304598" w:rsidRPr="00167A1B" w:rsidRDefault="00304598" w:rsidP="000C755F">
            <w:pPr>
              <w:keepNext/>
              <w:spacing w:after="0"/>
              <w:jc w:val="left"/>
              <w:rPr>
                <w:rFonts w:ascii="Trebuchet MS" w:hAnsi="Trebuchet MS"/>
                <w:b/>
                <w:bCs/>
                <w:sz w:val="16"/>
                <w:szCs w:val="16"/>
                <w:lang w:eastAsia="en-GB"/>
              </w:rPr>
            </w:pPr>
            <w:r w:rsidRPr="00167A1B">
              <w:rPr>
                <w:rFonts w:ascii="Trebuchet MS" w:hAnsi="Trebuchet MS"/>
                <w:b/>
                <w:sz w:val="16"/>
                <w:szCs w:val="16"/>
              </w:rPr>
              <w:t>Mandatory unbundling of EPS and Cable</w:t>
            </w:r>
          </w:p>
        </w:tc>
        <w:tc>
          <w:tcPr>
            <w:tcW w:w="1113" w:type="dxa"/>
            <w:tcBorders>
              <w:top w:val="single" w:sz="4" w:space="0" w:color="FFFFFF"/>
              <w:left w:val="single" w:sz="4" w:space="0" w:color="FFFFFF"/>
              <w:bottom w:val="single" w:sz="4" w:space="0" w:color="438EF1" w:themeColor="text2" w:themeTint="99"/>
              <w:right w:val="single" w:sz="4" w:space="0" w:color="FFFFFF"/>
            </w:tcBorders>
          </w:tcPr>
          <w:p w14:paraId="55BA27E7" w14:textId="77777777" w:rsidR="00304598" w:rsidRPr="00167A1B" w:rsidRDefault="00304598" w:rsidP="000C755F">
            <w:pPr>
              <w:keepNext/>
              <w:spacing w:after="0"/>
              <w:jc w:val="left"/>
              <w:rPr>
                <w:rFonts w:ascii="Trebuchet MS" w:hAnsi="Trebuchet MS"/>
                <w:b/>
                <w:bCs/>
                <w:sz w:val="16"/>
                <w:szCs w:val="16"/>
                <w:lang w:eastAsia="en-GB"/>
              </w:rPr>
            </w:pPr>
            <w:r w:rsidRPr="00167A1B">
              <w:rPr>
                <w:rFonts w:ascii="Trebuchet MS" w:hAnsi="Trebuchet MS"/>
                <w:b/>
                <w:sz w:val="16"/>
                <w:szCs w:val="16"/>
              </w:rPr>
              <w:t>Interoperability labelling / information scheme</w:t>
            </w:r>
          </w:p>
        </w:tc>
      </w:tr>
      <w:tr w:rsidR="00304598" w:rsidRPr="00167A1B" w14:paraId="4E9C6E49" w14:textId="77777777" w:rsidTr="00814371">
        <w:trPr>
          <w:trHeight w:val="270"/>
        </w:trPr>
        <w:tc>
          <w:tcPr>
            <w:tcW w:w="9061" w:type="dxa"/>
            <w:gridSpan w:val="8"/>
            <w:shd w:val="clear" w:color="auto" w:fill="00B0F0"/>
            <w:noWrap/>
          </w:tcPr>
          <w:p w14:paraId="5DE8FF71" w14:textId="77777777" w:rsidR="00304598" w:rsidRPr="00167A1B" w:rsidRDefault="00304598" w:rsidP="000C755F">
            <w:pPr>
              <w:keepNext/>
              <w:spacing w:after="0"/>
              <w:jc w:val="left"/>
              <w:rPr>
                <w:rFonts w:ascii="Trebuchet MS" w:hAnsi="Trebuchet MS"/>
                <w:b/>
                <w:bCs/>
                <w:color w:val="FFFFFF" w:themeColor="background1"/>
                <w:sz w:val="16"/>
                <w:szCs w:val="16"/>
                <w:lang w:eastAsia="en-GB"/>
              </w:rPr>
            </w:pPr>
            <w:r w:rsidRPr="00167A1B">
              <w:rPr>
                <w:rFonts w:ascii="Trebuchet MS" w:hAnsi="Trebuchet MS"/>
                <w:b/>
                <w:bCs/>
                <w:color w:val="FFFFFF" w:themeColor="background1"/>
                <w:sz w:val="16"/>
                <w:szCs w:val="16"/>
                <w:lang w:eastAsia="en-GB"/>
              </w:rPr>
              <w:t>Cost to consumers (NPV million EUR)</w:t>
            </w:r>
          </w:p>
        </w:tc>
      </w:tr>
      <w:tr w:rsidR="00304598" w:rsidRPr="00167A1B" w14:paraId="3DD3F238" w14:textId="77777777" w:rsidTr="00814371">
        <w:trPr>
          <w:trHeight w:val="270"/>
        </w:trPr>
        <w:tc>
          <w:tcPr>
            <w:tcW w:w="1271" w:type="dxa"/>
            <w:noWrap/>
            <w:hideMark/>
          </w:tcPr>
          <w:p w14:paraId="623FD75C" w14:textId="77777777"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Total 2024-2030</w:t>
            </w:r>
          </w:p>
        </w:tc>
        <w:tc>
          <w:tcPr>
            <w:tcW w:w="1112" w:type="dxa"/>
            <w:noWrap/>
            <w:vAlign w:val="bottom"/>
            <w:hideMark/>
          </w:tcPr>
          <w:p w14:paraId="4635D364" w14:textId="35B4A1C1" w:rsidR="00304598" w:rsidRPr="00167A1B" w:rsidRDefault="00304598"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49,960</w:t>
            </w:r>
          </w:p>
        </w:tc>
        <w:tc>
          <w:tcPr>
            <w:tcW w:w="1113" w:type="dxa"/>
            <w:noWrap/>
            <w:vAlign w:val="bottom"/>
            <w:hideMark/>
          </w:tcPr>
          <w:p w14:paraId="19FB7D8B" w14:textId="4D2F4BA5" w:rsidR="00304598" w:rsidRPr="00167A1B" w:rsidRDefault="00304598"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45,619</w:t>
            </w:r>
          </w:p>
        </w:tc>
        <w:tc>
          <w:tcPr>
            <w:tcW w:w="1113" w:type="dxa"/>
            <w:noWrap/>
            <w:vAlign w:val="bottom"/>
            <w:hideMark/>
          </w:tcPr>
          <w:p w14:paraId="600C0BA5" w14:textId="06E48028" w:rsidR="00304598" w:rsidRPr="00167A1B" w:rsidRDefault="00304598"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48,795</w:t>
            </w:r>
          </w:p>
        </w:tc>
        <w:tc>
          <w:tcPr>
            <w:tcW w:w="1113" w:type="dxa"/>
            <w:noWrap/>
            <w:vAlign w:val="bottom"/>
            <w:hideMark/>
          </w:tcPr>
          <w:p w14:paraId="4927A417" w14:textId="547F7923" w:rsidR="00304598" w:rsidRPr="00167A1B" w:rsidRDefault="00304598"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48,900</w:t>
            </w:r>
          </w:p>
        </w:tc>
        <w:tc>
          <w:tcPr>
            <w:tcW w:w="1113" w:type="dxa"/>
            <w:noWrap/>
            <w:vAlign w:val="bottom"/>
            <w:hideMark/>
          </w:tcPr>
          <w:p w14:paraId="10CED675" w14:textId="5D7BBD90" w:rsidR="00304598" w:rsidRPr="00167A1B" w:rsidRDefault="00304598"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52,247</w:t>
            </w:r>
          </w:p>
        </w:tc>
        <w:tc>
          <w:tcPr>
            <w:tcW w:w="1113" w:type="dxa"/>
            <w:noWrap/>
            <w:vAlign w:val="bottom"/>
            <w:hideMark/>
          </w:tcPr>
          <w:p w14:paraId="6A0600A5" w14:textId="5B338FD1" w:rsidR="00304598" w:rsidRPr="00167A1B" w:rsidRDefault="00304598"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49,934</w:t>
            </w:r>
          </w:p>
        </w:tc>
        <w:tc>
          <w:tcPr>
            <w:tcW w:w="1113" w:type="dxa"/>
            <w:noWrap/>
            <w:vAlign w:val="bottom"/>
            <w:hideMark/>
          </w:tcPr>
          <w:p w14:paraId="0353B859" w14:textId="65559A7E" w:rsidR="00304598" w:rsidRPr="00167A1B" w:rsidRDefault="00304598"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49,436</w:t>
            </w:r>
          </w:p>
        </w:tc>
      </w:tr>
      <w:tr w:rsidR="00304598" w:rsidRPr="00167A1B" w14:paraId="039FCA43" w14:textId="77777777" w:rsidTr="00814371">
        <w:trPr>
          <w:trHeight w:val="270"/>
        </w:trPr>
        <w:tc>
          <w:tcPr>
            <w:tcW w:w="1271" w:type="dxa"/>
            <w:noWrap/>
            <w:hideMark/>
          </w:tcPr>
          <w:p w14:paraId="0700178E" w14:textId="77777777"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112" w:type="dxa"/>
            <w:noWrap/>
            <w:vAlign w:val="bottom"/>
            <w:hideMark/>
          </w:tcPr>
          <w:p w14:paraId="29945876" w14:textId="5A0F2FC0"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rPr>
              <w:t> </w:t>
            </w:r>
          </w:p>
        </w:tc>
        <w:tc>
          <w:tcPr>
            <w:tcW w:w="1113" w:type="dxa"/>
            <w:noWrap/>
            <w:vAlign w:val="bottom"/>
            <w:hideMark/>
          </w:tcPr>
          <w:p w14:paraId="3B127159" w14:textId="24A60F14"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-4,341</w:t>
            </w:r>
          </w:p>
        </w:tc>
        <w:tc>
          <w:tcPr>
            <w:tcW w:w="1113" w:type="dxa"/>
            <w:noWrap/>
            <w:vAlign w:val="bottom"/>
            <w:hideMark/>
          </w:tcPr>
          <w:p w14:paraId="4D932BF0" w14:textId="596F45A3"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-1,165</w:t>
            </w:r>
          </w:p>
        </w:tc>
        <w:tc>
          <w:tcPr>
            <w:tcW w:w="1113" w:type="dxa"/>
            <w:noWrap/>
            <w:vAlign w:val="bottom"/>
            <w:hideMark/>
          </w:tcPr>
          <w:p w14:paraId="22097067" w14:textId="59F05D11"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-1,061</w:t>
            </w:r>
          </w:p>
        </w:tc>
        <w:tc>
          <w:tcPr>
            <w:tcW w:w="1113" w:type="dxa"/>
            <w:noWrap/>
            <w:vAlign w:val="bottom"/>
            <w:hideMark/>
          </w:tcPr>
          <w:p w14:paraId="5F29ED91" w14:textId="2FACACCC"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2,287</w:t>
            </w:r>
          </w:p>
        </w:tc>
        <w:tc>
          <w:tcPr>
            <w:tcW w:w="1113" w:type="dxa"/>
            <w:noWrap/>
            <w:vAlign w:val="bottom"/>
            <w:hideMark/>
          </w:tcPr>
          <w:p w14:paraId="668BBED2" w14:textId="271241DA"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006100"/>
                <w:sz w:val="16"/>
                <w:szCs w:val="16"/>
              </w:rPr>
              <w:t>-26</w:t>
            </w:r>
          </w:p>
        </w:tc>
        <w:tc>
          <w:tcPr>
            <w:tcW w:w="1113" w:type="dxa"/>
            <w:noWrap/>
            <w:vAlign w:val="bottom"/>
            <w:hideMark/>
          </w:tcPr>
          <w:p w14:paraId="1A2474C1" w14:textId="5ED0712B"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-524</w:t>
            </w:r>
          </w:p>
        </w:tc>
      </w:tr>
      <w:tr w:rsidR="00304598" w:rsidRPr="00167A1B" w14:paraId="5AF6677F" w14:textId="77777777" w:rsidTr="00814371">
        <w:trPr>
          <w:trHeight w:val="270"/>
        </w:trPr>
        <w:tc>
          <w:tcPr>
            <w:tcW w:w="1271" w:type="dxa"/>
            <w:noWrap/>
            <w:hideMark/>
          </w:tcPr>
          <w:p w14:paraId="241F1E05" w14:textId="77777777"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Annual average</w:t>
            </w:r>
          </w:p>
        </w:tc>
        <w:tc>
          <w:tcPr>
            <w:tcW w:w="1112" w:type="dxa"/>
            <w:noWrap/>
            <w:vAlign w:val="bottom"/>
            <w:hideMark/>
          </w:tcPr>
          <w:p w14:paraId="58CF69B3" w14:textId="7685DF6E" w:rsidR="00304598" w:rsidRPr="00167A1B" w:rsidRDefault="00304598" w:rsidP="000C755F">
            <w:pPr>
              <w:keepNext/>
              <w:spacing w:after="0"/>
              <w:jc w:val="right"/>
              <w:rPr>
                <w:rFonts w:ascii="Trebuchet MS" w:hAnsi="Trebuchet MS"/>
                <w:sz w:val="16"/>
                <w:szCs w:val="16"/>
                <w:lang w:eastAsia="en-GB"/>
              </w:rPr>
            </w:pPr>
            <w:r w:rsidRPr="00167A1B">
              <w:rPr>
                <w:rFonts w:ascii="Trebuchet MS" w:hAnsi="Trebuchet MS"/>
                <w:sz w:val="16"/>
                <w:szCs w:val="16"/>
              </w:rPr>
              <w:t>7,137</w:t>
            </w:r>
          </w:p>
        </w:tc>
        <w:tc>
          <w:tcPr>
            <w:tcW w:w="1113" w:type="dxa"/>
            <w:noWrap/>
            <w:vAlign w:val="bottom"/>
            <w:hideMark/>
          </w:tcPr>
          <w:p w14:paraId="2816E799" w14:textId="19BF8DB7" w:rsidR="00304598" w:rsidRPr="00167A1B" w:rsidRDefault="00304598" w:rsidP="000C755F">
            <w:pPr>
              <w:keepNext/>
              <w:spacing w:after="0"/>
              <w:jc w:val="right"/>
              <w:rPr>
                <w:rFonts w:ascii="Trebuchet MS" w:hAnsi="Trebuchet MS"/>
                <w:sz w:val="16"/>
                <w:szCs w:val="16"/>
                <w:lang w:eastAsia="en-GB"/>
              </w:rPr>
            </w:pPr>
            <w:r w:rsidRPr="00167A1B">
              <w:rPr>
                <w:rFonts w:ascii="Trebuchet MS" w:hAnsi="Trebuchet MS"/>
                <w:sz w:val="16"/>
                <w:szCs w:val="16"/>
              </w:rPr>
              <w:t>6,517</w:t>
            </w:r>
          </w:p>
        </w:tc>
        <w:tc>
          <w:tcPr>
            <w:tcW w:w="1113" w:type="dxa"/>
            <w:noWrap/>
            <w:vAlign w:val="bottom"/>
            <w:hideMark/>
          </w:tcPr>
          <w:p w14:paraId="11BF9DD2" w14:textId="4610BBD1" w:rsidR="00304598" w:rsidRPr="00167A1B" w:rsidRDefault="00304598" w:rsidP="000C755F">
            <w:pPr>
              <w:keepNext/>
              <w:spacing w:after="0"/>
              <w:jc w:val="right"/>
              <w:rPr>
                <w:rFonts w:ascii="Trebuchet MS" w:hAnsi="Trebuchet MS"/>
                <w:sz w:val="16"/>
                <w:szCs w:val="16"/>
                <w:lang w:eastAsia="en-GB"/>
              </w:rPr>
            </w:pPr>
            <w:r w:rsidRPr="00167A1B">
              <w:rPr>
                <w:rFonts w:ascii="Trebuchet MS" w:hAnsi="Trebuchet MS"/>
                <w:sz w:val="16"/>
                <w:szCs w:val="16"/>
              </w:rPr>
              <w:t>6,971</w:t>
            </w:r>
          </w:p>
        </w:tc>
        <w:tc>
          <w:tcPr>
            <w:tcW w:w="1113" w:type="dxa"/>
            <w:noWrap/>
            <w:vAlign w:val="bottom"/>
            <w:hideMark/>
          </w:tcPr>
          <w:p w14:paraId="7F162E78" w14:textId="6CEEAA2C" w:rsidR="00304598" w:rsidRPr="00167A1B" w:rsidRDefault="00304598" w:rsidP="000C755F">
            <w:pPr>
              <w:keepNext/>
              <w:spacing w:after="0"/>
              <w:jc w:val="right"/>
              <w:rPr>
                <w:rFonts w:ascii="Trebuchet MS" w:hAnsi="Trebuchet MS"/>
                <w:sz w:val="16"/>
                <w:szCs w:val="16"/>
                <w:lang w:eastAsia="en-GB"/>
              </w:rPr>
            </w:pPr>
            <w:r w:rsidRPr="00167A1B">
              <w:rPr>
                <w:rFonts w:ascii="Trebuchet MS" w:hAnsi="Trebuchet MS"/>
                <w:sz w:val="16"/>
                <w:szCs w:val="16"/>
              </w:rPr>
              <w:t>6,986</w:t>
            </w:r>
          </w:p>
        </w:tc>
        <w:tc>
          <w:tcPr>
            <w:tcW w:w="1113" w:type="dxa"/>
            <w:noWrap/>
            <w:vAlign w:val="bottom"/>
            <w:hideMark/>
          </w:tcPr>
          <w:p w14:paraId="11019FBE" w14:textId="679CB828" w:rsidR="00304598" w:rsidRPr="00167A1B" w:rsidRDefault="00304598" w:rsidP="000C755F">
            <w:pPr>
              <w:keepNext/>
              <w:spacing w:after="0"/>
              <w:jc w:val="right"/>
              <w:rPr>
                <w:rFonts w:ascii="Trebuchet MS" w:hAnsi="Trebuchet MS"/>
                <w:sz w:val="16"/>
                <w:szCs w:val="16"/>
                <w:lang w:eastAsia="en-GB"/>
              </w:rPr>
            </w:pPr>
            <w:r w:rsidRPr="00167A1B">
              <w:rPr>
                <w:rFonts w:ascii="Trebuchet MS" w:hAnsi="Trebuchet MS"/>
                <w:sz w:val="16"/>
                <w:szCs w:val="16"/>
              </w:rPr>
              <w:t>7,464</w:t>
            </w:r>
          </w:p>
        </w:tc>
        <w:tc>
          <w:tcPr>
            <w:tcW w:w="1113" w:type="dxa"/>
            <w:noWrap/>
            <w:vAlign w:val="bottom"/>
            <w:hideMark/>
          </w:tcPr>
          <w:p w14:paraId="0659F01A" w14:textId="137A9797" w:rsidR="00304598" w:rsidRPr="00167A1B" w:rsidRDefault="00304598" w:rsidP="000C755F">
            <w:pPr>
              <w:keepNext/>
              <w:spacing w:after="0"/>
              <w:jc w:val="right"/>
              <w:rPr>
                <w:rFonts w:ascii="Trebuchet MS" w:hAnsi="Trebuchet MS"/>
                <w:sz w:val="16"/>
                <w:szCs w:val="16"/>
                <w:lang w:eastAsia="en-GB"/>
              </w:rPr>
            </w:pPr>
            <w:r w:rsidRPr="00167A1B">
              <w:rPr>
                <w:rFonts w:ascii="Trebuchet MS" w:hAnsi="Trebuchet MS"/>
                <w:sz w:val="16"/>
                <w:szCs w:val="16"/>
              </w:rPr>
              <w:t>7,133</w:t>
            </w:r>
          </w:p>
        </w:tc>
        <w:tc>
          <w:tcPr>
            <w:tcW w:w="1113" w:type="dxa"/>
            <w:noWrap/>
            <w:vAlign w:val="bottom"/>
            <w:hideMark/>
          </w:tcPr>
          <w:p w14:paraId="435CD223" w14:textId="2E10F6CD" w:rsidR="00304598" w:rsidRPr="00167A1B" w:rsidRDefault="00304598" w:rsidP="000C755F">
            <w:pPr>
              <w:keepNext/>
              <w:spacing w:after="0"/>
              <w:jc w:val="right"/>
              <w:rPr>
                <w:rFonts w:ascii="Trebuchet MS" w:hAnsi="Trebuchet MS"/>
                <w:sz w:val="16"/>
                <w:szCs w:val="16"/>
                <w:lang w:eastAsia="en-GB"/>
              </w:rPr>
            </w:pPr>
            <w:r w:rsidRPr="00167A1B">
              <w:rPr>
                <w:rFonts w:ascii="Trebuchet MS" w:hAnsi="Trebuchet MS"/>
                <w:sz w:val="16"/>
                <w:szCs w:val="16"/>
              </w:rPr>
              <w:t>7,062</w:t>
            </w:r>
          </w:p>
        </w:tc>
      </w:tr>
      <w:tr w:rsidR="00304598" w:rsidRPr="00167A1B" w14:paraId="66357B63" w14:textId="77777777" w:rsidTr="00814371">
        <w:trPr>
          <w:trHeight w:val="270"/>
        </w:trPr>
        <w:tc>
          <w:tcPr>
            <w:tcW w:w="1271" w:type="dxa"/>
            <w:noWrap/>
            <w:hideMark/>
          </w:tcPr>
          <w:p w14:paraId="39ED6AB9" w14:textId="77777777"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112" w:type="dxa"/>
            <w:noWrap/>
            <w:vAlign w:val="bottom"/>
            <w:hideMark/>
          </w:tcPr>
          <w:p w14:paraId="64241126" w14:textId="2AE4519E"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rPr>
              <w:t> </w:t>
            </w:r>
          </w:p>
        </w:tc>
        <w:tc>
          <w:tcPr>
            <w:tcW w:w="1113" w:type="dxa"/>
            <w:noWrap/>
            <w:vAlign w:val="bottom"/>
            <w:hideMark/>
          </w:tcPr>
          <w:p w14:paraId="56B2C5C1" w14:textId="0D92AF90"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-620</w:t>
            </w:r>
          </w:p>
        </w:tc>
        <w:tc>
          <w:tcPr>
            <w:tcW w:w="1113" w:type="dxa"/>
            <w:noWrap/>
            <w:vAlign w:val="bottom"/>
            <w:hideMark/>
          </w:tcPr>
          <w:p w14:paraId="23596CFC" w14:textId="11BB06BB"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-166</w:t>
            </w:r>
          </w:p>
        </w:tc>
        <w:tc>
          <w:tcPr>
            <w:tcW w:w="1113" w:type="dxa"/>
            <w:noWrap/>
            <w:vAlign w:val="bottom"/>
            <w:hideMark/>
          </w:tcPr>
          <w:p w14:paraId="38B6BA4B" w14:textId="7DF3F531"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-152</w:t>
            </w:r>
          </w:p>
        </w:tc>
        <w:tc>
          <w:tcPr>
            <w:tcW w:w="1113" w:type="dxa"/>
            <w:noWrap/>
            <w:vAlign w:val="bottom"/>
            <w:hideMark/>
          </w:tcPr>
          <w:p w14:paraId="5515924E" w14:textId="41D08E67"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327</w:t>
            </w:r>
          </w:p>
        </w:tc>
        <w:tc>
          <w:tcPr>
            <w:tcW w:w="1113" w:type="dxa"/>
            <w:noWrap/>
            <w:vAlign w:val="bottom"/>
            <w:hideMark/>
          </w:tcPr>
          <w:p w14:paraId="379AA9FB" w14:textId="4030087C"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006100"/>
                <w:sz w:val="16"/>
                <w:szCs w:val="16"/>
              </w:rPr>
              <w:t>-4</w:t>
            </w:r>
          </w:p>
        </w:tc>
        <w:tc>
          <w:tcPr>
            <w:tcW w:w="1113" w:type="dxa"/>
            <w:noWrap/>
            <w:vAlign w:val="bottom"/>
            <w:hideMark/>
          </w:tcPr>
          <w:p w14:paraId="4377CE63" w14:textId="7108311A"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-75</w:t>
            </w:r>
          </w:p>
        </w:tc>
      </w:tr>
      <w:tr w:rsidR="00304598" w:rsidRPr="00167A1B" w14:paraId="6107041F" w14:textId="77777777" w:rsidTr="00814371">
        <w:trPr>
          <w:trHeight w:val="270"/>
        </w:trPr>
        <w:tc>
          <w:tcPr>
            <w:tcW w:w="1271" w:type="dxa"/>
            <w:noWrap/>
            <w:hideMark/>
          </w:tcPr>
          <w:p w14:paraId="2CCB737C" w14:textId="77777777"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As %</w:t>
            </w:r>
          </w:p>
        </w:tc>
        <w:tc>
          <w:tcPr>
            <w:tcW w:w="1112" w:type="dxa"/>
            <w:noWrap/>
            <w:vAlign w:val="bottom"/>
            <w:hideMark/>
          </w:tcPr>
          <w:p w14:paraId="141A32D1" w14:textId="4D2D18B0"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rPr>
              <w:t> </w:t>
            </w:r>
          </w:p>
        </w:tc>
        <w:tc>
          <w:tcPr>
            <w:tcW w:w="1113" w:type="dxa"/>
            <w:noWrap/>
            <w:vAlign w:val="bottom"/>
            <w:hideMark/>
          </w:tcPr>
          <w:p w14:paraId="4C1C3C70" w14:textId="182AF802"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-8.7%</w:t>
            </w:r>
          </w:p>
        </w:tc>
        <w:tc>
          <w:tcPr>
            <w:tcW w:w="1113" w:type="dxa"/>
            <w:noWrap/>
            <w:vAlign w:val="bottom"/>
            <w:hideMark/>
          </w:tcPr>
          <w:p w14:paraId="72477D96" w14:textId="191AE3A0"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-2.3%</w:t>
            </w:r>
          </w:p>
        </w:tc>
        <w:tc>
          <w:tcPr>
            <w:tcW w:w="1113" w:type="dxa"/>
            <w:noWrap/>
            <w:vAlign w:val="bottom"/>
            <w:hideMark/>
          </w:tcPr>
          <w:p w14:paraId="3BA9C8B9" w14:textId="555C5F2D"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-2.1%</w:t>
            </w:r>
          </w:p>
        </w:tc>
        <w:tc>
          <w:tcPr>
            <w:tcW w:w="1113" w:type="dxa"/>
            <w:noWrap/>
            <w:vAlign w:val="bottom"/>
            <w:hideMark/>
          </w:tcPr>
          <w:p w14:paraId="7B8623F7" w14:textId="75E9C9E3"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4.6%</w:t>
            </w:r>
          </w:p>
        </w:tc>
        <w:tc>
          <w:tcPr>
            <w:tcW w:w="1113" w:type="dxa"/>
            <w:noWrap/>
            <w:vAlign w:val="bottom"/>
            <w:hideMark/>
          </w:tcPr>
          <w:p w14:paraId="641EB4DD" w14:textId="185CB29A"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006100"/>
                <w:sz w:val="16"/>
                <w:szCs w:val="16"/>
              </w:rPr>
              <w:t>-0.1%</w:t>
            </w:r>
          </w:p>
        </w:tc>
        <w:tc>
          <w:tcPr>
            <w:tcW w:w="1113" w:type="dxa"/>
            <w:noWrap/>
            <w:vAlign w:val="bottom"/>
            <w:hideMark/>
          </w:tcPr>
          <w:p w14:paraId="090D5F20" w14:textId="2553A859"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-1.0%</w:t>
            </w:r>
          </w:p>
        </w:tc>
      </w:tr>
      <w:tr w:rsidR="00304598" w:rsidRPr="00167A1B" w14:paraId="65B59055" w14:textId="77777777" w:rsidTr="00814371">
        <w:trPr>
          <w:trHeight w:val="270"/>
        </w:trPr>
        <w:tc>
          <w:tcPr>
            <w:tcW w:w="9061" w:type="dxa"/>
            <w:gridSpan w:val="8"/>
            <w:shd w:val="clear" w:color="auto" w:fill="00B0F0"/>
            <w:noWrap/>
          </w:tcPr>
          <w:p w14:paraId="65360DA0" w14:textId="77777777" w:rsidR="00304598" w:rsidRPr="00167A1B" w:rsidRDefault="00304598" w:rsidP="000C755F">
            <w:pPr>
              <w:keepNext/>
              <w:spacing w:after="0"/>
              <w:jc w:val="left"/>
              <w:rPr>
                <w:rFonts w:ascii="Trebuchet MS" w:hAnsi="Trebuchet MS"/>
                <w:b/>
                <w:bCs/>
                <w:color w:val="FFFFFF" w:themeColor="background1"/>
                <w:sz w:val="16"/>
                <w:szCs w:val="16"/>
                <w:lang w:eastAsia="en-GB"/>
              </w:rPr>
            </w:pPr>
            <w:r w:rsidRPr="00167A1B">
              <w:rPr>
                <w:rFonts w:ascii="Trebuchet MS" w:hAnsi="Trebuchet MS"/>
                <w:b/>
                <w:bCs/>
                <w:color w:val="FFFFFF" w:themeColor="background1"/>
                <w:sz w:val="16"/>
                <w:szCs w:val="16"/>
                <w:lang w:eastAsia="en-GB"/>
              </w:rPr>
              <w:t>Competitiveness of businesses</w:t>
            </w:r>
          </w:p>
        </w:tc>
      </w:tr>
      <w:tr w:rsidR="00304598" w:rsidRPr="00167A1B" w14:paraId="1C1C32E4" w14:textId="77777777" w:rsidTr="00814371">
        <w:trPr>
          <w:trHeight w:val="270"/>
        </w:trPr>
        <w:tc>
          <w:tcPr>
            <w:tcW w:w="9061" w:type="dxa"/>
            <w:gridSpan w:val="8"/>
            <w:noWrap/>
          </w:tcPr>
          <w:p w14:paraId="016F0B96" w14:textId="77777777" w:rsidR="00304598" w:rsidRPr="00167A1B" w:rsidRDefault="00304598" w:rsidP="000C755F">
            <w:pPr>
              <w:keepNext/>
              <w:spacing w:after="0"/>
              <w:jc w:val="left"/>
              <w:rPr>
                <w:rFonts w:ascii="Trebuchet MS" w:hAnsi="Trebuchet MS"/>
                <w:b/>
                <w:bCs/>
                <w:color w:val="006100"/>
                <w:sz w:val="16"/>
                <w:szCs w:val="16"/>
                <w:lang w:eastAsia="en-GB"/>
              </w:rPr>
            </w:pPr>
            <w:r w:rsidRPr="00167A1B">
              <w:rPr>
                <w:rFonts w:ascii="Trebuchet MS" w:hAnsi="Trebuchet MS"/>
                <w:b/>
                <w:bCs/>
                <w:sz w:val="16"/>
                <w:szCs w:val="16"/>
                <w:lang w:eastAsia="en-GB"/>
              </w:rPr>
              <w:t>Benefit for manufacturers of chargers and wholesalers (NPV million EUR)</w:t>
            </w:r>
          </w:p>
        </w:tc>
      </w:tr>
      <w:tr w:rsidR="00304598" w:rsidRPr="00167A1B" w14:paraId="3F46F12A" w14:textId="77777777" w:rsidTr="00814371">
        <w:trPr>
          <w:trHeight w:val="270"/>
        </w:trPr>
        <w:tc>
          <w:tcPr>
            <w:tcW w:w="1271" w:type="dxa"/>
            <w:noWrap/>
            <w:hideMark/>
          </w:tcPr>
          <w:p w14:paraId="00D90D8E" w14:textId="77777777"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Total 2024-2030</w:t>
            </w:r>
          </w:p>
        </w:tc>
        <w:tc>
          <w:tcPr>
            <w:tcW w:w="1112" w:type="dxa"/>
            <w:noWrap/>
            <w:vAlign w:val="bottom"/>
            <w:hideMark/>
          </w:tcPr>
          <w:p w14:paraId="21E9AC75" w14:textId="41ECFA47" w:rsidR="00304598" w:rsidRPr="00167A1B" w:rsidRDefault="00304598"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14,176</w:t>
            </w:r>
          </w:p>
        </w:tc>
        <w:tc>
          <w:tcPr>
            <w:tcW w:w="1113" w:type="dxa"/>
            <w:noWrap/>
            <w:vAlign w:val="bottom"/>
            <w:hideMark/>
          </w:tcPr>
          <w:p w14:paraId="1C89D89D" w14:textId="29F26D26" w:rsidR="00304598" w:rsidRPr="00167A1B" w:rsidRDefault="00304598"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12,919</w:t>
            </w:r>
          </w:p>
        </w:tc>
        <w:tc>
          <w:tcPr>
            <w:tcW w:w="1113" w:type="dxa"/>
            <w:noWrap/>
            <w:vAlign w:val="bottom"/>
            <w:hideMark/>
          </w:tcPr>
          <w:p w14:paraId="6F47CD08" w14:textId="6DDBE50B" w:rsidR="00304598" w:rsidRPr="00167A1B" w:rsidRDefault="00304598"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13,960</w:t>
            </w:r>
          </w:p>
        </w:tc>
        <w:tc>
          <w:tcPr>
            <w:tcW w:w="1113" w:type="dxa"/>
            <w:noWrap/>
            <w:vAlign w:val="bottom"/>
            <w:hideMark/>
          </w:tcPr>
          <w:p w14:paraId="3091AF7B" w14:textId="0DE2B263" w:rsidR="00304598" w:rsidRPr="00167A1B" w:rsidRDefault="00304598"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14,020</w:t>
            </w:r>
          </w:p>
        </w:tc>
        <w:tc>
          <w:tcPr>
            <w:tcW w:w="1113" w:type="dxa"/>
            <w:noWrap/>
            <w:vAlign w:val="bottom"/>
            <w:hideMark/>
          </w:tcPr>
          <w:p w14:paraId="6005DA06" w14:textId="1AF67D95" w:rsidR="00304598" w:rsidRPr="00167A1B" w:rsidRDefault="00304598"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12,890</w:t>
            </w:r>
          </w:p>
        </w:tc>
        <w:tc>
          <w:tcPr>
            <w:tcW w:w="1113" w:type="dxa"/>
            <w:noWrap/>
            <w:vAlign w:val="bottom"/>
            <w:hideMark/>
          </w:tcPr>
          <w:p w14:paraId="5B89F7F0" w14:textId="138A928B" w:rsidR="00304598" w:rsidRPr="00167A1B" w:rsidRDefault="00304598"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9,987</w:t>
            </w:r>
          </w:p>
        </w:tc>
        <w:tc>
          <w:tcPr>
            <w:tcW w:w="1113" w:type="dxa"/>
            <w:noWrap/>
            <w:vAlign w:val="bottom"/>
            <w:hideMark/>
          </w:tcPr>
          <w:p w14:paraId="56F99145" w14:textId="04DB454E" w:rsidR="00304598" w:rsidRPr="00167A1B" w:rsidRDefault="00304598"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14,071</w:t>
            </w:r>
          </w:p>
        </w:tc>
      </w:tr>
      <w:tr w:rsidR="00304598" w:rsidRPr="00167A1B" w14:paraId="461AB523" w14:textId="77777777" w:rsidTr="00814371">
        <w:trPr>
          <w:trHeight w:val="270"/>
        </w:trPr>
        <w:tc>
          <w:tcPr>
            <w:tcW w:w="1271" w:type="dxa"/>
            <w:noWrap/>
            <w:hideMark/>
          </w:tcPr>
          <w:p w14:paraId="1F9E9DB8" w14:textId="77777777"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112" w:type="dxa"/>
            <w:noWrap/>
            <w:vAlign w:val="bottom"/>
            <w:hideMark/>
          </w:tcPr>
          <w:p w14:paraId="23155DEF" w14:textId="3DD16CE0"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rPr>
              <w:t> </w:t>
            </w:r>
          </w:p>
        </w:tc>
        <w:tc>
          <w:tcPr>
            <w:tcW w:w="1113" w:type="dxa"/>
            <w:noWrap/>
            <w:vAlign w:val="bottom"/>
            <w:hideMark/>
          </w:tcPr>
          <w:p w14:paraId="05C1553F" w14:textId="1703D16B"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-1,257</w:t>
            </w:r>
          </w:p>
        </w:tc>
        <w:tc>
          <w:tcPr>
            <w:tcW w:w="1113" w:type="dxa"/>
            <w:noWrap/>
            <w:vAlign w:val="bottom"/>
            <w:hideMark/>
          </w:tcPr>
          <w:p w14:paraId="64F006EF" w14:textId="0A2353FE"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-215</w:t>
            </w:r>
          </w:p>
        </w:tc>
        <w:tc>
          <w:tcPr>
            <w:tcW w:w="1113" w:type="dxa"/>
            <w:noWrap/>
            <w:vAlign w:val="bottom"/>
            <w:hideMark/>
          </w:tcPr>
          <w:p w14:paraId="6746EFBD" w14:textId="7B592763"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-155</w:t>
            </w:r>
          </w:p>
        </w:tc>
        <w:tc>
          <w:tcPr>
            <w:tcW w:w="1113" w:type="dxa"/>
            <w:noWrap/>
            <w:vAlign w:val="bottom"/>
            <w:hideMark/>
          </w:tcPr>
          <w:p w14:paraId="27681B99" w14:textId="5762FB86"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9C0006"/>
                <w:sz w:val="16"/>
                <w:szCs w:val="16"/>
              </w:rPr>
              <w:t>-1,285</w:t>
            </w:r>
          </w:p>
        </w:tc>
        <w:tc>
          <w:tcPr>
            <w:tcW w:w="1113" w:type="dxa"/>
            <w:noWrap/>
            <w:vAlign w:val="bottom"/>
            <w:hideMark/>
          </w:tcPr>
          <w:p w14:paraId="5FF792AC" w14:textId="52A178C0"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9C0006"/>
                <w:sz w:val="16"/>
                <w:szCs w:val="16"/>
              </w:rPr>
              <w:t>-4,189</w:t>
            </w:r>
          </w:p>
        </w:tc>
        <w:tc>
          <w:tcPr>
            <w:tcW w:w="1113" w:type="dxa"/>
            <w:noWrap/>
            <w:vAlign w:val="bottom"/>
            <w:hideMark/>
          </w:tcPr>
          <w:p w14:paraId="37C2C560" w14:textId="44C592D4"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-105</w:t>
            </w:r>
          </w:p>
        </w:tc>
      </w:tr>
      <w:tr w:rsidR="00304598" w:rsidRPr="00167A1B" w14:paraId="2F1EDCFD" w14:textId="77777777" w:rsidTr="00814371">
        <w:trPr>
          <w:trHeight w:val="270"/>
        </w:trPr>
        <w:tc>
          <w:tcPr>
            <w:tcW w:w="1271" w:type="dxa"/>
            <w:noWrap/>
            <w:hideMark/>
          </w:tcPr>
          <w:p w14:paraId="09A3E193" w14:textId="77777777"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Annual average</w:t>
            </w:r>
          </w:p>
        </w:tc>
        <w:tc>
          <w:tcPr>
            <w:tcW w:w="1112" w:type="dxa"/>
            <w:noWrap/>
            <w:vAlign w:val="bottom"/>
            <w:hideMark/>
          </w:tcPr>
          <w:p w14:paraId="6F11806B" w14:textId="6602713C" w:rsidR="00304598" w:rsidRPr="00167A1B" w:rsidRDefault="00304598" w:rsidP="000C755F">
            <w:pPr>
              <w:keepNext/>
              <w:spacing w:after="0"/>
              <w:jc w:val="right"/>
              <w:rPr>
                <w:rFonts w:ascii="Trebuchet MS" w:hAnsi="Trebuchet MS"/>
                <w:sz w:val="16"/>
                <w:szCs w:val="16"/>
                <w:lang w:eastAsia="en-GB"/>
              </w:rPr>
            </w:pPr>
            <w:r w:rsidRPr="00167A1B">
              <w:rPr>
                <w:rFonts w:ascii="Trebuchet MS" w:hAnsi="Trebuchet MS"/>
                <w:sz w:val="16"/>
                <w:szCs w:val="16"/>
              </w:rPr>
              <w:t>2,025</w:t>
            </w:r>
          </w:p>
        </w:tc>
        <w:tc>
          <w:tcPr>
            <w:tcW w:w="1113" w:type="dxa"/>
            <w:noWrap/>
            <w:vAlign w:val="bottom"/>
            <w:hideMark/>
          </w:tcPr>
          <w:p w14:paraId="0D7875AC" w14:textId="669D98A2" w:rsidR="00304598" w:rsidRPr="00167A1B" w:rsidRDefault="00304598" w:rsidP="000C755F">
            <w:pPr>
              <w:keepNext/>
              <w:spacing w:after="0"/>
              <w:jc w:val="right"/>
              <w:rPr>
                <w:rFonts w:ascii="Trebuchet MS" w:hAnsi="Trebuchet MS"/>
                <w:sz w:val="16"/>
                <w:szCs w:val="16"/>
                <w:lang w:eastAsia="en-GB"/>
              </w:rPr>
            </w:pPr>
            <w:r w:rsidRPr="00167A1B">
              <w:rPr>
                <w:rFonts w:ascii="Trebuchet MS" w:hAnsi="Trebuchet MS"/>
                <w:sz w:val="16"/>
                <w:szCs w:val="16"/>
              </w:rPr>
              <w:t>1,846</w:t>
            </w:r>
          </w:p>
        </w:tc>
        <w:tc>
          <w:tcPr>
            <w:tcW w:w="1113" w:type="dxa"/>
            <w:noWrap/>
            <w:vAlign w:val="bottom"/>
            <w:hideMark/>
          </w:tcPr>
          <w:p w14:paraId="6146F111" w14:textId="4E63A3F2" w:rsidR="00304598" w:rsidRPr="00167A1B" w:rsidRDefault="00304598" w:rsidP="000C755F">
            <w:pPr>
              <w:keepNext/>
              <w:spacing w:after="0"/>
              <w:jc w:val="right"/>
              <w:rPr>
                <w:rFonts w:ascii="Trebuchet MS" w:hAnsi="Trebuchet MS"/>
                <w:sz w:val="16"/>
                <w:szCs w:val="16"/>
                <w:lang w:eastAsia="en-GB"/>
              </w:rPr>
            </w:pPr>
            <w:r w:rsidRPr="00167A1B">
              <w:rPr>
                <w:rFonts w:ascii="Trebuchet MS" w:hAnsi="Trebuchet MS"/>
                <w:sz w:val="16"/>
                <w:szCs w:val="16"/>
              </w:rPr>
              <w:t>1,994</w:t>
            </w:r>
          </w:p>
        </w:tc>
        <w:tc>
          <w:tcPr>
            <w:tcW w:w="1113" w:type="dxa"/>
            <w:noWrap/>
            <w:vAlign w:val="bottom"/>
            <w:hideMark/>
          </w:tcPr>
          <w:p w14:paraId="799B121B" w14:textId="7EDE61E9" w:rsidR="00304598" w:rsidRPr="00167A1B" w:rsidRDefault="00304598" w:rsidP="000C755F">
            <w:pPr>
              <w:keepNext/>
              <w:spacing w:after="0"/>
              <w:jc w:val="right"/>
              <w:rPr>
                <w:rFonts w:ascii="Trebuchet MS" w:hAnsi="Trebuchet MS"/>
                <w:sz w:val="16"/>
                <w:szCs w:val="16"/>
                <w:lang w:eastAsia="en-GB"/>
              </w:rPr>
            </w:pPr>
            <w:r w:rsidRPr="00167A1B">
              <w:rPr>
                <w:rFonts w:ascii="Trebuchet MS" w:hAnsi="Trebuchet MS"/>
                <w:sz w:val="16"/>
                <w:szCs w:val="16"/>
              </w:rPr>
              <w:t>2,003</w:t>
            </w:r>
          </w:p>
        </w:tc>
        <w:tc>
          <w:tcPr>
            <w:tcW w:w="1113" w:type="dxa"/>
            <w:noWrap/>
            <w:vAlign w:val="bottom"/>
            <w:hideMark/>
          </w:tcPr>
          <w:p w14:paraId="4D129C74" w14:textId="42155B2B" w:rsidR="00304598" w:rsidRPr="00167A1B" w:rsidRDefault="00304598" w:rsidP="000C755F">
            <w:pPr>
              <w:keepNext/>
              <w:spacing w:after="0"/>
              <w:jc w:val="right"/>
              <w:rPr>
                <w:rFonts w:ascii="Trebuchet MS" w:hAnsi="Trebuchet MS"/>
                <w:sz w:val="16"/>
                <w:szCs w:val="16"/>
                <w:lang w:eastAsia="en-GB"/>
              </w:rPr>
            </w:pPr>
            <w:r w:rsidRPr="00167A1B">
              <w:rPr>
                <w:rFonts w:ascii="Trebuchet MS" w:hAnsi="Trebuchet MS"/>
                <w:sz w:val="16"/>
                <w:szCs w:val="16"/>
              </w:rPr>
              <w:t>1,841</w:t>
            </w:r>
          </w:p>
        </w:tc>
        <w:tc>
          <w:tcPr>
            <w:tcW w:w="1113" w:type="dxa"/>
            <w:noWrap/>
            <w:vAlign w:val="bottom"/>
            <w:hideMark/>
          </w:tcPr>
          <w:p w14:paraId="5E08F7B7" w14:textId="58A0E4C6" w:rsidR="00304598" w:rsidRPr="00167A1B" w:rsidRDefault="00304598" w:rsidP="000C755F">
            <w:pPr>
              <w:keepNext/>
              <w:spacing w:after="0"/>
              <w:jc w:val="right"/>
              <w:rPr>
                <w:rFonts w:ascii="Trebuchet MS" w:hAnsi="Trebuchet MS"/>
                <w:sz w:val="16"/>
                <w:szCs w:val="16"/>
                <w:lang w:eastAsia="en-GB"/>
              </w:rPr>
            </w:pPr>
            <w:r w:rsidRPr="00167A1B">
              <w:rPr>
                <w:rFonts w:ascii="Trebuchet MS" w:hAnsi="Trebuchet MS"/>
                <w:sz w:val="16"/>
                <w:szCs w:val="16"/>
              </w:rPr>
              <w:t>1,427</w:t>
            </w:r>
          </w:p>
        </w:tc>
        <w:tc>
          <w:tcPr>
            <w:tcW w:w="1113" w:type="dxa"/>
            <w:noWrap/>
            <w:vAlign w:val="bottom"/>
            <w:hideMark/>
          </w:tcPr>
          <w:p w14:paraId="1913FEB3" w14:textId="44C80351" w:rsidR="00304598" w:rsidRPr="00167A1B" w:rsidRDefault="00304598" w:rsidP="000C755F">
            <w:pPr>
              <w:keepNext/>
              <w:spacing w:after="0"/>
              <w:jc w:val="right"/>
              <w:rPr>
                <w:rFonts w:ascii="Trebuchet MS" w:hAnsi="Trebuchet MS"/>
                <w:sz w:val="16"/>
                <w:szCs w:val="16"/>
                <w:lang w:eastAsia="en-GB"/>
              </w:rPr>
            </w:pPr>
            <w:r w:rsidRPr="00167A1B">
              <w:rPr>
                <w:rFonts w:ascii="Trebuchet MS" w:hAnsi="Trebuchet MS"/>
                <w:sz w:val="16"/>
                <w:szCs w:val="16"/>
              </w:rPr>
              <w:t>2,010</w:t>
            </w:r>
          </w:p>
        </w:tc>
      </w:tr>
      <w:tr w:rsidR="00304598" w:rsidRPr="00167A1B" w14:paraId="2DC38041" w14:textId="77777777" w:rsidTr="00814371">
        <w:trPr>
          <w:trHeight w:val="270"/>
        </w:trPr>
        <w:tc>
          <w:tcPr>
            <w:tcW w:w="1271" w:type="dxa"/>
            <w:noWrap/>
            <w:hideMark/>
          </w:tcPr>
          <w:p w14:paraId="4E10A615" w14:textId="77777777"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112" w:type="dxa"/>
            <w:noWrap/>
            <w:vAlign w:val="bottom"/>
            <w:hideMark/>
          </w:tcPr>
          <w:p w14:paraId="6FC05B1A" w14:textId="0E8A8271"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rPr>
              <w:t> </w:t>
            </w:r>
          </w:p>
        </w:tc>
        <w:tc>
          <w:tcPr>
            <w:tcW w:w="1113" w:type="dxa"/>
            <w:noWrap/>
            <w:vAlign w:val="bottom"/>
            <w:hideMark/>
          </w:tcPr>
          <w:p w14:paraId="4173EEBB" w14:textId="0762C4EF"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-180</w:t>
            </w:r>
          </w:p>
        </w:tc>
        <w:tc>
          <w:tcPr>
            <w:tcW w:w="1113" w:type="dxa"/>
            <w:noWrap/>
            <w:vAlign w:val="bottom"/>
            <w:hideMark/>
          </w:tcPr>
          <w:p w14:paraId="179A4032" w14:textId="2000D122"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-31</w:t>
            </w:r>
          </w:p>
        </w:tc>
        <w:tc>
          <w:tcPr>
            <w:tcW w:w="1113" w:type="dxa"/>
            <w:noWrap/>
            <w:vAlign w:val="bottom"/>
            <w:hideMark/>
          </w:tcPr>
          <w:p w14:paraId="139D83DA" w14:textId="417F4E9D"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-22</w:t>
            </w:r>
          </w:p>
        </w:tc>
        <w:tc>
          <w:tcPr>
            <w:tcW w:w="1113" w:type="dxa"/>
            <w:noWrap/>
            <w:vAlign w:val="bottom"/>
            <w:hideMark/>
          </w:tcPr>
          <w:p w14:paraId="1CD7F2D4" w14:textId="7B2F2A06"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9C0006"/>
                <w:sz w:val="16"/>
                <w:szCs w:val="16"/>
              </w:rPr>
              <w:t>-184</w:t>
            </w:r>
          </w:p>
        </w:tc>
        <w:tc>
          <w:tcPr>
            <w:tcW w:w="1113" w:type="dxa"/>
            <w:noWrap/>
            <w:vAlign w:val="bottom"/>
            <w:hideMark/>
          </w:tcPr>
          <w:p w14:paraId="238B5E13" w14:textId="5E929224"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9C0006"/>
                <w:sz w:val="16"/>
                <w:szCs w:val="16"/>
              </w:rPr>
              <w:t>-598</w:t>
            </w:r>
          </w:p>
        </w:tc>
        <w:tc>
          <w:tcPr>
            <w:tcW w:w="1113" w:type="dxa"/>
            <w:noWrap/>
            <w:vAlign w:val="bottom"/>
            <w:hideMark/>
          </w:tcPr>
          <w:p w14:paraId="34A4B514" w14:textId="0D9DB19F"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-15</w:t>
            </w:r>
          </w:p>
        </w:tc>
      </w:tr>
      <w:tr w:rsidR="00304598" w:rsidRPr="00167A1B" w14:paraId="0D530BD9" w14:textId="77777777" w:rsidTr="00814371">
        <w:trPr>
          <w:trHeight w:val="270"/>
        </w:trPr>
        <w:tc>
          <w:tcPr>
            <w:tcW w:w="1271" w:type="dxa"/>
            <w:noWrap/>
            <w:hideMark/>
          </w:tcPr>
          <w:p w14:paraId="401C1C19" w14:textId="77777777"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As %</w:t>
            </w:r>
          </w:p>
        </w:tc>
        <w:tc>
          <w:tcPr>
            <w:tcW w:w="1112" w:type="dxa"/>
            <w:noWrap/>
            <w:vAlign w:val="bottom"/>
            <w:hideMark/>
          </w:tcPr>
          <w:p w14:paraId="116EC6CC" w14:textId="0E386177"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rPr>
              <w:t> </w:t>
            </w:r>
          </w:p>
        </w:tc>
        <w:tc>
          <w:tcPr>
            <w:tcW w:w="1113" w:type="dxa"/>
            <w:noWrap/>
            <w:vAlign w:val="bottom"/>
            <w:hideMark/>
          </w:tcPr>
          <w:p w14:paraId="61CD402C" w14:textId="28336CB3"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-8.9%</w:t>
            </w:r>
          </w:p>
        </w:tc>
        <w:tc>
          <w:tcPr>
            <w:tcW w:w="1113" w:type="dxa"/>
            <w:noWrap/>
            <w:vAlign w:val="bottom"/>
            <w:hideMark/>
          </w:tcPr>
          <w:p w14:paraId="1A23BD71" w14:textId="76E52232"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-1.5%</w:t>
            </w:r>
          </w:p>
        </w:tc>
        <w:tc>
          <w:tcPr>
            <w:tcW w:w="1113" w:type="dxa"/>
            <w:noWrap/>
            <w:vAlign w:val="bottom"/>
            <w:hideMark/>
          </w:tcPr>
          <w:p w14:paraId="68274947" w14:textId="5F78D1ED"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-1.1%</w:t>
            </w:r>
          </w:p>
        </w:tc>
        <w:tc>
          <w:tcPr>
            <w:tcW w:w="1113" w:type="dxa"/>
            <w:noWrap/>
            <w:vAlign w:val="bottom"/>
            <w:hideMark/>
          </w:tcPr>
          <w:p w14:paraId="46330F98" w14:textId="43FE253A"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9C0006"/>
                <w:sz w:val="16"/>
                <w:szCs w:val="16"/>
              </w:rPr>
              <w:t>-9.1%</w:t>
            </w:r>
          </w:p>
        </w:tc>
        <w:tc>
          <w:tcPr>
            <w:tcW w:w="1113" w:type="dxa"/>
            <w:noWrap/>
            <w:vAlign w:val="bottom"/>
            <w:hideMark/>
          </w:tcPr>
          <w:p w14:paraId="2FEA1C27" w14:textId="41CB5D4B" w:rsidR="00304598" w:rsidRPr="00167A1B" w:rsidRDefault="00304598" w:rsidP="000C755F">
            <w:pPr>
              <w:keepNext/>
              <w:spacing w:after="0"/>
              <w:jc w:val="right"/>
              <w:rPr>
                <w:rFonts w:ascii="Trebuchet MS" w:hAnsi="Trebuchet MS"/>
                <w:color w:val="006100"/>
                <w:sz w:val="16"/>
                <w:szCs w:val="16"/>
                <w:lang w:eastAsia="en-GB"/>
              </w:rPr>
            </w:pPr>
            <w:r w:rsidRPr="00167A1B">
              <w:rPr>
                <w:rFonts w:ascii="Trebuchet MS" w:hAnsi="Trebuchet MS"/>
                <w:color w:val="9C0006"/>
                <w:sz w:val="16"/>
                <w:szCs w:val="16"/>
              </w:rPr>
              <w:t>-29.5%</w:t>
            </w:r>
          </w:p>
        </w:tc>
        <w:tc>
          <w:tcPr>
            <w:tcW w:w="1113" w:type="dxa"/>
            <w:noWrap/>
            <w:vAlign w:val="bottom"/>
            <w:hideMark/>
          </w:tcPr>
          <w:p w14:paraId="4346C727" w14:textId="3519A2F8" w:rsidR="00304598" w:rsidRPr="00167A1B" w:rsidRDefault="00304598"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-0.7%</w:t>
            </w:r>
          </w:p>
        </w:tc>
      </w:tr>
      <w:tr w:rsidR="00F975FD" w:rsidRPr="00167A1B" w14:paraId="65B33D95" w14:textId="77777777" w:rsidTr="00814371">
        <w:trPr>
          <w:trHeight w:val="270"/>
        </w:trPr>
        <w:tc>
          <w:tcPr>
            <w:tcW w:w="9061" w:type="dxa"/>
            <w:gridSpan w:val="8"/>
            <w:noWrap/>
          </w:tcPr>
          <w:p w14:paraId="4C514AE6" w14:textId="1E3AFEC4" w:rsidR="00F975FD" w:rsidRPr="00167A1B" w:rsidRDefault="00F975FD" w:rsidP="000C755F">
            <w:pPr>
              <w:keepNext/>
              <w:spacing w:after="0"/>
              <w:jc w:val="left"/>
              <w:rPr>
                <w:rFonts w:ascii="Trebuchet MS" w:hAnsi="Trebuchet MS"/>
                <w:b/>
                <w:bCs/>
                <w:i/>
                <w:iCs/>
                <w:color w:val="006100"/>
                <w:sz w:val="16"/>
                <w:szCs w:val="16"/>
                <w:lang w:eastAsia="en-GB"/>
              </w:rPr>
            </w:pPr>
            <w:r w:rsidRPr="00167A1B">
              <w:rPr>
                <w:rFonts w:ascii="Trebuchet MS" w:hAnsi="Trebuchet MS"/>
                <w:b/>
                <w:bCs/>
                <w:i/>
                <w:iCs/>
                <w:sz w:val="16"/>
                <w:szCs w:val="16"/>
                <w:lang w:eastAsia="en-GB"/>
              </w:rPr>
              <w:t>Of which benefit for EU manufacturers (NPV million EUR)</w:t>
            </w:r>
          </w:p>
        </w:tc>
      </w:tr>
      <w:tr w:rsidR="00F975FD" w:rsidRPr="00167A1B" w14:paraId="07FE05A7" w14:textId="77777777" w:rsidTr="00814371">
        <w:trPr>
          <w:trHeight w:val="270"/>
        </w:trPr>
        <w:tc>
          <w:tcPr>
            <w:tcW w:w="1271" w:type="dxa"/>
            <w:noWrap/>
            <w:hideMark/>
          </w:tcPr>
          <w:p w14:paraId="284E69C7" w14:textId="77777777" w:rsidR="00F975FD" w:rsidRPr="00167A1B" w:rsidRDefault="00F975FD"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Total 2024-2030</w:t>
            </w:r>
          </w:p>
        </w:tc>
        <w:tc>
          <w:tcPr>
            <w:tcW w:w="1112" w:type="dxa"/>
            <w:noWrap/>
            <w:vAlign w:val="bottom"/>
            <w:hideMark/>
          </w:tcPr>
          <w:p w14:paraId="633CB94E" w14:textId="50DBDDBF" w:rsidR="00F975FD" w:rsidRPr="00167A1B" w:rsidRDefault="00F975FD"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1,519</w:t>
            </w:r>
          </w:p>
        </w:tc>
        <w:tc>
          <w:tcPr>
            <w:tcW w:w="1113" w:type="dxa"/>
            <w:noWrap/>
            <w:vAlign w:val="bottom"/>
            <w:hideMark/>
          </w:tcPr>
          <w:p w14:paraId="2B9DC027" w14:textId="51F4879B" w:rsidR="00F975FD" w:rsidRPr="00167A1B" w:rsidRDefault="00F975FD"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1,389</w:t>
            </w:r>
          </w:p>
        </w:tc>
        <w:tc>
          <w:tcPr>
            <w:tcW w:w="1113" w:type="dxa"/>
            <w:noWrap/>
            <w:vAlign w:val="bottom"/>
            <w:hideMark/>
          </w:tcPr>
          <w:p w14:paraId="5DE15156" w14:textId="6BE005B3" w:rsidR="00F975FD" w:rsidRPr="00167A1B" w:rsidRDefault="00F975FD"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1,471</w:t>
            </w:r>
          </w:p>
        </w:tc>
        <w:tc>
          <w:tcPr>
            <w:tcW w:w="1113" w:type="dxa"/>
            <w:noWrap/>
            <w:vAlign w:val="bottom"/>
            <w:hideMark/>
          </w:tcPr>
          <w:p w14:paraId="27FA40C9" w14:textId="2FAE68A3" w:rsidR="00F975FD" w:rsidRPr="00167A1B" w:rsidRDefault="00F975FD"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1,471</w:t>
            </w:r>
          </w:p>
        </w:tc>
        <w:tc>
          <w:tcPr>
            <w:tcW w:w="1113" w:type="dxa"/>
            <w:noWrap/>
            <w:vAlign w:val="bottom"/>
            <w:hideMark/>
          </w:tcPr>
          <w:p w14:paraId="4694321D" w14:textId="469FAE83" w:rsidR="00F975FD" w:rsidRPr="00167A1B" w:rsidRDefault="00F975FD"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1,793</w:t>
            </w:r>
          </w:p>
        </w:tc>
        <w:tc>
          <w:tcPr>
            <w:tcW w:w="1113" w:type="dxa"/>
            <w:noWrap/>
            <w:vAlign w:val="bottom"/>
            <w:hideMark/>
          </w:tcPr>
          <w:p w14:paraId="3E536D3C" w14:textId="73CD5A6E" w:rsidR="00F975FD" w:rsidRPr="00167A1B" w:rsidRDefault="00F975FD"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1,960</w:t>
            </w:r>
          </w:p>
        </w:tc>
        <w:tc>
          <w:tcPr>
            <w:tcW w:w="1113" w:type="dxa"/>
            <w:noWrap/>
            <w:vAlign w:val="bottom"/>
            <w:hideMark/>
          </w:tcPr>
          <w:p w14:paraId="21926373" w14:textId="7E83852E" w:rsidR="00F975FD" w:rsidRPr="00167A1B" w:rsidRDefault="00F975FD" w:rsidP="000C755F">
            <w:pPr>
              <w:keepNext/>
              <w:spacing w:after="0"/>
              <w:jc w:val="right"/>
              <w:rPr>
                <w:rFonts w:ascii="Trebuchet MS" w:hAnsi="Trebuchet MS"/>
                <w:b/>
                <w:bCs/>
                <w:sz w:val="16"/>
                <w:szCs w:val="16"/>
                <w:lang w:eastAsia="en-GB"/>
              </w:rPr>
            </w:pPr>
            <w:r w:rsidRPr="00167A1B">
              <w:rPr>
                <w:rFonts w:ascii="Trebuchet MS" w:hAnsi="Trebuchet MS"/>
                <w:b/>
                <w:bCs/>
                <w:sz w:val="16"/>
                <w:szCs w:val="16"/>
              </w:rPr>
              <w:t>1,498</w:t>
            </w:r>
          </w:p>
        </w:tc>
      </w:tr>
      <w:tr w:rsidR="00F975FD" w:rsidRPr="00167A1B" w14:paraId="1519059D" w14:textId="77777777" w:rsidTr="00814371">
        <w:trPr>
          <w:trHeight w:val="270"/>
        </w:trPr>
        <w:tc>
          <w:tcPr>
            <w:tcW w:w="1271" w:type="dxa"/>
            <w:noWrap/>
            <w:hideMark/>
          </w:tcPr>
          <w:p w14:paraId="372B8719" w14:textId="77777777" w:rsidR="00F975FD" w:rsidRPr="00167A1B" w:rsidRDefault="00F975FD"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112" w:type="dxa"/>
            <w:noWrap/>
            <w:vAlign w:val="bottom"/>
            <w:hideMark/>
          </w:tcPr>
          <w:p w14:paraId="1BEAA319" w14:textId="0DD8CDCA" w:rsidR="00F975FD" w:rsidRPr="00167A1B" w:rsidRDefault="00F975FD" w:rsidP="000C755F">
            <w:pPr>
              <w:keepNext/>
              <w:spacing w:after="0"/>
              <w:jc w:val="left"/>
              <w:rPr>
                <w:rFonts w:ascii="Trebuchet MS" w:hAnsi="Trebuchet MS"/>
                <w:sz w:val="16"/>
                <w:szCs w:val="16"/>
                <w:lang w:eastAsia="en-GB"/>
              </w:rPr>
            </w:pPr>
            <w:r w:rsidRPr="00167A1B">
              <w:rPr>
                <w:rFonts w:ascii="Trebuchet MS" w:hAnsi="Trebuchet MS"/>
                <w:sz w:val="16"/>
                <w:szCs w:val="16"/>
              </w:rPr>
              <w:t> </w:t>
            </w:r>
          </w:p>
        </w:tc>
        <w:tc>
          <w:tcPr>
            <w:tcW w:w="1113" w:type="dxa"/>
            <w:noWrap/>
            <w:vAlign w:val="bottom"/>
            <w:hideMark/>
          </w:tcPr>
          <w:p w14:paraId="137FC7D5" w14:textId="3FC0CD57" w:rsidR="00F975FD" w:rsidRPr="00167A1B" w:rsidRDefault="00F975FD"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-129</w:t>
            </w:r>
          </w:p>
        </w:tc>
        <w:tc>
          <w:tcPr>
            <w:tcW w:w="1113" w:type="dxa"/>
            <w:noWrap/>
            <w:vAlign w:val="bottom"/>
            <w:hideMark/>
          </w:tcPr>
          <w:p w14:paraId="2821F060" w14:textId="22564595" w:rsidR="00F975FD" w:rsidRPr="00167A1B" w:rsidRDefault="00F975FD"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-48</w:t>
            </w:r>
          </w:p>
        </w:tc>
        <w:tc>
          <w:tcPr>
            <w:tcW w:w="1113" w:type="dxa"/>
            <w:noWrap/>
            <w:vAlign w:val="bottom"/>
            <w:hideMark/>
          </w:tcPr>
          <w:p w14:paraId="390F5CFB" w14:textId="4D974CD5" w:rsidR="00F975FD" w:rsidRPr="00167A1B" w:rsidRDefault="00F975FD"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-48</w:t>
            </w:r>
          </w:p>
        </w:tc>
        <w:tc>
          <w:tcPr>
            <w:tcW w:w="1113" w:type="dxa"/>
            <w:noWrap/>
            <w:vAlign w:val="bottom"/>
            <w:hideMark/>
          </w:tcPr>
          <w:p w14:paraId="1D6ED550" w14:textId="711BE2EC" w:rsidR="00F975FD" w:rsidRPr="00167A1B" w:rsidRDefault="00F975FD"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274</w:t>
            </w:r>
          </w:p>
        </w:tc>
        <w:tc>
          <w:tcPr>
            <w:tcW w:w="1113" w:type="dxa"/>
            <w:noWrap/>
            <w:vAlign w:val="bottom"/>
            <w:hideMark/>
          </w:tcPr>
          <w:p w14:paraId="3FFA2685" w14:textId="27B758E8" w:rsidR="00F975FD" w:rsidRPr="00167A1B" w:rsidRDefault="00F975FD"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441</w:t>
            </w:r>
          </w:p>
        </w:tc>
        <w:tc>
          <w:tcPr>
            <w:tcW w:w="1113" w:type="dxa"/>
            <w:noWrap/>
            <w:vAlign w:val="bottom"/>
            <w:hideMark/>
          </w:tcPr>
          <w:p w14:paraId="7AA48897" w14:textId="3BA4C423" w:rsidR="00F975FD" w:rsidRPr="00167A1B" w:rsidRDefault="00F975FD"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-21</w:t>
            </w:r>
          </w:p>
        </w:tc>
      </w:tr>
      <w:tr w:rsidR="00F975FD" w:rsidRPr="00167A1B" w14:paraId="057BD0EF" w14:textId="77777777" w:rsidTr="00814371">
        <w:trPr>
          <w:trHeight w:val="270"/>
        </w:trPr>
        <w:tc>
          <w:tcPr>
            <w:tcW w:w="1271" w:type="dxa"/>
            <w:noWrap/>
            <w:hideMark/>
          </w:tcPr>
          <w:p w14:paraId="7BF91C24" w14:textId="77777777" w:rsidR="00F975FD" w:rsidRPr="00167A1B" w:rsidRDefault="00F975FD"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Annual average</w:t>
            </w:r>
          </w:p>
        </w:tc>
        <w:tc>
          <w:tcPr>
            <w:tcW w:w="1112" w:type="dxa"/>
            <w:noWrap/>
            <w:vAlign w:val="bottom"/>
            <w:hideMark/>
          </w:tcPr>
          <w:p w14:paraId="1EB9958E" w14:textId="56790832" w:rsidR="00F975FD" w:rsidRPr="00167A1B" w:rsidRDefault="00F975FD" w:rsidP="000C755F">
            <w:pPr>
              <w:keepNext/>
              <w:spacing w:after="0"/>
              <w:jc w:val="right"/>
              <w:rPr>
                <w:rFonts w:ascii="Trebuchet MS" w:hAnsi="Trebuchet MS"/>
                <w:sz w:val="16"/>
                <w:szCs w:val="16"/>
                <w:lang w:eastAsia="en-GB"/>
              </w:rPr>
            </w:pPr>
            <w:r w:rsidRPr="00167A1B">
              <w:rPr>
                <w:rFonts w:ascii="Trebuchet MS" w:hAnsi="Trebuchet MS"/>
                <w:sz w:val="16"/>
                <w:szCs w:val="16"/>
              </w:rPr>
              <w:t>217</w:t>
            </w:r>
          </w:p>
        </w:tc>
        <w:tc>
          <w:tcPr>
            <w:tcW w:w="1113" w:type="dxa"/>
            <w:noWrap/>
            <w:vAlign w:val="bottom"/>
            <w:hideMark/>
          </w:tcPr>
          <w:p w14:paraId="50AB2175" w14:textId="2F3C4EDB" w:rsidR="00F975FD" w:rsidRPr="00167A1B" w:rsidRDefault="00F975FD" w:rsidP="000C755F">
            <w:pPr>
              <w:keepNext/>
              <w:spacing w:after="0"/>
              <w:jc w:val="right"/>
              <w:rPr>
                <w:rFonts w:ascii="Trebuchet MS" w:hAnsi="Trebuchet MS"/>
                <w:sz w:val="16"/>
                <w:szCs w:val="16"/>
                <w:lang w:eastAsia="en-GB"/>
              </w:rPr>
            </w:pPr>
            <w:r w:rsidRPr="00167A1B">
              <w:rPr>
                <w:rFonts w:ascii="Trebuchet MS" w:hAnsi="Trebuchet MS"/>
                <w:sz w:val="16"/>
                <w:szCs w:val="16"/>
              </w:rPr>
              <w:t>198</w:t>
            </w:r>
          </w:p>
        </w:tc>
        <w:tc>
          <w:tcPr>
            <w:tcW w:w="1113" w:type="dxa"/>
            <w:noWrap/>
            <w:vAlign w:val="bottom"/>
            <w:hideMark/>
          </w:tcPr>
          <w:p w14:paraId="502F5A2C" w14:textId="0C5B61E4" w:rsidR="00F975FD" w:rsidRPr="00167A1B" w:rsidRDefault="00F975FD" w:rsidP="000C755F">
            <w:pPr>
              <w:keepNext/>
              <w:spacing w:after="0"/>
              <w:jc w:val="right"/>
              <w:rPr>
                <w:rFonts w:ascii="Trebuchet MS" w:hAnsi="Trebuchet MS"/>
                <w:sz w:val="16"/>
                <w:szCs w:val="16"/>
                <w:lang w:eastAsia="en-GB"/>
              </w:rPr>
            </w:pPr>
            <w:r w:rsidRPr="00167A1B">
              <w:rPr>
                <w:rFonts w:ascii="Trebuchet MS" w:hAnsi="Trebuchet MS"/>
                <w:sz w:val="16"/>
                <w:szCs w:val="16"/>
              </w:rPr>
              <w:t>210</w:t>
            </w:r>
          </w:p>
        </w:tc>
        <w:tc>
          <w:tcPr>
            <w:tcW w:w="1113" w:type="dxa"/>
            <w:noWrap/>
            <w:vAlign w:val="bottom"/>
            <w:hideMark/>
          </w:tcPr>
          <w:p w14:paraId="43A32D90" w14:textId="797AD07D" w:rsidR="00F975FD" w:rsidRPr="00167A1B" w:rsidRDefault="00F975FD" w:rsidP="000C755F">
            <w:pPr>
              <w:keepNext/>
              <w:spacing w:after="0"/>
              <w:jc w:val="right"/>
              <w:rPr>
                <w:rFonts w:ascii="Trebuchet MS" w:hAnsi="Trebuchet MS"/>
                <w:sz w:val="16"/>
                <w:szCs w:val="16"/>
                <w:lang w:eastAsia="en-GB"/>
              </w:rPr>
            </w:pPr>
            <w:r w:rsidRPr="00167A1B">
              <w:rPr>
                <w:rFonts w:ascii="Trebuchet MS" w:hAnsi="Trebuchet MS"/>
                <w:sz w:val="16"/>
                <w:szCs w:val="16"/>
              </w:rPr>
              <w:t>210</w:t>
            </w:r>
          </w:p>
        </w:tc>
        <w:tc>
          <w:tcPr>
            <w:tcW w:w="1113" w:type="dxa"/>
            <w:noWrap/>
            <w:vAlign w:val="bottom"/>
            <w:hideMark/>
          </w:tcPr>
          <w:p w14:paraId="6617D683" w14:textId="65E0F502" w:rsidR="00F975FD" w:rsidRPr="00167A1B" w:rsidRDefault="00F975FD" w:rsidP="000C755F">
            <w:pPr>
              <w:keepNext/>
              <w:spacing w:after="0"/>
              <w:jc w:val="right"/>
              <w:rPr>
                <w:rFonts w:ascii="Trebuchet MS" w:hAnsi="Trebuchet MS"/>
                <w:sz w:val="16"/>
                <w:szCs w:val="16"/>
                <w:lang w:eastAsia="en-GB"/>
              </w:rPr>
            </w:pPr>
            <w:r w:rsidRPr="00167A1B">
              <w:rPr>
                <w:rFonts w:ascii="Trebuchet MS" w:hAnsi="Trebuchet MS"/>
                <w:sz w:val="16"/>
                <w:szCs w:val="16"/>
              </w:rPr>
              <w:t>256</w:t>
            </w:r>
          </w:p>
        </w:tc>
        <w:tc>
          <w:tcPr>
            <w:tcW w:w="1113" w:type="dxa"/>
            <w:noWrap/>
            <w:vAlign w:val="bottom"/>
            <w:hideMark/>
          </w:tcPr>
          <w:p w14:paraId="3B8D3A54" w14:textId="42A3D99A" w:rsidR="00F975FD" w:rsidRPr="00167A1B" w:rsidRDefault="00F975FD" w:rsidP="000C755F">
            <w:pPr>
              <w:keepNext/>
              <w:spacing w:after="0"/>
              <w:jc w:val="right"/>
              <w:rPr>
                <w:rFonts w:ascii="Trebuchet MS" w:hAnsi="Trebuchet MS"/>
                <w:sz w:val="16"/>
                <w:szCs w:val="16"/>
                <w:lang w:eastAsia="en-GB"/>
              </w:rPr>
            </w:pPr>
            <w:r w:rsidRPr="00167A1B">
              <w:rPr>
                <w:rFonts w:ascii="Trebuchet MS" w:hAnsi="Trebuchet MS"/>
                <w:sz w:val="16"/>
                <w:szCs w:val="16"/>
              </w:rPr>
              <w:t>280</w:t>
            </w:r>
          </w:p>
        </w:tc>
        <w:tc>
          <w:tcPr>
            <w:tcW w:w="1113" w:type="dxa"/>
            <w:noWrap/>
            <w:vAlign w:val="bottom"/>
            <w:hideMark/>
          </w:tcPr>
          <w:p w14:paraId="34038115" w14:textId="7EDE6F11" w:rsidR="00F975FD" w:rsidRPr="00167A1B" w:rsidRDefault="00F975FD" w:rsidP="000C755F">
            <w:pPr>
              <w:keepNext/>
              <w:spacing w:after="0"/>
              <w:jc w:val="right"/>
              <w:rPr>
                <w:rFonts w:ascii="Trebuchet MS" w:hAnsi="Trebuchet MS"/>
                <w:sz w:val="16"/>
                <w:szCs w:val="16"/>
                <w:lang w:eastAsia="en-GB"/>
              </w:rPr>
            </w:pPr>
            <w:r w:rsidRPr="00167A1B">
              <w:rPr>
                <w:rFonts w:ascii="Trebuchet MS" w:hAnsi="Trebuchet MS"/>
                <w:sz w:val="16"/>
                <w:szCs w:val="16"/>
              </w:rPr>
              <w:t>214</w:t>
            </w:r>
          </w:p>
        </w:tc>
      </w:tr>
      <w:tr w:rsidR="00F975FD" w:rsidRPr="00167A1B" w14:paraId="5DD04A69" w14:textId="77777777" w:rsidTr="00814371">
        <w:trPr>
          <w:trHeight w:val="270"/>
        </w:trPr>
        <w:tc>
          <w:tcPr>
            <w:tcW w:w="1271" w:type="dxa"/>
            <w:noWrap/>
            <w:hideMark/>
          </w:tcPr>
          <w:p w14:paraId="7A0B0D2E" w14:textId="77777777" w:rsidR="00F975FD" w:rsidRPr="00167A1B" w:rsidRDefault="00F975FD"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112" w:type="dxa"/>
            <w:noWrap/>
            <w:vAlign w:val="bottom"/>
            <w:hideMark/>
          </w:tcPr>
          <w:p w14:paraId="15058BEF" w14:textId="65C22B28" w:rsidR="00F975FD" w:rsidRPr="00167A1B" w:rsidRDefault="00F975FD" w:rsidP="000C755F">
            <w:pPr>
              <w:keepNext/>
              <w:spacing w:after="0"/>
              <w:jc w:val="left"/>
              <w:rPr>
                <w:rFonts w:ascii="Trebuchet MS" w:hAnsi="Trebuchet MS"/>
                <w:sz w:val="16"/>
                <w:szCs w:val="16"/>
                <w:lang w:eastAsia="en-GB"/>
              </w:rPr>
            </w:pPr>
            <w:r w:rsidRPr="00167A1B">
              <w:rPr>
                <w:rFonts w:ascii="Trebuchet MS" w:hAnsi="Trebuchet MS"/>
                <w:sz w:val="16"/>
                <w:szCs w:val="16"/>
              </w:rPr>
              <w:t> </w:t>
            </w:r>
          </w:p>
        </w:tc>
        <w:tc>
          <w:tcPr>
            <w:tcW w:w="1113" w:type="dxa"/>
            <w:noWrap/>
            <w:vAlign w:val="bottom"/>
            <w:hideMark/>
          </w:tcPr>
          <w:p w14:paraId="10D60ACC" w14:textId="1394CDE6" w:rsidR="00F975FD" w:rsidRPr="00167A1B" w:rsidRDefault="00F975FD"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-18</w:t>
            </w:r>
          </w:p>
        </w:tc>
        <w:tc>
          <w:tcPr>
            <w:tcW w:w="1113" w:type="dxa"/>
            <w:noWrap/>
            <w:vAlign w:val="bottom"/>
            <w:hideMark/>
          </w:tcPr>
          <w:p w14:paraId="7E68E5B5" w14:textId="2B9AE33E" w:rsidR="00F975FD" w:rsidRPr="00167A1B" w:rsidRDefault="00F975FD"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-7</w:t>
            </w:r>
          </w:p>
        </w:tc>
        <w:tc>
          <w:tcPr>
            <w:tcW w:w="1113" w:type="dxa"/>
            <w:noWrap/>
            <w:vAlign w:val="bottom"/>
            <w:hideMark/>
          </w:tcPr>
          <w:p w14:paraId="19415A66" w14:textId="2A756137" w:rsidR="00F975FD" w:rsidRPr="00167A1B" w:rsidRDefault="00F975FD"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-7</w:t>
            </w:r>
          </w:p>
        </w:tc>
        <w:tc>
          <w:tcPr>
            <w:tcW w:w="1113" w:type="dxa"/>
            <w:noWrap/>
            <w:vAlign w:val="bottom"/>
            <w:hideMark/>
          </w:tcPr>
          <w:p w14:paraId="7B35C874" w14:textId="6E14AFD7" w:rsidR="00F975FD" w:rsidRPr="00167A1B" w:rsidRDefault="00F975FD"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39</w:t>
            </w:r>
          </w:p>
        </w:tc>
        <w:tc>
          <w:tcPr>
            <w:tcW w:w="1113" w:type="dxa"/>
            <w:noWrap/>
            <w:vAlign w:val="bottom"/>
            <w:hideMark/>
          </w:tcPr>
          <w:p w14:paraId="5957FC55" w14:textId="7609DEA6" w:rsidR="00F975FD" w:rsidRPr="00167A1B" w:rsidRDefault="00F975FD"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63</w:t>
            </w:r>
          </w:p>
        </w:tc>
        <w:tc>
          <w:tcPr>
            <w:tcW w:w="1113" w:type="dxa"/>
            <w:noWrap/>
            <w:vAlign w:val="bottom"/>
            <w:hideMark/>
          </w:tcPr>
          <w:p w14:paraId="1F781BD4" w14:textId="2F01A3F9" w:rsidR="00F975FD" w:rsidRPr="00167A1B" w:rsidRDefault="00F975FD"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-3</w:t>
            </w:r>
          </w:p>
        </w:tc>
      </w:tr>
      <w:tr w:rsidR="00F975FD" w:rsidRPr="00167A1B" w14:paraId="5CAA33BD" w14:textId="77777777" w:rsidTr="00814371">
        <w:trPr>
          <w:trHeight w:val="270"/>
        </w:trPr>
        <w:tc>
          <w:tcPr>
            <w:tcW w:w="1271" w:type="dxa"/>
            <w:noWrap/>
            <w:hideMark/>
          </w:tcPr>
          <w:p w14:paraId="1AC39967" w14:textId="77777777" w:rsidR="00F975FD" w:rsidRPr="00167A1B" w:rsidRDefault="00F975FD"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As %</w:t>
            </w:r>
          </w:p>
        </w:tc>
        <w:tc>
          <w:tcPr>
            <w:tcW w:w="1112" w:type="dxa"/>
            <w:noWrap/>
            <w:vAlign w:val="bottom"/>
            <w:hideMark/>
          </w:tcPr>
          <w:p w14:paraId="5CE0D68A" w14:textId="27D481CD" w:rsidR="00F975FD" w:rsidRPr="00167A1B" w:rsidRDefault="00F975FD" w:rsidP="000C755F">
            <w:pPr>
              <w:keepNext/>
              <w:spacing w:after="0"/>
              <w:jc w:val="left"/>
              <w:rPr>
                <w:rFonts w:ascii="Trebuchet MS" w:hAnsi="Trebuchet MS"/>
                <w:sz w:val="16"/>
                <w:szCs w:val="16"/>
                <w:lang w:eastAsia="en-GB"/>
              </w:rPr>
            </w:pPr>
            <w:r w:rsidRPr="00167A1B">
              <w:rPr>
                <w:rFonts w:ascii="Trebuchet MS" w:hAnsi="Trebuchet MS"/>
                <w:sz w:val="16"/>
                <w:szCs w:val="16"/>
              </w:rPr>
              <w:t> </w:t>
            </w:r>
          </w:p>
        </w:tc>
        <w:tc>
          <w:tcPr>
            <w:tcW w:w="1113" w:type="dxa"/>
            <w:noWrap/>
            <w:vAlign w:val="bottom"/>
            <w:hideMark/>
          </w:tcPr>
          <w:p w14:paraId="389348F8" w14:textId="5902A97E" w:rsidR="00F975FD" w:rsidRPr="00167A1B" w:rsidRDefault="00F975FD"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-8.5%</w:t>
            </w:r>
          </w:p>
        </w:tc>
        <w:tc>
          <w:tcPr>
            <w:tcW w:w="1113" w:type="dxa"/>
            <w:noWrap/>
            <w:vAlign w:val="bottom"/>
            <w:hideMark/>
          </w:tcPr>
          <w:p w14:paraId="05632DF6" w14:textId="1EC71C00" w:rsidR="00F975FD" w:rsidRPr="00167A1B" w:rsidRDefault="00F975FD"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-3.1%</w:t>
            </w:r>
          </w:p>
        </w:tc>
        <w:tc>
          <w:tcPr>
            <w:tcW w:w="1113" w:type="dxa"/>
            <w:noWrap/>
            <w:vAlign w:val="bottom"/>
            <w:hideMark/>
          </w:tcPr>
          <w:p w14:paraId="48E6DE01" w14:textId="601E13AE" w:rsidR="00F975FD" w:rsidRPr="00167A1B" w:rsidRDefault="00F975FD"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-3.1%</w:t>
            </w:r>
          </w:p>
        </w:tc>
        <w:tc>
          <w:tcPr>
            <w:tcW w:w="1113" w:type="dxa"/>
            <w:noWrap/>
            <w:vAlign w:val="bottom"/>
            <w:hideMark/>
          </w:tcPr>
          <w:p w14:paraId="5BDFA993" w14:textId="197A7796" w:rsidR="00F975FD" w:rsidRPr="00167A1B" w:rsidRDefault="00F975FD"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18.0%</w:t>
            </w:r>
          </w:p>
        </w:tc>
        <w:tc>
          <w:tcPr>
            <w:tcW w:w="1113" w:type="dxa"/>
            <w:noWrap/>
            <w:vAlign w:val="bottom"/>
            <w:hideMark/>
          </w:tcPr>
          <w:p w14:paraId="2E7944BF" w14:textId="63CC4236" w:rsidR="00F975FD" w:rsidRPr="00167A1B" w:rsidRDefault="00F975FD" w:rsidP="000C755F">
            <w:pPr>
              <w:keepNext/>
              <w:spacing w:after="0"/>
              <w:jc w:val="right"/>
              <w:rPr>
                <w:rFonts w:ascii="Trebuchet MS" w:hAnsi="Trebuchet MS"/>
                <w:color w:val="006100"/>
                <w:sz w:val="16"/>
                <w:szCs w:val="16"/>
                <w:lang w:eastAsia="en-GB"/>
              </w:rPr>
            </w:pPr>
            <w:r w:rsidRPr="00167A1B">
              <w:rPr>
                <w:rFonts w:ascii="Trebuchet MS" w:hAnsi="Trebuchet MS"/>
                <w:color w:val="006100"/>
                <w:sz w:val="16"/>
                <w:szCs w:val="16"/>
              </w:rPr>
              <w:t>29.0%</w:t>
            </w:r>
          </w:p>
        </w:tc>
        <w:tc>
          <w:tcPr>
            <w:tcW w:w="1113" w:type="dxa"/>
            <w:noWrap/>
            <w:vAlign w:val="bottom"/>
            <w:hideMark/>
          </w:tcPr>
          <w:p w14:paraId="7D4F0CC7" w14:textId="779ECAE0" w:rsidR="00F975FD" w:rsidRPr="00167A1B" w:rsidRDefault="00F975FD" w:rsidP="000C755F">
            <w:pPr>
              <w:keepNext/>
              <w:spacing w:after="0"/>
              <w:jc w:val="right"/>
              <w:rPr>
                <w:rFonts w:ascii="Trebuchet MS" w:hAnsi="Trebuchet MS"/>
                <w:color w:val="9C0006"/>
                <w:sz w:val="16"/>
                <w:szCs w:val="16"/>
                <w:lang w:eastAsia="en-GB"/>
              </w:rPr>
            </w:pPr>
            <w:r w:rsidRPr="00167A1B">
              <w:rPr>
                <w:rFonts w:ascii="Trebuchet MS" w:hAnsi="Trebuchet MS"/>
                <w:color w:val="9C0006"/>
                <w:sz w:val="16"/>
                <w:szCs w:val="16"/>
              </w:rPr>
              <w:t>-1.4%</w:t>
            </w:r>
          </w:p>
        </w:tc>
      </w:tr>
      <w:tr w:rsidR="00304598" w:rsidRPr="00167A1B" w14:paraId="29BB93CC" w14:textId="77777777" w:rsidTr="00814371">
        <w:trPr>
          <w:trHeight w:val="270"/>
        </w:trPr>
        <w:tc>
          <w:tcPr>
            <w:tcW w:w="9061" w:type="dxa"/>
            <w:gridSpan w:val="8"/>
            <w:noWrap/>
          </w:tcPr>
          <w:p w14:paraId="45FA2DCB" w14:textId="77777777" w:rsidR="00304598" w:rsidRPr="00167A1B" w:rsidRDefault="00304598" w:rsidP="000C755F">
            <w:pPr>
              <w:keepNext/>
              <w:spacing w:after="0"/>
              <w:jc w:val="left"/>
              <w:rPr>
                <w:rFonts w:ascii="Trebuchet MS" w:hAnsi="Trebuchet MS"/>
                <w:b/>
                <w:bCs/>
                <w:color w:val="9C0006"/>
                <w:sz w:val="16"/>
                <w:szCs w:val="16"/>
              </w:rPr>
            </w:pPr>
            <w:r w:rsidRPr="00167A1B">
              <w:rPr>
                <w:rFonts w:ascii="Trebuchet MS" w:hAnsi="Trebuchet MS"/>
                <w:b/>
                <w:bCs/>
                <w:sz w:val="16"/>
                <w:szCs w:val="16"/>
                <w:lang w:eastAsia="en-GB"/>
              </w:rPr>
              <w:t>Benefit for distributors and retailers until point of sale [NPV million EUR]</w:t>
            </w:r>
          </w:p>
        </w:tc>
      </w:tr>
      <w:tr w:rsidR="00304598" w:rsidRPr="00167A1B" w14:paraId="5E793959" w14:textId="77777777" w:rsidTr="00814371">
        <w:trPr>
          <w:trHeight w:val="270"/>
        </w:trPr>
        <w:tc>
          <w:tcPr>
            <w:tcW w:w="1271" w:type="dxa"/>
            <w:noWrap/>
          </w:tcPr>
          <w:p w14:paraId="1C21C4CA" w14:textId="77777777"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Total 2024-2030</w:t>
            </w:r>
          </w:p>
        </w:tc>
        <w:tc>
          <w:tcPr>
            <w:tcW w:w="1112" w:type="dxa"/>
            <w:noWrap/>
            <w:vAlign w:val="bottom"/>
          </w:tcPr>
          <w:p w14:paraId="56873E64" w14:textId="5E7025A6" w:rsidR="00304598" w:rsidRPr="00167A1B" w:rsidRDefault="00304598" w:rsidP="000C755F">
            <w:pPr>
              <w:keepNext/>
              <w:spacing w:after="0"/>
              <w:jc w:val="left"/>
              <w:rPr>
                <w:rFonts w:ascii="Trebuchet MS" w:hAnsi="Trebuchet MS"/>
                <w:sz w:val="16"/>
                <w:szCs w:val="16"/>
              </w:rPr>
            </w:pPr>
            <w:r w:rsidRPr="00167A1B">
              <w:rPr>
                <w:rFonts w:ascii="Trebuchet MS" w:hAnsi="Trebuchet MS"/>
                <w:b/>
                <w:bCs/>
                <w:sz w:val="16"/>
                <w:szCs w:val="16"/>
              </w:rPr>
              <w:t>21,609</w:t>
            </w:r>
          </w:p>
        </w:tc>
        <w:tc>
          <w:tcPr>
            <w:tcW w:w="1113" w:type="dxa"/>
            <w:noWrap/>
            <w:vAlign w:val="bottom"/>
          </w:tcPr>
          <w:p w14:paraId="1D716755" w14:textId="22670693"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b/>
                <w:bCs/>
                <w:sz w:val="16"/>
                <w:szCs w:val="16"/>
              </w:rPr>
              <w:t>19,781</w:t>
            </w:r>
          </w:p>
        </w:tc>
        <w:tc>
          <w:tcPr>
            <w:tcW w:w="1113" w:type="dxa"/>
            <w:noWrap/>
            <w:vAlign w:val="bottom"/>
          </w:tcPr>
          <w:p w14:paraId="2295FC07" w14:textId="2DB0AF45"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b/>
                <w:bCs/>
                <w:sz w:val="16"/>
                <w:szCs w:val="16"/>
              </w:rPr>
              <w:t>20,874</w:t>
            </w:r>
          </w:p>
        </w:tc>
        <w:tc>
          <w:tcPr>
            <w:tcW w:w="1113" w:type="dxa"/>
            <w:noWrap/>
            <w:vAlign w:val="bottom"/>
          </w:tcPr>
          <w:p w14:paraId="6EF24B58" w14:textId="43864586"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b/>
                <w:bCs/>
                <w:sz w:val="16"/>
                <w:szCs w:val="16"/>
              </w:rPr>
              <w:t>20,859</w:t>
            </w:r>
          </w:p>
        </w:tc>
        <w:tc>
          <w:tcPr>
            <w:tcW w:w="1113" w:type="dxa"/>
            <w:noWrap/>
            <w:vAlign w:val="bottom"/>
          </w:tcPr>
          <w:p w14:paraId="60414EA7" w14:textId="7C12C89A" w:rsidR="00304598" w:rsidRPr="00167A1B" w:rsidRDefault="00304598" w:rsidP="000C755F">
            <w:pPr>
              <w:keepNext/>
              <w:spacing w:after="0"/>
              <w:jc w:val="right"/>
              <w:rPr>
                <w:rFonts w:ascii="Trebuchet MS" w:hAnsi="Trebuchet MS"/>
                <w:color w:val="006100"/>
                <w:sz w:val="16"/>
                <w:szCs w:val="16"/>
              </w:rPr>
            </w:pPr>
            <w:r w:rsidRPr="00167A1B">
              <w:rPr>
                <w:rFonts w:ascii="Trebuchet MS" w:hAnsi="Trebuchet MS"/>
                <w:b/>
                <w:bCs/>
                <w:sz w:val="16"/>
                <w:szCs w:val="16"/>
              </w:rPr>
              <w:t>26,466</w:t>
            </w:r>
          </w:p>
        </w:tc>
        <w:tc>
          <w:tcPr>
            <w:tcW w:w="1113" w:type="dxa"/>
            <w:noWrap/>
            <w:vAlign w:val="bottom"/>
          </w:tcPr>
          <w:p w14:paraId="447334DC" w14:textId="52FA0AA3" w:rsidR="00304598" w:rsidRPr="00167A1B" w:rsidRDefault="00304598" w:rsidP="000C755F">
            <w:pPr>
              <w:keepNext/>
              <w:spacing w:after="0"/>
              <w:jc w:val="right"/>
              <w:rPr>
                <w:rFonts w:ascii="Trebuchet MS" w:hAnsi="Trebuchet MS"/>
                <w:color w:val="006100"/>
                <w:sz w:val="16"/>
                <w:szCs w:val="16"/>
              </w:rPr>
            </w:pPr>
            <w:r w:rsidRPr="00167A1B">
              <w:rPr>
                <w:rFonts w:ascii="Trebuchet MS" w:hAnsi="Trebuchet MS"/>
                <w:b/>
                <w:bCs/>
                <w:sz w:val="16"/>
                <w:szCs w:val="16"/>
              </w:rPr>
              <w:t>29,961</w:t>
            </w:r>
          </w:p>
        </w:tc>
        <w:tc>
          <w:tcPr>
            <w:tcW w:w="1113" w:type="dxa"/>
            <w:noWrap/>
            <w:vAlign w:val="bottom"/>
          </w:tcPr>
          <w:p w14:paraId="12BFADBF" w14:textId="365BC9CF"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b/>
                <w:bCs/>
                <w:sz w:val="16"/>
                <w:szCs w:val="16"/>
              </w:rPr>
              <w:t>21,294</w:t>
            </w:r>
          </w:p>
        </w:tc>
      </w:tr>
      <w:tr w:rsidR="00304598" w:rsidRPr="00167A1B" w14:paraId="70337D50" w14:textId="77777777" w:rsidTr="00814371">
        <w:trPr>
          <w:trHeight w:val="270"/>
        </w:trPr>
        <w:tc>
          <w:tcPr>
            <w:tcW w:w="1271" w:type="dxa"/>
            <w:noWrap/>
          </w:tcPr>
          <w:p w14:paraId="6B99F7AD" w14:textId="77777777"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112" w:type="dxa"/>
            <w:noWrap/>
            <w:vAlign w:val="bottom"/>
          </w:tcPr>
          <w:p w14:paraId="0CBF9AB7" w14:textId="65D32233" w:rsidR="00304598" w:rsidRPr="00167A1B" w:rsidRDefault="00304598" w:rsidP="000C755F">
            <w:pPr>
              <w:keepNext/>
              <w:spacing w:after="0"/>
              <w:jc w:val="left"/>
              <w:rPr>
                <w:rFonts w:ascii="Trebuchet MS" w:hAnsi="Trebuchet MS"/>
                <w:sz w:val="16"/>
                <w:szCs w:val="16"/>
              </w:rPr>
            </w:pPr>
            <w:r w:rsidRPr="00167A1B">
              <w:rPr>
                <w:rFonts w:ascii="Trebuchet MS" w:hAnsi="Trebuchet MS"/>
                <w:sz w:val="16"/>
                <w:szCs w:val="16"/>
              </w:rPr>
              <w:t> </w:t>
            </w:r>
          </w:p>
        </w:tc>
        <w:tc>
          <w:tcPr>
            <w:tcW w:w="1113" w:type="dxa"/>
            <w:noWrap/>
            <w:vAlign w:val="bottom"/>
          </w:tcPr>
          <w:p w14:paraId="2D9F237E" w14:textId="2F81C468"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color w:val="9C0006"/>
                <w:sz w:val="16"/>
                <w:szCs w:val="16"/>
              </w:rPr>
              <w:t>-1,828</w:t>
            </w:r>
          </w:p>
        </w:tc>
        <w:tc>
          <w:tcPr>
            <w:tcW w:w="1113" w:type="dxa"/>
            <w:noWrap/>
            <w:vAlign w:val="bottom"/>
          </w:tcPr>
          <w:p w14:paraId="4D21576A" w14:textId="7F0C1029"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color w:val="9C0006"/>
                <w:sz w:val="16"/>
                <w:szCs w:val="16"/>
              </w:rPr>
              <w:t>-735</w:t>
            </w:r>
          </w:p>
        </w:tc>
        <w:tc>
          <w:tcPr>
            <w:tcW w:w="1113" w:type="dxa"/>
            <w:noWrap/>
            <w:vAlign w:val="bottom"/>
          </w:tcPr>
          <w:p w14:paraId="132351A8" w14:textId="608C54AC"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color w:val="9C0006"/>
                <w:sz w:val="16"/>
                <w:szCs w:val="16"/>
              </w:rPr>
              <w:t>-750</w:t>
            </w:r>
          </w:p>
        </w:tc>
        <w:tc>
          <w:tcPr>
            <w:tcW w:w="1113" w:type="dxa"/>
            <w:noWrap/>
            <w:vAlign w:val="bottom"/>
          </w:tcPr>
          <w:p w14:paraId="4D004CD5" w14:textId="4B241285" w:rsidR="00304598" w:rsidRPr="00167A1B" w:rsidRDefault="00304598" w:rsidP="000C755F">
            <w:pPr>
              <w:keepNext/>
              <w:spacing w:after="0"/>
              <w:jc w:val="right"/>
              <w:rPr>
                <w:rFonts w:ascii="Trebuchet MS" w:hAnsi="Trebuchet MS"/>
                <w:color w:val="006100"/>
                <w:sz w:val="16"/>
                <w:szCs w:val="16"/>
              </w:rPr>
            </w:pPr>
            <w:r w:rsidRPr="00167A1B">
              <w:rPr>
                <w:rFonts w:ascii="Trebuchet MS" w:hAnsi="Trebuchet MS"/>
                <w:color w:val="006100"/>
                <w:sz w:val="16"/>
                <w:szCs w:val="16"/>
              </w:rPr>
              <w:t>4,857</w:t>
            </w:r>
          </w:p>
        </w:tc>
        <w:tc>
          <w:tcPr>
            <w:tcW w:w="1113" w:type="dxa"/>
            <w:noWrap/>
            <w:vAlign w:val="bottom"/>
          </w:tcPr>
          <w:p w14:paraId="1F906711" w14:textId="60566794" w:rsidR="00304598" w:rsidRPr="00167A1B" w:rsidRDefault="00304598" w:rsidP="000C755F">
            <w:pPr>
              <w:keepNext/>
              <w:spacing w:after="0"/>
              <w:jc w:val="right"/>
              <w:rPr>
                <w:rFonts w:ascii="Trebuchet MS" w:hAnsi="Trebuchet MS"/>
                <w:color w:val="006100"/>
                <w:sz w:val="16"/>
                <w:szCs w:val="16"/>
              </w:rPr>
            </w:pPr>
            <w:r w:rsidRPr="00167A1B">
              <w:rPr>
                <w:rFonts w:ascii="Trebuchet MS" w:hAnsi="Trebuchet MS"/>
                <w:color w:val="006100"/>
                <w:sz w:val="16"/>
                <w:szCs w:val="16"/>
              </w:rPr>
              <w:t>8,352</w:t>
            </w:r>
          </w:p>
        </w:tc>
        <w:tc>
          <w:tcPr>
            <w:tcW w:w="1113" w:type="dxa"/>
            <w:noWrap/>
            <w:vAlign w:val="bottom"/>
          </w:tcPr>
          <w:p w14:paraId="01CEA8EF" w14:textId="72B7DFBC"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color w:val="9C0006"/>
                <w:sz w:val="16"/>
                <w:szCs w:val="16"/>
              </w:rPr>
              <w:t>-315</w:t>
            </w:r>
          </w:p>
        </w:tc>
      </w:tr>
      <w:tr w:rsidR="00304598" w:rsidRPr="00167A1B" w14:paraId="34B2812E" w14:textId="77777777" w:rsidTr="00814371">
        <w:trPr>
          <w:trHeight w:val="270"/>
        </w:trPr>
        <w:tc>
          <w:tcPr>
            <w:tcW w:w="1271" w:type="dxa"/>
            <w:noWrap/>
          </w:tcPr>
          <w:p w14:paraId="025B5184" w14:textId="77777777"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Annual average</w:t>
            </w:r>
          </w:p>
        </w:tc>
        <w:tc>
          <w:tcPr>
            <w:tcW w:w="1112" w:type="dxa"/>
            <w:noWrap/>
            <w:vAlign w:val="bottom"/>
          </w:tcPr>
          <w:p w14:paraId="0452EB48" w14:textId="45D53352" w:rsidR="00304598" w:rsidRPr="00167A1B" w:rsidRDefault="00304598" w:rsidP="000C755F">
            <w:pPr>
              <w:keepNext/>
              <w:spacing w:after="0"/>
              <w:jc w:val="left"/>
              <w:rPr>
                <w:rFonts w:ascii="Trebuchet MS" w:hAnsi="Trebuchet MS"/>
                <w:sz w:val="16"/>
                <w:szCs w:val="16"/>
              </w:rPr>
            </w:pPr>
            <w:r w:rsidRPr="00167A1B">
              <w:rPr>
                <w:rFonts w:ascii="Trebuchet MS" w:hAnsi="Trebuchet MS"/>
                <w:sz w:val="16"/>
                <w:szCs w:val="16"/>
              </w:rPr>
              <w:t>3,087</w:t>
            </w:r>
          </w:p>
        </w:tc>
        <w:tc>
          <w:tcPr>
            <w:tcW w:w="1113" w:type="dxa"/>
            <w:noWrap/>
            <w:vAlign w:val="bottom"/>
          </w:tcPr>
          <w:p w14:paraId="7C18D0B8" w14:textId="756DE0B4"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sz w:val="16"/>
                <w:szCs w:val="16"/>
              </w:rPr>
              <w:t>2,826</w:t>
            </w:r>
          </w:p>
        </w:tc>
        <w:tc>
          <w:tcPr>
            <w:tcW w:w="1113" w:type="dxa"/>
            <w:noWrap/>
            <w:vAlign w:val="bottom"/>
          </w:tcPr>
          <w:p w14:paraId="5F0C1014" w14:textId="55DCF513"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sz w:val="16"/>
                <w:szCs w:val="16"/>
              </w:rPr>
              <w:t>2,982</w:t>
            </w:r>
          </w:p>
        </w:tc>
        <w:tc>
          <w:tcPr>
            <w:tcW w:w="1113" w:type="dxa"/>
            <w:noWrap/>
            <w:vAlign w:val="bottom"/>
          </w:tcPr>
          <w:p w14:paraId="6CD1B9E3" w14:textId="1DBCCE22"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sz w:val="16"/>
                <w:szCs w:val="16"/>
              </w:rPr>
              <w:t>2,980</w:t>
            </w:r>
          </w:p>
        </w:tc>
        <w:tc>
          <w:tcPr>
            <w:tcW w:w="1113" w:type="dxa"/>
            <w:noWrap/>
            <w:vAlign w:val="bottom"/>
          </w:tcPr>
          <w:p w14:paraId="44D52583" w14:textId="06AB5613" w:rsidR="00304598" w:rsidRPr="00167A1B" w:rsidRDefault="00304598" w:rsidP="000C755F">
            <w:pPr>
              <w:keepNext/>
              <w:spacing w:after="0"/>
              <w:jc w:val="right"/>
              <w:rPr>
                <w:rFonts w:ascii="Trebuchet MS" w:hAnsi="Trebuchet MS"/>
                <w:color w:val="006100"/>
                <w:sz w:val="16"/>
                <w:szCs w:val="16"/>
              </w:rPr>
            </w:pPr>
            <w:r w:rsidRPr="00167A1B">
              <w:rPr>
                <w:rFonts w:ascii="Trebuchet MS" w:hAnsi="Trebuchet MS"/>
                <w:sz w:val="16"/>
                <w:szCs w:val="16"/>
              </w:rPr>
              <w:t>3,781</w:t>
            </w:r>
          </w:p>
        </w:tc>
        <w:tc>
          <w:tcPr>
            <w:tcW w:w="1113" w:type="dxa"/>
            <w:noWrap/>
            <w:vAlign w:val="bottom"/>
          </w:tcPr>
          <w:p w14:paraId="400CE9BB" w14:textId="25CCA30C" w:rsidR="00304598" w:rsidRPr="00167A1B" w:rsidRDefault="00304598" w:rsidP="000C755F">
            <w:pPr>
              <w:keepNext/>
              <w:spacing w:after="0"/>
              <w:jc w:val="right"/>
              <w:rPr>
                <w:rFonts w:ascii="Trebuchet MS" w:hAnsi="Trebuchet MS"/>
                <w:color w:val="006100"/>
                <w:sz w:val="16"/>
                <w:szCs w:val="16"/>
              </w:rPr>
            </w:pPr>
            <w:r w:rsidRPr="00167A1B">
              <w:rPr>
                <w:rFonts w:ascii="Trebuchet MS" w:hAnsi="Trebuchet MS"/>
                <w:sz w:val="16"/>
                <w:szCs w:val="16"/>
              </w:rPr>
              <w:t>4,280</w:t>
            </w:r>
          </w:p>
        </w:tc>
        <w:tc>
          <w:tcPr>
            <w:tcW w:w="1113" w:type="dxa"/>
            <w:noWrap/>
            <w:vAlign w:val="bottom"/>
          </w:tcPr>
          <w:p w14:paraId="4A6F8E4A" w14:textId="78395FC9"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sz w:val="16"/>
                <w:szCs w:val="16"/>
              </w:rPr>
              <w:t>3,042</w:t>
            </w:r>
          </w:p>
        </w:tc>
      </w:tr>
      <w:tr w:rsidR="00304598" w:rsidRPr="00167A1B" w14:paraId="1171D9D5" w14:textId="77777777" w:rsidTr="00814371">
        <w:trPr>
          <w:trHeight w:val="270"/>
        </w:trPr>
        <w:tc>
          <w:tcPr>
            <w:tcW w:w="1271" w:type="dxa"/>
            <w:noWrap/>
          </w:tcPr>
          <w:p w14:paraId="3F128273" w14:textId="77777777"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112" w:type="dxa"/>
            <w:noWrap/>
            <w:vAlign w:val="bottom"/>
          </w:tcPr>
          <w:p w14:paraId="44234D38" w14:textId="01DE7294" w:rsidR="00304598" w:rsidRPr="00167A1B" w:rsidRDefault="00304598" w:rsidP="000C755F">
            <w:pPr>
              <w:keepNext/>
              <w:spacing w:after="0"/>
              <w:jc w:val="left"/>
              <w:rPr>
                <w:rFonts w:ascii="Trebuchet MS" w:hAnsi="Trebuchet MS"/>
                <w:sz w:val="16"/>
                <w:szCs w:val="16"/>
              </w:rPr>
            </w:pPr>
            <w:r w:rsidRPr="00167A1B">
              <w:rPr>
                <w:rFonts w:ascii="Trebuchet MS" w:hAnsi="Trebuchet MS"/>
                <w:sz w:val="16"/>
                <w:szCs w:val="16"/>
              </w:rPr>
              <w:t> </w:t>
            </w:r>
          </w:p>
        </w:tc>
        <w:tc>
          <w:tcPr>
            <w:tcW w:w="1113" w:type="dxa"/>
            <w:noWrap/>
            <w:vAlign w:val="bottom"/>
          </w:tcPr>
          <w:p w14:paraId="19563636" w14:textId="63ABBEB0"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color w:val="9C0006"/>
                <w:sz w:val="16"/>
                <w:szCs w:val="16"/>
              </w:rPr>
              <w:t>-261</w:t>
            </w:r>
          </w:p>
        </w:tc>
        <w:tc>
          <w:tcPr>
            <w:tcW w:w="1113" w:type="dxa"/>
            <w:noWrap/>
            <w:vAlign w:val="bottom"/>
          </w:tcPr>
          <w:p w14:paraId="1B6A796E" w14:textId="1CCD26A3"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color w:val="9C0006"/>
                <w:sz w:val="16"/>
                <w:szCs w:val="16"/>
              </w:rPr>
              <w:t>-105</w:t>
            </w:r>
          </w:p>
        </w:tc>
        <w:tc>
          <w:tcPr>
            <w:tcW w:w="1113" w:type="dxa"/>
            <w:noWrap/>
            <w:vAlign w:val="bottom"/>
          </w:tcPr>
          <w:p w14:paraId="5EC13332" w14:textId="6748452D"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color w:val="9C0006"/>
                <w:sz w:val="16"/>
                <w:szCs w:val="16"/>
              </w:rPr>
              <w:t>-107</w:t>
            </w:r>
          </w:p>
        </w:tc>
        <w:tc>
          <w:tcPr>
            <w:tcW w:w="1113" w:type="dxa"/>
            <w:noWrap/>
            <w:vAlign w:val="bottom"/>
          </w:tcPr>
          <w:p w14:paraId="34D5F4E2" w14:textId="4B5F7AD8" w:rsidR="00304598" w:rsidRPr="00167A1B" w:rsidRDefault="00304598" w:rsidP="000C755F">
            <w:pPr>
              <w:keepNext/>
              <w:spacing w:after="0"/>
              <w:jc w:val="right"/>
              <w:rPr>
                <w:rFonts w:ascii="Trebuchet MS" w:hAnsi="Trebuchet MS"/>
                <w:color w:val="006100"/>
                <w:sz w:val="16"/>
                <w:szCs w:val="16"/>
              </w:rPr>
            </w:pPr>
            <w:r w:rsidRPr="00167A1B">
              <w:rPr>
                <w:rFonts w:ascii="Trebuchet MS" w:hAnsi="Trebuchet MS"/>
                <w:color w:val="006100"/>
                <w:sz w:val="16"/>
                <w:szCs w:val="16"/>
              </w:rPr>
              <w:t>694</w:t>
            </w:r>
          </w:p>
        </w:tc>
        <w:tc>
          <w:tcPr>
            <w:tcW w:w="1113" w:type="dxa"/>
            <w:noWrap/>
            <w:vAlign w:val="bottom"/>
          </w:tcPr>
          <w:p w14:paraId="0F205546" w14:textId="641DB081" w:rsidR="00304598" w:rsidRPr="00167A1B" w:rsidRDefault="00304598" w:rsidP="000C755F">
            <w:pPr>
              <w:keepNext/>
              <w:spacing w:after="0"/>
              <w:jc w:val="right"/>
              <w:rPr>
                <w:rFonts w:ascii="Trebuchet MS" w:hAnsi="Trebuchet MS"/>
                <w:color w:val="006100"/>
                <w:sz w:val="16"/>
                <w:szCs w:val="16"/>
              </w:rPr>
            </w:pPr>
            <w:r w:rsidRPr="00167A1B">
              <w:rPr>
                <w:rFonts w:ascii="Trebuchet MS" w:hAnsi="Trebuchet MS"/>
                <w:color w:val="006100"/>
                <w:sz w:val="16"/>
                <w:szCs w:val="16"/>
              </w:rPr>
              <w:t>1,193</w:t>
            </w:r>
          </w:p>
        </w:tc>
        <w:tc>
          <w:tcPr>
            <w:tcW w:w="1113" w:type="dxa"/>
            <w:noWrap/>
            <w:vAlign w:val="bottom"/>
          </w:tcPr>
          <w:p w14:paraId="667429BB" w14:textId="15D14FB3"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color w:val="9C0006"/>
                <w:sz w:val="16"/>
                <w:szCs w:val="16"/>
              </w:rPr>
              <w:t>-45</w:t>
            </w:r>
          </w:p>
        </w:tc>
      </w:tr>
      <w:tr w:rsidR="00304598" w:rsidRPr="00167A1B" w14:paraId="3E187AE4" w14:textId="77777777" w:rsidTr="00814371">
        <w:trPr>
          <w:trHeight w:val="270"/>
        </w:trPr>
        <w:tc>
          <w:tcPr>
            <w:tcW w:w="1271" w:type="dxa"/>
            <w:noWrap/>
          </w:tcPr>
          <w:p w14:paraId="57BE6D43" w14:textId="77777777" w:rsidR="00304598" w:rsidRPr="00167A1B" w:rsidRDefault="00304598" w:rsidP="000C755F">
            <w:pPr>
              <w:keepNext/>
              <w:spacing w:after="0"/>
              <w:jc w:val="left"/>
              <w:rPr>
                <w:rFonts w:ascii="Trebuchet MS" w:hAnsi="Trebuchet MS"/>
                <w:sz w:val="16"/>
                <w:szCs w:val="16"/>
                <w:lang w:eastAsia="en-GB"/>
              </w:rPr>
            </w:pPr>
            <w:r w:rsidRPr="00167A1B">
              <w:rPr>
                <w:rFonts w:ascii="Trebuchet MS" w:hAnsi="Trebuchet MS"/>
                <w:sz w:val="16"/>
                <w:szCs w:val="16"/>
                <w:lang w:eastAsia="en-GB"/>
              </w:rPr>
              <w:t>As %</w:t>
            </w:r>
          </w:p>
        </w:tc>
        <w:tc>
          <w:tcPr>
            <w:tcW w:w="1112" w:type="dxa"/>
            <w:noWrap/>
            <w:vAlign w:val="bottom"/>
          </w:tcPr>
          <w:p w14:paraId="3F72759D" w14:textId="719C496D" w:rsidR="00304598" w:rsidRPr="00167A1B" w:rsidRDefault="00304598" w:rsidP="000C755F">
            <w:pPr>
              <w:keepNext/>
              <w:spacing w:after="0"/>
              <w:jc w:val="left"/>
              <w:rPr>
                <w:rFonts w:ascii="Trebuchet MS" w:hAnsi="Trebuchet MS"/>
                <w:sz w:val="16"/>
                <w:szCs w:val="16"/>
              </w:rPr>
            </w:pPr>
            <w:r w:rsidRPr="00167A1B">
              <w:rPr>
                <w:rFonts w:ascii="Trebuchet MS" w:hAnsi="Trebuchet MS"/>
                <w:sz w:val="16"/>
                <w:szCs w:val="16"/>
              </w:rPr>
              <w:t> </w:t>
            </w:r>
          </w:p>
        </w:tc>
        <w:tc>
          <w:tcPr>
            <w:tcW w:w="1113" w:type="dxa"/>
            <w:noWrap/>
            <w:vAlign w:val="bottom"/>
          </w:tcPr>
          <w:p w14:paraId="2516CC72" w14:textId="5BC0FF95"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color w:val="9C0006"/>
                <w:sz w:val="16"/>
                <w:szCs w:val="16"/>
              </w:rPr>
              <w:t>-8%</w:t>
            </w:r>
          </w:p>
        </w:tc>
        <w:tc>
          <w:tcPr>
            <w:tcW w:w="1113" w:type="dxa"/>
            <w:noWrap/>
            <w:vAlign w:val="bottom"/>
          </w:tcPr>
          <w:p w14:paraId="76AE0508" w14:textId="773BEE38"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color w:val="9C0006"/>
                <w:sz w:val="16"/>
                <w:szCs w:val="16"/>
              </w:rPr>
              <w:t>-3%</w:t>
            </w:r>
          </w:p>
        </w:tc>
        <w:tc>
          <w:tcPr>
            <w:tcW w:w="1113" w:type="dxa"/>
            <w:noWrap/>
            <w:vAlign w:val="bottom"/>
          </w:tcPr>
          <w:p w14:paraId="0D03F906" w14:textId="0DAE1CBF"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color w:val="9C0006"/>
                <w:sz w:val="16"/>
                <w:szCs w:val="16"/>
              </w:rPr>
              <w:t>-3%</w:t>
            </w:r>
          </w:p>
        </w:tc>
        <w:tc>
          <w:tcPr>
            <w:tcW w:w="1113" w:type="dxa"/>
            <w:noWrap/>
            <w:vAlign w:val="bottom"/>
          </w:tcPr>
          <w:p w14:paraId="6C750B0E" w14:textId="463E6728" w:rsidR="00304598" w:rsidRPr="00167A1B" w:rsidRDefault="00304598" w:rsidP="000C755F">
            <w:pPr>
              <w:keepNext/>
              <w:spacing w:after="0"/>
              <w:jc w:val="right"/>
              <w:rPr>
                <w:rFonts w:ascii="Trebuchet MS" w:hAnsi="Trebuchet MS"/>
                <w:color w:val="006100"/>
                <w:sz w:val="16"/>
                <w:szCs w:val="16"/>
              </w:rPr>
            </w:pPr>
            <w:r w:rsidRPr="00167A1B">
              <w:rPr>
                <w:rFonts w:ascii="Trebuchet MS" w:hAnsi="Trebuchet MS"/>
                <w:color w:val="006100"/>
                <w:sz w:val="16"/>
                <w:szCs w:val="16"/>
              </w:rPr>
              <w:t>22%</w:t>
            </w:r>
          </w:p>
        </w:tc>
        <w:tc>
          <w:tcPr>
            <w:tcW w:w="1113" w:type="dxa"/>
            <w:noWrap/>
            <w:vAlign w:val="bottom"/>
          </w:tcPr>
          <w:p w14:paraId="61361AE9" w14:textId="50A592D2" w:rsidR="00304598" w:rsidRPr="00167A1B" w:rsidRDefault="00304598" w:rsidP="000C755F">
            <w:pPr>
              <w:keepNext/>
              <w:spacing w:after="0"/>
              <w:jc w:val="right"/>
              <w:rPr>
                <w:rFonts w:ascii="Trebuchet MS" w:hAnsi="Trebuchet MS"/>
                <w:color w:val="006100"/>
                <w:sz w:val="16"/>
                <w:szCs w:val="16"/>
              </w:rPr>
            </w:pPr>
            <w:r w:rsidRPr="00167A1B">
              <w:rPr>
                <w:rFonts w:ascii="Trebuchet MS" w:hAnsi="Trebuchet MS"/>
                <w:color w:val="006100"/>
                <w:sz w:val="16"/>
                <w:szCs w:val="16"/>
              </w:rPr>
              <w:t>39%</w:t>
            </w:r>
          </w:p>
        </w:tc>
        <w:tc>
          <w:tcPr>
            <w:tcW w:w="1113" w:type="dxa"/>
            <w:noWrap/>
            <w:vAlign w:val="bottom"/>
          </w:tcPr>
          <w:p w14:paraId="73B33C2D" w14:textId="099A4141" w:rsidR="00304598" w:rsidRPr="00167A1B" w:rsidRDefault="00304598" w:rsidP="000C755F">
            <w:pPr>
              <w:keepNext/>
              <w:spacing w:after="0"/>
              <w:jc w:val="right"/>
              <w:rPr>
                <w:rFonts w:ascii="Trebuchet MS" w:hAnsi="Trebuchet MS"/>
                <w:color w:val="9C0006"/>
                <w:sz w:val="16"/>
                <w:szCs w:val="16"/>
              </w:rPr>
            </w:pPr>
            <w:r w:rsidRPr="00167A1B">
              <w:rPr>
                <w:rFonts w:ascii="Trebuchet MS" w:hAnsi="Trebuchet MS"/>
                <w:color w:val="9C0006"/>
                <w:sz w:val="16"/>
                <w:szCs w:val="16"/>
              </w:rPr>
              <w:t>-1%</w:t>
            </w:r>
          </w:p>
        </w:tc>
      </w:tr>
    </w:tbl>
    <w:p w14:paraId="66E74BFE" w14:textId="616F1B66" w:rsidR="005F0066" w:rsidRPr="00167A1B" w:rsidRDefault="000C755F" w:rsidP="00BC4FE7">
      <w:pPr>
        <w:pStyle w:val="Caption"/>
        <w:jc w:val="both"/>
        <w:rPr>
          <w:i w:val="0"/>
          <w:iCs/>
        </w:rPr>
      </w:pPr>
      <w:r w:rsidRPr="00167A1B">
        <w:rPr>
          <w:b/>
          <w:i w:val="0"/>
          <w:iCs/>
          <w:szCs w:val="18"/>
        </w:rPr>
        <w:t>Source:</w:t>
      </w:r>
      <w:r w:rsidRPr="00167A1B">
        <w:rPr>
          <w:i w:val="0"/>
          <w:iCs/>
          <w:szCs w:val="18"/>
        </w:rPr>
        <w:t xml:space="preserve">  Own TRI-STOCK-CHARGER model calculations. </w:t>
      </w:r>
      <w:r w:rsidR="00304598" w:rsidRPr="00167A1B">
        <w:rPr>
          <w:i w:val="0"/>
          <w:iCs/>
        </w:rPr>
        <w:t xml:space="preserve"> </w:t>
      </w:r>
    </w:p>
    <w:p w14:paraId="46253C1A" w14:textId="09095182" w:rsidR="008B4225" w:rsidRPr="00167A1B" w:rsidRDefault="008B4225" w:rsidP="008B4225">
      <w:pPr>
        <w:pStyle w:val="Subtitle10"/>
        <w:rPr>
          <w:noProof w:val="0"/>
        </w:rPr>
      </w:pPr>
      <w:r w:rsidRPr="00167A1B">
        <w:rPr>
          <w:noProof w:val="0"/>
        </w:rPr>
        <w:t>Option 1</w:t>
      </w:r>
    </w:p>
    <w:p w14:paraId="4588AA03" w14:textId="2FA2339D" w:rsidR="008B4225" w:rsidRPr="00167A1B" w:rsidRDefault="005F0066" w:rsidP="008F65B2">
      <w:pPr>
        <w:pStyle w:val="BodyText1"/>
        <w:rPr>
          <w:noProof w:val="0"/>
        </w:rPr>
      </w:pPr>
      <w:r w:rsidRPr="00167A1B">
        <w:rPr>
          <w:noProof w:val="0"/>
        </w:rPr>
        <w:t xml:space="preserve">As explained above, the obligatory use of USB Type-C receptacles could potentially be applied to tablets, cameras, hearing devices, hand-held video consoles, </w:t>
      </w:r>
      <w:r w:rsidR="00B94085" w:rsidRPr="00167A1B">
        <w:rPr>
          <w:noProof w:val="0"/>
        </w:rPr>
        <w:t xml:space="preserve">and portable speakers, </w:t>
      </w:r>
      <w:r w:rsidRPr="00167A1B">
        <w:rPr>
          <w:noProof w:val="0"/>
        </w:rPr>
        <w:t xml:space="preserve">but not the other </w:t>
      </w:r>
      <w:r w:rsidR="00B94085" w:rsidRPr="00167A1B">
        <w:rPr>
          <w:noProof w:val="0"/>
        </w:rPr>
        <w:t xml:space="preserve">two </w:t>
      </w:r>
      <w:r w:rsidRPr="00167A1B">
        <w:rPr>
          <w:noProof w:val="0"/>
        </w:rPr>
        <w:t>categories of devices (see section 6.1).</w:t>
      </w:r>
    </w:p>
    <w:p w14:paraId="5246E19E" w14:textId="3B585512" w:rsidR="008B4225" w:rsidRPr="00167A1B" w:rsidRDefault="005F0066" w:rsidP="008F65B2">
      <w:pPr>
        <w:pStyle w:val="BodyText1"/>
        <w:rPr>
          <w:noProof w:val="0"/>
        </w:rPr>
      </w:pPr>
      <w:r w:rsidRPr="00167A1B">
        <w:rPr>
          <w:noProof w:val="0"/>
        </w:rPr>
        <w:t>The impacts of this would mirror the impacts of this option on mobile phones, with the following specific considerations:</w:t>
      </w:r>
    </w:p>
    <w:p w14:paraId="5E7044DD" w14:textId="0FD0C844" w:rsidR="00B94085" w:rsidRPr="00167A1B" w:rsidRDefault="00B94085" w:rsidP="005F0066">
      <w:pPr>
        <w:pStyle w:val="bullet1"/>
        <w:rPr>
          <w:noProof w:val="0"/>
        </w:rPr>
      </w:pPr>
      <w:r w:rsidRPr="00167A1B">
        <w:rPr>
          <w:noProof w:val="0"/>
        </w:rPr>
        <w:t xml:space="preserve">Tablets: The impacts on the environment, consumers, and manufacturers of tablets are very similar to the impacts described in section 5 for mobile phones. Manufacturers of </w:t>
      </w:r>
      <w:r w:rsidR="003E0944" w:rsidRPr="00167A1B">
        <w:rPr>
          <w:noProof w:val="0"/>
        </w:rPr>
        <w:t>t</w:t>
      </w:r>
      <w:r w:rsidRPr="00167A1B">
        <w:rPr>
          <w:noProof w:val="0"/>
        </w:rPr>
        <w:t>ablets and mobile phones are in most cases the same companies, and the battery charging technologies and connectors used are also the same.</w:t>
      </w:r>
      <w:r w:rsidR="00686503" w:rsidRPr="00167A1B">
        <w:rPr>
          <w:noProof w:val="0"/>
        </w:rPr>
        <w:t xml:space="preserve"> Including this device would increase slightly the negative environmental impacts of this option (as USB Type-C cables and connectors produce more negative environmental impacts than Lightning or USB micro-B). On the other hand, it would improve the economic impacts, with slightly more savings for consumers and similar impact on profits for the industry. The inclusion of tablets would not worsen the impact on innovation, since most of the innovation activity in charging solutions is placed on mobile phones.</w:t>
      </w:r>
    </w:p>
    <w:p w14:paraId="16CAFFE0" w14:textId="3DC0D07F" w:rsidR="00686503" w:rsidRPr="00167A1B" w:rsidRDefault="00686503" w:rsidP="005F0066">
      <w:pPr>
        <w:pStyle w:val="bullet1"/>
        <w:rPr>
          <w:noProof w:val="0"/>
        </w:rPr>
      </w:pPr>
      <w:r w:rsidRPr="00167A1B">
        <w:rPr>
          <w:noProof w:val="0"/>
        </w:rPr>
        <w:lastRenderedPageBreak/>
        <w:t xml:space="preserve">Cameras: </w:t>
      </w:r>
      <w:r w:rsidR="001403BE" w:rsidRPr="00167A1B">
        <w:rPr>
          <w:noProof w:val="0"/>
        </w:rPr>
        <w:t xml:space="preserve">Given the low volume of cameras sold in the EU, any environmental impacts associated to the chargers sold bundled with cameras is minimum. </w:t>
      </w:r>
      <w:r w:rsidR="004A1C19" w:rsidRPr="00167A1B">
        <w:rPr>
          <w:noProof w:val="0"/>
        </w:rPr>
        <w:t xml:space="preserve">The inclusion of </w:t>
      </w:r>
      <w:r w:rsidR="001403BE" w:rsidRPr="00167A1B">
        <w:rPr>
          <w:noProof w:val="0"/>
        </w:rPr>
        <w:t xml:space="preserve">this device </w:t>
      </w:r>
      <w:r w:rsidR="004A1C19" w:rsidRPr="00167A1B">
        <w:rPr>
          <w:noProof w:val="0"/>
        </w:rPr>
        <w:t>has minor negative environmental effects produced by the accelerated transition of USB micro-B connectors and cables to USB Type-C, as the latter is heavier and uses more materials. The economic impacts are negligible, with very little variation in the stock model figures when impacts for cameras are added to the scope of the initiative. Some small manufacturers may face some operating costs, but it is expected that most cameras will include USB Type-C connectors by 2024.</w:t>
      </w:r>
    </w:p>
    <w:p w14:paraId="7FEA83AC" w14:textId="7F18F262" w:rsidR="004A1C19" w:rsidRPr="00167A1B" w:rsidRDefault="004A1C19" w:rsidP="005F0066">
      <w:pPr>
        <w:pStyle w:val="bullet1"/>
        <w:rPr>
          <w:noProof w:val="0"/>
        </w:rPr>
      </w:pPr>
      <w:r w:rsidRPr="00167A1B">
        <w:rPr>
          <w:noProof w:val="0"/>
        </w:rPr>
        <w:t xml:space="preserve">Hearing devices: </w:t>
      </w:r>
      <w:r w:rsidR="00A373F1" w:rsidRPr="00167A1B">
        <w:rPr>
          <w:noProof w:val="0"/>
        </w:rPr>
        <w:t xml:space="preserve">As with tablets and cameras, the inclusion of hearing devices within the scope of option 1 also increases the negative environmental impacts of this option. Including hearing devices increases further the savings for consumers, while also decreasing the profit for the industry. As indicated in section 6.1, for the purpose of this study we have assumed that the wireless charger that is frequently shipped with earbuds is considered part of the product </w:t>
      </w:r>
      <w:r w:rsidR="00BA65D1" w:rsidRPr="00167A1B">
        <w:rPr>
          <w:noProof w:val="0"/>
        </w:rPr>
        <w:t xml:space="preserve">(this type of earbuds </w:t>
      </w:r>
      <w:proofErr w:type="gramStart"/>
      <w:r w:rsidR="00BA65D1" w:rsidRPr="00167A1B">
        <w:rPr>
          <w:noProof w:val="0"/>
        </w:rPr>
        <w:t>do</w:t>
      </w:r>
      <w:proofErr w:type="gramEnd"/>
      <w:r w:rsidR="00BA65D1" w:rsidRPr="00167A1B">
        <w:rPr>
          <w:noProof w:val="0"/>
        </w:rPr>
        <w:t xml:space="preserve"> not have any connectors and can only be charged via wireless). It is important that any future regulation on Option 1 is designed in a way that does not mandate the inclusion of USB Type-C (or any other type of connector) on devices that are designed to only be charged via wireless.</w:t>
      </w:r>
    </w:p>
    <w:p w14:paraId="4E070673" w14:textId="0C16EDA2" w:rsidR="00BA65D1" w:rsidRPr="00167A1B" w:rsidRDefault="00BA65D1" w:rsidP="005F0066">
      <w:pPr>
        <w:pStyle w:val="bullet1"/>
        <w:rPr>
          <w:noProof w:val="0"/>
        </w:rPr>
      </w:pPr>
      <w:r w:rsidRPr="00167A1B">
        <w:rPr>
          <w:noProof w:val="0"/>
        </w:rPr>
        <w:t>Hand-held video consoles:</w:t>
      </w:r>
      <w:r w:rsidR="001403BE" w:rsidRPr="00167A1B">
        <w:rPr>
          <w:noProof w:val="0"/>
        </w:rPr>
        <w:t xml:space="preserve"> </w:t>
      </w:r>
      <w:r w:rsidR="00964DC6" w:rsidRPr="00167A1B">
        <w:rPr>
          <w:noProof w:val="0"/>
        </w:rPr>
        <w:t xml:space="preserve">This market is relatively large (see </w:t>
      </w:r>
      <w:r w:rsidR="00964DC6" w:rsidRPr="00167A1B">
        <w:rPr>
          <w:noProof w:val="0"/>
        </w:rPr>
        <w:fldChar w:fldCharType="begin"/>
      </w:r>
      <w:r w:rsidR="00964DC6" w:rsidRPr="00167A1B">
        <w:rPr>
          <w:noProof w:val="0"/>
        </w:rPr>
        <w:instrText xml:space="preserve"> REF _Ref74145000 \h </w:instrText>
      </w:r>
      <w:r w:rsidR="00964DC6" w:rsidRPr="00167A1B">
        <w:rPr>
          <w:noProof w:val="0"/>
        </w:rPr>
      </w:r>
      <w:r w:rsidR="00964DC6" w:rsidRPr="00167A1B">
        <w:rPr>
          <w:noProof w:val="0"/>
        </w:rPr>
        <w:fldChar w:fldCharType="separate"/>
      </w:r>
      <w:r w:rsidR="00964DC6" w:rsidRPr="00167A1B">
        <w:rPr>
          <w:noProof w:val="0"/>
        </w:rPr>
        <w:t>Table 20</w:t>
      </w:r>
      <w:r w:rsidR="00964DC6" w:rsidRPr="00167A1B">
        <w:rPr>
          <w:noProof w:val="0"/>
        </w:rPr>
        <w:fldChar w:fldCharType="end"/>
      </w:r>
      <w:r w:rsidR="00964DC6" w:rsidRPr="00167A1B">
        <w:rPr>
          <w:noProof w:val="0"/>
        </w:rPr>
        <w:t xml:space="preserve">), and therefore it is to be expected that the impacts of option 1 would increase significantly (by up to </w:t>
      </w:r>
      <w:r w:rsidR="004F27EF">
        <w:rPr>
          <w:noProof w:val="0"/>
        </w:rPr>
        <w:t>5</w:t>
      </w:r>
      <w:r w:rsidR="00964DC6" w:rsidRPr="00167A1B">
        <w:rPr>
          <w:noProof w:val="0"/>
        </w:rPr>
        <w:t>%)</w:t>
      </w:r>
      <w:r w:rsidR="00964DC6" w:rsidRPr="00167A1B">
        <w:rPr>
          <w:rStyle w:val="FootnoteReference"/>
          <w:noProof w:val="0"/>
        </w:rPr>
        <w:footnoteReference w:id="149"/>
      </w:r>
      <w:r w:rsidR="00964DC6" w:rsidRPr="00167A1B">
        <w:rPr>
          <w:noProof w:val="0"/>
        </w:rPr>
        <w:t xml:space="preserve"> </w:t>
      </w:r>
      <w:r w:rsidR="003E0944" w:rsidRPr="00167A1B">
        <w:rPr>
          <w:noProof w:val="0"/>
        </w:rPr>
        <w:t xml:space="preserve">across all variables analysed </w:t>
      </w:r>
      <w:r w:rsidR="00964DC6" w:rsidRPr="00167A1B">
        <w:rPr>
          <w:noProof w:val="0"/>
        </w:rPr>
        <w:t xml:space="preserve">if consoles are included within the scope. </w:t>
      </w:r>
      <w:r w:rsidR="003E0944" w:rsidRPr="00167A1B">
        <w:rPr>
          <w:noProof w:val="0"/>
        </w:rPr>
        <w:t>Applying the option to gaming consoles may also increase the operating costs for manufacturers who currently use proprietary connectors (e.g. Sony in the PS Vita console).</w:t>
      </w:r>
    </w:p>
    <w:p w14:paraId="71C1E4A7" w14:textId="5D741F57" w:rsidR="00BA65D1" w:rsidRPr="00167A1B" w:rsidRDefault="00BA65D1" w:rsidP="005F0066">
      <w:pPr>
        <w:pStyle w:val="bullet1"/>
        <w:rPr>
          <w:noProof w:val="0"/>
        </w:rPr>
      </w:pPr>
      <w:r w:rsidRPr="00167A1B">
        <w:rPr>
          <w:noProof w:val="0"/>
        </w:rPr>
        <w:t xml:space="preserve">Portable speakers: </w:t>
      </w:r>
      <w:r w:rsidR="003A2C77" w:rsidRPr="00167A1B">
        <w:rPr>
          <w:noProof w:val="0"/>
        </w:rPr>
        <w:t xml:space="preserve">The market of portable speakers is very </w:t>
      </w:r>
      <w:proofErr w:type="gramStart"/>
      <w:r w:rsidR="003A2C77" w:rsidRPr="00167A1B">
        <w:rPr>
          <w:noProof w:val="0"/>
        </w:rPr>
        <w:t>small</w:t>
      </w:r>
      <w:proofErr w:type="gramEnd"/>
      <w:r w:rsidR="003A2C77" w:rsidRPr="00167A1B">
        <w:rPr>
          <w:noProof w:val="0"/>
        </w:rPr>
        <w:t xml:space="preserve"> and it is likely that by 2024 most devices will already incorporate USB Type-C connectors regardless. Therefore, impacts of including this device would be insignificant.</w:t>
      </w:r>
    </w:p>
    <w:p w14:paraId="4696B71C" w14:textId="1074BF59" w:rsidR="004A1C19" w:rsidRPr="00167A1B" w:rsidRDefault="004A1C19" w:rsidP="00BC4FE7">
      <w:pPr>
        <w:pStyle w:val="BodyText1"/>
        <w:rPr>
          <w:noProof w:val="0"/>
        </w:rPr>
      </w:pPr>
      <w:r w:rsidRPr="00167A1B">
        <w:rPr>
          <w:noProof w:val="0"/>
        </w:rPr>
        <w:t>From a consumer perspective, the more devices are included within Option 1, the greater convenience consumers would get, as they could charge more devices with the same cable.</w:t>
      </w:r>
    </w:p>
    <w:p w14:paraId="2FA1D3FD" w14:textId="73672AD4" w:rsidR="00F73598" w:rsidRPr="00167A1B" w:rsidRDefault="008B4225" w:rsidP="008B4225">
      <w:pPr>
        <w:pStyle w:val="Subtitle10"/>
        <w:rPr>
          <w:noProof w:val="0"/>
        </w:rPr>
      </w:pPr>
      <w:r w:rsidRPr="00167A1B">
        <w:rPr>
          <w:noProof w:val="0"/>
        </w:rPr>
        <w:t>Option 2</w:t>
      </w:r>
    </w:p>
    <w:p w14:paraId="373BFDE2" w14:textId="58B5A8DE" w:rsidR="008B4225" w:rsidRPr="00167A1B" w:rsidRDefault="00191AEA" w:rsidP="008F65B2">
      <w:pPr>
        <w:pStyle w:val="BodyText1"/>
        <w:rPr>
          <w:noProof w:val="0"/>
        </w:rPr>
      </w:pPr>
      <w:bookmarkStart w:id="77" w:name="_Hlk79072757"/>
      <w:r w:rsidRPr="00167A1B">
        <w:rPr>
          <w:noProof w:val="0"/>
        </w:rPr>
        <w:t>The mandatory interoperability of the device (option 2) with USB Type-C and (where relevant) USB PD would be appropriate to apply to tablets</w:t>
      </w:r>
      <w:r w:rsidR="00F73598" w:rsidRPr="00167A1B">
        <w:rPr>
          <w:noProof w:val="0"/>
        </w:rPr>
        <w:t xml:space="preserve"> and, potentially, to portable speakers and hand-held video consoles. </w:t>
      </w:r>
      <w:r w:rsidR="00CA6261" w:rsidRPr="00167A1B">
        <w:rPr>
          <w:noProof w:val="0"/>
        </w:rPr>
        <w:t>In addition, should the market of cameras and hearing devices evolve towards fast charging solutions, the Commission might want to add these devices in future revisions of the scope</w:t>
      </w:r>
      <w:r w:rsidR="00E20A00" w:rsidRPr="00167A1B">
        <w:rPr>
          <w:noProof w:val="0"/>
        </w:rPr>
        <w:t>.</w:t>
      </w:r>
      <w:bookmarkEnd w:id="77"/>
      <w:r w:rsidR="00D3296F" w:rsidRPr="00167A1B">
        <w:rPr>
          <w:noProof w:val="0"/>
        </w:rPr>
        <w:t xml:space="preserve"> Below, the expected impacts of extending the scope to each of these devices is summarised:</w:t>
      </w:r>
    </w:p>
    <w:p w14:paraId="06DA3991" w14:textId="4C445BD3" w:rsidR="00191AEA" w:rsidRPr="00167A1B" w:rsidRDefault="008021A0" w:rsidP="008021A0">
      <w:pPr>
        <w:pStyle w:val="bullet1"/>
        <w:rPr>
          <w:noProof w:val="0"/>
        </w:rPr>
      </w:pPr>
      <w:r w:rsidRPr="00167A1B">
        <w:rPr>
          <w:noProof w:val="0"/>
        </w:rPr>
        <w:t xml:space="preserve">Tablets: </w:t>
      </w:r>
      <w:r w:rsidR="00191AEA" w:rsidRPr="00167A1B">
        <w:rPr>
          <w:noProof w:val="0"/>
        </w:rPr>
        <w:t>Given that tablets use similar battery charging protocols to mobile phones, albeit often with slightly higher wattage, and many of the major market players are the same (including Samsung, Apple and Huawei), there would be no major risks or concerns around applying either of these options to tablets, beyond those outlined regarding mobile phones in section 5. The environmental and economic impacts should also be broadly similar, albeit on a smaller scale (given the size of the tablet market compared with mobile phones).</w:t>
      </w:r>
    </w:p>
    <w:p w14:paraId="758384DE" w14:textId="29D64214" w:rsidR="008021A0" w:rsidRPr="00167A1B" w:rsidRDefault="008021A0" w:rsidP="008021A0">
      <w:pPr>
        <w:pStyle w:val="bullet1"/>
        <w:rPr>
          <w:noProof w:val="0"/>
        </w:rPr>
      </w:pPr>
      <w:r w:rsidRPr="00167A1B">
        <w:rPr>
          <w:noProof w:val="0"/>
        </w:rPr>
        <w:t xml:space="preserve">Portable speakers: Most speakers </w:t>
      </w:r>
      <w:r w:rsidR="003605F5" w:rsidRPr="00167A1B">
        <w:rPr>
          <w:noProof w:val="0"/>
        </w:rPr>
        <w:t>charge at</w:t>
      </w:r>
      <w:r w:rsidRPr="00167A1B">
        <w:rPr>
          <w:noProof w:val="0"/>
        </w:rPr>
        <w:t xml:space="preserve"> between 5 and 10W, and therefore </w:t>
      </w:r>
      <w:r w:rsidR="003605F5" w:rsidRPr="00167A1B">
        <w:rPr>
          <w:noProof w:val="0"/>
        </w:rPr>
        <w:t xml:space="preserve">the </w:t>
      </w:r>
      <w:r w:rsidRPr="00167A1B">
        <w:rPr>
          <w:noProof w:val="0"/>
        </w:rPr>
        <w:t xml:space="preserve">USB Type-C protocol </w:t>
      </w:r>
      <w:r w:rsidR="003605F5" w:rsidRPr="00167A1B">
        <w:rPr>
          <w:noProof w:val="0"/>
        </w:rPr>
        <w:t xml:space="preserve">(1.5A, 5V) </w:t>
      </w:r>
      <w:r w:rsidRPr="00167A1B">
        <w:rPr>
          <w:noProof w:val="0"/>
        </w:rPr>
        <w:t xml:space="preserve">is likely to be a suitable option for </w:t>
      </w:r>
      <w:r w:rsidR="003605F5" w:rsidRPr="00167A1B">
        <w:rPr>
          <w:noProof w:val="0"/>
        </w:rPr>
        <w:t>these</w:t>
      </w:r>
      <w:r w:rsidRPr="00167A1B">
        <w:rPr>
          <w:noProof w:val="0"/>
        </w:rPr>
        <w:t xml:space="preserve"> devices. Applying option 2 would do no harm (other than potentially increasing costs for lower end devices), but it would</w:t>
      </w:r>
      <w:r w:rsidR="00B05641" w:rsidRPr="00167A1B">
        <w:rPr>
          <w:noProof w:val="0"/>
        </w:rPr>
        <w:t xml:space="preserve"> not</w:t>
      </w:r>
      <w:r w:rsidRPr="00167A1B">
        <w:rPr>
          <w:noProof w:val="0"/>
        </w:rPr>
        <w:t xml:space="preserve"> deliver significant benefits</w:t>
      </w:r>
      <w:r w:rsidR="00B05641" w:rsidRPr="00167A1B">
        <w:rPr>
          <w:noProof w:val="0"/>
        </w:rPr>
        <w:t xml:space="preserve"> either</w:t>
      </w:r>
      <w:r w:rsidRPr="00167A1B">
        <w:rPr>
          <w:noProof w:val="0"/>
        </w:rPr>
        <w:t xml:space="preserve">, since interoperability </w:t>
      </w:r>
      <w:r w:rsidRPr="00167A1B">
        <w:rPr>
          <w:noProof w:val="0"/>
        </w:rPr>
        <w:lastRenderedPageBreak/>
        <w:t>already exists (none of the devices analysed in this study used proprietary charging solutions).</w:t>
      </w:r>
      <w:r w:rsidR="00B05641" w:rsidRPr="00167A1B">
        <w:rPr>
          <w:noProof w:val="0"/>
        </w:rPr>
        <w:t xml:space="preserve"> The impact of including this device would therefore be neutral.</w:t>
      </w:r>
    </w:p>
    <w:p w14:paraId="2B6C65DE" w14:textId="0A0AABF7" w:rsidR="008021A0" w:rsidRPr="00167A1B" w:rsidRDefault="008021A0" w:rsidP="008021A0">
      <w:pPr>
        <w:pStyle w:val="bullet1"/>
        <w:rPr>
          <w:noProof w:val="0"/>
        </w:rPr>
      </w:pPr>
      <w:r w:rsidRPr="00167A1B">
        <w:rPr>
          <w:noProof w:val="0"/>
        </w:rPr>
        <w:t>Hand-held video consoles: The sample of devices analysed in this study is very varied, with devices ranging from 5W (Sony PSP, Nintendo DS) to 39W (Nintendo Switch). One device using 24W uses Quick Charge, and therefore there may be benefits in harmonising the battery charging protocol</w:t>
      </w:r>
      <w:r w:rsidR="00B05641" w:rsidRPr="00167A1B">
        <w:rPr>
          <w:noProof w:val="0"/>
        </w:rPr>
        <w:t xml:space="preserve"> in terms of consumer convenience and environmental impacts</w:t>
      </w:r>
      <w:r w:rsidRPr="00167A1B">
        <w:rPr>
          <w:noProof w:val="0"/>
        </w:rPr>
        <w:t>. However, it may also generate costs for industry and consumers for devices that still use 5W or less.</w:t>
      </w:r>
    </w:p>
    <w:p w14:paraId="61D0D346" w14:textId="75B379FA" w:rsidR="00E20A00" w:rsidRPr="00167A1B" w:rsidRDefault="00E20A00" w:rsidP="008021A0">
      <w:pPr>
        <w:pStyle w:val="bullet1"/>
        <w:rPr>
          <w:noProof w:val="0"/>
        </w:rPr>
      </w:pPr>
      <w:r w:rsidRPr="00167A1B">
        <w:rPr>
          <w:noProof w:val="0"/>
        </w:rPr>
        <w:t xml:space="preserve">Cameras and </w:t>
      </w:r>
      <w:r w:rsidR="00803EA1" w:rsidRPr="00167A1B">
        <w:rPr>
          <w:noProof w:val="0"/>
        </w:rPr>
        <w:t>hearing devices</w:t>
      </w:r>
      <w:r w:rsidRPr="00167A1B">
        <w:rPr>
          <w:noProof w:val="0"/>
        </w:rPr>
        <w:t xml:space="preserve">: As explained in section 6.1, most devices within these </w:t>
      </w:r>
      <w:r w:rsidR="00167A1B" w:rsidRPr="00167A1B">
        <w:rPr>
          <w:noProof w:val="0"/>
        </w:rPr>
        <w:t>categories</w:t>
      </w:r>
      <w:r w:rsidRPr="00167A1B">
        <w:rPr>
          <w:noProof w:val="0"/>
        </w:rPr>
        <w:t xml:space="preserve"> require under 7.5W, and therefore</w:t>
      </w:r>
      <w:r w:rsidR="00C36420" w:rsidRPr="00167A1B">
        <w:rPr>
          <w:noProof w:val="0"/>
        </w:rPr>
        <w:t>, as the market stands nowadays,</w:t>
      </w:r>
      <w:r w:rsidRPr="00167A1B">
        <w:rPr>
          <w:noProof w:val="0"/>
        </w:rPr>
        <w:t xml:space="preserve"> USB Type C and USB PD</w:t>
      </w:r>
      <w:r w:rsidR="00C36420" w:rsidRPr="00167A1B">
        <w:rPr>
          <w:noProof w:val="0"/>
        </w:rPr>
        <w:t xml:space="preserve"> battery charging protocols</w:t>
      </w:r>
      <w:r w:rsidRPr="00167A1B">
        <w:rPr>
          <w:noProof w:val="0"/>
        </w:rPr>
        <w:t xml:space="preserve"> do not provide the best technical solution. In these cases, it would be more beneficial for consumers and the environment to seek harmonisation towards standard battery charging protocols that require less power, specifically, USB Battery Charging. </w:t>
      </w:r>
      <w:r w:rsidR="00C36420" w:rsidRPr="00167A1B">
        <w:rPr>
          <w:noProof w:val="0"/>
        </w:rPr>
        <w:t xml:space="preserve">Should the market evolve towards fast charging solutions (i.e. </w:t>
      </w:r>
      <w:proofErr w:type="gramStart"/>
      <w:r w:rsidR="00C36420" w:rsidRPr="00167A1B">
        <w:rPr>
          <w:noProof w:val="0"/>
        </w:rPr>
        <w:t>the majority of</w:t>
      </w:r>
      <w:proofErr w:type="gramEnd"/>
      <w:r w:rsidR="00C36420" w:rsidRPr="00167A1B">
        <w:rPr>
          <w:noProof w:val="0"/>
        </w:rPr>
        <w:t xml:space="preserve"> these devices requiring 7.5W or more)</w:t>
      </w:r>
      <w:r w:rsidR="003C7082" w:rsidRPr="00167A1B">
        <w:rPr>
          <w:noProof w:val="0"/>
        </w:rPr>
        <w:t>, Option 2 could then be applied. The expected impacts in such hypothetical scenario would be:</w:t>
      </w:r>
    </w:p>
    <w:p w14:paraId="5673E9B0" w14:textId="69098254" w:rsidR="00E20A00" w:rsidRPr="00167A1B" w:rsidRDefault="00E20A00" w:rsidP="00E20A00">
      <w:pPr>
        <w:pStyle w:val="bullet1"/>
        <w:numPr>
          <w:ilvl w:val="1"/>
          <w:numId w:val="22"/>
        </w:numPr>
        <w:rPr>
          <w:noProof w:val="0"/>
        </w:rPr>
      </w:pPr>
      <w:r w:rsidRPr="00167A1B">
        <w:rPr>
          <w:noProof w:val="0"/>
        </w:rPr>
        <w:t xml:space="preserve">Cameras: Applying such option </w:t>
      </w:r>
      <w:r w:rsidR="003C7082" w:rsidRPr="00167A1B">
        <w:rPr>
          <w:noProof w:val="0"/>
        </w:rPr>
        <w:t xml:space="preserve">would </w:t>
      </w:r>
      <w:r w:rsidRPr="00167A1B">
        <w:rPr>
          <w:noProof w:val="0"/>
        </w:rPr>
        <w:t>generate some operational costs for manufacturers of cameras, as not all use standard battery charging solutions. The option would be beneficial for consumers and the environment, since it would likely lead to fewer chargers and cables in the market.</w:t>
      </w:r>
    </w:p>
    <w:p w14:paraId="7369438C" w14:textId="2FE9A09E" w:rsidR="00E20A00" w:rsidRPr="00167A1B" w:rsidRDefault="00E20A00" w:rsidP="00BC4FE7">
      <w:pPr>
        <w:pStyle w:val="bullet1"/>
        <w:numPr>
          <w:ilvl w:val="1"/>
          <w:numId w:val="22"/>
        </w:numPr>
        <w:rPr>
          <w:noProof w:val="0"/>
        </w:rPr>
      </w:pPr>
      <w:r w:rsidRPr="00167A1B">
        <w:rPr>
          <w:noProof w:val="0"/>
        </w:rPr>
        <w:t>Hearing devices: The application of option 2 to hearing devices would be mostly neutral, since most hearing devices already use USB battery charging protocols.</w:t>
      </w:r>
    </w:p>
    <w:p w14:paraId="6753C1FB" w14:textId="2386C3D1" w:rsidR="00B05641" w:rsidRPr="00167A1B" w:rsidRDefault="00B05641" w:rsidP="00B05641">
      <w:pPr>
        <w:pStyle w:val="BodyText1"/>
        <w:rPr>
          <w:noProof w:val="0"/>
        </w:rPr>
      </w:pPr>
      <w:r w:rsidRPr="00167A1B">
        <w:rPr>
          <w:noProof w:val="0"/>
        </w:rPr>
        <w:t>Overall, the impacts of option 2 are very minor (whether considering mobile phones only, or mobile phones and other devices). However, when in combination with other measures (see Chapter 7), it may create synergy effects and reduce the number of standalone chargers that consumers buy, hence having a positive significant effect on environmental, economic and social impacts.</w:t>
      </w:r>
    </w:p>
    <w:p w14:paraId="298D6FCD" w14:textId="77777777" w:rsidR="008021A0" w:rsidRPr="00167A1B" w:rsidRDefault="008021A0" w:rsidP="008021A0">
      <w:pPr>
        <w:pStyle w:val="Subtitle10"/>
        <w:rPr>
          <w:noProof w:val="0"/>
        </w:rPr>
      </w:pPr>
      <w:r w:rsidRPr="00167A1B">
        <w:rPr>
          <w:noProof w:val="0"/>
        </w:rPr>
        <w:t>Option 3</w:t>
      </w:r>
    </w:p>
    <w:p w14:paraId="7BDB5D0B" w14:textId="1AC0EC1D" w:rsidR="008021A0" w:rsidRPr="00167A1B" w:rsidRDefault="00D3296F" w:rsidP="008F65B2">
      <w:pPr>
        <w:pStyle w:val="BodyText1"/>
        <w:rPr>
          <w:noProof w:val="0"/>
        </w:rPr>
      </w:pPr>
      <w:r w:rsidRPr="00167A1B">
        <w:rPr>
          <w:noProof w:val="0"/>
        </w:rPr>
        <w:t>Option 3 delivers negative environmental impacts due to the “upgrade” of chargers (EPS and cables) that it entails</w:t>
      </w:r>
      <w:r w:rsidR="00A9568B" w:rsidRPr="00167A1B">
        <w:rPr>
          <w:noProof w:val="0"/>
        </w:rPr>
        <w:t xml:space="preserve">, which is not compensated by the reduced </w:t>
      </w:r>
      <w:proofErr w:type="gramStart"/>
      <w:r w:rsidR="00A9568B" w:rsidRPr="00167A1B">
        <w:rPr>
          <w:noProof w:val="0"/>
        </w:rPr>
        <w:t>amount</w:t>
      </w:r>
      <w:proofErr w:type="gramEnd"/>
      <w:r w:rsidR="00A9568B" w:rsidRPr="00167A1B">
        <w:rPr>
          <w:noProof w:val="0"/>
        </w:rPr>
        <w:t xml:space="preserve"> of chargers produced and sold due to increased interoperability. Overall, it produces some minor savings to consumers and costs to the industry, and gains in consumer convenience. The inclusion of additional devices (tablets, portable speakers and hand-held video consoles) would impact in the following ways:</w:t>
      </w:r>
    </w:p>
    <w:p w14:paraId="28FB479C" w14:textId="33F88A5F" w:rsidR="008B4225" w:rsidRPr="00167A1B" w:rsidRDefault="00D3296F" w:rsidP="00D3296F">
      <w:pPr>
        <w:pStyle w:val="bullet1"/>
        <w:rPr>
          <w:noProof w:val="0"/>
        </w:rPr>
      </w:pPr>
      <w:r w:rsidRPr="00167A1B">
        <w:rPr>
          <w:noProof w:val="0"/>
        </w:rPr>
        <w:t xml:space="preserve">Tablets: </w:t>
      </w:r>
      <w:r w:rsidR="00A9568B" w:rsidRPr="00167A1B">
        <w:rPr>
          <w:noProof w:val="0"/>
        </w:rPr>
        <w:t>The inclusion of tablets produce</w:t>
      </w:r>
      <w:r w:rsidR="00063804" w:rsidRPr="00167A1B">
        <w:rPr>
          <w:noProof w:val="0"/>
        </w:rPr>
        <w:t>s</w:t>
      </w:r>
      <w:r w:rsidR="00A9568B" w:rsidRPr="00167A1B">
        <w:rPr>
          <w:noProof w:val="0"/>
        </w:rPr>
        <w:t xml:space="preserve"> a small increase in GHG emissions, material use, and e-waste, in proportion to the size of this market (see quantitative results in </w:t>
      </w:r>
      <w:r w:rsidR="00A9568B" w:rsidRPr="00167A1B">
        <w:rPr>
          <w:noProof w:val="0"/>
        </w:rPr>
        <w:fldChar w:fldCharType="begin"/>
      </w:r>
      <w:r w:rsidR="00A9568B" w:rsidRPr="00167A1B">
        <w:rPr>
          <w:noProof w:val="0"/>
        </w:rPr>
        <w:instrText xml:space="preserve"> REF _Ref74236249 \h </w:instrText>
      </w:r>
      <w:r w:rsidR="00A9568B" w:rsidRPr="00167A1B">
        <w:rPr>
          <w:noProof w:val="0"/>
        </w:rPr>
      </w:r>
      <w:r w:rsidR="00A9568B" w:rsidRPr="00167A1B">
        <w:rPr>
          <w:noProof w:val="0"/>
        </w:rPr>
        <w:fldChar w:fldCharType="separate"/>
      </w:r>
      <w:r w:rsidR="00A9568B" w:rsidRPr="00167A1B">
        <w:rPr>
          <w:noProof w:val="0"/>
        </w:rPr>
        <w:t>Table 23</w:t>
      </w:r>
      <w:r w:rsidR="00A9568B" w:rsidRPr="00167A1B">
        <w:rPr>
          <w:noProof w:val="0"/>
        </w:rPr>
        <w:fldChar w:fldCharType="end"/>
      </w:r>
      <w:r w:rsidR="00A9568B" w:rsidRPr="00167A1B">
        <w:rPr>
          <w:noProof w:val="0"/>
        </w:rPr>
        <w:t xml:space="preserve">). It would also produce an increase in consumers’ savings and costs for the industry. Other economic impacts (innovation, operating costs, compliance costs…) would be </w:t>
      </w:r>
      <w:proofErr w:type="gramStart"/>
      <w:r w:rsidR="00A9568B" w:rsidRPr="00167A1B">
        <w:rPr>
          <w:noProof w:val="0"/>
        </w:rPr>
        <w:t>similar to</w:t>
      </w:r>
      <w:proofErr w:type="gramEnd"/>
      <w:r w:rsidR="00A9568B" w:rsidRPr="00167A1B">
        <w:rPr>
          <w:noProof w:val="0"/>
        </w:rPr>
        <w:t xml:space="preserve"> the ones explained in Chapter 5.2 for mobile phones. This option delivered consumer convenience benefits when applied to mobile phones due to increased interoperability</w:t>
      </w:r>
      <w:r w:rsidR="0004328E" w:rsidRPr="00167A1B">
        <w:rPr>
          <w:noProof w:val="0"/>
        </w:rPr>
        <w:t xml:space="preserve"> and access to fast charging</w:t>
      </w:r>
      <w:r w:rsidR="00A9568B" w:rsidRPr="00167A1B">
        <w:rPr>
          <w:noProof w:val="0"/>
        </w:rPr>
        <w:t xml:space="preserve">. When extending the scope to tablets, </w:t>
      </w:r>
      <w:r w:rsidR="0004328E" w:rsidRPr="00167A1B">
        <w:rPr>
          <w:noProof w:val="0"/>
        </w:rPr>
        <w:t>consumer convenience would increase as interoperability also increases</w:t>
      </w:r>
      <w:r w:rsidR="00063804" w:rsidRPr="00167A1B">
        <w:rPr>
          <w:noProof w:val="0"/>
        </w:rPr>
        <w:t>, but the</w:t>
      </w:r>
      <w:r w:rsidR="0004328E" w:rsidRPr="00167A1B">
        <w:rPr>
          <w:noProof w:val="0"/>
        </w:rPr>
        <w:t xml:space="preserve"> fast charging feature is less relevant for tablets </w:t>
      </w:r>
      <w:r w:rsidR="006D6279" w:rsidRPr="00167A1B">
        <w:rPr>
          <w:noProof w:val="0"/>
        </w:rPr>
        <w:t xml:space="preserve">given that these (unlike mobile phones) do not typically have to be charged </w:t>
      </w:r>
      <w:proofErr w:type="gramStart"/>
      <w:r w:rsidR="006D6279" w:rsidRPr="00167A1B">
        <w:rPr>
          <w:noProof w:val="0"/>
        </w:rPr>
        <w:t>on a daily basis</w:t>
      </w:r>
      <w:proofErr w:type="gramEnd"/>
      <w:r w:rsidR="006D6279" w:rsidRPr="00167A1B">
        <w:rPr>
          <w:noProof w:val="0"/>
        </w:rPr>
        <w:t>.</w:t>
      </w:r>
    </w:p>
    <w:p w14:paraId="1AF9B64E" w14:textId="2D9126A7" w:rsidR="0004328E" w:rsidRPr="00167A1B" w:rsidRDefault="0004328E" w:rsidP="00D3296F">
      <w:pPr>
        <w:pStyle w:val="bullet1"/>
        <w:rPr>
          <w:noProof w:val="0"/>
        </w:rPr>
      </w:pPr>
      <w:r w:rsidRPr="00167A1B">
        <w:rPr>
          <w:noProof w:val="0"/>
        </w:rPr>
        <w:t>Portable speakers: This option would have a negligible effect on portable speakers, since most of them are sold without an EPS (</w:t>
      </w:r>
      <w:r w:rsidR="00063804" w:rsidRPr="00167A1B">
        <w:rPr>
          <w:noProof w:val="0"/>
        </w:rPr>
        <w:t xml:space="preserve">see </w:t>
      </w:r>
      <w:r w:rsidR="00063804" w:rsidRPr="00167A1B">
        <w:rPr>
          <w:noProof w:val="0"/>
        </w:rPr>
        <w:fldChar w:fldCharType="begin"/>
      </w:r>
      <w:r w:rsidR="00063804" w:rsidRPr="00167A1B">
        <w:rPr>
          <w:noProof w:val="0"/>
        </w:rPr>
        <w:instrText xml:space="preserve"> REF _Ref74145000 \h </w:instrText>
      </w:r>
      <w:r w:rsidR="00063804" w:rsidRPr="00167A1B">
        <w:rPr>
          <w:noProof w:val="0"/>
        </w:rPr>
      </w:r>
      <w:r w:rsidR="00063804" w:rsidRPr="00167A1B">
        <w:rPr>
          <w:noProof w:val="0"/>
        </w:rPr>
        <w:fldChar w:fldCharType="separate"/>
      </w:r>
      <w:r w:rsidR="00063804" w:rsidRPr="00167A1B">
        <w:rPr>
          <w:noProof w:val="0"/>
        </w:rPr>
        <w:t>Table 20</w:t>
      </w:r>
      <w:r w:rsidR="00063804" w:rsidRPr="00167A1B">
        <w:rPr>
          <w:noProof w:val="0"/>
        </w:rPr>
        <w:fldChar w:fldCharType="end"/>
      </w:r>
      <w:r w:rsidRPr="00167A1B">
        <w:rPr>
          <w:noProof w:val="0"/>
        </w:rPr>
        <w:t>). The obligation to include fast charging in the EPS through either USB Type-C or USB-PD might incentivise those manufacturers who still bundle the EPS to unbundle it. Given the size of the market, this effect would be negligible.</w:t>
      </w:r>
    </w:p>
    <w:p w14:paraId="4E8658F3" w14:textId="66A712A7" w:rsidR="0004328E" w:rsidRPr="00167A1B" w:rsidRDefault="0004328E">
      <w:pPr>
        <w:pStyle w:val="bullet1"/>
        <w:rPr>
          <w:noProof w:val="0"/>
        </w:rPr>
      </w:pPr>
      <w:r w:rsidRPr="00167A1B">
        <w:rPr>
          <w:noProof w:val="0"/>
        </w:rPr>
        <w:lastRenderedPageBreak/>
        <w:t>Hand-held video</w:t>
      </w:r>
      <w:r w:rsidR="00E04C0F" w:rsidRPr="00167A1B">
        <w:rPr>
          <w:noProof w:val="0"/>
        </w:rPr>
        <w:t>game</w:t>
      </w:r>
      <w:r w:rsidRPr="00167A1B">
        <w:rPr>
          <w:noProof w:val="0"/>
        </w:rPr>
        <w:t xml:space="preserve"> consoles: </w:t>
      </w:r>
      <w:r w:rsidR="00E04C0F" w:rsidRPr="00167A1B">
        <w:rPr>
          <w:noProof w:val="0"/>
        </w:rPr>
        <w:t xml:space="preserve">The inclusion of this device would increase the impacts of Option 3 by a similar proportion to the size of the market, i.e. by around </w:t>
      </w:r>
      <w:r w:rsidR="004F27EF">
        <w:rPr>
          <w:noProof w:val="0"/>
        </w:rPr>
        <w:t>9</w:t>
      </w:r>
      <w:r w:rsidR="00E04C0F" w:rsidRPr="00167A1B">
        <w:rPr>
          <w:noProof w:val="0"/>
        </w:rPr>
        <w:t>%, compared to the impacts of mobile phones only.</w:t>
      </w:r>
      <w:r w:rsidR="00E03A17" w:rsidRPr="00167A1B">
        <w:rPr>
          <w:noProof w:val="0"/>
        </w:rPr>
        <w:t xml:space="preserve"> However, consumers would save less and the costs for the industry would be higher than in the case of mobile phones. This is because, unlike with mobile phones, most videogame consoles use low power (&lt;7.5W). This option would however increase consumer convenience due to the improved interoperability and fast charging. On balance, the negative impacts of including this device within the scope of option 3 are likely to outweigh the positive impacts.</w:t>
      </w:r>
    </w:p>
    <w:p w14:paraId="7DA771C8" w14:textId="197EDC2D" w:rsidR="008B4225" w:rsidRPr="00167A1B" w:rsidRDefault="008B4225" w:rsidP="008B4225">
      <w:pPr>
        <w:pStyle w:val="Subtitle10"/>
        <w:rPr>
          <w:noProof w:val="0"/>
        </w:rPr>
      </w:pPr>
      <w:r w:rsidRPr="00167A1B">
        <w:rPr>
          <w:noProof w:val="0"/>
        </w:rPr>
        <w:t>Option 4</w:t>
      </w:r>
    </w:p>
    <w:p w14:paraId="33E9B2CB" w14:textId="7E354D20" w:rsidR="008B4225" w:rsidRPr="00167A1B" w:rsidRDefault="00E87A5E" w:rsidP="008F65B2">
      <w:pPr>
        <w:pStyle w:val="BodyText1"/>
        <w:rPr>
          <w:noProof w:val="0"/>
        </w:rPr>
      </w:pPr>
      <w:r w:rsidRPr="00167A1B">
        <w:rPr>
          <w:noProof w:val="0"/>
        </w:rPr>
        <w:t xml:space="preserve">The unbundling options could potentially be applied to all categories of devices discussed previously – although hearing devices and e-readers already routinely come without an EPS (and so mandatory unbundling is arguably unnecessary), while for smartwatches and fitness trackers, unbundling of cables is not recommended due to the frequent (justified) use of proprietary connectors (for details see section 6.1). </w:t>
      </w:r>
    </w:p>
    <w:p w14:paraId="40F5BC6F" w14:textId="15FB47F3" w:rsidR="008B4225" w:rsidRPr="00167A1B" w:rsidRDefault="00C376FD" w:rsidP="008F65B2">
      <w:pPr>
        <w:pStyle w:val="BodyText1"/>
        <w:rPr>
          <w:noProof w:val="0"/>
        </w:rPr>
      </w:pPr>
      <w:r w:rsidRPr="00167A1B">
        <w:rPr>
          <w:noProof w:val="0"/>
        </w:rPr>
        <w:t>The main environmental and economic effects of unbundling the different devices would mirror those for mobile phones – though the scale would obviously be adjusted to account for the size of the different markets, and the already existing unbundling rates (for EPS only). The smaller the market, and the higher the current unbundling rates, the more limited the environmental benefits as well as other impacts. This includes the effects on consumer convenience – the inconvenience would be significant e.g. for users of tablets (all of which currently come with an EPS), but much less so for portable speakers (most of which are already unbundled).</w:t>
      </w:r>
    </w:p>
    <w:p w14:paraId="35661CC1" w14:textId="7E6A7CFA" w:rsidR="008D1E46" w:rsidRPr="00167A1B" w:rsidRDefault="00B21F6F" w:rsidP="008F65B2">
      <w:pPr>
        <w:pStyle w:val="BodyText1"/>
        <w:rPr>
          <w:noProof w:val="0"/>
        </w:rPr>
      </w:pPr>
      <w:r w:rsidRPr="00167A1B">
        <w:rPr>
          <w:noProof w:val="0"/>
        </w:rPr>
        <w:t xml:space="preserve">Given that unbundling of EPS already exists to some extent in all devices, no operating costs, costs of doing business, costs for public authorities, or impacts on SMEs would be experienced beyond those explained in Section 5.2 for mobile phones. </w:t>
      </w:r>
      <w:r w:rsidR="008D1E46" w:rsidRPr="00167A1B">
        <w:rPr>
          <w:noProof w:val="0"/>
        </w:rPr>
        <w:t>Both options (4.a and 4.b) would reduce the number of chargers that are sold bundled, hence reducing the profits for manufacturers of chargers. Interestingly, increasing the scope of option 4.b would deliver small savings for consumers (+0.1% when the scope includes tablets, cameras, and earwear, vs. -2.2% when the scope includes only mobile phones).</w:t>
      </w:r>
    </w:p>
    <w:p w14:paraId="6403E5D4" w14:textId="2A1861B1" w:rsidR="00B21F6F" w:rsidRPr="00167A1B" w:rsidRDefault="00B21F6F" w:rsidP="008F65B2">
      <w:pPr>
        <w:pStyle w:val="BodyText1"/>
        <w:rPr>
          <w:noProof w:val="0"/>
        </w:rPr>
      </w:pPr>
      <w:r w:rsidRPr="00167A1B">
        <w:rPr>
          <w:noProof w:val="0"/>
        </w:rPr>
        <w:t xml:space="preserve">Essentially, the impact of extending this option to other devices would mostly be </w:t>
      </w:r>
      <w:r w:rsidR="00167A1B" w:rsidRPr="00167A1B">
        <w:rPr>
          <w:noProof w:val="0"/>
        </w:rPr>
        <w:t>noticeable</w:t>
      </w:r>
      <w:r w:rsidRPr="00167A1B">
        <w:rPr>
          <w:noProof w:val="0"/>
        </w:rPr>
        <w:t xml:space="preserve"> in the environmental impacts (with considerable further reduction of GHG emissions, material use and e-waste beyond the reduction achieved by unbundling mobile phones). By extending the scope, costs for consumers would also increase, profits for manufacturers of chargers decrease, and profits for distributors increase.</w:t>
      </w:r>
    </w:p>
    <w:p w14:paraId="02D04696" w14:textId="64EDA333" w:rsidR="00A845C6" w:rsidRPr="00167A1B" w:rsidRDefault="001604F3" w:rsidP="008F65B2">
      <w:pPr>
        <w:pStyle w:val="BodyText1"/>
        <w:rPr>
          <w:noProof w:val="0"/>
        </w:rPr>
      </w:pPr>
      <w:r w:rsidRPr="00167A1B">
        <w:rPr>
          <w:noProof w:val="0"/>
        </w:rPr>
        <w:t>The quantitative impacts of extending</w:t>
      </w:r>
      <w:r w:rsidR="00241F03" w:rsidRPr="00167A1B">
        <w:rPr>
          <w:noProof w:val="0"/>
        </w:rPr>
        <w:t xml:space="preserve"> </w:t>
      </w:r>
      <w:r w:rsidR="00241F03" w:rsidRPr="00167A1B">
        <w:rPr>
          <w:b/>
          <w:bCs/>
          <w:noProof w:val="0"/>
        </w:rPr>
        <w:t>option 4.a</w:t>
      </w:r>
      <w:r w:rsidRPr="00167A1B">
        <w:rPr>
          <w:noProof w:val="0"/>
        </w:rPr>
        <w:t xml:space="preserve"> to tablets, cameras and earwear are presented</w:t>
      </w:r>
      <w:r w:rsidR="00875022" w:rsidRPr="00167A1B">
        <w:rPr>
          <w:noProof w:val="0"/>
        </w:rPr>
        <w:t xml:space="preserve"> in</w:t>
      </w:r>
      <w:r w:rsidRPr="00167A1B">
        <w:rPr>
          <w:noProof w:val="0"/>
        </w:rPr>
        <w:t xml:space="preserve"> </w:t>
      </w:r>
      <w:r w:rsidR="00E00339" w:rsidRPr="00167A1B">
        <w:rPr>
          <w:noProof w:val="0"/>
        </w:rPr>
        <w:fldChar w:fldCharType="begin"/>
      </w:r>
      <w:r w:rsidR="00E00339" w:rsidRPr="00167A1B">
        <w:rPr>
          <w:noProof w:val="0"/>
        </w:rPr>
        <w:instrText xml:space="preserve"> REF _Ref74236249 \h </w:instrText>
      </w:r>
      <w:r w:rsidR="00E00339" w:rsidRPr="00167A1B">
        <w:rPr>
          <w:noProof w:val="0"/>
        </w:rPr>
      </w:r>
      <w:r w:rsidR="00E00339" w:rsidRPr="00167A1B">
        <w:rPr>
          <w:noProof w:val="0"/>
        </w:rPr>
        <w:fldChar w:fldCharType="separate"/>
      </w:r>
      <w:r w:rsidR="00E00339" w:rsidRPr="00167A1B">
        <w:rPr>
          <w:noProof w:val="0"/>
        </w:rPr>
        <w:t>Table 23</w:t>
      </w:r>
      <w:r w:rsidR="00E00339" w:rsidRPr="00167A1B">
        <w:rPr>
          <w:noProof w:val="0"/>
        </w:rPr>
        <w:fldChar w:fldCharType="end"/>
      </w:r>
      <w:r w:rsidR="00E00339" w:rsidRPr="00167A1B">
        <w:rPr>
          <w:noProof w:val="0"/>
        </w:rPr>
        <w:t xml:space="preserve"> </w:t>
      </w:r>
      <w:r w:rsidRPr="00167A1B">
        <w:rPr>
          <w:noProof w:val="0"/>
        </w:rPr>
        <w:t xml:space="preserve">and </w:t>
      </w:r>
      <w:r w:rsidR="00E00339" w:rsidRPr="00167A1B">
        <w:rPr>
          <w:noProof w:val="0"/>
        </w:rPr>
        <w:t>Table 24. Extending the scope of the option to these three devices would deliver a reduction of 1,00</w:t>
      </w:r>
      <w:r w:rsidR="003C7D53" w:rsidRPr="00167A1B">
        <w:rPr>
          <w:noProof w:val="0"/>
        </w:rPr>
        <w:t>5</w:t>
      </w:r>
      <w:r w:rsidR="00E00339" w:rsidRPr="00167A1B">
        <w:rPr>
          <w:noProof w:val="0"/>
        </w:rPr>
        <w:t xml:space="preserve"> ktonnes of CO2 emissions between 2024 and 2030 (compared to -699 ktonnes if only mobile phones are included), a reduction of 13,752 tonnes of material use (compared to -9,096 tonnes), and a reduction of 5,817 tonnes of e-waste (compared to -3,546 tonnes) within the same period. Extending the scope to more devices would increase these figures</w:t>
      </w:r>
      <w:r w:rsidR="00241F03" w:rsidRPr="00167A1B">
        <w:rPr>
          <w:noProof w:val="0"/>
        </w:rPr>
        <w:t>, approximately,</w:t>
      </w:r>
      <w:r w:rsidR="00E00339" w:rsidRPr="00167A1B">
        <w:rPr>
          <w:noProof w:val="0"/>
        </w:rPr>
        <w:t xml:space="preserve"> as follows:</w:t>
      </w:r>
      <w:r w:rsidR="00FA1CA2" w:rsidRPr="00167A1B">
        <w:rPr>
          <w:rStyle w:val="FootnoteReference"/>
          <w:noProof w:val="0"/>
        </w:rPr>
        <w:footnoteReference w:id="150"/>
      </w:r>
    </w:p>
    <w:p w14:paraId="59BCE2B8" w14:textId="1F83AD70" w:rsidR="00E00339" w:rsidRPr="00167A1B" w:rsidRDefault="00E00339" w:rsidP="00395A36">
      <w:pPr>
        <w:pStyle w:val="BodyText1"/>
        <w:numPr>
          <w:ilvl w:val="0"/>
          <w:numId w:val="65"/>
        </w:numPr>
        <w:rPr>
          <w:noProof w:val="0"/>
        </w:rPr>
      </w:pPr>
      <w:r w:rsidRPr="00167A1B">
        <w:rPr>
          <w:noProof w:val="0"/>
        </w:rPr>
        <w:t>Portable speakers:</w:t>
      </w:r>
      <w:r w:rsidR="00241F03" w:rsidRPr="00167A1B">
        <w:rPr>
          <w:noProof w:val="0"/>
        </w:rPr>
        <w:t xml:space="preserve"> </w:t>
      </w:r>
      <w:r w:rsidR="00395A36" w:rsidRPr="00167A1B">
        <w:rPr>
          <w:noProof w:val="0"/>
        </w:rPr>
        <w:t>no change, given reduced size of the market and low percentage of devices sold bundled with EPS.</w:t>
      </w:r>
    </w:p>
    <w:p w14:paraId="27986749" w14:textId="793340FE" w:rsidR="00E00339" w:rsidRPr="00167A1B" w:rsidRDefault="00E00339" w:rsidP="00E00339">
      <w:pPr>
        <w:pStyle w:val="BodyText1"/>
        <w:numPr>
          <w:ilvl w:val="0"/>
          <w:numId w:val="65"/>
        </w:numPr>
        <w:rPr>
          <w:noProof w:val="0"/>
        </w:rPr>
      </w:pPr>
      <w:r w:rsidRPr="00167A1B">
        <w:rPr>
          <w:noProof w:val="0"/>
        </w:rPr>
        <w:t>Hand-held videogame consoles:</w:t>
      </w:r>
      <w:r w:rsidR="00241F03" w:rsidRPr="00167A1B">
        <w:rPr>
          <w:noProof w:val="0"/>
        </w:rPr>
        <w:t xml:space="preserve"> reduction of environmental impacts by -</w:t>
      </w:r>
      <w:r w:rsidR="004F27EF">
        <w:rPr>
          <w:noProof w:val="0"/>
        </w:rPr>
        <w:t>9</w:t>
      </w:r>
      <w:r w:rsidR="00241F03" w:rsidRPr="00167A1B">
        <w:rPr>
          <w:noProof w:val="0"/>
        </w:rPr>
        <w:t>%, compared to mobile phones</w:t>
      </w:r>
      <w:r w:rsidR="00395A36" w:rsidRPr="00167A1B">
        <w:rPr>
          <w:noProof w:val="0"/>
        </w:rPr>
        <w:t xml:space="preserve"> and standalone market</w:t>
      </w:r>
      <w:r w:rsidR="00241F03" w:rsidRPr="00167A1B">
        <w:rPr>
          <w:noProof w:val="0"/>
        </w:rPr>
        <w:t>.</w:t>
      </w:r>
    </w:p>
    <w:p w14:paraId="58E955AB" w14:textId="059ABAD9" w:rsidR="00E00339" w:rsidRPr="00167A1B" w:rsidRDefault="00241F03" w:rsidP="00E00339">
      <w:pPr>
        <w:pStyle w:val="BodyText1"/>
        <w:numPr>
          <w:ilvl w:val="0"/>
          <w:numId w:val="65"/>
        </w:numPr>
        <w:rPr>
          <w:noProof w:val="0"/>
        </w:rPr>
      </w:pPr>
      <w:r w:rsidRPr="00167A1B">
        <w:rPr>
          <w:noProof w:val="0"/>
        </w:rPr>
        <w:t>E-readers: no change, as e-readers are already sold unbundled from EPS.</w:t>
      </w:r>
    </w:p>
    <w:p w14:paraId="430822C8" w14:textId="3E515892" w:rsidR="00241F03" w:rsidRPr="00167A1B" w:rsidRDefault="00241F03" w:rsidP="00875022">
      <w:pPr>
        <w:pStyle w:val="BodyText1"/>
        <w:numPr>
          <w:ilvl w:val="0"/>
          <w:numId w:val="65"/>
        </w:numPr>
        <w:rPr>
          <w:noProof w:val="0"/>
        </w:rPr>
      </w:pPr>
      <w:r w:rsidRPr="00167A1B">
        <w:rPr>
          <w:noProof w:val="0"/>
        </w:rPr>
        <w:lastRenderedPageBreak/>
        <w:t>Smartwatches and fitness trackers:</w:t>
      </w:r>
      <w:r w:rsidR="00395A36" w:rsidRPr="00167A1B">
        <w:rPr>
          <w:noProof w:val="0"/>
        </w:rPr>
        <w:t xml:space="preserve"> reduction of environmental impacts by -</w:t>
      </w:r>
      <w:r w:rsidR="00555048">
        <w:rPr>
          <w:noProof w:val="0"/>
        </w:rPr>
        <w:t>2</w:t>
      </w:r>
      <w:r w:rsidR="00395A36" w:rsidRPr="00167A1B">
        <w:rPr>
          <w:noProof w:val="0"/>
        </w:rPr>
        <w:t>%, compared to mobile phones and standalone market.</w:t>
      </w:r>
    </w:p>
    <w:p w14:paraId="1A02BA99" w14:textId="760034B6" w:rsidR="00241F03" w:rsidRPr="00167A1B" w:rsidRDefault="00241F03" w:rsidP="008F65B2">
      <w:pPr>
        <w:pStyle w:val="BodyText1"/>
        <w:rPr>
          <w:noProof w:val="0"/>
        </w:rPr>
      </w:pPr>
      <w:r w:rsidRPr="00167A1B">
        <w:rPr>
          <w:noProof w:val="0"/>
        </w:rPr>
        <w:t>On the other hand, the wider the scope the more consumer convenience is reduced.</w:t>
      </w:r>
    </w:p>
    <w:p w14:paraId="7EB8C175" w14:textId="688A51CF" w:rsidR="0008645D" w:rsidRPr="00167A1B" w:rsidRDefault="00395A36" w:rsidP="00395A36">
      <w:pPr>
        <w:pStyle w:val="BodyText1"/>
        <w:rPr>
          <w:noProof w:val="0"/>
        </w:rPr>
      </w:pPr>
      <w:r w:rsidRPr="00167A1B">
        <w:rPr>
          <w:noProof w:val="0"/>
        </w:rPr>
        <w:t>Unbundling cables</w:t>
      </w:r>
      <w:r w:rsidR="004F27EF">
        <w:rPr>
          <w:noProof w:val="0"/>
        </w:rPr>
        <w:t xml:space="preserve"> </w:t>
      </w:r>
      <w:r w:rsidR="00C376FD" w:rsidRPr="00167A1B">
        <w:rPr>
          <w:noProof w:val="0"/>
        </w:rPr>
        <w:t>(</w:t>
      </w:r>
      <w:r w:rsidR="00C376FD" w:rsidRPr="00167A1B">
        <w:rPr>
          <w:b/>
          <w:bCs/>
          <w:noProof w:val="0"/>
        </w:rPr>
        <w:t>option 4.b</w:t>
      </w:r>
      <w:r w:rsidR="00C376FD" w:rsidRPr="00167A1B">
        <w:rPr>
          <w:noProof w:val="0"/>
        </w:rPr>
        <w:t xml:space="preserve">) would be </w:t>
      </w:r>
      <w:r w:rsidR="008E5E9C" w:rsidRPr="00167A1B">
        <w:rPr>
          <w:noProof w:val="0"/>
        </w:rPr>
        <w:t>a new development for all product categories, and as such, the impacts (both the positive environmental impacts and the negative impacts on consumers) would be significant across the entire range.</w:t>
      </w:r>
      <w:r w:rsidRPr="00167A1B">
        <w:rPr>
          <w:noProof w:val="0"/>
        </w:rPr>
        <w:t xml:space="preserve"> The quantitative impacts of extending </w:t>
      </w:r>
      <w:r w:rsidRPr="00167A1B">
        <w:rPr>
          <w:b/>
          <w:bCs/>
          <w:noProof w:val="0"/>
        </w:rPr>
        <w:t>option 4.b</w:t>
      </w:r>
      <w:r w:rsidRPr="00167A1B">
        <w:rPr>
          <w:noProof w:val="0"/>
        </w:rPr>
        <w:t xml:space="preserve"> to tablets, cameras and earwear are presented</w:t>
      </w:r>
      <w:r w:rsidR="00875022" w:rsidRPr="00167A1B">
        <w:rPr>
          <w:noProof w:val="0"/>
        </w:rPr>
        <w:t xml:space="preserve"> in</w:t>
      </w:r>
      <w:r w:rsidRPr="00167A1B">
        <w:rPr>
          <w:noProof w:val="0"/>
        </w:rPr>
        <w:t xml:space="preserve"> </w:t>
      </w:r>
      <w:r w:rsidRPr="00167A1B">
        <w:rPr>
          <w:noProof w:val="0"/>
        </w:rPr>
        <w:fldChar w:fldCharType="begin"/>
      </w:r>
      <w:r w:rsidRPr="00167A1B">
        <w:rPr>
          <w:noProof w:val="0"/>
        </w:rPr>
        <w:instrText xml:space="preserve"> REF _Ref74236249 \h </w:instrText>
      </w:r>
      <w:r w:rsidRPr="00167A1B">
        <w:rPr>
          <w:noProof w:val="0"/>
        </w:rPr>
      </w:r>
      <w:r w:rsidRPr="00167A1B">
        <w:rPr>
          <w:noProof w:val="0"/>
        </w:rPr>
        <w:fldChar w:fldCharType="separate"/>
      </w:r>
      <w:r w:rsidRPr="00167A1B">
        <w:rPr>
          <w:noProof w:val="0"/>
        </w:rPr>
        <w:t>Table 23</w:t>
      </w:r>
      <w:r w:rsidRPr="00167A1B">
        <w:rPr>
          <w:noProof w:val="0"/>
        </w:rPr>
        <w:fldChar w:fldCharType="end"/>
      </w:r>
      <w:r w:rsidRPr="00167A1B">
        <w:rPr>
          <w:noProof w:val="0"/>
        </w:rPr>
        <w:t xml:space="preserve"> and Table 24. Extending the scope of the option to these three devices would deliver a reduction of 2,385 ktonnes of CO2 emissions between 2024 and 2030 (compared to -1,567 ktonnes if only mobile phones are included), a reduction of 52,664 tonnes of material use (compared to -33,568 tonnes), and a reduction of 21,770 tonnes of e-waste (compared to -13,409 tonnes) within the same period. </w:t>
      </w:r>
      <w:r w:rsidR="0008645D" w:rsidRPr="00167A1B">
        <w:rPr>
          <w:noProof w:val="0"/>
        </w:rPr>
        <w:t>Broadly speaking, approximately 45% of the environmental impacts correspond to unbundling the EPS, and 55% to unbundling the cable. This is because although EPS have higher environmental impact, many models are already sold unbundled.</w:t>
      </w:r>
    </w:p>
    <w:p w14:paraId="11D42ED9" w14:textId="34B429EA" w:rsidR="00395A36" w:rsidRPr="00167A1B" w:rsidRDefault="00395A36" w:rsidP="00395A36">
      <w:pPr>
        <w:pStyle w:val="BodyText1"/>
        <w:rPr>
          <w:noProof w:val="0"/>
        </w:rPr>
      </w:pPr>
      <w:r w:rsidRPr="00167A1B">
        <w:rPr>
          <w:noProof w:val="0"/>
        </w:rPr>
        <w:t>Extending the scope to more devices would increase these figures, approximately, as follows:</w:t>
      </w:r>
      <w:r w:rsidRPr="00167A1B">
        <w:rPr>
          <w:rStyle w:val="FootnoteReference"/>
          <w:noProof w:val="0"/>
        </w:rPr>
        <w:footnoteReference w:id="151"/>
      </w:r>
    </w:p>
    <w:p w14:paraId="04C2CEC5" w14:textId="1C82CF42" w:rsidR="00395A36" w:rsidRPr="00167A1B" w:rsidRDefault="00395A36" w:rsidP="00395A36">
      <w:pPr>
        <w:pStyle w:val="BodyText1"/>
        <w:numPr>
          <w:ilvl w:val="0"/>
          <w:numId w:val="65"/>
        </w:numPr>
        <w:rPr>
          <w:noProof w:val="0"/>
        </w:rPr>
      </w:pPr>
      <w:r w:rsidRPr="00167A1B">
        <w:rPr>
          <w:noProof w:val="0"/>
        </w:rPr>
        <w:t xml:space="preserve">Portable speakers: </w:t>
      </w:r>
      <w:r w:rsidR="0008645D" w:rsidRPr="00167A1B">
        <w:rPr>
          <w:noProof w:val="0"/>
        </w:rPr>
        <w:t>reduction of environmental impacts by -1%, compared to mobile phones and standalone market.</w:t>
      </w:r>
    </w:p>
    <w:p w14:paraId="4082FBF0" w14:textId="51BF9C19" w:rsidR="00395A36" w:rsidRPr="00167A1B" w:rsidRDefault="00395A36" w:rsidP="00395A36">
      <w:pPr>
        <w:pStyle w:val="BodyText1"/>
        <w:numPr>
          <w:ilvl w:val="0"/>
          <w:numId w:val="65"/>
        </w:numPr>
        <w:rPr>
          <w:noProof w:val="0"/>
        </w:rPr>
      </w:pPr>
      <w:r w:rsidRPr="00167A1B">
        <w:rPr>
          <w:noProof w:val="0"/>
        </w:rPr>
        <w:t>Hand-held videogame consoles: reduction of environmental impacts by -</w:t>
      </w:r>
      <w:r w:rsidR="00555048">
        <w:rPr>
          <w:noProof w:val="0"/>
        </w:rPr>
        <w:t>9</w:t>
      </w:r>
      <w:r w:rsidRPr="00167A1B">
        <w:rPr>
          <w:noProof w:val="0"/>
        </w:rPr>
        <w:t>%, compared to mobile phones and standalone market.</w:t>
      </w:r>
    </w:p>
    <w:p w14:paraId="7C07EBA5" w14:textId="3ED45ABA" w:rsidR="00395A36" w:rsidRPr="00167A1B" w:rsidRDefault="00395A36" w:rsidP="00395A36">
      <w:pPr>
        <w:pStyle w:val="BodyText1"/>
        <w:numPr>
          <w:ilvl w:val="0"/>
          <w:numId w:val="65"/>
        </w:numPr>
        <w:rPr>
          <w:noProof w:val="0"/>
        </w:rPr>
      </w:pPr>
      <w:r w:rsidRPr="00167A1B">
        <w:rPr>
          <w:noProof w:val="0"/>
        </w:rPr>
        <w:t xml:space="preserve">E-readers: </w:t>
      </w:r>
      <w:r w:rsidR="0008645D" w:rsidRPr="00167A1B">
        <w:rPr>
          <w:noProof w:val="0"/>
        </w:rPr>
        <w:t>reduction of environmental impacts by -</w:t>
      </w:r>
      <w:r w:rsidR="00555048">
        <w:rPr>
          <w:noProof w:val="0"/>
        </w:rPr>
        <w:t>3</w:t>
      </w:r>
      <w:r w:rsidR="0008645D" w:rsidRPr="00167A1B">
        <w:rPr>
          <w:noProof w:val="0"/>
        </w:rPr>
        <w:t>%, compared to mobile phones and standalone market.</w:t>
      </w:r>
    </w:p>
    <w:p w14:paraId="56E80164" w14:textId="73A95DC5" w:rsidR="00395A36" w:rsidRPr="00167A1B" w:rsidRDefault="00395A36" w:rsidP="00395A36">
      <w:pPr>
        <w:pStyle w:val="BodyText1"/>
        <w:numPr>
          <w:ilvl w:val="0"/>
          <w:numId w:val="65"/>
        </w:numPr>
        <w:rPr>
          <w:noProof w:val="0"/>
        </w:rPr>
      </w:pPr>
      <w:r w:rsidRPr="00167A1B">
        <w:rPr>
          <w:noProof w:val="0"/>
        </w:rPr>
        <w:t>Smartwatches and fitness trackers: reduction of environmental impacts by -</w:t>
      </w:r>
      <w:r w:rsidR="00555048">
        <w:rPr>
          <w:noProof w:val="0"/>
        </w:rPr>
        <w:t>3</w:t>
      </w:r>
      <w:r w:rsidRPr="00167A1B">
        <w:rPr>
          <w:noProof w:val="0"/>
        </w:rPr>
        <w:t>%, compared to mobile phones and standalone market.</w:t>
      </w:r>
    </w:p>
    <w:p w14:paraId="4963F948" w14:textId="0F168725" w:rsidR="008B4225" w:rsidRPr="00167A1B" w:rsidRDefault="008B4225" w:rsidP="008B4225">
      <w:pPr>
        <w:pStyle w:val="Subtitle10"/>
        <w:rPr>
          <w:noProof w:val="0"/>
        </w:rPr>
      </w:pPr>
      <w:r w:rsidRPr="00167A1B">
        <w:rPr>
          <w:noProof w:val="0"/>
        </w:rPr>
        <w:t>Option 5</w:t>
      </w:r>
    </w:p>
    <w:p w14:paraId="2C36958A" w14:textId="32FD096F" w:rsidR="00784993" w:rsidRPr="00167A1B" w:rsidRDefault="00784993" w:rsidP="008F65B2">
      <w:pPr>
        <w:pStyle w:val="BodyText1"/>
        <w:rPr>
          <w:noProof w:val="0"/>
        </w:rPr>
      </w:pPr>
      <w:r w:rsidRPr="00167A1B">
        <w:rPr>
          <w:noProof w:val="0"/>
        </w:rPr>
        <w:t>Finally, as noted above (see section 6.3), for this voluntary option, it seems rather obvious that, the wider its scope of application, the more effective it is likely to be. In other words, a priori there is no reason to exclude any product categories. If a tablet, camera, hearing device, etc., and/or its corresponding EPS (or even stand-alone EPS) complies with the requirements of the labelling scheme, and the manufacturer wants it to carry the label, then the scheme should not create any artificial barriers to prevent this.</w:t>
      </w:r>
    </w:p>
    <w:p w14:paraId="7DFF6A7C" w14:textId="784C680B" w:rsidR="008F65B2" w:rsidRPr="00167A1B" w:rsidRDefault="00784993" w:rsidP="008F65B2">
      <w:pPr>
        <w:pStyle w:val="BodyText1"/>
        <w:rPr>
          <w:noProof w:val="0"/>
        </w:rPr>
      </w:pPr>
      <w:r w:rsidRPr="00167A1B">
        <w:rPr>
          <w:noProof w:val="0"/>
        </w:rPr>
        <w:t>As such, it also seems likely that, the more widely the scheme is used, the more consumers will notice and potentially begin to pay attention to it. Following on from this, the positive impacts on the mobile phone market could be enhanced by a widespread application to other portable electronic devices and their EPS, and vice versa.</w:t>
      </w:r>
    </w:p>
    <w:p w14:paraId="26405759" w14:textId="4CE43176" w:rsidR="00784993" w:rsidRPr="00167A1B" w:rsidRDefault="00784993" w:rsidP="008F65B2">
      <w:pPr>
        <w:pStyle w:val="BodyText1"/>
        <w:rPr>
          <w:noProof w:val="0"/>
        </w:rPr>
      </w:pPr>
      <w:r w:rsidRPr="00167A1B">
        <w:rPr>
          <w:noProof w:val="0"/>
        </w:rPr>
        <w:t xml:space="preserve">However, as </w:t>
      </w:r>
      <w:r w:rsidR="00686DA6" w:rsidRPr="00167A1B">
        <w:rPr>
          <w:noProof w:val="0"/>
        </w:rPr>
        <w:t xml:space="preserve">discussed previously (see section 3.2), the reaction of both manufacturers / vendors and consumers is very difficult to predict at this stage, as the exact design parameters and implementation modalities of the scheme have not been discussed among stakeholders and defined in detail. Therefore, any qualitative or quantitative estimates of its impacts are subject to a high degree of uncertainty. </w:t>
      </w:r>
    </w:p>
    <w:p w14:paraId="694A6165" w14:textId="4F7A8143" w:rsidR="00E86CB9" w:rsidRPr="00167A1B" w:rsidRDefault="00E86CB9" w:rsidP="008F65B2">
      <w:pPr>
        <w:pStyle w:val="BodyText1"/>
        <w:rPr>
          <w:noProof w:val="0"/>
        </w:rPr>
      </w:pPr>
      <w:r w:rsidRPr="00167A1B">
        <w:rPr>
          <w:noProof w:val="0"/>
        </w:rPr>
        <w:t>Our stock model assumes that this scheme would mainly affect the standalone market of EPS and cables, and therefore the expected impacts of including more devices would not deliver significant environmental or economic impacts compared to applying the scheme to mobile phones only. It would, however, increase consumer convenience significantly.</w:t>
      </w:r>
    </w:p>
    <w:p w14:paraId="77B9802E" w14:textId="77777777" w:rsidR="008B4225" w:rsidRPr="00167A1B" w:rsidRDefault="008B4225" w:rsidP="008F65B2">
      <w:pPr>
        <w:pStyle w:val="BodyText1"/>
        <w:rPr>
          <w:noProof w:val="0"/>
        </w:rPr>
      </w:pPr>
    </w:p>
    <w:p w14:paraId="2F9A5A49" w14:textId="24C10001" w:rsidR="008F65B2" w:rsidRPr="00167A1B" w:rsidRDefault="008F65B2">
      <w:pPr>
        <w:spacing w:after="0"/>
        <w:jc w:val="left"/>
        <w:rPr>
          <w:rFonts w:ascii="Arial" w:hAnsi="Arial"/>
          <w:sz w:val="22"/>
        </w:rPr>
      </w:pPr>
      <w:r w:rsidRPr="00167A1B">
        <w:br w:type="page"/>
      </w:r>
    </w:p>
    <w:p w14:paraId="0B5AEFF3" w14:textId="67A957AC" w:rsidR="00D30D44" w:rsidRPr="00167A1B" w:rsidRDefault="00D30D44" w:rsidP="00630BCE">
      <w:pPr>
        <w:pStyle w:val="Title1"/>
        <w:outlineLvl w:val="0"/>
      </w:pPr>
      <w:bookmarkStart w:id="78" w:name="_Toc74319765"/>
      <w:bookmarkStart w:id="79" w:name="_Hlk69978212"/>
      <w:r w:rsidRPr="00167A1B">
        <w:lastRenderedPageBreak/>
        <w:t>Combinations of measures</w:t>
      </w:r>
      <w:bookmarkEnd w:id="78"/>
      <w:r w:rsidRPr="00167A1B">
        <w:t xml:space="preserve"> </w:t>
      </w:r>
    </w:p>
    <w:p w14:paraId="6003860F" w14:textId="4617B848" w:rsidR="001B2C6E" w:rsidRPr="00167A1B" w:rsidRDefault="001B2C6E" w:rsidP="008F65B2">
      <w:pPr>
        <w:pStyle w:val="BodyText1"/>
        <w:rPr>
          <w:noProof w:val="0"/>
        </w:rPr>
      </w:pPr>
      <w:r w:rsidRPr="00167A1B">
        <w:rPr>
          <w:noProof w:val="0"/>
        </w:rPr>
        <w:t xml:space="preserve">As noted previously (see section 3.2), the policy options as defined for this study comprise individual “measures” that would harmonise or address certain technical aspects related to chargers, or the way in which they are marketed. These options are not necessarily mutually </w:t>
      </w:r>
      <w:proofErr w:type="gramStart"/>
      <w:r w:rsidRPr="00167A1B">
        <w:rPr>
          <w:noProof w:val="0"/>
        </w:rPr>
        <w:t>exclusive, but</w:t>
      </w:r>
      <w:proofErr w:type="gramEnd"/>
      <w:r w:rsidRPr="00167A1B">
        <w:rPr>
          <w:noProof w:val="0"/>
        </w:rPr>
        <w:t xml:space="preserve"> could potentially be combined into a “package” of measures. This chapter explores if and how different options could be </w:t>
      </w:r>
      <w:proofErr w:type="gramStart"/>
      <w:r w:rsidRPr="00167A1B">
        <w:rPr>
          <w:noProof w:val="0"/>
        </w:rPr>
        <w:t>combined, and</w:t>
      </w:r>
      <w:proofErr w:type="gramEnd"/>
      <w:r w:rsidRPr="00167A1B">
        <w:rPr>
          <w:noProof w:val="0"/>
        </w:rPr>
        <w:t xml:space="preserve"> assesses the likely main impacts of the resulting “packages”. </w:t>
      </w:r>
    </w:p>
    <w:p w14:paraId="7A5F4AC8" w14:textId="40A8C8E9" w:rsidR="001B2C6E" w:rsidRPr="00167A1B" w:rsidRDefault="001B2C6E" w:rsidP="008F65B2">
      <w:pPr>
        <w:pStyle w:val="BodyText1"/>
        <w:rPr>
          <w:noProof w:val="0"/>
        </w:rPr>
      </w:pPr>
    </w:p>
    <w:p w14:paraId="2630746E" w14:textId="4F83B905" w:rsidR="001B2C6E" w:rsidRPr="00167A1B" w:rsidRDefault="001B2C6E" w:rsidP="004222CE">
      <w:pPr>
        <w:pStyle w:val="Title2"/>
        <w:outlineLvl w:val="1"/>
      </w:pPr>
      <w:bookmarkStart w:id="80" w:name="_Toc74319766"/>
      <w:r w:rsidRPr="00167A1B">
        <w:t>Compatibility between different options</w:t>
      </w:r>
      <w:bookmarkEnd w:id="80"/>
    </w:p>
    <w:p w14:paraId="020D49DD" w14:textId="31667B51" w:rsidR="001B2C6E" w:rsidRPr="00167A1B" w:rsidRDefault="001B2C6E" w:rsidP="008F65B2">
      <w:pPr>
        <w:pStyle w:val="BodyText1"/>
        <w:rPr>
          <w:noProof w:val="0"/>
        </w:rPr>
      </w:pPr>
      <w:r w:rsidRPr="00167A1B">
        <w:rPr>
          <w:noProof w:val="0"/>
        </w:rPr>
        <w:t>The individual policy options address different elements related to charging, namely the connectors on the device (option 1), (fast) charging technology / communication protocols (options 2 and 3), unbundling (options 4.a and 4.b), and the provision of information on interoperability (option 5). A possible legislative or non-legislative initiative could obviously seek to address more than one of these elements. In broad terms, each of the options could potentially be combined with others as follows:</w:t>
      </w:r>
    </w:p>
    <w:p w14:paraId="78DB3379" w14:textId="33B92CAD" w:rsidR="001B2C6E" w:rsidRPr="00167A1B" w:rsidRDefault="001B2C6E" w:rsidP="001B2C6E">
      <w:pPr>
        <w:pStyle w:val="bullet1"/>
        <w:rPr>
          <w:noProof w:val="0"/>
        </w:rPr>
      </w:pPr>
      <w:r w:rsidRPr="00167A1B">
        <w:rPr>
          <w:b/>
          <w:bCs/>
          <w:noProof w:val="0"/>
        </w:rPr>
        <w:t>Option 1 (Harmonise connectors on mobile phones)</w:t>
      </w:r>
      <w:r w:rsidRPr="00167A1B">
        <w:rPr>
          <w:noProof w:val="0"/>
        </w:rPr>
        <w:t xml:space="preserve">: The obligation for all mobile phones to have USB Type-C receptacles could be pursued alongside interoperability requirements for either phones (option 2) or EPS (option 3), which would </w:t>
      </w:r>
      <w:r w:rsidR="00CF3CEE" w:rsidRPr="00167A1B">
        <w:rPr>
          <w:noProof w:val="0"/>
        </w:rPr>
        <w:t>provide a more holistic approach to harmonisation, encompassing both the device-end connectors as well as the communication protocols. This option could also be taken forward together with an obligation to give consumers the option of buying phones without chargers (option 4).</w:t>
      </w:r>
    </w:p>
    <w:p w14:paraId="6FC7C87B" w14:textId="0E88FB3E" w:rsidR="001B2C6E" w:rsidRPr="00167A1B" w:rsidRDefault="001B2C6E" w:rsidP="001B2C6E">
      <w:pPr>
        <w:pStyle w:val="bullet1"/>
        <w:rPr>
          <w:noProof w:val="0"/>
        </w:rPr>
      </w:pPr>
      <w:r w:rsidRPr="00167A1B">
        <w:rPr>
          <w:b/>
          <w:bCs/>
          <w:noProof w:val="0"/>
        </w:rPr>
        <w:t xml:space="preserve">Option 2 </w:t>
      </w:r>
      <w:r w:rsidR="00CF3CEE" w:rsidRPr="00167A1B">
        <w:rPr>
          <w:b/>
          <w:bCs/>
          <w:noProof w:val="0"/>
        </w:rPr>
        <w:t>(</w:t>
      </w:r>
      <w:r w:rsidRPr="00167A1B">
        <w:rPr>
          <w:b/>
          <w:bCs/>
          <w:noProof w:val="0"/>
        </w:rPr>
        <w:t>Require mobile phones to be compatible with USB charging technology</w:t>
      </w:r>
      <w:r w:rsidR="00CF3CEE" w:rsidRPr="00167A1B">
        <w:rPr>
          <w:b/>
          <w:bCs/>
          <w:noProof w:val="0"/>
        </w:rPr>
        <w:t>)</w:t>
      </w:r>
      <w:r w:rsidR="00CF3CEE" w:rsidRPr="00167A1B">
        <w:rPr>
          <w:noProof w:val="0"/>
        </w:rPr>
        <w:t>: In addition to option 1 (see above), this option could also be pursued alongside any of the unbundling options (4.a or 4.b). However, it would be inappropriate to pursue both option 2 and option 3 at the same time, since both of these are means to the same end (interoperability of phones with EPS), and regulating for both at the same time would be unnecessary, seeing as either of these measures on their own could achieve this objective.</w:t>
      </w:r>
    </w:p>
    <w:p w14:paraId="28D425C4" w14:textId="717AEC80" w:rsidR="001B2C6E" w:rsidRPr="00167A1B" w:rsidRDefault="001B2C6E" w:rsidP="001B2C6E">
      <w:pPr>
        <w:pStyle w:val="bullet1"/>
        <w:rPr>
          <w:noProof w:val="0"/>
        </w:rPr>
      </w:pPr>
      <w:r w:rsidRPr="00167A1B">
        <w:rPr>
          <w:b/>
          <w:bCs/>
          <w:noProof w:val="0"/>
        </w:rPr>
        <w:t xml:space="preserve">Option 3 </w:t>
      </w:r>
      <w:r w:rsidR="00CF3CEE" w:rsidRPr="00167A1B">
        <w:rPr>
          <w:b/>
          <w:bCs/>
          <w:noProof w:val="0"/>
        </w:rPr>
        <w:t>(</w:t>
      </w:r>
      <w:r w:rsidRPr="00167A1B">
        <w:rPr>
          <w:b/>
          <w:bCs/>
          <w:noProof w:val="0"/>
        </w:rPr>
        <w:t>Require EPS for mobile phones to comply with USB interoperability guidelines</w:t>
      </w:r>
      <w:r w:rsidR="00CF3CEE" w:rsidRPr="00167A1B">
        <w:rPr>
          <w:b/>
          <w:bCs/>
          <w:noProof w:val="0"/>
        </w:rPr>
        <w:t>)</w:t>
      </w:r>
      <w:r w:rsidR="00CF3CEE" w:rsidRPr="00167A1B">
        <w:rPr>
          <w:noProof w:val="0"/>
        </w:rPr>
        <w:t>: As noted already, this option could be combined with option 1, but not with option 2. It would also be inappropriate to pursue alongside option 4. This is because option 3 applies to EPS sold with mobile phones, so if unbundling of EPS was made mandatory, it would lose its legal bindingness and hence most of its effectiveness.</w:t>
      </w:r>
      <w:r w:rsidRPr="00167A1B">
        <w:rPr>
          <w:noProof w:val="0"/>
        </w:rPr>
        <w:t xml:space="preserve"> </w:t>
      </w:r>
    </w:p>
    <w:p w14:paraId="06D85FE0" w14:textId="0A6A2471" w:rsidR="001B2C6E" w:rsidRPr="00167A1B" w:rsidRDefault="001B2C6E" w:rsidP="001B2C6E">
      <w:pPr>
        <w:pStyle w:val="bullet1"/>
        <w:rPr>
          <w:b/>
          <w:bCs/>
          <w:noProof w:val="0"/>
        </w:rPr>
      </w:pPr>
      <w:r w:rsidRPr="00167A1B">
        <w:rPr>
          <w:b/>
          <w:bCs/>
          <w:noProof w:val="0"/>
        </w:rPr>
        <w:t xml:space="preserve">Option 4 </w:t>
      </w:r>
      <w:r w:rsidR="00CF3CEE" w:rsidRPr="00167A1B">
        <w:rPr>
          <w:b/>
          <w:bCs/>
          <w:noProof w:val="0"/>
        </w:rPr>
        <w:t>(</w:t>
      </w:r>
      <w:r w:rsidRPr="00167A1B">
        <w:rPr>
          <w:b/>
          <w:bCs/>
          <w:noProof w:val="0"/>
        </w:rPr>
        <w:t>Mandatory unbundling of EPS (option 4.a) or of EPS and cables (option 4.b)</w:t>
      </w:r>
      <w:r w:rsidR="00CF3CEE" w:rsidRPr="00167A1B">
        <w:rPr>
          <w:b/>
          <w:bCs/>
          <w:noProof w:val="0"/>
        </w:rPr>
        <w:t xml:space="preserve">): </w:t>
      </w:r>
      <w:r w:rsidR="00CF3CEE" w:rsidRPr="00167A1B">
        <w:rPr>
          <w:noProof w:val="0"/>
        </w:rPr>
        <w:t>As already outlined, either option 4.a or option 4.b could be pursued alongside options 1</w:t>
      </w:r>
      <w:r w:rsidR="007754B5" w:rsidRPr="00167A1B">
        <w:rPr>
          <w:noProof w:val="0"/>
        </w:rPr>
        <w:t xml:space="preserve"> or</w:t>
      </w:r>
      <w:r w:rsidR="00CF3CEE" w:rsidRPr="00167A1B">
        <w:rPr>
          <w:noProof w:val="0"/>
        </w:rPr>
        <w:t xml:space="preserve"> 2</w:t>
      </w:r>
      <w:r w:rsidR="007754B5" w:rsidRPr="00167A1B">
        <w:rPr>
          <w:noProof w:val="0"/>
        </w:rPr>
        <w:t xml:space="preserve"> individually</w:t>
      </w:r>
      <w:r w:rsidR="00CF3CEE" w:rsidRPr="00167A1B">
        <w:rPr>
          <w:noProof w:val="0"/>
        </w:rPr>
        <w:t>, as well as alongside options 1 and 2 together.</w:t>
      </w:r>
    </w:p>
    <w:p w14:paraId="7FFF1D37" w14:textId="64178275" w:rsidR="001B2C6E" w:rsidRPr="00167A1B" w:rsidRDefault="001B2C6E" w:rsidP="001B2C6E">
      <w:pPr>
        <w:pStyle w:val="bullet1"/>
        <w:rPr>
          <w:noProof w:val="0"/>
        </w:rPr>
      </w:pPr>
      <w:r w:rsidRPr="00167A1B">
        <w:rPr>
          <w:b/>
          <w:bCs/>
          <w:noProof w:val="0"/>
        </w:rPr>
        <w:t xml:space="preserve">Option 5 </w:t>
      </w:r>
      <w:r w:rsidR="00CF3CEE" w:rsidRPr="00167A1B">
        <w:rPr>
          <w:b/>
          <w:bCs/>
          <w:noProof w:val="0"/>
        </w:rPr>
        <w:t>(</w:t>
      </w:r>
      <w:r w:rsidRPr="00167A1B">
        <w:rPr>
          <w:b/>
          <w:bCs/>
          <w:noProof w:val="0"/>
        </w:rPr>
        <w:t>Voluntary interoperability labelling / information scheme</w:t>
      </w:r>
      <w:r w:rsidR="00CF3CEE" w:rsidRPr="00167A1B">
        <w:rPr>
          <w:b/>
          <w:bCs/>
          <w:noProof w:val="0"/>
        </w:rPr>
        <w:t>)</w:t>
      </w:r>
      <w:r w:rsidR="00CF3CEE" w:rsidRPr="00167A1B">
        <w:rPr>
          <w:noProof w:val="0"/>
        </w:rPr>
        <w:t xml:space="preserve">: Finally, </w:t>
      </w:r>
      <w:r w:rsidR="000D6FA4" w:rsidRPr="00167A1B">
        <w:rPr>
          <w:noProof w:val="0"/>
        </w:rPr>
        <w:t>the</w:t>
      </w:r>
      <w:r w:rsidR="00CF3CEE" w:rsidRPr="00167A1B">
        <w:rPr>
          <w:noProof w:val="0"/>
        </w:rPr>
        <w:t xml:space="preserve"> </w:t>
      </w:r>
      <w:r w:rsidR="000D6FA4" w:rsidRPr="00167A1B">
        <w:rPr>
          <w:noProof w:val="0"/>
        </w:rPr>
        <w:t xml:space="preserve">voluntary </w:t>
      </w:r>
      <w:r w:rsidR="00CF3CEE" w:rsidRPr="00167A1B">
        <w:rPr>
          <w:noProof w:val="0"/>
        </w:rPr>
        <w:t xml:space="preserve">labelling </w:t>
      </w:r>
      <w:r w:rsidR="000D6FA4" w:rsidRPr="00167A1B">
        <w:rPr>
          <w:noProof w:val="0"/>
        </w:rPr>
        <w:t>scheme to raise awareness of interoperability could be implemented as a flanking measure to any of the other options. As discussed above (see section 5.4), in combination with options 2 or 3, it would also be possible to make such a scheme mandatory, i.e. use it as part of the information requirements to convey the mandatory interoperability that these options would imply.</w:t>
      </w:r>
    </w:p>
    <w:p w14:paraId="27F4E1DD" w14:textId="3921FD0A" w:rsidR="001B2C6E" w:rsidRPr="00167A1B" w:rsidRDefault="000D6FA4" w:rsidP="000D6FA4">
      <w:pPr>
        <w:pStyle w:val="BodyText1"/>
        <w:rPr>
          <w:noProof w:val="0"/>
        </w:rPr>
      </w:pPr>
      <w:r w:rsidRPr="00167A1B">
        <w:rPr>
          <w:noProof w:val="0"/>
        </w:rPr>
        <w:t xml:space="preserve">In summary, these considerations lead to the list of possible packages of options shown in the table below. </w:t>
      </w:r>
    </w:p>
    <w:p w14:paraId="29F8DB4A" w14:textId="5D5219A7" w:rsidR="000D6FA4" w:rsidRPr="00167A1B" w:rsidRDefault="000D6FA4" w:rsidP="000D6FA4">
      <w:pPr>
        <w:pStyle w:val="Caption"/>
      </w:pPr>
      <w:r w:rsidRPr="00167A1B">
        <w:lastRenderedPageBreak/>
        <w:t xml:space="preserve">Table </w:t>
      </w:r>
      <w:r w:rsidRPr="00167A1B">
        <w:fldChar w:fldCharType="begin"/>
      </w:r>
      <w:r w:rsidRPr="00167A1B">
        <w:instrText xml:space="preserve"> SEQ Table \* ARABIC </w:instrText>
      </w:r>
      <w:r w:rsidRPr="00167A1B">
        <w:fldChar w:fldCharType="separate"/>
      </w:r>
      <w:r w:rsidR="00953106" w:rsidRPr="00167A1B">
        <w:t>28</w:t>
      </w:r>
      <w:r w:rsidRPr="00167A1B">
        <w:fldChar w:fldCharType="end"/>
      </w:r>
      <w:r w:rsidRPr="00167A1B">
        <w:t>: Possible packages of options</w:t>
      </w:r>
    </w:p>
    <w:tbl>
      <w:tblPr>
        <w:tblStyle w:val="TableGrid"/>
        <w:tblW w:w="0" w:type="auto"/>
        <w:tblLook w:val="04A0" w:firstRow="1" w:lastRow="0" w:firstColumn="1" w:lastColumn="0" w:noHBand="0" w:noVBand="1"/>
      </w:tblPr>
      <w:tblGrid>
        <w:gridCol w:w="1391"/>
        <w:gridCol w:w="3991"/>
        <w:gridCol w:w="919"/>
        <w:gridCol w:w="920"/>
        <w:gridCol w:w="920"/>
        <w:gridCol w:w="920"/>
      </w:tblGrid>
      <w:tr w:rsidR="000D6FA4" w:rsidRPr="00167A1B" w14:paraId="243784FD" w14:textId="77777777" w:rsidTr="007754B5">
        <w:trPr>
          <w:cnfStyle w:val="100000000000" w:firstRow="1" w:lastRow="0" w:firstColumn="0" w:lastColumn="0" w:oddVBand="0" w:evenVBand="0" w:oddHBand="0" w:evenHBand="0" w:firstRowFirstColumn="0" w:firstRowLastColumn="0" w:lastRowFirstColumn="0" w:lastRowLastColumn="0"/>
        </w:trPr>
        <w:tc>
          <w:tcPr>
            <w:tcW w:w="1391" w:type="dxa"/>
          </w:tcPr>
          <w:p w14:paraId="08243E05" w14:textId="77777777" w:rsidR="000D6FA4" w:rsidRPr="00167A1B" w:rsidRDefault="000D6FA4" w:rsidP="000D6FA4">
            <w:pPr>
              <w:pStyle w:val="BodyText1"/>
              <w:rPr>
                <w:noProof w:val="0"/>
                <w:sz w:val="20"/>
                <w:szCs w:val="18"/>
              </w:rPr>
            </w:pPr>
          </w:p>
        </w:tc>
        <w:tc>
          <w:tcPr>
            <w:tcW w:w="3991" w:type="dxa"/>
          </w:tcPr>
          <w:p w14:paraId="1B993E81" w14:textId="50C099F4" w:rsidR="000D6FA4" w:rsidRPr="00167A1B" w:rsidRDefault="000D6FA4" w:rsidP="007754B5">
            <w:pPr>
              <w:pStyle w:val="BodyText1"/>
              <w:jc w:val="left"/>
              <w:rPr>
                <w:noProof w:val="0"/>
                <w:sz w:val="20"/>
                <w:szCs w:val="18"/>
              </w:rPr>
            </w:pPr>
            <w:r w:rsidRPr="00167A1B">
              <w:rPr>
                <w:noProof w:val="0"/>
                <w:sz w:val="20"/>
                <w:szCs w:val="18"/>
              </w:rPr>
              <w:t>Summary</w:t>
            </w:r>
          </w:p>
        </w:tc>
        <w:tc>
          <w:tcPr>
            <w:tcW w:w="919" w:type="dxa"/>
          </w:tcPr>
          <w:p w14:paraId="716C085A" w14:textId="6614925F" w:rsidR="000D6FA4" w:rsidRPr="00167A1B" w:rsidRDefault="000D6FA4" w:rsidP="000D6FA4">
            <w:pPr>
              <w:pStyle w:val="BodyText1"/>
              <w:jc w:val="center"/>
              <w:rPr>
                <w:noProof w:val="0"/>
                <w:sz w:val="20"/>
                <w:szCs w:val="18"/>
              </w:rPr>
            </w:pPr>
            <w:r w:rsidRPr="00167A1B">
              <w:rPr>
                <w:noProof w:val="0"/>
                <w:sz w:val="20"/>
                <w:szCs w:val="18"/>
              </w:rPr>
              <w:t>PO 1</w:t>
            </w:r>
          </w:p>
        </w:tc>
        <w:tc>
          <w:tcPr>
            <w:tcW w:w="920" w:type="dxa"/>
          </w:tcPr>
          <w:p w14:paraId="588949EC" w14:textId="0A6C63C2" w:rsidR="000D6FA4" w:rsidRPr="00167A1B" w:rsidRDefault="000D6FA4" w:rsidP="000D6FA4">
            <w:pPr>
              <w:pStyle w:val="BodyText1"/>
              <w:jc w:val="center"/>
              <w:rPr>
                <w:noProof w:val="0"/>
                <w:sz w:val="20"/>
                <w:szCs w:val="18"/>
              </w:rPr>
            </w:pPr>
            <w:r w:rsidRPr="00167A1B">
              <w:rPr>
                <w:noProof w:val="0"/>
                <w:sz w:val="20"/>
                <w:szCs w:val="18"/>
              </w:rPr>
              <w:t>PO 2</w:t>
            </w:r>
          </w:p>
        </w:tc>
        <w:tc>
          <w:tcPr>
            <w:tcW w:w="920" w:type="dxa"/>
          </w:tcPr>
          <w:p w14:paraId="25E5CBDC" w14:textId="6B670928" w:rsidR="000D6FA4" w:rsidRPr="00167A1B" w:rsidRDefault="000D6FA4" w:rsidP="000D6FA4">
            <w:pPr>
              <w:pStyle w:val="BodyText1"/>
              <w:jc w:val="center"/>
              <w:rPr>
                <w:noProof w:val="0"/>
                <w:sz w:val="20"/>
                <w:szCs w:val="18"/>
              </w:rPr>
            </w:pPr>
            <w:r w:rsidRPr="00167A1B">
              <w:rPr>
                <w:noProof w:val="0"/>
                <w:sz w:val="20"/>
                <w:szCs w:val="18"/>
              </w:rPr>
              <w:t>PO 3</w:t>
            </w:r>
          </w:p>
        </w:tc>
        <w:tc>
          <w:tcPr>
            <w:tcW w:w="920" w:type="dxa"/>
          </w:tcPr>
          <w:p w14:paraId="7BCA8AB0" w14:textId="04212E44" w:rsidR="000D6FA4" w:rsidRPr="00167A1B" w:rsidRDefault="000D6FA4" w:rsidP="000D6FA4">
            <w:pPr>
              <w:pStyle w:val="BodyText1"/>
              <w:jc w:val="center"/>
              <w:rPr>
                <w:noProof w:val="0"/>
                <w:sz w:val="20"/>
                <w:szCs w:val="18"/>
              </w:rPr>
            </w:pPr>
            <w:r w:rsidRPr="00167A1B">
              <w:rPr>
                <w:noProof w:val="0"/>
                <w:sz w:val="20"/>
                <w:szCs w:val="18"/>
              </w:rPr>
              <w:t>PO 4</w:t>
            </w:r>
          </w:p>
        </w:tc>
      </w:tr>
      <w:tr w:rsidR="000D6FA4" w:rsidRPr="00167A1B" w14:paraId="6DCCE396" w14:textId="77777777" w:rsidTr="008B6EC5">
        <w:tc>
          <w:tcPr>
            <w:tcW w:w="1391" w:type="dxa"/>
          </w:tcPr>
          <w:p w14:paraId="00F5ABEA" w14:textId="3A281265" w:rsidR="000D6FA4" w:rsidRPr="00167A1B" w:rsidRDefault="000D6FA4" w:rsidP="000D6FA4">
            <w:pPr>
              <w:pStyle w:val="BodyText1"/>
              <w:rPr>
                <w:noProof w:val="0"/>
                <w:sz w:val="20"/>
                <w:szCs w:val="18"/>
              </w:rPr>
            </w:pPr>
            <w:r w:rsidRPr="00167A1B">
              <w:rPr>
                <w:noProof w:val="0"/>
                <w:sz w:val="20"/>
                <w:szCs w:val="18"/>
              </w:rPr>
              <w:t>Package 1</w:t>
            </w:r>
          </w:p>
        </w:tc>
        <w:tc>
          <w:tcPr>
            <w:tcW w:w="3991" w:type="dxa"/>
          </w:tcPr>
          <w:p w14:paraId="470A3105" w14:textId="623111E4" w:rsidR="000D6FA4" w:rsidRPr="00167A1B" w:rsidRDefault="007754B5" w:rsidP="007754B5">
            <w:pPr>
              <w:pStyle w:val="BodyText1"/>
              <w:jc w:val="left"/>
              <w:rPr>
                <w:noProof w:val="0"/>
                <w:sz w:val="20"/>
                <w:szCs w:val="18"/>
              </w:rPr>
            </w:pPr>
            <w:r w:rsidRPr="00167A1B">
              <w:rPr>
                <w:noProof w:val="0"/>
                <w:sz w:val="20"/>
                <w:szCs w:val="18"/>
              </w:rPr>
              <w:t xml:space="preserve">Phones required to include USB Type-C connectors and be compatible with USB Type-C or USB PD charging technology </w:t>
            </w:r>
          </w:p>
        </w:tc>
        <w:tc>
          <w:tcPr>
            <w:tcW w:w="919" w:type="dxa"/>
            <w:vAlign w:val="center"/>
          </w:tcPr>
          <w:p w14:paraId="6BD0E6DA" w14:textId="17BECC8B" w:rsidR="000D6FA4" w:rsidRPr="00167A1B" w:rsidRDefault="000D6FA4" w:rsidP="008B6EC5">
            <w:pPr>
              <w:pStyle w:val="BodyText1"/>
              <w:jc w:val="center"/>
              <w:rPr>
                <w:noProof w:val="0"/>
                <w:sz w:val="20"/>
                <w:szCs w:val="18"/>
              </w:rPr>
            </w:pPr>
            <w:r w:rsidRPr="00167A1B">
              <w:rPr>
                <w:noProof w:val="0"/>
                <w:sz w:val="20"/>
                <w:szCs w:val="18"/>
              </w:rPr>
              <w:sym w:font="Wingdings" w:char="F0FC"/>
            </w:r>
          </w:p>
        </w:tc>
        <w:tc>
          <w:tcPr>
            <w:tcW w:w="920" w:type="dxa"/>
            <w:vAlign w:val="center"/>
          </w:tcPr>
          <w:p w14:paraId="483537E6" w14:textId="77FF80F4" w:rsidR="000D6FA4" w:rsidRPr="00167A1B" w:rsidRDefault="000D6FA4" w:rsidP="008B6EC5">
            <w:pPr>
              <w:pStyle w:val="BodyText1"/>
              <w:jc w:val="center"/>
              <w:rPr>
                <w:noProof w:val="0"/>
                <w:sz w:val="20"/>
                <w:szCs w:val="18"/>
              </w:rPr>
            </w:pPr>
            <w:r w:rsidRPr="00167A1B">
              <w:rPr>
                <w:noProof w:val="0"/>
                <w:sz w:val="20"/>
                <w:szCs w:val="18"/>
              </w:rPr>
              <w:sym w:font="Wingdings" w:char="F0FC"/>
            </w:r>
          </w:p>
        </w:tc>
        <w:tc>
          <w:tcPr>
            <w:tcW w:w="920" w:type="dxa"/>
            <w:vAlign w:val="center"/>
          </w:tcPr>
          <w:p w14:paraId="3CAE5DED" w14:textId="77777777" w:rsidR="000D6FA4" w:rsidRPr="00167A1B" w:rsidRDefault="000D6FA4" w:rsidP="008B6EC5">
            <w:pPr>
              <w:pStyle w:val="BodyText1"/>
              <w:jc w:val="center"/>
              <w:rPr>
                <w:noProof w:val="0"/>
                <w:sz w:val="20"/>
                <w:szCs w:val="18"/>
              </w:rPr>
            </w:pPr>
          </w:p>
        </w:tc>
        <w:tc>
          <w:tcPr>
            <w:tcW w:w="920" w:type="dxa"/>
            <w:vAlign w:val="center"/>
          </w:tcPr>
          <w:p w14:paraId="0856321B" w14:textId="77777777" w:rsidR="000D6FA4" w:rsidRPr="00167A1B" w:rsidRDefault="000D6FA4" w:rsidP="008B6EC5">
            <w:pPr>
              <w:pStyle w:val="BodyText1"/>
              <w:jc w:val="center"/>
              <w:rPr>
                <w:noProof w:val="0"/>
                <w:sz w:val="20"/>
                <w:szCs w:val="18"/>
              </w:rPr>
            </w:pPr>
          </w:p>
        </w:tc>
      </w:tr>
      <w:tr w:rsidR="000D6FA4" w:rsidRPr="00167A1B" w14:paraId="4466C360" w14:textId="77777777" w:rsidTr="008B6EC5">
        <w:tc>
          <w:tcPr>
            <w:tcW w:w="1391" w:type="dxa"/>
          </w:tcPr>
          <w:p w14:paraId="6843F105" w14:textId="40EEE827" w:rsidR="000D6FA4" w:rsidRPr="00167A1B" w:rsidRDefault="000D6FA4" w:rsidP="000D6FA4">
            <w:pPr>
              <w:pStyle w:val="BodyText1"/>
              <w:rPr>
                <w:noProof w:val="0"/>
                <w:sz w:val="20"/>
                <w:szCs w:val="18"/>
              </w:rPr>
            </w:pPr>
            <w:r w:rsidRPr="00167A1B">
              <w:rPr>
                <w:noProof w:val="0"/>
                <w:sz w:val="20"/>
                <w:szCs w:val="18"/>
              </w:rPr>
              <w:t>Package 2</w:t>
            </w:r>
          </w:p>
        </w:tc>
        <w:tc>
          <w:tcPr>
            <w:tcW w:w="3991" w:type="dxa"/>
          </w:tcPr>
          <w:p w14:paraId="4EAC9BB4" w14:textId="2E7E7220" w:rsidR="000D6FA4" w:rsidRPr="00167A1B" w:rsidRDefault="007754B5" w:rsidP="007754B5">
            <w:pPr>
              <w:pStyle w:val="BodyText1"/>
              <w:jc w:val="left"/>
              <w:rPr>
                <w:noProof w:val="0"/>
                <w:sz w:val="20"/>
                <w:szCs w:val="18"/>
              </w:rPr>
            </w:pPr>
            <w:r w:rsidRPr="00167A1B">
              <w:rPr>
                <w:noProof w:val="0"/>
                <w:sz w:val="20"/>
                <w:szCs w:val="18"/>
              </w:rPr>
              <w:t>Phones required to include USB Type-C connectors, in-the-box EPS to comply with USB interoperability guidelines</w:t>
            </w:r>
          </w:p>
        </w:tc>
        <w:tc>
          <w:tcPr>
            <w:tcW w:w="919" w:type="dxa"/>
            <w:vAlign w:val="center"/>
          </w:tcPr>
          <w:p w14:paraId="11822CA7" w14:textId="20030A1A" w:rsidR="000D6FA4" w:rsidRPr="00167A1B" w:rsidRDefault="000D6FA4" w:rsidP="008B6EC5">
            <w:pPr>
              <w:pStyle w:val="BodyText1"/>
              <w:jc w:val="center"/>
              <w:rPr>
                <w:noProof w:val="0"/>
                <w:sz w:val="20"/>
                <w:szCs w:val="18"/>
              </w:rPr>
            </w:pPr>
            <w:r w:rsidRPr="00167A1B">
              <w:rPr>
                <w:noProof w:val="0"/>
                <w:sz w:val="20"/>
                <w:szCs w:val="18"/>
              </w:rPr>
              <w:sym w:font="Wingdings" w:char="F0FC"/>
            </w:r>
          </w:p>
        </w:tc>
        <w:tc>
          <w:tcPr>
            <w:tcW w:w="920" w:type="dxa"/>
            <w:vAlign w:val="center"/>
          </w:tcPr>
          <w:p w14:paraId="49F7C25B" w14:textId="77777777" w:rsidR="000D6FA4" w:rsidRPr="00167A1B" w:rsidRDefault="000D6FA4" w:rsidP="008B6EC5">
            <w:pPr>
              <w:pStyle w:val="BodyText1"/>
              <w:jc w:val="center"/>
              <w:rPr>
                <w:noProof w:val="0"/>
                <w:sz w:val="20"/>
                <w:szCs w:val="18"/>
              </w:rPr>
            </w:pPr>
          </w:p>
        </w:tc>
        <w:tc>
          <w:tcPr>
            <w:tcW w:w="920" w:type="dxa"/>
            <w:vAlign w:val="center"/>
          </w:tcPr>
          <w:p w14:paraId="40E80609" w14:textId="2FA74BDB" w:rsidR="000D6FA4" w:rsidRPr="00167A1B" w:rsidRDefault="000D6FA4" w:rsidP="008B6EC5">
            <w:pPr>
              <w:pStyle w:val="BodyText1"/>
              <w:jc w:val="center"/>
              <w:rPr>
                <w:noProof w:val="0"/>
                <w:sz w:val="20"/>
                <w:szCs w:val="18"/>
              </w:rPr>
            </w:pPr>
            <w:r w:rsidRPr="00167A1B">
              <w:rPr>
                <w:noProof w:val="0"/>
                <w:sz w:val="20"/>
                <w:szCs w:val="18"/>
              </w:rPr>
              <w:sym w:font="Wingdings" w:char="F0FC"/>
            </w:r>
          </w:p>
        </w:tc>
        <w:tc>
          <w:tcPr>
            <w:tcW w:w="920" w:type="dxa"/>
            <w:vAlign w:val="center"/>
          </w:tcPr>
          <w:p w14:paraId="203C4D1B" w14:textId="77777777" w:rsidR="000D6FA4" w:rsidRPr="00167A1B" w:rsidRDefault="000D6FA4" w:rsidP="008B6EC5">
            <w:pPr>
              <w:pStyle w:val="BodyText1"/>
              <w:jc w:val="center"/>
              <w:rPr>
                <w:noProof w:val="0"/>
                <w:sz w:val="20"/>
                <w:szCs w:val="18"/>
              </w:rPr>
            </w:pPr>
          </w:p>
        </w:tc>
      </w:tr>
      <w:tr w:rsidR="00E14CF8" w:rsidRPr="00167A1B" w14:paraId="77A06F2F" w14:textId="77777777" w:rsidTr="008B6EC5">
        <w:tc>
          <w:tcPr>
            <w:tcW w:w="1391" w:type="dxa"/>
          </w:tcPr>
          <w:p w14:paraId="318D47A1" w14:textId="71BDF0AF" w:rsidR="00E14CF8" w:rsidRPr="00167A1B" w:rsidRDefault="00E14CF8" w:rsidP="007754B5">
            <w:pPr>
              <w:pStyle w:val="BodyText1"/>
              <w:rPr>
                <w:noProof w:val="0"/>
                <w:sz w:val="20"/>
                <w:szCs w:val="18"/>
              </w:rPr>
            </w:pPr>
            <w:r w:rsidRPr="00167A1B">
              <w:rPr>
                <w:noProof w:val="0"/>
                <w:sz w:val="20"/>
                <w:szCs w:val="18"/>
              </w:rPr>
              <w:t>Package 3</w:t>
            </w:r>
          </w:p>
        </w:tc>
        <w:tc>
          <w:tcPr>
            <w:tcW w:w="3991" w:type="dxa"/>
          </w:tcPr>
          <w:p w14:paraId="1401A6AF" w14:textId="5FFF7F1E" w:rsidR="00E14CF8" w:rsidRPr="00167A1B" w:rsidRDefault="00E14CF8" w:rsidP="007754B5">
            <w:pPr>
              <w:pStyle w:val="BodyText1"/>
              <w:jc w:val="left"/>
              <w:rPr>
                <w:noProof w:val="0"/>
                <w:sz w:val="20"/>
                <w:szCs w:val="18"/>
              </w:rPr>
            </w:pPr>
            <w:r w:rsidRPr="00167A1B">
              <w:rPr>
                <w:noProof w:val="0"/>
                <w:sz w:val="20"/>
                <w:szCs w:val="18"/>
              </w:rPr>
              <w:t>Phones required to include USB Type-C connectors, plus mandatory unbundling</w:t>
            </w:r>
          </w:p>
        </w:tc>
        <w:tc>
          <w:tcPr>
            <w:tcW w:w="919" w:type="dxa"/>
            <w:vAlign w:val="center"/>
          </w:tcPr>
          <w:p w14:paraId="1E644E16" w14:textId="1D04B797" w:rsidR="00E14CF8" w:rsidRPr="00167A1B" w:rsidRDefault="00E14CF8" w:rsidP="008B6EC5">
            <w:pPr>
              <w:pStyle w:val="BodyText1"/>
              <w:jc w:val="center"/>
              <w:rPr>
                <w:noProof w:val="0"/>
                <w:sz w:val="20"/>
                <w:szCs w:val="18"/>
              </w:rPr>
            </w:pPr>
            <w:r w:rsidRPr="00167A1B">
              <w:rPr>
                <w:noProof w:val="0"/>
                <w:sz w:val="20"/>
                <w:szCs w:val="18"/>
              </w:rPr>
              <w:sym w:font="Wingdings" w:char="F0FC"/>
            </w:r>
          </w:p>
        </w:tc>
        <w:tc>
          <w:tcPr>
            <w:tcW w:w="920" w:type="dxa"/>
            <w:vAlign w:val="center"/>
          </w:tcPr>
          <w:p w14:paraId="0914528D" w14:textId="77777777" w:rsidR="00E14CF8" w:rsidRPr="00167A1B" w:rsidRDefault="00E14CF8" w:rsidP="008B6EC5">
            <w:pPr>
              <w:pStyle w:val="BodyText1"/>
              <w:jc w:val="center"/>
              <w:rPr>
                <w:noProof w:val="0"/>
                <w:sz w:val="20"/>
                <w:szCs w:val="18"/>
              </w:rPr>
            </w:pPr>
          </w:p>
        </w:tc>
        <w:tc>
          <w:tcPr>
            <w:tcW w:w="920" w:type="dxa"/>
            <w:vAlign w:val="center"/>
          </w:tcPr>
          <w:p w14:paraId="6BAF934F" w14:textId="77777777" w:rsidR="00E14CF8" w:rsidRPr="00167A1B" w:rsidRDefault="00E14CF8" w:rsidP="008B6EC5">
            <w:pPr>
              <w:pStyle w:val="BodyText1"/>
              <w:jc w:val="center"/>
              <w:rPr>
                <w:noProof w:val="0"/>
                <w:sz w:val="20"/>
                <w:szCs w:val="18"/>
              </w:rPr>
            </w:pPr>
          </w:p>
        </w:tc>
        <w:tc>
          <w:tcPr>
            <w:tcW w:w="920" w:type="dxa"/>
            <w:vAlign w:val="center"/>
          </w:tcPr>
          <w:p w14:paraId="49B31E5B" w14:textId="5903CBE2" w:rsidR="00E14CF8" w:rsidRPr="00167A1B" w:rsidRDefault="00E14CF8" w:rsidP="008B6EC5">
            <w:pPr>
              <w:pStyle w:val="BodyText1"/>
              <w:jc w:val="center"/>
              <w:rPr>
                <w:noProof w:val="0"/>
                <w:sz w:val="20"/>
                <w:szCs w:val="18"/>
              </w:rPr>
            </w:pPr>
            <w:r w:rsidRPr="00167A1B">
              <w:rPr>
                <w:noProof w:val="0"/>
                <w:sz w:val="20"/>
                <w:szCs w:val="18"/>
              </w:rPr>
              <w:sym w:font="Wingdings" w:char="F0FC"/>
            </w:r>
          </w:p>
        </w:tc>
      </w:tr>
      <w:tr w:rsidR="007754B5" w:rsidRPr="00167A1B" w14:paraId="61826E3B" w14:textId="77777777" w:rsidTr="008B6EC5">
        <w:tc>
          <w:tcPr>
            <w:tcW w:w="1391" w:type="dxa"/>
          </w:tcPr>
          <w:p w14:paraId="3562070D" w14:textId="47F1B028" w:rsidR="007754B5" w:rsidRPr="00167A1B" w:rsidRDefault="007754B5" w:rsidP="007754B5">
            <w:pPr>
              <w:pStyle w:val="BodyText1"/>
              <w:rPr>
                <w:noProof w:val="0"/>
                <w:sz w:val="20"/>
                <w:szCs w:val="18"/>
              </w:rPr>
            </w:pPr>
            <w:r w:rsidRPr="00167A1B">
              <w:rPr>
                <w:noProof w:val="0"/>
                <w:sz w:val="20"/>
                <w:szCs w:val="18"/>
              </w:rPr>
              <w:t xml:space="preserve">Package </w:t>
            </w:r>
            <w:r w:rsidR="00E14CF8" w:rsidRPr="00167A1B">
              <w:rPr>
                <w:noProof w:val="0"/>
                <w:sz w:val="20"/>
                <w:szCs w:val="18"/>
              </w:rPr>
              <w:t>4</w:t>
            </w:r>
          </w:p>
        </w:tc>
        <w:tc>
          <w:tcPr>
            <w:tcW w:w="3991" w:type="dxa"/>
          </w:tcPr>
          <w:p w14:paraId="3D6EE51A" w14:textId="3C15672E" w:rsidR="007754B5" w:rsidRPr="00167A1B" w:rsidRDefault="007754B5" w:rsidP="007754B5">
            <w:pPr>
              <w:pStyle w:val="BodyText1"/>
              <w:jc w:val="left"/>
              <w:rPr>
                <w:noProof w:val="0"/>
                <w:sz w:val="20"/>
                <w:szCs w:val="18"/>
              </w:rPr>
            </w:pPr>
            <w:r w:rsidRPr="00167A1B">
              <w:rPr>
                <w:noProof w:val="0"/>
                <w:sz w:val="20"/>
                <w:szCs w:val="18"/>
              </w:rPr>
              <w:t>Phones required to be compatible with USB Type-C or USB PD charging technology, plus mandatory unbundling</w:t>
            </w:r>
          </w:p>
        </w:tc>
        <w:tc>
          <w:tcPr>
            <w:tcW w:w="919" w:type="dxa"/>
            <w:vAlign w:val="center"/>
          </w:tcPr>
          <w:p w14:paraId="0CB55B03" w14:textId="54EB5FDD" w:rsidR="007754B5" w:rsidRPr="00167A1B" w:rsidRDefault="007754B5" w:rsidP="008B6EC5">
            <w:pPr>
              <w:pStyle w:val="BodyText1"/>
              <w:jc w:val="center"/>
              <w:rPr>
                <w:noProof w:val="0"/>
                <w:sz w:val="20"/>
                <w:szCs w:val="18"/>
              </w:rPr>
            </w:pPr>
          </w:p>
        </w:tc>
        <w:tc>
          <w:tcPr>
            <w:tcW w:w="920" w:type="dxa"/>
            <w:vAlign w:val="center"/>
          </w:tcPr>
          <w:p w14:paraId="24713B0A" w14:textId="1C242090" w:rsidR="007754B5" w:rsidRPr="00167A1B" w:rsidRDefault="007754B5" w:rsidP="008B6EC5">
            <w:pPr>
              <w:pStyle w:val="BodyText1"/>
              <w:jc w:val="center"/>
              <w:rPr>
                <w:noProof w:val="0"/>
                <w:sz w:val="20"/>
                <w:szCs w:val="18"/>
              </w:rPr>
            </w:pPr>
            <w:r w:rsidRPr="00167A1B">
              <w:rPr>
                <w:noProof w:val="0"/>
                <w:sz w:val="20"/>
                <w:szCs w:val="18"/>
              </w:rPr>
              <w:sym w:font="Wingdings" w:char="F0FC"/>
            </w:r>
          </w:p>
        </w:tc>
        <w:tc>
          <w:tcPr>
            <w:tcW w:w="920" w:type="dxa"/>
            <w:vAlign w:val="center"/>
          </w:tcPr>
          <w:p w14:paraId="26F2A3E9" w14:textId="77777777" w:rsidR="007754B5" w:rsidRPr="00167A1B" w:rsidRDefault="007754B5" w:rsidP="008B6EC5">
            <w:pPr>
              <w:pStyle w:val="BodyText1"/>
              <w:jc w:val="center"/>
              <w:rPr>
                <w:noProof w:val="0"/>
                <w:sz w:val="20"/>
                <w:szCs w:val="18"/>
              </w:rPr>
            </w:pPr>
          </w:p>
        </w:tc>
        <w:tc>
          <w:tcPr>
            <w:tcW w:w="920" w:type="dxa"/>
            <w:vAlign w:val="center"/>
          </w:tcPr>
          <w:p w14:paraId="4586DABD" w14:textId="3101E76A" w:rsidR="007754B5" w:rsidRPr="00167A1B" w:rsidRDefault="007754B5" w:rsidP="008B6EC5">
            <w:pPr>
              <w:pStyle w:val="BodyText1"/>
              <w:jc w:val="center"/>
              <w:rPr>
                <w:noProof w:val="0"/>
                <w:sz w:val="20"/>
                <w:szCs w:val="18"/>
              </w:rPr>
            </w:pPr>
            <w:r w:rsidRPr="00167A1B">
              <w:rPr>
                <w:noProof w:val="0"/>
                <w:sz w:val="20"/>
                <w:szCs w:val="18"/>
              </w:rPr>
              <w:sym w:font="Wingdings" w:char="F0FC"/>
            </w:r>
          </w:p>
        </w:tc>
      </w:tr>
      <w:tr w:rsidR="007754B5" w:rsidRPr="00167A1B" w14:paraId="52C9D9B6" w14:textId="77777777" w:rsidTr="008B6EC5">
        <w:tc>
          <w:tcPr>
            <w:tcW w:w="1391" w:type="dxa"/>
          </w:tcPr>
          <w:p w14:paraId="67A747D5" w14:textId="77638571" w:rsidR="007754B5" w:rsidRPr="00167A1B" w:rsidRDefault="007754B5" w:rsidP="007754B5">
            <w:pPr>
              <w:pStyle w:val="BodyText1"/>
              <w:rPr>
                <w:noProof w:val="0"/>
                <w:sz w:val="20"/>
                <w:szCs w:val="18"/>
              </w:rPr>
            </w:pPr>
            <w:r w:rsidRPr="00167A1B">
              <w:rPr>
                <w:noProof w:val="0"/>
                <w:sz w:val="20"/>
                <w:szCs w:val="18"/>
              </w:rPr>
              <w:t xml:space="preserve">Package </w:t>
            </w:r>
            <w:r w:rsidR="00E14CF8" w:rsidRPr="00167A1B">
              <w:rPr>
                <w:noProof w:val="0"/>
                <w:sz w:val="20"/>
                <w:szCs w:val="18"/>
              </w:rPr>
              <w:t>5</w:t>
            </w:r>
          </w:p>
        </w:tc>
        <w:tc>
          <w:tcPr>
            <w:tcW w:w="3991" w:type="dxa"/>
          </w:tcPr>
          <w:p w14:paraId="5DEB9BEB" w14:textId="16F54F4C" w:rsidR="007754B5" w:rsidRPr="00167A1B" w:rsidRDefault="007754B5" w:rsidP="007754B5">
            <w:pPr>
              <w:pStyle w:val="BodyText1"/>
              <w:jc w:val="left"/>
              <w:rPr>
                <w:noProof w:val="0"/>
                <w:sz w:val="20"/>
                <w:szCs w:val="18"/>
              </w:rPr>
            </w:pPr>
            <w:r w:rsidRPr="00167A1B">
              <w:rPr>
                <w:noProof w:val="0"/>
                <w:sz w:val="20"/>
                <w:szCs w:val="18"/>
              </w:rPr>
              <w:t xml:space="preserve">Like package 1, plus mandatory unbundling </w:t>
            </w:r>
          </w:p>
        </w:tc>
        <w:tc>
          <w:tcPr>
            <w:tcW w:w="919" w:type="dxa"/>
            <w:vAlign w:val="center"/>
          </w:tcPr>
          <w:p w14:paraId="177B9457" w14:textId="1400C6C7" w:rsidR="007754B5" w:rsidRPr="00167A1B" w:rsidRDefault="007754B5" w:rsidP="008B6EC5">
            <w:pPr>
              <w:pStyle w:val="BodyText1"/>
              <w:jc w:val="center"/>
              <w:rPr>
                <w:noProof w:val="0"/>
                <w:sz w:val="20"/>
                <w:szCs w:val="18"/>
              </w:rPr>
            </w:pPr>
            <w:r w:rsidRPr="00167A1B">
              <w:rPr>
                <w:noProof w:val="0"/>
                <w:sz w:val="20"/>
                <w:szCs w:val="18"/>
              </w:rPr>
              <w:sym w:font="Wingdings" w:char="F0FC"/>
            </w:r>
          </w:p>
        </w:tc>
        <w:tc>
          <w:tcPr>
            <w:tcW w:w="920" w:type="dxa"/>
            <w:vAlign w:val="center"/>
          </w:tcPr>
          <w:p w14:paraId="7AF69EE6" w14:textId="7CD688D2" w:rsidR="007754B5" w:rsidRPr="00167A1B" w:rsidRDefault="007754B5" w:rsidP="008B6EC5">
            <w:pPr>
              <w:pStyle w:val="BodyText1"/>
              <w:jc w:val="center"/>
              <w:rPr>
                <w:noProof w:val="0"/>
                <w:sz w:val="20"/>
                <w:szCs w:val="18"/>
              </w:rPr>
            </w:pPr>
            <w:r w:rsidRPr="00167A1B">
              <w:rPr>
                <w:noProof w:val="0"/>
                <w:sz w:val="20"/>
                <w:szCs w:val="18"/>
              </w:rPr>
              <w:sym w:font="Wingdings" w:char="F0FC"/>
            </w:r>
          </w:p>
        </w:tc>
        <w:tc>
          <w:tcPr>
            <w:tcW w:w="920" w:type="dxa"/>
            <w:vAlign w:val="center"/>
          </w:tcPr>
          <w:p w14:paraId="623AE0D4" w14:textId="77777777" w:rsidR="007754B5" w:rsidRPr="00167A1B" w:rsidRDefault="007754B5" w:rsidP="008B6EC5">
            <w:pPr>
              <w:pStyle w:val="BodyText1"/>
              <w:jc w:val="center"/>
              <w:rPr>
                <w:noProof w:val="0"/>
                <w:sz w:val="20"/>
                <w:szCs w:val="18"/>
              </w:rPr>
            </w:pPr>
          </w:p>
        </w:tc>
        <w:tc>
          <w:tcPr>
            <w:tcW w:w="920" w:type="dxa"/>
            <w:vAlign w:val="center"/>
          </w:tcPr>
          <w:p w14:paraId="07D007DA" w14:textId="4D4BD9E6" w:rsidR="007754B5" w:rsidRPr="00167A1B" w:rsidRDefault="007754B5" w:rsidP="008B6EC5">
            <w:pPr>
              <w:pStyle w:val="BodyText1"/>
              <w:jc w:val="center"/>
              <w:rPr>
                <w:noProof w:val="0"/>
                <w:sz w:val="20"/>
                <w:szCs w:val="18"/>
              </w:rPr>
            </w:pPr>
            <w:r w:rsidRPr="00167A1B">
              <w:rPr>
                <w:noProof w:val="0"/>
                <w:sz w:val="20"/>
                <w:szCs w:val="18"/>
              </w:rPr>
              <w:sym w:font="Wingdings" w:char="F0FC"/>
            </w:r>
          </w:p>
        </w:tc>
      </w:tr>
    </w:tbl>
    <w:p w14:paraId="0D51024D" w14:textId="686439EA" w:rsidR="000D6FA4" w:rsidRPr="00167A1B" w:rsidRDefault="000D6FA4" w:rsidP="000D6FA4">
      <w:pPr>
        <w:pStyle w:val="BodyText1"/>
        <w:rPr>
          <w:noProof w:val="0"/>
        </w:rPr>
      </w:pPr>
    </w:p>
    <w:p w14:paraId="6FFE21CC" w14:textId="32EBA6C2" w:rsidR="007754B5" w:rsidRPr="00167A1B" w:rsidRDefault="007754B5" w:rsidP="000D6FA4">
      <w:pPr>
        <w:pStyle w:val="BodyText1"/>
        <w:rPr>
          <w:noProof w:val="0"/>
        </w:rPr>
      </w:pPr>
      <w:r w:rsidRPr="00167A1B">
        <w:rPr>
          <w:noProof w:val="0"/>
        </w:rPr>
        <w:t xml:space="preserve">In the remainder of this chapter, we consider the likely impacts of these packages, </w:t>
      </w:r>
      <w:proofErr w:type="gramStart"/>
      <w:r w:rsidRPr="00167A1B">
        <w:rPr>
          <w:noProof w:val="0"/>
        </w:rPr>
        <w:t>in particular whether</w:t>
      </w:r>
      <w:proofErr w:type="gramEnd"/>
      <w:r w:rsidRPr="00167A1B">
        <w:rPr>
          <w:noProof w:val="0"/>
        </w:rPr>
        <w:t xml:space="preserve"> they would be equal to, greater or smaller than the cumulative impacts of the individual options, and whether there are any specific additional benefits or risks from combining options.</w:t>
      </w:r>
    </w:p>
    <w:p w14:paraId="4476F031" w14:textId="039EB0E6" w:rsidR="007754B5" w:rsidRPr="00167A1B" w:rsidRDefault="007754B5" w:rsidP="000D6FA4">
      <w:pPr>
        <w:pStyle w:val="BodyText1"/>
        <w:rPr>
          <w:noProof w:val="0"/>
        </w:rPr>
      </w:pPr>
      <w:r w:rsidRPr="00167A1B">
        <w:rPr>
          <w:noProof w:val="0"/>
        </w:rPr>
        <w:t>Please note that, for the sake of clarity and concision, and in order to keep the scope of the analysis manageable</w:t>
      </w:r>
      <w:r w:rsidR="00E14CF8" w:rsidRPr="00167A1B">
        <w:rPr>
          <w:noProof w:val="0"/>
        </w:rPr>
        <w:t xml:space="preserve"> (in line with the principle of </w:t>
      </w:r>
      <w:r w:rsidR="001B6248" w:rsidRPr="00167A1B">
        <w:rPr>
          <w:noProof w:val="0"/>
        </w:rPr>
        <w:t>proportionate</w:t>
      </w:r>
      <w:r w:rsidR="00E14CF8" w:rsidRPr="00167A1B">
        <w:rPr>
          <w:noProof w:val="0"/>
        </w:rPr>
        <w:t xml:space="preserve"> analysis)</w:t>
      </w:r>
      <w:r w:rsidRPr="00167A1B">
        <w:rPr>
          <w:noProof w:val="0"/>
        </w:rPr>
        <w:t>, we do not explicitly address the following minor elements:</w:t>
      </w:r>
    </w:p>
    <w:p w14:paraId="680EBCD8" w14:textId="1AE2CFA1" w:rsidR="000D6FA4" w:rsidRPr="00167A1B" w:rsidRDefault="007754B5" w:rsidP="007754B5">
      <w:pPr>
        <w:pStyle w:val="bullet1"/>
        <w:rPr>
          <w:noProof w:val="0"/>
        </w:rPr>
      </w:pPr>
      <w:r w:rsidRPr="00167A1B">
        <w:rPr>
          <w:noProof w:val="0"/>
        </w:rPr>
        <w:t xml:space="preserve">Since option 5 could serve as a flanking measure to </w:t>
      </w:r>
      <w:r w:rsidRPr="00167A1B">
        <w:rPr>
          <w:i/>
          <w:iCs/>
          <w:noProof w:val="0"/>
        </w:rPr>
        <w:t>any</w:t>
      </w:r>
      <w:r w:rsidRPr="00167A1B">
        <w:rPr>
          <w:noProof w:val="0"/>
        </w:rPr>
        <w:t xml:space="preserve"> of these combinations, it is not included in the table above, and its effects are not assessed separately. We expect that its marginal effects when combined with any of the packages would always be in line with those of the scheme individually (see chapter 5 for details).</w:t>
      </w:r>
    </w:p>
    <w:bookmarkEnd w:id="79"/>
    <w:p w14:paraId="689A935D" w14:textId="2E9239AE" w:rsidR="00223F54" w:rsidRPr="00167A1B" w:rsidRDefault="00223F54" w:rsidP="00223F54">
      <w:pPr>
        <w:pStyle w:val="bullet1"/>
        <w:rPr>
          <w:noProof w:val="0"/>
        </w:rPr>
      </w:pPr>
      <w:r w:rsidRPr="00167A1B">
        <w:rPr>
          <w:noProof w:val="0"/>
        </w:rPr>
        <w:t xml:space="preserve">As regards the sub-options 4.a and 4.b, either of these could be included in packages 3, 4 or 5. The differences between them would follow closely those described under the individual options (see chapter 5). We have therefore not created separate packages for </w:t>
      </w:r>
      <w:proofErr w:type="gramStart"/>
      <w:r w:rsidRPr="00167A1B">
        <w:rPr>
          <w:noProof w:val="0"/>
        </w:rPr>
        <w:t>these, but</w:t>
      </w:r>
      <w:proofErr w:type="gramEnd"/>
      <w:r w:rsidRPr="00167A1B">
        <w:rPr>
          <w:noProof w:val="0"/>
        </w:rPr>
        <w:t xml:space="preserve"> focused on sub-option 4.a (unbundling of EPS). If this were replaced by sub-option 4.b (unbundling of EPS as well as cables) in any of the packages in question, the additional impacts that would be generated are in line with those described in chapter 5 (i.e. the differences between options 4.a and 4.b individually).</w:t>
      </w:r>
    </w:p>
    <w:p w14:paraId="53E855F6" w14:textId="68412C61" w:rsidR="001B2C6E" w:rsidRPr="00167A1B" w:rsidRDefault="001B2C6E" w:rsidP="008F65B2">
      <w:pPr>
        <w:pStyle w:val="BodyText1"/>
        <w:rPr>
          <w:noProof w:val="0"/>
        </w:rPr>
      </w:pPr>
    </w:p>
    <w:p w14:paraId="220C47B8" w14:textId="3ABB9829" w:rsidR="00223F54" w:rsidRPr="00167A1B" w:rsidRDefault="00223F54" w:rsidP="00223F54">
      <w:pPr>
        <w:pStyle w:val="Title2"/>
      </w:pPr>
      <w:bookmarkStart w:id="81" w:name="_Toc74320727"/>
      <w:r w:rsidRPr="00167A1B">
        <w:t xml:space="preserve">The </w:t>
      </w:r>
      <w:bookmarkStart w:id="82" w:name="_Hlk74318734"/>
      <w:r w:rsidRPr="00167A1B">
        <w:t>impacts of the packages of options – mobile phones only</w:t>
      </w:r>
      <w:bookmarkEnd w:id="81"/>
      <w:bookmarkEnd w:id="82"/>
    </w:p>
    <w:p w14:paraId="6059CF1C" w14:textId="77777777" w:rsidR="00953106" w:rsidRPr="00167A1B" w:rsidRDefault="00953106" w:rsidP="00953106">
      <w:pPr>
        <w:pStyle w:val="BodyText1"/>
        <w:rPr>
          <w:noProof w:val="0"/>
        </w:rPr>
      </w:pPr>
      <w:bookmarkStart w:id="83" w:name="_Hlk74318838"/>
      <w:r w:rsidRPr="00167A1B">
        <w:rPr>
          <w:noProof w:val="0"/>
        </w:rPr>
        <w:t>For each of the five packages of measures defined above, we proceed to discussing if and how their impacts would be likely to differ from those of the options individually – in the first instance, if applied to mobile phones only (the impacts of the inclusion of other devices are assessed in section 7.3 below). In particular, we consider whether there would be synergy effects that could mean the impacts of the package would be greater than the sum of the impacts of the individual options it includes; and whether there are any additional (positive or negative) effects that would be likely to arise from combining the options. Following this, we provide estimates for the main quantifiable impacts of each package.</w:t>
      </w:r>
    </w:p>
    <w:p w14:paraId="3413D5B4" w14:textId="77777777" w:rsidR="00953106" w:rsidRPr="00167A1B" w:rsidRDefault="00953106" w:rsidP="00953106">
      <w:pPr>
        <w:pStyle w:val="BodyText1"/>
        <w:rPr>
          <w:noProof w:val="0"/>
        </w:rPr>
      </w:pPr>
    </w:p>
    <w:p w14:paraId="77FA1F2C" w14:textId="77777777" w:rsidR="00953106" w:rsidRPr="00167A1B" w:rsidRDefault="00953106" w:rsidP="00953106">
      <w:pPr>
        <w:pStyle w:val="Subtitle10"/>
        <w:rPr>
          <w:noProof w:val="0"/>
        </w:rPr>
      </w:pPr>
      <w:r w:rsidRPr="00167A1B">
        <w:rPr>
          <w:noProof w:val="0"/>
        </w:rPr>
        <w:lastRenderedPageBreak/>
        <w:t>Package 1</w:t>
      </w:r>
    </w:p>
    <w:p w14:paraId="518AD172" w14:textId="77777777" w:rsidR="00953106" w:rsidRPr="00167A1B" w:rsidRDefault="00953106" w:rsidP="00953106">
      <w:pPr>
        <w:pStyle w:val="BodyText1"/>
        <w:rPr>
          <w:noProof w:val="0"/>
        </w:rPr>
      </w:pPr>
      <w:r w:rsidRPr="00167A1B">
        <w:rPr>
          <w:noProof w:val="0"/>
        </w:rPr>
        <w:t xml:space="preserve">This package of measures would require phones to both include USB Type-C </w:t>
      </w:r>
      <w:proofErr w:type="gramStart"/>
      <w:r w:rsidRPr="00167A1B">
        <w:rPr>
          <w:noProof w:val="0"/>
        </w:rPr>
        <w:t>connectors, and</w:t>
      </w:r>
      <w:proofErr w:type="gramEnd"/>
      <w:r w:rsidRPr="00167A1B">
        <w:rPr>
          <w:noProof w:val="0"/>
        </w:rPr>
        <w:t xml:space="preserve"> be compatible with USB Type-C and (for phones that charge at more than 15 W) USB PD charging technology. </w:t>
      </w:r>
    </w:p>
    <w:p w14:paraId="5591E2FF" w14:textId="77777777" w:rsidR="00953106" w:rsidRPr="00167A1B" w:rsidRDefault="00953106" w:rsidP="00953106">
      <w:pPr>
        <w:pStyle w:val="BodyText1"/>
        <w:rPr>
          <w:noProof w:val="0"/>
        </w:rPr>
      </w:pPr>
      <w:r w:rsidRPr="00167A1B">
        <w:rPr>
          <w:noProof w:val="0"/>
        </w:rPr>
        <w:t>The overall impacts of this package would be slightly smaller than the sum of the impacts of options 1 and 2 individually. This is because both of these options entail the replacement of all remaining USB micro-B receptacles in phones with USB Type-C receptacles (and the corresponding connectors at the device end of cables), speeding up the transition process that is already ongoing, but will not be completed under the baseline scenario by 2024 (which is when we assume the new rules would come into force). This effect is built into the modelling assumptions, and hence impacts, of both options individually, but it would of course only accrue once if the options are combined.</w:t>
      </w:r>
    </w:p>
    <w:p w14:paraId="58BE2FA5" w14:textId="77777777" w:rsidR="00953106" w:rsidRPr="00167A1B" w:rsidRDefault="00953106" w:rsidP="00953106">
      <w:pPr>
        <w:pStyle w:val="BodyText1"/>
        <w:rPr>
          <w:noProof w:val="0"/>
        </w:rPr>
      </w:pPr>
      <w:r w:rsidRPr="00167A1B">
        <w:rPr>
          <w:noProof w:val="0"/>
        </w:rPr>
        <w:t xml:space="preserve">Therefore, both the positive and the negative environmental, economic and social impacts that correspond with the elimination of USB micro-B connectors of this package would be smaller than the sum of these impacts generated by the options individually. All other impacts of this package would be equal to the sum of the impacts of the two options. The elimination of proprietary (Lightning) connectors and receptacles on the one </w:t>
      </w:r>
      <w:proofErr w:type="gramStart"/>
      <w:r w:rsidRPr="00167A1B">
        <w:rPr>
          <w:noProof w:val="0"/>
        </w:rPr>
        <w:t>hand, and</w:t>
      </w:r>
      <w:proofErr w:type="gramEnd"/>
      <w:r w:rsidRPr="00167A1B">
        <w:rPr>
          <w:noProof w:val="0"/>
        </w:rPr>
        <w:t xml:space="preserve"> making the </w:t>
      </w:r>
      <w:r w:rsidRPr="00167A1B">
        <w:rPr>
          <w:noProof w:val="0"/>
          <w:szCs w:val="22"/>
        </w:rPr>
        <w:t>incorporation of communication protocols that are compatible with USB specifications mandatory on the other hand, are technically separate elements. We therefore see no reason to expect any significant synergy effects – or specific risks or concerns – to arise from their combination.</w:t>
      </w:r>
    </w:p>
    <w:p w14:paraId="1336B312" w14:textId="77777777" w:rsidR="00953106" w:rsidRPr="00167A1B" w:rsidRDefault="00953106" w:rsidP="00953106">
      <w:pPr>
        <w:pStyle w:val="Subtitle10"/>
        <w:rPr>
          <w:noProof w:val="0"/>
        </w:rPr>
      </w:pPr>
      <w:r w:rsidRPr="00167A1B">
        <w:rPr>
          <w:noProof w:val="0"/>
        </w:rPr>
        <w:t>Package 2</w:t>
      </w:r>
    </w:p>
    <w:p w14:paraId="3480831F" w14:textId="77777777" w:rsidR="00953106" w:rsidRPr="00167A1B" w:rsidRDefault="00953106" w:rsidP="00953106">
      <w:pPr>
        <w:pStyle w:val="BodyText1"/>
        <w:rPr>
          <w:noProof w:val="0"/>
        </w:rPr>
      </w:pPr>
      <w:r w:rsidRPr="00167A1B">
        <w:rPr>
          <w:noProof w:val="0"/>
        </w:rPr>
        <w:t>Like package 1, this package would require phones to include USB Type-C connectors. But rather than impose any additional requirements on phones, it would oblige in-the-box EPS to comply with USB interoperability guidelines (IEC 63002:2021).</w:t>
      </w:r>
    </w:p>
    <w:p w14:paraId="4132FDF9" w14:textId="77777777" w:rsidR="00953106" w:rsidRPr="00167A1B" w:rsidRDefault="00953106" w:rsidP="00953106">
      <w:pPr>
        <w:pStyle w:val="BodyText1"/>
        <w:rPr>
          <w:noProof w:val="0"/>
        </w:rPr>
      </w:pPr>
      <w:r w:rsidRPr="00167A1B">
        <w:rPr>
          <w:noProof w:val="0"/>
        </w:rPr>
        <w:t>As regards the cumulative impacts of this package, the exact same considerations apply as for package 1 – namely, the fact that both option 1 and option 3 individually would lead to the elimination of USB micro-B connectors and receptacles, and therefore, this effect must not be counted twice when these options are combined into a package.</w:t>
      </w:r>
    </w:p>
    <w:p w14:paraId="5C461EC2" w14:textId="77777777" w:rsidR="00953106" w:rsidRPr="00167A1B" w:rsidRDefault="00953106" w:rsidP="00953106">
      <w:pPr>
        <w:pStyle w:val="BodyText1"/>
        <w:rPr>
          <w:noProof w:val="0"/>
        </w:rPr>
      </w:pPr>
      <w:r w:rsidRPr="00167A1B">
        <w:rPr>
          <w:noProof w:val="0"/>
        </w:rPr>
        <w:t xml:space="preserve">Beyond this, the other impacts of this package would be equal to the sum of the impacts of the two options, as there are no </w:t>
      </w:r>
      <w:r w:rsidRPr="00167A1B">
        <w:rPr>
          <w:noProof w:val="0"/>
          <w:szCs w:val="22"/>
        </w:rPr>
        <w:t>significant synergy effects, risks or concerns from combining the two measures.</w:t>
      </w:r>
    </w:p>
    <w:p w14:paraId="0916E87F" w14:textId="77777777" w:rsidR="00953106" w:rsidRPr="00167A1B" w:rsidRDefault="00953106" w:rsidP="00953106">
      <w:pPr>
        <w:pStyle w:val="Subtitle10"/>
        <w:rPr>
          <w:noProof w:val="0"/>
        </w:rPr>
      </w:pPr>
      <w:r w:rsidRPr="00167A1B">
        <w:rPr>
          <w:noProof w:val="0"/>
        </w:rPr>
        <w:t>Package 3</w:t>
      </w:r>
    </w:p>
    <w:p w14:paraId="4EE218D1" w14:textId="77777777" w:rsidR="00953106" w:rsidRPr="00167A1B" w:rsidRDefault="00953106" w:rsidP="00953106">
      <w:pPr>
        <w:pStyle w:val="BodyText1"/>
        <w:rPr>
          <w:noProof w:val="0"/>
        </w:rPr>
      </w:pPr>
      <w:r w:rsidRPr="00167A1B">
        <w:rPr>
          <w:noProof w:val="0"/>
        </w:rPr>
        <w:t>This package combines the harmonisation of receptacles on all phones with mandatory unbundling of EPS. The potential interactions and interdependencies between these two measures merit careful consideration.</w:t>
      </w:r>
    </w:p>
    <w:p w14:paraId="52DEEB1B" w14:textId="77777777" w:rsidR="00953106" w:rsidRPr="00167A1B" w:rsidRDefault="00953106" w:rsidP="00953106">
      <w:pPr>
        <w:pStyle w:val="BodyText1"/>
        <w:rPr>
          <w:noProof w:val="0"/>
        </w:rPr>
      </w:pPr>
      <w:r w:rsidRPr="00167A1B">
        <w:rPr>
          <w:noProof w:val="0"/>
        </w:rPr>
        <w:t xml:space="preserve">In the survey carried out as part of this study (for detailed results see Annex C), stakeholders were asked inter alia whether “to enable unbundling, there needs to be a common connector at the device end for all mobile phones”. Around seven in ten respondents agreed with this, including six out of ten private companies. However, mobile phone manufacturers were less convinced of this relationship (only one in three agreed). The fact that Apple is now selling </w:t>
      </w:r>
      <w:proofErr w:type="gramStart"/>
      <w:r w:rsidRPr="00167A1B">
        <w:rPr>
          <w:noProof w:val="0"/>
        </w:rPr>
        <w:t>all of</w:t>
      </w:r>
      <w:proofErr w:type="gramEnd"/>
      <w:r w:rsidRPr="00167A1B">
        <w:rPr>
          <w:noProof w:val="0"/>
        </w:rPr>
        <w:t xml:space="preserve"> its mobile phones without an EPS (but with a cable with a proprietary connector) demonstrates that harmonisation is certainly not a </w:t>
      </w:r>
      <w:r w:rsidRPr="00167A1B">
        <w:rPr>
          <w:i/>
          <w:iCs/>
          <w:noProof w:val="0"/>
        </w:rPr>
        <w:t>conditio sine qua non</w:t>
      </w:r>
      <w:r w:rsidRPr="00167A1B">
        <w:rPr>
          <w:noProof w:val="0"/>
        </w:rPr>
        <w:t xml:space="preserve"> for unbundling (at least not as regards the EPS).</w:t>
      </w:r>
    </w:p>
    <w:p w14:paraId="4CEE5B33" w14:textId="77777777" w:rsidR="00953106" w:rsidRPr="00167A1B" w:rsidRDefault="00953106" w:rsidP="00953106">
      <w:pPr>
        <w:pStyle w:val="BodyText1"/>
        <w:rPr>
          <w:noProof w:val="0"/>
        </w:rPr>
      </w:pPr>
      <w:r w:rsidRPr="00167A1B">
        <w:rPr>
          <w:noProof w:val="0"/>
        </w:rPr>
        <w:t xml:space="preserve">On the other hand, it does appear sensible to assume that harmonised receptacles in phones (and hence connectors on cables) could enhance the success of unbundling, in the sense that they would reduce the need for additional stand-alone cables to be bought. As such, we would expect the proportion of consumers who choose to buy a cable when they buy a standalone </w:t>
      </w:r>
      <w:r w:rsidRPr="00167A1B">
        <w:rPr>
          <w:noProof w:val="0"/>
        </w:rPr>
        <w:lastRenderedPageBreak/>
        <w:t>EPS to be reduced slightly (from 62% to 56%) in this scenario, meaning the environmental benefits would be slightly higher than the sum of the two options individually.</w:t>
      </w:r>
    </w:p>
    <w:p w14:paraId="6F2D9F0C" w14:textId="77777777" w:rsidR="00953106" w:rsidRPr="00167A1B" w:rsidRDefault="00953106" w:rsidP="00953106">
      <w:pPr>
        <w:pStyle w:val="BodyText1"/>
        <w:rPr>
          <w:noProof w:val="0"/>
        </w:rPr>
      </w:pPr>
      <w:r w:rsidRPr="00167A1B">
        <w:rPr>
          <w:noProof w:val="0"/>
        </w:rPr>
        <w:t xml:space="preserve">If this package included option 4.b (unbundling of EPS and cables), then the consumer inconvenience resulting from no longer being supplied with a cable along with a new phone would also be reduced slightly, as most consumers would have a larger pool of compatible cables with harmonised connectors to draw from and re-use. </w:t>
      </w:r>
    </w:p>
    <w:p w14:paraId="443B824D" w14:textId="77777777" w:rsidR="00953106" w:rsidRPr="00167A1B" w:rsidRDefault="00953106" w:rsidP="00953106">
      <w:pPr>
        <w:pStyle w:val="Subtitle10"/>
        <w:rPr>
          <w:noProof w:val="0"/>
        </w:rPr>
      </w:pPr>
      <w:r w:rsidRPr="00167A1B">
        <w:rPr>
          <w:noProof w:val="0"/>
        </w:rPr>
        <w:t>Package 4</w:t>
      </w:r>
    </w:p>
    <w:p w14:paraId="3A029007" w14:textId="0468894A" w:rsidR="00953106" w:rsidRPr="00167A1B" w:rsidRDefault="00953106" w:rsidP="00953106">
      <w:pPr>
        <w:pStyle w:val="BodyText1"/>
        <w:rPr>
          <w:noProof w:val="0"/>
        </w:rPr>
      </w:pPr>
      <w:r w:rsidRPr="00167A1B">
        <w:rPr>
          <w:noProof w:val="0"/>
        </w:rPr>
        <w:t xml:space="preserve">In this package, all phones are required to be compatible with USB Type-C or USB PD charging </w:t>
      </w:r>
      <w:proofErr w:type="gramStart"/>
      <w:r w:rsidRPr="00167A1B">
        <w:rPr>
          <w:noProof w:val="0"/>
        </w:rPr>
        <w:t>technology, and</w:t>
      </w:r>
      <w:proofErr w:type="gramEnd"/>
      <w:r w:rsidRPr="00167A1B">
        <w:rPr>
          <w:noProof w:val="0"/>
        </w:rPr>
        <w:t xml:space="preserve"> unbundling of EPS is made mandatory. </w:t>
      </w:r>
      <w:proofErr w:type="gramStart"/>
      <w:r w:rsidRPr="00167A1B">
        <w:rPr>
          <w:noProof w:val="0"/>
        </w:rPr>
        <w:t>Similarly</w:t>
      </w:r>
      <w:proofErr w:type="gramEnd"/>
      <w:r w:rsidRPr="00167A1B">
        <w:rPr>
          <w:noProof w:val="0"/>
        </w:rPr>
        <w:t xml:space="preserve"> to the previous package, there would be synergy effects, and these are likely to be more pronounced since the harmonisation affects the communication protocols (and hence the interoperability with different EPS).</w:t>
      </w:r>
    </w:p>
    <w:p w14:paraId="0F5C1E09" w14:textId="77777777" w:rsidR="00953106" w:rsidRPr="00167A1B" w:rsidRDefault="00953106" w:rsidP="00953106">
      <w:pPr>
        <w:pStyle w:val="BodyText1"/>
        <w:rPr>
          <w:noProof w:val="0"/>
        </w:rPr>
      </w:pPr>
      <w:r w:rsidRPr="00167A1B">
        <w:rPr>
          <w:noProof w:val="0"/>
        </w:rPr>
        <w:t>In the stakeholder survey, again, around one in seven respondents agreed that “to enable unbundling, there needs to be a common EPS that is interoperable with all mobile phones”. However, again, core industry stakeholders (mobile manufacturers) disagreed almost unanimously. In interviews, they tended to point to the already very high (near universal) degree of interoperability between phones and EPS from all major manufacturers, which makes such an initiative unnecessary. Those that have already unbundled the EPS from (some of) their phones typically recommend the use of their own branded chargers, but acknowledge that any EPS from a reputable manufacturer that is compliant with at least the most basic USB battery charging specifications can be used to charge their phones (albeit not necessarily at a high speed, depending on the communication protocols and power output).</w:t>
      </w:r>
    </w:p>
    <w:p w14:paraId="5BF8E94E" w14:textId="77777777" w:rsidR="00953106" w:rsidRPr="00167A1B" w:rsidRDefault="00953106" w:rsidP="00953106">
      <w:pPr>
        <w:pStyle w:val="BodyText1"/>
        <w:rPr>
          <w:noProof w:val="0"/>
        </w:rPr>
      </w:pPr>
      <w:r w:rsidRPr="00167A1B">
        <w:rPr>
          <w:noProof w:val="0"/>
        </w:rPr>
        <w:t xml:space="preserve">Nonetheless, it seems clear that the fact that option 2 would </w:t>
      </w:r>
      <w:r w:rsidRPr="00167A1B">
        <w:rPr>
          <w:i/>
          <w:iCs/>
          <w:noProof w:val="0"/>
        </w:rPr>
        <w:t>guarantee</w:t>
      </w:r>
      <w:r w:rsidRPr="00167A1B">
        <w:rPr>
          <w:noProof w:val="0"/>
        </w:rPr>
        <w:t xml:space="preserve"> the interoperability of all phones not just with any USB charging modes, but with the most modern ones (USB Type-C and USB PD), has potential synergy effects with mandatory unbundling – especially if it is communicated effectively. If consumers were reassured that whatever new phone they purchase can be charged with any USB EPS – and that it can take advantage of the main features of “modern” USB EPS (i.e. receive 7.5 W or 15 W from a USB Type-C EPS, and more than 15 W from a USB PD EPS) – it appears safe to assume that this would increase the proportion that choose to re-use an existing EPS, and therefore reduce the number of new EPS sold (compared with the rates we have assumed under option 4 alone). At the same time, one should not expect an overly dramatic effect on the demand for stand-alone EPS: there are certain to continue to be consumers who choose not to engage with the finer details of charging technology; and there will also be consumers who do understand the basics about charging, and choose to buy a new EPS because they deem the one they got with their previous phone two or more years ago is not as fast, energy-efficient, or otherwise convenient as the newer ones on offer. Therefore, we have assumed that the combination of measures in this package would reduce the proportion of consumers who choose to purchase an EPS along with an unbundled new phone by 10%, from 57% under the baseline scenario (and all the options individually) to 51%.</w:t>
      </w:r>
    </w:p>
    <w:p w14:paraId="771B2B5A" w14:textId="77777777" w:rsidR="00953106" w:rsidRPr="00167A1B" w:rsidRDefault="00953106" w:rsidP="00953106">
      <w:pPr>
        <w:pStyle w:val="BodyText1"/>
        <w:rPr>
          <w:noProof w:val="0"/>
        </w:rPr>
      </w:pPr>
      <w:r w:rsidRPr="00167A1B">
        <w:rPr>
          <w:noProof w:val="0"/>
        </w:rPr>
        <w:t>In summary, some of the impacts of this package would be slightly greater than the sum of those of options 2 and 4.a, due to the synergy effect from the harmonisation of communication protocols in phones, which would be expected to lead to a small reduction in demand for stand-alone chargers.</w:t>
      </w:r>
    </w:p>
    <w:p w14:paraId="685B099D" w14:textId="77777777" w:rsidR="00953106" w:rsidRPr="00167A1B" w:rsidRDefault="00953106" w:rsidP="00953106">
      <w:pPr>
        <w:pStyle w:val="Subtitle10"/>
        <w:rPr>
          <w:noProof w:val="0"/>
        </w:rPr>
      </w:pPr>
      <w:r w:rsidRPr="00167A1B">
        <w:rPr>
          <w:noProof w:val="0"/>
        </w:rPr>
        <w:t>Package 5</w:t>
      </w:r>
    </w:p>
    <w:p w14:paraId="078CB7DC" w14:textId="77777777" w:rsidR="00953106" w:rsidRPr="00167A1B" w:rsidRDefault="00953106" w:rsidP="00953106">
      <w:pPr>
        <w:pStyle w:val="BodyText1"/>
        <w:rPr>
          <w:noProof w:val="0"/>
        </w:rPr>
      </w:pPr>
      <w:r w:rsidRPr="00167A1B">
        <w:rPr>
          <w:noProof w:val="0"/>
        </w:rPr>
        <w:t>The final package combines all the features of packages 1 and 4, as discussed previously. The same considerations to apply – namely, a minor reduction in certain impacts (compared to the sum of the impacts of the individual options) because the effects of the elimination of USB micro-B connectors under options 1 and 2 do not “stack”; and a small increase in certain other impacts due to the synergy effects between harmonised communication protocols and unbundling of EPS.</w:t>
      </w:r>
    </w:p>
    <w:p w14:paraId="3C763502" w14:textId="77777777" w:rsidR="00953106" w:rsidRPr="00167A1B" w:rsidRDefault="00953106" w:rsidP="00953106">
      <w:pPr>
        <w:pStyle w:val="BodyText1"/>
        <w:rPr>
          <w:noProof w:val="0"/>
        </w:rPr>
      </w:pPr>
      <w:r w:rsidRPr="00167A1B">
        <w:rPr>
          <w:noProof w:val="0"/>
        </w:rPr>
        <w:lastRenderedPageBreak/>
        <w:t xml:space="preserve">This means that Package 5 is expected to generate environmental benefits that are greater than those of option 4.a alone (since option 4.a means all consumers would have the option of buying new phones without EPS, and the proportion of those who choose to purchase an EPS anyway would be reduced by options 1 and 2). Its main economic impacts would lie in between those generated by its component parts individually (seeing as options 1 and 2 alone generate savings for consumers but costs for the industry, while the opposite is true of option 4.a). In a similar vein, the social impacts would lie in between those of the options in question individually – in particular, the negative effects on consumer convenience from unbundling (option 4.a) would be alleviated but not necessarily fully offset by the minor positive effects of options 1 and 2. </w:t>
      </w:r>
    </w:p>
    <w:p w14:paraId="1DDC6F83" w14:textId="77777777" w:rsidR="00953106" w:rsidRPr="00167A1B" w:rsidRDefault="00953106" w:rsidP="00953106">
      <w:pPr>
        <w:pStyle w:val="BodyText1"/>
        <w:rPr>
          <w:noProof w:val="0"/>
        </w:rPr>
      </w:pPr>
    </w:p>
    <w:p w14:paraId="2CAEA9A4" w14:textId="252E0764" w:rsidR="00953106" w:rsidRPr="00167A1B" w:rsidRDefault="00953106" w:rsidP="00953106">
      <w:pPr>
        <w:pStyle w:val="Subtitle10"/>
        <w:rPr>
          <w:noProof w:val="0"/>
        </w:rPr>
      </w:pPr>
      <w:r w:rsidRPr="00167A1B">
        <w:rPr>
          <w:noProof w:val="0"/>
        </w:rPr>
        <w:t>Quantified impacts of the packages of options for mobile phones</w:t>
      </w:r>
    </w:p>
    <w:p w14:paraId="43AEC322" w14:textId="77777777" w:rsidR="00953106" w:rsidRPr="00167A1B" w:rsidRDefault="00953106" w:rsidP="00953106">
      <w:pPr>
        <w:pStyle w:val="BodyText1"/>
        <w:rPr>
          <w:noProof w:val="0"/>
        </w:rPr>
      </w:pPr>
      <w:r w:rsidRPr="00167A1B">
        <w:rPr>
          <w:noProof w:val="0"/>
        </w:rPr>
        <w:t>The tables below provide quantitative estimates of the main quantifiable environmental and economic impacts of each of the packages. These were calculated using the same considerations outlined in sections 4.1 and 4.2. The differences between the impacts of the packages, and the cumulative impacts of the individual options comprising each package, are due to the synergy and duplication effects outlined above (for further details see Annex G).</w:t>
      </w:r>
    </w:p>
    <w:p w14:paraId="35B37A9A" w14:textId="79C1519F" w:rsidR="00051BE5" w:rsidRPr="00167A1B" w:rsidRDefault="00953106" w:rsidP="008F65B2">
      <w:pPr>
        <w:pStyle w:val="BodyText1"/>
        <w:rPr>
          <w:noProof w:val="0"/>
        </w:rPr>
      </w:pPr>
      <w:r w:rsidRPr="00167A1B">
        <w:rPr>
          <w:noProof w:val="0"/>
        </w:rPr>
        <w:t>As can be seen (</w:t>
      </w:r>
      <w:r w:rsidRPr="00167A1B">
        <w:rPr>
          <w:noProof w:val="0"/>
        </w:rPr>
        <w:fldChar w:fldCharType="begin"/>
      </w:r>
      <w:r w:rsidRPr="00167A1B">
        <w:rPr>
          <w:noProof w:val="0"/>
        </w:rPr>
        <w:instrText xml:space="preserve"> REF _Ref74133872 \h  \* MERGEFORMAT </w:instrText>
      </w:r>
      <w:r w:rsidRPr="00167A1B">
        <w:rPr>
          <w:noProof w:val="0"/>
        </w:rPr>
      </w:r>
      <w:r w:rsidRPr="00167A1B">
        <w:rPr>
          <w:noProof w:val="0"/>
        </w:rPr>
        <w:fldChar w:fldCharType="separate"/>
      </w:r>
      <w:r w:rsidRPr="00167A1B">
        <w:rPr>
          <w:noProof w:val="0"/>
        </w:rPr>
        <w:t>Table 29</w:t>
      </w:r>
      <w:r w:rsidRPr="00167A1B">
        <w:rPr>
          <w:noProof w:val="0"/>
        </w:rPr>
        <w:fldChar w:fldCharType="end"/>
      </w:r>
      <w:r w:rsidRPr="00167A1B">
        <w:rPr>
          <w:noProof w:val="0"/>
        </w:rPr>
        <w:t>), Package 3, 4 and 5 are likely to generate significant environmental benefits, mainly due to the fact they entail mandatory unbundling of EPS, the effects of which are increased by the synergy effects mentioned previously. The most favourable combination from an environmental perspective is Package 5: combining unbundling (option 4.a) with harmonisation of both connectors (option 1) and communication protocols in mobile phones (option 2) is estimated to lead to reductions in GHG emissions, material use and e-waste that are around 50% higher than those that would result from mandatory unbundling alone.</w:t>
      </w:r>
      <w:bookmarkEnd w:id="83"/>
    </w:p>
    <w:p w14:paraId="1629EDE2" w14:textId="6197AA0D" w:rsidR="001E4FCA" w:rsidRPr="00167A1B" w:rsidRDefault="001E4FCA" w:rsidP="008F65B2">
      <w:pPr>
        <w:pStyle w:val="BodyText1"/>
        <w:rPr>
          <w:i/>
          <w:iCs/>
          <w:noProof w:val="0"/>
        </w:rPr>
      </w:pPr>
    </w:p>
    <w:p w14:paraId="0AF9FEDB" w14:textId="77777777" w:rsidR="00D64690" w:rsidRPr="00167A1B" w:rsidRDefault="00D64690">
      <w:pPr>
        <w:spacing w:after="0"/>
        <w:jc w:val="left"/>
        <w:rPr>
          <w:rFonts w:ascii="Arial" w:hAnsi="Arial"/>
          <w:i/>
          <w:sz w:val="18"/>
        </w:rPr>
      </w:pPr>
      <w:r w:rsidRPr="00167A1B">
        <w:br w:type="page"/>
      </w:r>
    </w:p>
    <w:p w14:paraId="1357D9D8" w14:textId="39E46B6D" w:rsidR="001E4FCA" w:rsidRPr="00167A1B" w:rsidRDefault="001E4FCA" w:rsidP="001E4FCA">
      <w:pPr>
        <w:pStyle w:val="Caption"/>
      </w:pPr>
      <w:r w:rsidRPr="00167A1B">
        <w:lastRenderedPageBreak/>
        <w:t xml:space="preserve">Table </w:t>
      </w:r>
      <w:r w:rsidRPr="00167A1B">
        <w:fldChar w:fldCharType="begin"/>
      </w:r>
      <w:r w:rsidRPr="00167A1B">
        <w:instrText xml:space="preserve"> SEQ Table \* ARABIC </w:instrText>
      </w:r>
      <w:r w:rsidRPr="00167A1B">
        <w:fldChar w:fldCharType="separate"/>
      </w:r>
      <w:r w:rsidR="00953106" w:rsidRPr="00167A1B">
        <w:t>29</w:t>
      </w:r>
      <w:r w:rsidRPr="00167A1B">
        <w:fldChar w:fldCharType="end"/>
      </w:r>
      <w:r w:rsidRPr="00167A1B">
        <w:t>: Environmental impacts of the packages for mobile phones</w:t>
      </w:r>
    </w:p>
    <w:tbl>
      <w:tblPr>
        <w:tblStyle w:val="TableGrid"/>
        <w:tblW w:w="9100" w:type="dxa"/>
        <w:tblLayout w:type="fixed"/>
        <w:tblCellMar>
          <w:left w:w="57" w:type="dxa"/>
          <w:right w:w="57" w:type="dxa"/>
        </w:tblCellMar>
        <w:tblLook w:val="04A0" w:firstRow="1" w:lastRow="0" w:firstColumn="1" w:lastColumn="0" w:noHBand="0" w:noVBand="1"/>
      </w:tblPr>
      <w:tblGrid>
        <w:gridCol w:w="1173"/>
        <w:gridCol w:w="1510"/>
        <w:gridCol w:w="880"/>
        <w:gridCol w:w="1086"/>
        <w:gridCol w:w="1092"/>
        <w:gridCol w:w="1083"/>
        <w:gridCol w:w="1138"/>
        <w:gridCol w:w="1138"/>
      </w:tblGrid>
      <w:tr w:rsidR="001E4FCA" w:rsidRPr="00167A1B" w14:paraId="1727F9ED" w14:textId="77777777" w:rsidTr="004222CE">
        <w:trPr>
          <w:cnfStyle w:val="100000000000" w:firstRow="1" w:lastRow="0" w:firstColumn="0" w:lastColumn="0" w:oddVBand="0" w:evenVBand="0" w:oddHBand="0" w:evenHBand="0" w:firstRowFirstColumn="0" w:firstRowLastColumn="0" w:lastRowFirstColumn="0" w:lastRowLastColumn="0"/>
          <w:trHeight w:val="288"/>
          <w:tblHeader/>
        </w:trPr>
        <w:tc>
          <w:tcPr>
            <w:tcW w:w="1173" w:type="dxa"/>
            <w:noWrap/>
            <w:hideMark/>
          </w:tcPr>
          <w:p w14:paraId="2C4CFF13" w14:textId="77777777" w:rsidR="001E4FCA" w:rsidRPr="00167A1B" w:rsidRDefault="001E4FCA" w:rsidP="001E4FCA">
            <w:pPr>
              <w:spacing w:after="0"/>
              <w:jc w:val="left"/>
              <w:rPr>
                <w:sz w:val="20"/>
                <w:szCs w:val="24"/>
              </w:rPr>
            </w:pPr>
          </w:p>
        </w:tc>
        <w:tc>
          <w:tcPr>
            <w:tcW w:w="1510" w:type="dxa"/>
            <w:noWrap/>
            <w:hideMark/>
          </w:tcPr>
          <w:p w14:paraId="20E239F2" w14:textId="77777777" w:rsidR="001E4FCA" w:rsidRPr="00167A1B" w:rsidRDefault="001E4FCA" w:rsidP="001E4FCA">
            <w:pPr>
              <w:spacing w:after="0"/>
              <w:jc w:val="left"/>
              <w:rPr>
                <w:sz w:val="20"/>
              </w:rPr>
            </w:pPr>
          </w:p>
        </w:tc>
        <w:tc>
          <w:tcPr>
            <w:tcW w:w="880" w:type="dxa"/>
            <w:vAlign w:val="center"/>
            <w:hideMark/>
          </w:tcPr>
          <w:p w14:paraId="21D5BBAD" w14:textId="77777777" w:rsidR="001E4FCA" w:rsidRPr="00167A1B" w:rsidRDefault="001E4FCA" w:rsidP="004222CE">
            <w:pPr>
              <w:spacing w:after="0"/>
              <w:jc w:val="left"/>
              <w:rPr>
                <w:rFonts w:ascii="Trebuchet MS" w:hAnsi="Trebuchet MS"/>
                <w:b/>
                <w:sz w:val="16"/>
                <w:szCs w:val="16"/>
              </w:rPr>
            </w:pPr>
            <w:r w:rsidRPr="00167A1B">
              <w:rPr>
                <w:rFonts w:ascii="Trebuchet MS" w:hAnsi="Trebuchet MS"/>
                <w:b/>
                <w:sz w:val="16"/>
                <w:szCs w:val="16"/>
              </w:rPr>
              <w:t>Baseline</w:t>
            </w:r>
          </w:p>
        </w:tc>
        <w:tc>
          <w:tcPr>
            <w:tcW w:w="1086" w:type="dxa"/>
            <w:vAlign w:val="center"/>
            <w:hideMark/>
          </w:tcPr>
          <w:p w14:paraId="1F8DAF9F" w14:textId="67A17303" w:rsidR="001E4FCA" w:rsidRPr="00167A1B" w:rsidRDefault="001E4FCA" w:rsidP="004222CE">
            <w:pPr>
              <w:spacing w:after="0"/>
              <w:jc w:val="left"/>
              <w:rPr>
                <w:rFonts w:ascii="Trebuchet MS" w:hAnsi="Trebuchet MS"/>
                <w:b/>
                <w:sz w:val="16"/>
                <w:szCs w:val="16"/>
              </w:rPr>
            </w:pPr>
            <w:r w:rsidRPr="00167A1B">
              <w:rPr>
                <w:rFonts w:ascii="Trebuchet MS" w:hAnsi="Trebuchet MS"/>
                <w:b/>
                <w:bCs/>
                <w:sz w:val="16"/>
                <w:szCs w:val="16"/>
              </w:rPr>
              <w:t>Package 1</w:t>
            </w:r>
          </w:p>
        </w:tc>
        <w:tc>
          <w:tcPr>
            <w:tcW w:w="1092" w:type="dxa"/>
            <w:vAlign w:val="center"/>
            <w:hideMark/>
          </w:tcPr>
          <w:p w14:paraId="19971D16" w14:textId="458CDC68" w:rsidR="001E4FCA" w:rsidRPr="00167A1B" w:rsidRDefault="001E4FCA" w:rsidP="004222CE">
            <w:pPr>
              <w:spacing w:after="0"/>
              <w:jc w:val="left"/>
              <w:rPr>
                <w:rFonts w:ascii="Trebuchet MS" w:hAnsi="Trebuchet MS"/>
                <w:b/>
                <w:sz w:val="16"/>
                <w:szCs w:val="16"/>
              </w:rPr>
            </w:pPr>
            <w:r w:rsidRPr="00167A1B">
              <w:rPr>
                <w:rFonts w:ascii="Trebuchet MS" w:hAnsi="Trebuchet MS"/>
                <w:b/>
                <w:bCs/>
                <w:sz w:val="16"/>
                <w:szCs w:val="16"/>
              </w:rPr>
              <w:t>Package 2</w:t>
            </w:r>
          </w:p>
        </w:tc>
        <w:tc>
          <w:tcPr>
            <w:tcW w:w="1083" w:type="dxa"/>
            <w:vAlign w:val="center"/>
            <w:hideMark/>
          </w:tcPr>
          <w:p w14:paraId="5543A2EB" w14:textId="6D47D9CA" w:rsidR="001E4FCA" w:rsidRPr="00167A1B" w:rsidRDefault="001E4FCA" w:rsidP="004222CE">
            <w:pPr>
              <w:spacing w:after="0"/>
              <w:jc w:val="left"/>
              <w:rPr>
                <w:rFonts w:ascii="Trebuchet MS" w:hAnsi="Trebuchet MS"/>
                <w:b/>
                <w:sz w:val="16"/>
                <w:szCs w:val="16"/>
              </w:rPr>
            </w:pPr>
            <w:r w:rsidRPr="00167A1B">
              <w:rPr>
                <w:rFonts w:ascii="Trebuchet MS" w:hAnsi="Trebuchet MS"/>
                <w:b/>
                <w:bCs/>
                <w:sz w:val="16"/>
                <w:szCs w:val="16"/>
              </w:rPr>
              <w:t>Package 3</w:t>
            </w:r>
          </w:p>
        </w:tc>
        <w:tc>
          <w:tcPr>
            <w:tcW w:w="1138" w:type="dxa"/>
            <w:vAlign w:val="center"/>
            <w:hideMark/>
          </w:tcPr>
          <w:p w14:paraId="1ECDE79E" w14:textId="113C4278" w:rsidR="001E4FCA" w:rsidRPr="00167A1B" w:rsidRDefault="001E4FCA" w:rsidP="004222CE">
            <w:pPr>
              <w:spacing w:after="0"/>
              <w:jc w:val="left"/>
              <w:rPr>
                <w:rFonts w:ascii="Trebuchet MS" w:hAnsi="Trebuchet MS"/>
                <w:b/>
                <w:sz w:val="16"/>
                <w:szCs w:val="16"/>
              </w:rPr>
            </w:pPr>
            <w:r w:rsidRPr="00167A1B">
              <w:rPr>
                <w:rFonts w:ascii="Trebuchet MS" w:hAnsi="Trebuchet MS"/>
                <w:b/>
                <w:bCs/>
                <w:sz w:val="16"/>
                <w:szCs w:val="16"/>
              </w:rPr>
              <w:t>Package 4</w:t>
            </w:r>
          </w:p>
        </w:tc>
        <w:tc>
          <w:tcPr>
            <w:tcW w:w="1138" w:type="dxa"/>
            <w:vAlign w:val="center"/>
            <w:hideMark/>
          </w:tcPr>
          <w:p w14:paraId="5C3B4E7F" w14:textId="23F8102F" w:rsidR="001E4FCA" w:rsidRPr="00167A1B" w:rsidRDefault="001E4FCA" w:rsidP="004222CE">
            <w:pPr>
              <w:spacing w:after="0"/>
              <w:jc w:val="left"/>
              <w:rPr>
                <w:rFonts w:ascii="Trebuchet MS" w:hAnsi="Trebuchet MS"/>
                <w:b/>
                <w:sz w:val="16"/>
                <w:szCs w:val="16"/>
              </w:rPr>
            </w:pPr>
            <w:r w:rsidRPr="00167A1B">
              <w:rPr>
                <w:rFonts w:ascii="Trebuchet MS" w:hAnsi="Trebuchet MS"/>
                <w:b/>
                <w:bCs/>
                <w:sz w:val="16"/>
                <w:szCs w:val="16"/>
              </w:rPr>
              <w:t>Package 5</w:t>
            </w:r>
          </w:p>
        </w:tc>
      </w:tr>
      <w:tr w:rsidR="001E4FCA" w:rsidRPr="00167A1B" w14:paraId="0E4AF38D" w14:textId="77777777" w:rsidTr="004222CE">
        <w:trPr>
          <w:trHeight w:val="423"/>
        </w:trPr>
        <w:tc>
          <w:tcPr>
            <w:tcW w:w="1173" w:type="dxa"/>
            <w:tcBorders>
              <w:bottom w:val="single" w:sz="4" w:space="0" w:color="438EF1" w:themeColor="text2" w:themeTint="99"/>
            </w:tcBorders>
            <w:noWrap/>
            <w:hideMark/>
          </w:tcPr>
          <w:p w14:paraId="73ABAE12" w14:textId="77777777" w:rsidR="001E4FCA" w:rsidRPr="00167A1B" w:rsidRDefault="001E4FCA" w:rsidP="001E4FCA">
            <w:pPr>
              <w:spacing w:after="0"/>
              <w:jc w:val="left"/>
              <w:rPr>
                <w:rFonts w:ascii="Trebuchet MS" w:hAnsi="Trebuchet MS"/>
                <w:b/>
                <w:sz w:val="16"/>
                <w:szCs w:val="16"/>
              </w:rPr>
            </w:pPr>
          </w:p>
        </w:tc>
        <w:tc>
          <w:tcPr>
            <w:tcW w:w="1510" w:type="dxa"/>
            <w:tcBorders>
              <w:bottom w:val="single" w:sz="4" w:space="0" w:color="438EF1" w:themeColor="text2" w:themeTint="99"/>
            </w:tcBorders>
            <w:noWrap/>
            <w:hideMark/>
          </w:tcPr>
          <w:p w14:paraId="1C41D27D" w14:textId="77777777" w:rsidR="001E4FCA" w:rsidRPr="00167A1B" w:rsidRDefault="001E4FCA" w:rsidP="001E4FCA">
            <w:pPr>
              <w:spacing w:after="0"/>
              <w:jc w:val="left"/>
              <w:rPr>
                <w:sz w:val="20"/>
              </w:rPr>
            </w:pPr>
          </w:p>
        </w:tc>
        <w:tc>
          <w:tcPr>
            <w:tcW w:w="880" w:type="dxa"/>
            <w:tcBorders>
              <w:bottom w:val="single" w:sz="4" w:space="0" w:color="438EF1" w:themeColor="text2" w:themeTint="99"/>
            </w:tcBorders>
            <w:hideMark/>
          </w:tcPr>
          <w:p w14:paraId="2434D942" w14:textId="77777777" w:rsidR="001E4FCA" w:rsidRPr="00167A1B" w:rsidRDefault="001E4FCA" w:rsidP="001E4FCA">
            <w:pPr>
              <w:spacing w:after="0"/>
              <w:jc w:val="left"/>
              <w:rPr>
                <w:rFonts w:ascii="Trebuchet MS" w:hAnsi="Trebuchet MS"/>
                <w:b/>
                <w:sz w:val="16"/>
                <w:szCs w:val="16"/>
              </w:rPr>
            </w:pPr>
            <w:r w:rsidRPr="00167A1B">
              <w:rPr>
                <w:rFonts w:ascii="Trebuchet MS" w:hAnsi="Trebuchet MS"/>
                <w:b/>
                <w:sz w:val="16"/>
                <w:szCs w:val="16"/>
              </w:rPr>
              <w:t> </w:t>
            </w:r>
          </w:p>
        </w:tc>
        <w:tc>
          <w:tcPr>
            <w:tcW w:w="1086" w:type="dxa"/>
            <w:tcBorders>
              <w:bottom w:val="single" w:sz="4" w:space="0" w:color="438EF1" w:themeColor="text2" w:themeTint="99"/>
            </w:tcBorders>
            <w:vAlign w:val="bottom"/>
            <w:hideMark/>
          </w:tcPr>
          <w:p w14:paraId="1A7F7645" w14:textId="3150064F" w:rsidR="001E4FCA" w:rsidRPr="00167A1B" w:rsidRDefault="001E4FCA" w:rsidP="001E4FCA">
            <w:pPr>
              <w:spacing w:after="0"/>
              <w:jc w:val="left"/>
              <w:rPr>
                <w:rFonts w:ascii="Trebuchet MS" w:hAnsi="Trebuchet MS"/>
                <w:b/>
                <w:sz w:val="16"/>
                <w:szCs w:val="16"/>
              </w:rPr>
            </w:pPr>
            <w:r w:rsidRPr="00167A1B">
              <w:rPr>
                <w:rFonts w:ascii="Trebuchet MS" w:hAnsi="Trebuchet MS"/>
                <w:b/>
                <w:bCs/>
                <w:sz w:val="16"/>
                <w:szCs w:val="16"/>
              </w:rPr>
              <w:t>Package combining PO 1 &amp; 2</w:t>
            </w:r>
          </w:p>
        </w:tc>
        <w:tc>
          <w:tcPr>
            <w:tcW w:w="1092" w:type="dxa"/>
            <w:tcBorders>
              <w:bottom w:val="single" w:sz="4" w:space="0" w:color="438EF1" w:themeColor="text2" w:themeTint="99"/>
            </w:tcBorders>
            <w:vAlign w:val="bottom"/>
            <w:hideMark/>
          </w:tcPr>
          <w:p w14:paraId="26E8FEDF" w14:textId="62963026" w:rsidR="001E4FCA" w:rsidRPr="00167A1B" w:rsidRDefault="001E4FCA" w:rsidP="001E4FCA">
            <w:pPr>
              <w:spacing w:after="0"/>
              <w:jc w:val="left"/>
              <w:rPr>
                <w:rFonts w:ascii="Trebuchet MS" w:hAnsi="Trebuchet MS"/>
                <w:b/>
                <w:sz w:val="16"/>
                <w:szCs w:val="16"/>
              </w:rPr>
            </w:pPr>
            <w:r w:rsidRPr="00167A1B">
              <w:rPr>
                <w:rFonts w:ascii="Trebuchet MS" w:hAnsi="Trebuchet MS"/>
                <w:b/>
                <w:bCs/>
                <w:sz w:val="16"/>
                <w:szCs w:val="16"/>
              </w:rPr>
              <w:t>Package combining PO 1 &amp; 3</w:t>
            </w:r>
          </w:p>
        </w:tc>
        <w:tc>
          <w:tcPr>
            <w:tcW w:w="1083" w:type="dxa"/>
            <w:tcBorders>
              <w:bottom w:val="single" w:sz="4" w:space="0" w:color="438EF1" w:themeColor="text2" w:themeTint="99"/>
            </w:tcBorders>
            <w:vAlign w:val="bottom"/>
            <w:hideMark/>
          </w:tcPr>
          <w:p w14:paraId="538687A1" w14:textId="4E385413" w:rsidR="001E4FCA" w:rsidRPr="00167A1B" w:rsidRDefault="001E4FCA" w:rsidP="001E4FCA">
            <w:pPr>
              <w:spacing w:after="0"/>
              <w:jc w:val="left"/>
              <w:rPr>
                <w:rFonts w:ascii="Trebuchet MS" w:hAnsi="Trebuchet MS"/>
                <w:b/>
                <w:sz w:val="16"/>
                <w:szCs w:val="16"/>
              </w:rPr>
            </w:pPr>
            <w:r w:rsidRPr="00167A1B">
              <w:rPr>
                <w:rFonts w:ascii="Trebuchet MS" w:hAnsi="Trebuchet MS"/>
                <w:b/>
                <w:bCs/>
                <w:sz w:val="16"/>
                <w:szCs w:val="16"/>
              </w:rPr>
              <w:t>Package combining PO 1 &amp; 4a</w:t>
            </w:r>
          </w:p>
        </w:tc>
        <w:tc>
          <w:tcPr>
            <w:tcW w:w="1138" w:type="dxa"/>
            <w:tcBorders>
              <w:bottom w:val="single" w:sz="4" w:space="0" w:color="438EF1" w:themeColor="text2" w:themeTint="99"/>
            </w:tcBorders>
            <w:vAlign w:val="bottom"/>
            <w:hideMark/>
          </w:tcPr>
          <w:p w14:paraId="6B0E046D" w14:textId="70646A3F" w:rsidR="001E4FCA" w:rsidRPr="00167A1B" w:rsidRDefault="001E4FCA" w:rsidP="001E4FCA">
            <w:pPr>
              <w:spacing w:after="0"/>
              <w:jc w:val="left"/>
              <w:rPr>
                <w:rFonts w:ascii="Trebuchet MS" w:hAnsi="Trebuchet MS"/>
                <w:b/>
                <w:sz w:val="16"/>
                <w:szCs w:val="16"/>
              </w:rPr>
            </w:pPr>
            <w:r w:rsidRPr="00167A1B">
              <w:rPr>
                <w:rFonts w:ascii="Trebuchet MS" w:hAnsi="Trebuchet MS"/>
                <w:b/>
                <w:bCs/>
                <w:sz w:val="16"/>
                <w:szCs w:val="16"/>
              </w:rPr>
              <w:t>Package combining PO 2 &amp; 4a</w:t>
            </w:r>
          </w:p>
        </w:tc>
        <w:tc>
          <w:tcPr>
            <w:tcW w:w="1138" w:type="dxa"/>
            <w:tcBorders>
              <w:bottom w:val="single" w:sz="4" w:space="0" w:color="438EF1" w:themeColor="text2" w:themeTint="99"/>
            </w:tcBorders>
            <w:vAlign w:val="bottom"/>
            <w:hideMark/>
          </w:tcPr>
          <w:p w14:paraId="13CCBABE" w14:textId="39EEFAF4" w:rsidR="001E4FCA" w:rsidRPr="00167A1B" w:rsidRDefault="001E4FCA" w:rsidP="001E4FCA">
            <w:pPr>
              <w:spacing w:after="0"/>
              <w:jc w:val="left"/>
              <w:rPr>
                <w:rFonts w:ascii="Trebuchet MS" w:hAnsi="Trebuchet MS"/>
                <w:b/>
                <w:sz w:val="16"/>
                <w:szCs w:val="16"/>
              </w:rPr>
            </w:pPr>
            <w:r w:rsidRPr="00167A1B">
              <w:rPr>
                <w:rFonts w:ascii="Trebuchet MS" w:hAnsi="Trebuchet MS"/>
                <w:b/>
                <w:bCs/>
                <w:sz w:val="16"/>
                <w:szCs w:val="16"/>
              </w:rPr>
              <w:t>Package combining PO 1, 2 &amp; 4a</w:t>
            </w:r>
          </w:p>
        </w:tc>
      </w:tr>
      <w:tr w:rsidR="00D64690" w:rsidRPr="00167A1B" w14:paraId="4FBEE4C7" w14:textId="77777777" w:rsidTr="00D64690">
        <w:trPr>
          <w:trHeight w:val="304"/>
        </w:trPr>
        <w:tc>
          <w:tcPr>
            <w:tcW w:w="1173" w:type="dxa"/>
            <w:vMerge w:val="restart"/>
            <w:tcBorders>
              <w:top w:val="single" w:sz="4" w:space="0" w:color="438EF1" w:themeColor="text2" w:themeTint="99"/>
            </w:tcBorders>
            <w:noWrap/>
            <w:hideMark/>
          </w:tcPr>
          <w:p w14:paraId="6C6E2FA0" w14:textId="45D4F43C" w:rsidR="00D64690" w:rsidRPr="00167A1B" w:rsidRDefault="00D64690" w:rsidP="00D64690">
            <w:pPr>
              <w:spacing w:after="0"/>
              <w:jc w:val="left"/>
              <w:rPr>
                <w:rFonts w:ascii="Trebuchet MS" w:hAnsi="Trebuchet MS"/>
                <w:b/>
                <w:sz w:val="16"/>
                <w:szCs w:val="16"/>
              </w:rPr>
            </w:pPr>
            <w:r w:rsidRPr="00167A1B">
              <w:rPr>
                <w:rFonts w:ascii="Trebuchet MS" w:hAnsi="Trebuchet MS"/>
                <w:b/>
                <w:sz w:val="16"/>
                <w:szCs w:val="16"/>
              </w:rPr>
              <w:t>GHG emissions [ktCO</w:t>
            </w:r>
            <w:r w:rsidRPr="00167A1B">
              <w:rPr>
                <w:rFonts w:ascii="Trebuchet MS" w:hAnsi="Trebuchet MS"/>
                <w:b/>
                <w:sz w:val="16"/>
                <w:szCs w:val="16"/>
                <w:vertAlign w:val="subscript"/>
              </w:rPr>
              <w:t>2</w:t>
            </w:r>
            <w:r w:rsidRPr="00167A1B">
              <w:rPr>
                <w:rFonts w:ascii="Trebuchet MS" w:hAnsi="Trebuchet MS"/>
                <w:b/>
                <w:sz w:val="16"/>
                <w:szCs w:val="16"/>
              </w:rPr>
              <w:t>e]</w:t>
            </w:r>
            <w:r w:rsidRPr="00167A1B">
              <w:rPr>
                <w:rStyle w:val="FootnoteReference"/>
                <w:b/>
                <w:szCs w:val="16"/>
              </w:rPr>
              <w:footnoteReference w:id="152"/>
            </w:r>
          </w:p>
        </w:tc>
        <w:tc>
          <w:tcPr>
            <w:tcW w:w="1510" w:type="dxa"/>
            <w:tcBorders>
              <w:top w:val="single" w:sz="4" w:space="0" w:color="438EF1" w:themeColor="text2" w:themeTint="99"/>
            </w:tcBorders>
            <w:noWrap/>
            <w:vAlign w:val="center"/>
            <w:hideMark/>
          </w:tcPr>
          <w:p w14:paraId="5A26114C" w14:textId="77777777" w:rsidR="00D64690" w:rsidRPr="00167A1B" w:rsidRDefault="00D64690" w:rsidP="001E4FCA">
            <w:pPr>
              <w:spacing w:after="0"/>
              <w:jc w:val="left"/>
              <w:rPr>
                <w:rFonts w:ascii="Trebuchet MS" w:hAnsi="Trebuchet MS"/>
                <w:b/>
                <w:sz w:val="16"/>
                <w:szCs w:val="16"/>
              </w:rPr>
            </w:pPr>
            <w:r w:rsidRPr="00167A1B">
              <w:rPr>
                <w:rFonts w:ascii="Trebuchet MS" w:hAnsi="Trebuchet MS"/>
                <w:b/>
                <w:sz w:val="16"/>
                <w:szCs w:val="16"/>
              </w:rPr>
              <w:t>Total 2024-2030</w:t>
            </w:r>
          </w:p>
        </w:tc>
        <w:tc>
          <w:tcPr>
            <w:tcW w:w="880" w:type="dxa"/>
            <w:tcBorders>
              <w:top w:val="single" w:sz="4" w:space="0" w:color="438EF1" w:themeColor="text2" w:themeTint="99"/>
            </w:tcBorders>
            <w:noWrap/>
            <w:vAlign w:val="bottom"/>
            <w:hideMark/>
          </w:tcPr>
          <w:p w14:paraId="01727A56" w14:textId="2A92DF00"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7,838</w:t>
            </w:r>
          </w:p>
        </w:tc>
        <w:tc>
          <w:tcPr>
            <w:tcW w:w="1086" w:type="dxa"/>
            <w:tcBorders>
              <w:top w:val="single" w:sz="4" w:space="0" w:color="438EF1" w:themeColor="text2" w:themeTint="99"/>
            </w:tcBorders>
            <w:noWrap/>
            <w:vAlign w:val="bottom"/>
            <w:hideMark/>
          </w:tcPr>
          <w:p w14:paraId="1FCBF409" w14:textId="11E86DF7"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7,783</w:t>
            </w:r>
          </w:p>
        </w:tc>
        <w:tc>
          <w:tcPr>
            <w:tcW w:w="1092" w:type="dxa"/>
            <w:tcBorders>
              <w:top w:val="single" w:sz="4" w:space="0" w:color="438EF1" w:themeColor="text2" w:themeTint="99"/>
            </w:tcBorders>
            <w:noWrap/>
            <w:vAlign w:val="bottom"/>
            <w:hideMark/>
          </w:tcPr>
          <w:p w14:paraId="6E5DB8FC" w14:textId="58B4EDE1"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7,959</w:t>
            </w:r>
          </w:p>
        </w:tc>
        <w:tc>
          <w:tcPr>
            <w:tcW w:w="1083" w:type="dxa"/>
            <w:tcBorders>
              <w:top w:val="single" w:sz="4" w:space="0" w:color="438EF1" w:themeColor="text2" w:themeTint="99"/>
            </w:tcBorders>
            <w:noWrap/>
            <w:vAlign w:val="bottom"/>
            <w:hideMark/>
          </w:tcPr>
          <w:p w14:paraId="1C8E9E56" w14:textId="75326C8A"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7,031</w:t>
            </w:r>
          </w:p>
        </w:tc>
        <w:tc>
          <w:tcPr>
            <w:tcW w:w="1138" w:type="dxa"/>
            <w:tcBorders>
              <w:top w:val="single" w:sz="4" w:space="0" w:color="438EF1" w:themeColor="text2" w:themeTint="99"/>
            </w:tcBorders>
            <w:noWrap/>
            <w:vAlign w:val="bottom"/>
            <w:hideMark/>
          </w:tcPr>
          <w:p w14:paraId="265D1200" w14:textId="48CA5392"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6,887</w:t>
            </w:r>
          </w:p>
        </w:tc>
        <w:tc>
          <w:tcPr>
            <w:tcW w:w="1138" w:type="dxa"/>
            <w:tcBorders>
              <w:top w:val="single" w:sz="4" w:space="0" w:color="438EF1" w:themeColor="text2" w:themeTint="99"/>
            </w:tcBorders>
            <w:noWrap/>
            <w:vAlign w:val="bottom"/>
            <w:hideMark/>
          </w:tcPr>
          <w:p w14:paraId="5B884BC9" w14:textId="1422488A"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6,810</w:t>
            </w:r>
          </w:p>
        </w:tc>
      </w:tr>
      <w:tr w:rsidR="00D64690" w:rsidRPr="00167A1B" w14:paraId="3B972142" w14:textId="77777777" w:rsidTr="00D64690">
        <w:trPr>
          <w:trHeight w:val="304"/>
        </w:trPr>
        <w:tc>
          <w:tcPr>
            <w:tcW w:w="1173" w:type="dxa"/>
            <w:vMerge/>
            <w:noWrap/>
            <w:hideMark/>
          </w:tcPr>
          <w:p w14:paraId="695B95B6" w14:textId="59EF3D50"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798B44C6"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6EDA6214" w14:textId="41BCCBD5"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4AF186BC" w14:textId="1626C4B3"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-55</w:t>
            </w:r>
          </w:p>
        </w:tc>
        <w:tc>
          <w:tcPr>
            <w:tcW w:w="1092" w:type="dxa"/>
            <w:noWrap/>
            <w:vAlign w:val="bottom"/>
            <w:hideMark/>
          </w:tcPr>
          <w:p w14:paraId="2ECAC2AC" w14:textId="16D1408A"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9C0006"/>
                <w:sz w:val="16"/>
                <w:szCs w:val="16"/>
              </w:rPr>
              <w:t>121</w:t>
            </w:r>
          </w:p>
        </w:tc>
        <w:tc>
          <w:tcPr>
            <w:tcW w:w="1083" w:type="dxa"/>
            <w:noWrap/>
            <w:vAlign w:val="bottom"/>
            <w:hideMark/>
          </w:tcPr>
          <w:p w14:paraId="339B1B4C" w14:textId="12E1FC14"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-807</w:t>
            </w:r>
          </w:p>
        </w:tc>
        <w:tc>
          <w:tcPr>
            <w:tcW w:w="1138" w:type="dxa"/>
            <w:noWrap/>
            <w:vAlign w:val="bottom"/>
            <w:hideMark/>
          </w:tcPr>
          <w:p w14:paraId="60731224" w14:textId="72ACD1BA"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-951</w:t>
            </w:r>
          </w:p>
        </w:tc>
        <w:tc>
          <w:tcPr>
            <w:tcW w:w="1138" w:type="dxa"/>
            <w:noWrap/>
            <w:vAlign w:val="bottom"/>
            <w:hideMark/>
          </w:tcPr>
          <w:p w14:paraId="398BDF9F" w14:textId="183A7AB2"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-1,028</w:t>
            </w:r>
          </w:p>
        </w:tc>
      </w:tr>
      <w:tr w:rsidR="00D64690" w:rsidRPr="00167A1B" w14:paraId="4CDB110E" w14:textId="77777777" w:rsidTr="00D64690">
        <w:trPr>
          <w:trHeight w:val="304"/>
        </w:trPr>
        <w:tc>
          <w:tcPr>
            <w:tcW w:w="1173" w:type="dxa"/>
            <w:vMerge/>
            <w:noWrap/>
            <w:hideMark/>
          </w:tcPr>
          <w:p w14:paraId="2FE3ADA1" w14:textId="061C786A"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4C88CC5C"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Annual average</w:t>
            </w:r>
          </w:p>
        </w:tc>
        <w:tc>
          <w:tcPr>
            <w:tcW w:w="880" w:type="dxa"/>
            <w:noWrap/>
            <w:vAlign w:val="bottom"/>
            <w:hideMark/>
          </w:tcPr>
          <w:p w14:paraId="3714BB37" w14:textId="095F57F6"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1,120</w:t>
            </w:r>
          </w:p>
        </w:tc>
        <w:tc>
          <w:tcPr>
            <w:tcW w:w="1086" w:type="dxa"/>
            <w:noWrap/>
            <w:vAlign w:val="bottom"/>
            <w:hideMark/>
          </w:tcPr>
          <w:p w14:paraId="315F05FF" w14:textId="7DD32417"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1,112</w:t>
            </w:r>
          </w:p>
        </w:tc>
        <w:tc>
          <w:tcPr>
            <w:tcW w:w="1092" w:type="dxa"/>
            <w:noWrap/>
            <w:vAlign w:val="bottom"/>
            <w:hideMark/>
          </w:tcPr>
          <w:p w14:paraId="2575D963" w14:textId="65E2160B"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1,137</w:t>
            </w:r>
          </w:p>
        </w:tc>
        <w:tc>
          <w:tcPr>
            <w:tcW w:w="1083" w:type="dxa"/>
            <w:noWrap/>
            <w:vAlign w:val="bottom"/>
            <w:hideMark/>
          </w:tcPr>
          <w:p w14:paraId="352164F6" w14:textId="6CFD3F05"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1,004</w:t>
            </w:r>
          </w:p>
        </w:tc>
        <w:tc>
          <w:tcPr>
            <w:tcW w:w="1138" w:type="dxa"/>
            <w:noWrap/>
            <w:vAlign w:val="bottom"/>
            <w:hideMark/>
          </w:tcPr>
          <w:p w14:paraId="5D2AFB78" w14:textId="00C6D7F4"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984</w:t>
            </w:r>
          </w:p>
        </w:tc>
        <w:tc>
          <w:tcPr>
            <w:tcW w:w="1138" w:type="dxa"/>
            <w:noWrap/>
            <w:vAlign w:val="bottom"/>
            <w:hideMark/>
          </w:tcPr>
          <w:p w14:paraId="54FE1D15" w14:textId="20475849"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973</w:t>
            </w:r>
          </w:p>
        </w:tc>
      </w:tr>
      <w:tr w:rsidR="00D64690" w:rsidRPr="00167A1B" w14:paraId="4ACCB1BE" w14:textId="77777777" w:rsidTr="00D64690">
        <w:trPr>
          <w:trHeight w:val="304"/>
        </w:trPr>
        <w:tc>
          <w:tcPr>
            <w:tcW w:w="1173" w:type="dxa"/>
            <w:vMerge/>
            <w:noWrap/>
            <w:hideMark/>
          </w:tcPr>
          <w:p w14:paraId="0B2A1C7B" w14:textId="26D40F0E"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69935EB7"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55A58FFC" w14:textId="24896E2F"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4B9199E7" w14:textId="1C622010"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-8</w:t>
            </w:r>
          </w:p>
        </w:tc>
        <w:tc>
          <w:tcPr>
            <w:tcW w:w="1092" w:type="dxa"/>
            <w:noWrap/>
            <w:vAlign w:val="bottom"/>
            <w:hideMark/>
          </w:tcPr>
          <w:p w14:paraId="2BCA0737" w14:textId="4A7EC054"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9C0006"/>
                <w:sz w:val="16"/>
                <w:szCs w:val="16"/>
              </w:rPr>
              <w:t>17</w:t>
            </w:r>
          </w:p>
        </w:tc>
        <w:tc>
          <w:tcPr>
            <w:tcW w:w="1083" w:type="dxa"/>
            <w:noWrap/>
            <w:vAlign w:val="bottom"/>
            <w:hideMark/>
          </w:tcPr>
          <w:p w14:paraId="008389B9" w14:textId="099377E0"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-115</w:t>
            </w:r>
          </w:p>
        </w:tc>
        <w:tc>
          <w:tcPr>
            <w:tcW w:w="1138" w:type="dxa"/>
            <w:noWrap/>
            <w:vAlign w:val="bottom"/>
            <w:hideMark/>
          </w:tcPr>
          <w:p w14:paraId="51472F49" w14:textId="0516A71D"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-136</w:t>
            </w:r>
          </w:p>
        </w:tc>
        <w:tc>
          <w:tcPr>
            <w:tcW w:w="1138" w:type="dxa"/>
            <w:noWrap/>
            <w:vAlign w:val="bottom"/>
            <w:hideMark/>
          </w:tcPr>
          <w:p w14:paraId="32EDDC63" w14:textId="49263F3F"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-147</w:t>
            </w:r>
          </w:p>
        </w:tc>
      </w:tr>
      <w:tr w:rsidR="00D64690" w:rsidRPr="00167A1B" w14:paraId="20F3B864" w14:textId="77777777" w:rsidTr="00D64690">
        <w:trPr>
          <w:trHeight w:val="304"/>
        </w:trPr>
        <w:tc>
          <w:tcPr>
            <w:tcW w:w="1173" w:type="dxa"/>
            <w:vMerge/>
            <w:tcBorders>
              <w:bottom w:val="single" w:sz="4" w:space="0" w:color="438EF1" w:themeColor="text2" w:themeTint="99"/>
            </w:tcBorders>
            <w:noWrap/>
            <w:hideMark/>
          </w:tcPr>
          <w:p w14:paraId="29CBA509" w14:textId="63B8231E" w:rsidR="00D64690" w:rsidRPr="00167A1B" w:rsidRDefault="00D64690" w:rsidP="00D64690">
            <w:pPr>
              <w:spacing w:after="0"/>
              <w:jc w:val="left"/>
              <w:rPr>
                <w:rFonts w:ascii="Trebuchet MS" w:hAnsi="Trebuchet MS"/>
                <w:sz w:val="16"/>
                <w:szCs w:val="16"/>
              </w:rPr>
            </w:pPr>
          </w:p>
        </w:tc>
        <w:tc>
          <w:tcPr>
            <w:tcW w:w="1510" w:type="dxa"/>
            <w:tcBorders>
              <w:bottom w:val="single" w:sz="4" w:space="0" w:color="438EF1" w:themeColor="text2" w:themeTint="99"/>
            </w:tcBorders>
            <w:noWrap/>
            <w:vAlign w:val="center"/>
            <w:hideMark/>
          </w:tcPr>
          <w:p w14:paraId="04870A0A"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As %</w:t>
            </w:r>
          </w:p>
        </w:tc>
        <w:tc>
          <w:tcPr>
            <w:tcW w:w="880" w:type="dxa"/>
            <w:tcBorders>
              <w:bottom w:val="single" w:sz="4" w:space="0" w:color="438EF1" w:themeColor="text2" w:themeTint="99"/>
            </w:tcBorders>
            <w:noWrap/>
            <w:vAlign w:val="bottom"/>
            <w:hideMark/>
          </w:tcPr>
          <w:p w14:paraId="4B98C4D9" w14:textId="6B3E6778"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 </w:t>
            </w:r>
          </w:p>
        </w:tc>
        <w:tc>
          <w:tcPr>
            <w:tcW w:w="1086" w:type="dxa"/>
            <w:tcBorders>
              <w:bottom w:val="single" w:sz="4" w:space="0" w:color="438EF1" w:themeColor="text2" w:themeTint="99"/>
            </w:tcBorders>
            <w:noWrap/>
            <w:vAlign w:val="bottom"/>
            <w:hideMark/>
          </w:tcPr>
          <w:p w14:paraId="3EC4A0E8" w14:textId="297FA27C"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-0.7%</w:t>
            </w:r>
          </w:p>
        </w:tc>
        <w:tc>
          <w:tcPr>
            <w:tcW w:w="1092" w:type="dxa"/>
            <w:tcBorders>
              <w:bottom w:val="single" w:sz="4" w:space="0" w:color="438EF1" w:themeColor="text2" w:themeTint="99"/>
            </w:tcBorders>
            <w:noWrap/>
            <w:vAlign w:val="bottom"/>
            <w:hideMark/>
          </w:tcPr>
          <w:p w14:paraId="185DC996" w14:textId="4B373B3C"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9C0006"/>
                <w:sz w:val="16"/>
                <w:szCs w:val="16"/>
              </w:rPr>
              <w:t>1.5%</w:t>
            </w:r>
          </w:p>
        </w:tc>
        <w:tc>
          <w:tcPr>
            <w:tcW w:w="1083" w:type="dxa"/>
            <w:tcBorders>
              <w:bottom w:val="single" w:sz="4" w:space="0" w:color="438EF1" w:themeColor="text2" w:themeTint="99"/>
            </w:tcBorders>
            <w:noWrap/>
            <w:vAlign w:val="bottom"/>
            <w:hideMark/>
          </w:tcPr>
          <w:p w14:paraId="610B4925" w14:textId="0AD3826A"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-10.3%</w:t>
            </w:r>
          </w:p>
        </w:tc>
        <w:tc>
          <w:tcPr>
            <w:tcW w:w="1138" w:type="dxa"/>
            <w:tcBorders>
              <w:bottom w:val="single" w:sz="4" w:space="0" w:color="438EF1" w:themeColor="text2" w:themeTint="99"/>
            </w:tcBorders>
            <w:noWrap/>
            <w:vAlign w:val="bottom"/>
            <w:hideMark/>
          </w:tcPr>
          <w:p w14:paraId="0901FF7D" w14:textId="59645535"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-12.1%</w:t>
            </w:r>
          </w:p>
        </w:tc>
        <w:tc>
          <w:tcPr>
            <w:tcW w:w="1138" w:type="dxa"/>
            <w:tcBorders>
              <w:bottom w:val="single" w:sz="4" w:space="0" w:color="438EF1" w:themeColor="text2" w:themeTint="99"/>
            </w:tcBorders>
            <w:noWrap/>
            <w:vAlign w:val="bottom"/>
            <w:hideMark/>
          </w:tcPr>
          <w:p w14:paraId="2CB3193B" w14:textId="366D1933"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-13.1%</w:t>
            </w:r>
          </w:p>
        </w:tc>
      </w:tr>
      <w:tr w:rsidR="00D64690" w:rsidRPr="00167A1B" w14:paraId="3BC0BDE4" w14:textId="77777777" w:rsidTr="00D64690">
        <w:trPr>
          <w:trHeight w:val="304"/>
        </w:trPr>
        <w:tc>
          <w:tcPr>
            <w:tcW w:w="1173" w:type="dxa"/>
            <w:vMerge w:val="restart"/>
            <w:tcBorders>
              <w:top w:val="single" w:sz="4" w:space="0" w:color="438EF1" w:themeColor="text2" w:themeTint="99"/>
            </w:tcBorders>
            <w:noWrap/>
            <w:hideMark/>
          </w:tcPr>
          <w:p w14:paraId="40F5A0FB" w14:textId="5294924A" w:rsidR="00D64690" w:rsidRPr="00167A1B" w:rsidRDefault="00D64690" w:rsidP="00D64690">
            <w:pPr>
              <w:spacing w:after="0"/>
              <w:jc w:val="left"/>
              <w:rPr>
                <w:rFonts w:ascii="Trebuchet MS" w:hAnsi="Trebuchet MS"/>
                <w:b/>
                <w:sz w:val="16"/>
                <w:szCs w:val="16"/>
              </w:rPr>
            </w:pPr>
            <w:r w:rsidRPr="00167A1B">
              <w:rPr>
                <w:rFonts w:ascii="Trebuchet MS" w:hAnsi="Trebuchet MS"/>
                <w:b/>
                <w:sz w:val="16"/>
                <w:szCs w:val="16"/>
              </w:rPr>
              <w:t>Material Use [tonnes]</w:t>
            </w:r>
            <w:r w:rsidRPr="00167A1B">
              <w:rPr>
                <w:rStyle w:val="FootnoteReference"/>
                <w:b/>
                <w:szCs w:val="16"/>
              </w:rPr>
              <w:footnoteReference w:id="153"/>
            </w:r>
          </w:p>
        </w:tc>
        <w:tc>
          <w:tcPr>
            <w:tcW w:w="1510" w:type="dxa"/>
            <w:tcBorders>
              <w:top w:val="single" w:sz="4" w:space="0" w:color="438EF1" w:themeColor="text2" w:themeTint="99"/>
            </w:tcBorders>
            <w:noWrap/>
            <w:vAlign w:val="center"/>
            <w:hideMark/>
          </w:tcPr>
          <w:p w14:paraId="2A2D900E" w14:textId="77777777" w:rsidR="00D64690" w:rsidRPr="00167A1B" w:rsidRDefault="00D64690" w:rsidP="001E4FCA">
            <w:pPr>
              <w:spacing w:after="0"/>
              <w:jc w:val="left"/>
              <w:rPr>
                <w:rFonts w:ascii="Trebuchet MS" w:hAnsi="Trebuchet MS"/>
                <w:b/>
                <w:sz w:val="16"/>
                <w:szCs w:val="16"/>
              </w:rPr>
            </w:pPr>
            <w:r w:rsidRPr="00167A1B">
              <w:rPr>
                <w:rFonts w:ascii="Trebuchet MS" w:hAnsi="Trebuchet MS"/>
                <w:b/>
                <w:sz w:val="16"/>
                <w:szCs w:val="16"/>
              </w:rPr>
              <w:t>Total 2024-2030</w:t>
            </w:r>
          </w:p>
        </w:tc>
        <w:tc>
          <w:tcPr>
            <w:tcW w:w="880" w:type="dxa"/>
            <w:tcBorders>
              <w:top w:val="single" w:sz="4" w:space="0" w:color="438EF1" w:themeColor="text2" w:themeTint="99"/>
            </w:tcBorders>
            <w:noWrap/>
            <w:vAlign w:val="bottom"/>
            <w:hideMark/>
          </w:tcPr>
          <w:p w14:paraId="30FC3EE1" w14:textId="6A8C4CC0"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152,806</w:t>
            </w:r>
          </w:p>
        </w:tc>
        <w:tc>
          <w:tcPr>
            <w:tcW w:w="1086" w:type="dxa"/>
            <w:tcBorders>
              <w:top w:val="single" w:sz="4" w:space="0" w:color="438EF1" w:themeColor="text2" w:themeTint="99"/>
            </w:tcBorders>
            <w:noWrap/>
            <w:vAlign w:val="bottom"/>
            <w:hideMark/>
          </w:tcPr>
          <w:p w14:paraId="580516C0" w14:textId="18AC8FAF"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151,831</w:t>
            </w:r>
          </w:p>
        </w:tc>
        <w:tc>
          <w:tcPr>
            <w:tcW w:w="1092" w:type="dxa"/>
            <w:tcBorders>
              <w:top w:val="single" w:sz="4" w:space="0" w:color="438EF1" w:themeColor="text2" w:themeTint="99"/>
            </w:tcBorders>
            <w:noWrap/>
            <w:vAlign w:val="bottom"/>
            <w:hideMark/>
          </w:tcPr>
          <w:p w14:paraId="5646BBDC" w14:textId="36619988"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154,508</w:t>
            </w:r>
          </w:p>
        </w:tc>
        <w:tc>
          <w:tcPr>
            <w:tcW w:w="1083" w:type="dxa"/>
            <w:tcBorders>
              <w:top w:val="single" w:sz="4" w:space="0" w:color="438EF1" w:themeColor="text2" w:themeTint="99"/>
            </w:tcBorders>
            <w:noWrap/>
            <w:vAlign w:val="bottom"/>
            <w:hideMark/>
          </w:tcPr>
          <w:p w14:paraId="72A1C747" w14:textId="4C4D14E3"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141,645</w:t>
            </w:r>
          </w:p>
        </w:tc>
        <w:tc>
          <w:tcPr>
            <w:tcW w:w="1138" w:type="dxa"/>
            <w:tcBorders>
              <w:top w:val="single" w:sz="4" w:space="0" w:color="438EF1" w:themeColor="text2" w:themeTint="99"/>
            </w:tcBorders>
            <w:noWrap/>
            <w:vAlign w:val="bottom"/>
            <w:hideMark/>
          </w:tcPr>
          <w:p w14:paraId="4366DF43" w14:textId="2BE8E12F"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139,452</w:t>
            </w:r>
          </w:p>
        </w:tc>
        <w:tc>
          <w:tcPr>
            <w:tcW w:w="1138" w:type="dxa"/>
            <w:tcBorders>
              <w:top w:val="single" w:sz="4" w:space="0" w:color="438EF1" w:themeColor="text2" w:themeTint="99"/>
            </w:tcBorders>
            <w:noWrap/>
            <w:vAlign w:val="bottom"/>
            <w:hideMark/>
          </w:tcPr>
          <w:p w14:paraId="5C8FD98A" w14:textId="281B4F04"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137,862</w:t>
            </w:r>
          </w:p>
        </w:tc>
      </w:tr>
      <w:tr w:rsidR="00D64690" w:rsidRPr="00167A1B" w14:paraId="5FC296AD" w14:textId="77777777" w:rsidTr="00D64690">
        <w:trPr>
          <w:trHeight w:val="304"/>
        </w:trPr>
        <w:tc>
          <w:tcPr>
            <w:tcW w:w="1173" w:type="dxa"/>
            <w:vMerge/>
            <w:noWrap/>
            <w:hideMark/>
          </w:tcPr>
          <w:p w14:paraId="6C41AA98" w14:textId="136EBC2B"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2E3A7019"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12EB31B2" w14:textId="01D18AF6"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63DE3F7F" w14:textId="6F490AE1"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-975</w:t>
            </w:r>
          </w:p>
        </w:tc>
        <w:tc>
          <w:tcPr>
            <w:tcW w:w="1092" w:type="dxa"/>
            <w:noWrap/>
            <w:vAlign w:val="bottom"/>
            <w:hideMark/>
          </w:tcPr>
          <w:p w14:paraId="6036D010" w14:textId="2C8CEA32"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9C0006"/>
                <w:sz w:val="16"/>
                <w:szCs w:val="16"/>
              </w:rPr>
              <w:t>1,702</w:t>
            </w:r>
          </w:p>
        </w:tc>
        <w:tc>
          <w:tcPr>
            <w:tcW w:w="1083" w:type="dxa"/>
            <w:noWrap/>
            <w:vAlign w:val="bottom"/>
            <w:hideMark/>
          </w:tcPr>
          <w:p w14:paraId="31D8E95A" w14:textId="0B37FFF8"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-11,161</w:t>
            </w:r>
          </w:p>
        </w:tc>
        <w:tc>
          <w:tcPr>
            <w:tcW w:w="1138" w:type="dxa"/>
            <w:noWrap/>
            <w:vAlign w:val="bottom"/>
            <w:hideMark/>
          </w:tcPr>
          <w:p w14:paraId="697CFEFB" w14:textId="49092111"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-13,354</w:t>
            </w:r>
          </w:p>
        </w:tc>
        <w:tc>
          <w:tcPr>
            <w:tcW w:w="1138" w:type="dxa"/>
            <w:noWrap/>
            <w:vAlign w:val="bottom"/>
            <w:hideMark/>
          </w:tcPr>
          <w:p w14:paraId="7B4EC27D" w14:textId="6CD2E7D0"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-14,944</w:t>
            </w:r>
          </w:p>
        </w:tc>
      </w:tr>
      <w:tr w:rsidR="00D64690" w:rsidRPr="00167A1B" w14:paraId="2CA7BA87" w14:textId="77777777" w:rsidTr="00D64690">
        <w:trPr>
          <w:trHeight w:val="304"/>
        </w:trPr>
        <w:tc>
          <w:tcPr>
            <w:tcW w:w="1173" w:type="dxa"/>
            <w:vMerge/>
            <w:noWrap/>
            <w:hideMark/>
          </w:tcPr>
          <w:p w14:paraId="471B5B64" w14:textId="338B5C46"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7F8DDE6C"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Annual average</w:t>
            </w:r>
          </w:p>
        </w:tc>
        <w:tc>
          <w:tcPr>
            <w:tcW w:w="880" w:type="dxa"/>
            <w:noWrap/>
            <w:vAlign w:val="bottom"/>
            <w:hideMark/>
          </w:tcPr>
          <w:p w14:paraId="009ABFF0" w14:textId="061C4194"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21,829</w:t>
            </w:r>
          </w:p>
        </w:tc>
        <w:tc>
          <w:tcPr>
            <w:tcW w:w="1086" w:type="dxa"/>
            <w:noWrap/>
            <w:vAlign w:val="bottom"/>
            <w:hideMark/>
          </w:tcPr>
          <w:p w14:paraId="4BC2007A" w14:textId="4942F9FE"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21,690</w:t>
            </w:r>
          </w:p>
        </w:tc>
        <w:tc>
          <w:tcPr>
            <w:tcW w:w="1092" w:type="dxa"/>
            <w:noWrap/>
            <w:vAlign w:val="bottom"/>
            <w:hideMark/>
          </w:tcPr>
          <w:p w14:paraId="6C991B31" w14:textId="484C7D80"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22,073</w:t>
            </w:r>
          </w:p>
        </w:tc>
        <w:tc>
          <w:tcPr>
            <w:tcW w:w="1083" w:type="dxa"/>
            <w:noWrap/>
            <w:vAlign w:val="bottom"/>
            <w:hideMark/>
          </w:tcPr>
          <w:p w14:paraId="48B5080F" w14:textId="3946459E"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20,235</w:t>
            </w:r>
          </w:p>
        </w:tc>
        <w:tc>
          <w:tcPr>
            <w:tcW w:w="1138" w:type="dxa"/>
            <w:noWrap/>
            <w:vAlign w:val="bottom"/>
            <w:hideMark/>
          </w:tcPr>
          <w:p w14:paraId="6402F898" w14:textId="38A760A4"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19,922</w:t>
            </w:r>
          </w:p>
        </w:tc>
        <w:tc>
          <w:tcPr>
            <w:tcW w:w="1138" w:type="dxa"/>
            <w:noWrap/>
            <w:vAlign w:val="bottom"/>
            <w:hideMark/>
          </w:tcPr>
          <w:p w14:paraId="6107D48E" w14:textId="335BD17A"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19,695</w:t>
            </w:r>
          </w:p>
        </w:tc>
      </w:tr>
      <w:tr w:rsidR="00D64690" w:rsidRPr="00167A1B" w14:paraId="63E5E972" w14:textId="77777777" w:rsidTr="00D64690">
        <w:trPr>
          <w:trHeight w:val="304"/>
        </w:trPr>
        <w:tc>
          <w:tcPr>
            <w:tcW w:w="1173" w:type="dxa"/>
            <w:vMerge/>
            <w:noWrap/>
            <w:hideMark/>
          </w:tcPr>
          <w:p w14:paraId="39AB8B4F" w14:textId="543DEC0B"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050C2D5F"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3F35368E" w14:textId="1B9F59F0"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777AC365" w14:textId="71D36390"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-139</w:t>
            </w:r>
          </w:p>
        </w:tc>
        <w:tc>
          <w:tcPr>
            <w:tcW w:w="1092" w:type="dxa"/>
            <w:noWrap/>
            <w:vAlign w:val="bottom"/>
            <w:hideMark/>
          </w:tcPr>
          <w:p w14:paraId="3BA6E36A" w14:textId="64845B07"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9C0006"/>
                <w:sz w:val="16"/>
                <w:szCs w:val="16"/>
              </w:rPr>
              <w:t>243</w:t>
            </w:r>
          </w:p>
        </w:tc>
        <w:tc>
          <w:tcPr>
            <w:tcW w:w="1083" w:type="dxa"/>
            <w:noWrap/>
            <w:vAlign w:val="bottom"/>
            <w:hideMark/>
          </w:tcPr>
          <w:p w14:paraId="0C6F3EBD" w14:textId="07FEDB6C"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-1,594</w:t>
            </w:r>
          </w:p>
        </w:tc>
        <w:tc>
          <w:tcPr>
            <w:tcW w:w="1138" w:type="dxa"/>
            <w:noWrap/>
            <w:vAlign w:val="bottom"/>
            <w:hideMark/>
          </w:tcPr>
          <w:p w14:paraId="22C69B59" w14:textId="13AD3144"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-1,908</w:t>
            </w:r>
          </w:p>
        </w:tc>
        <w:tc>
          <w:tcPr>
            <w:tcW w:w="1138" w:type="dxa"/>
            <w:noWrap/>
            <w:vAlign w:val="bottom"/>
            <w:hideMark/>
          </w:tcPr>
          <w:p w14:paraId="38427222" w14:textId="360EF2C6"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-2,135</w:t>
            </w:r>
          </w:p>
        </w:tc>
      </w:tr>
      <w:tr w:rsidR="00D64690" w:rsidRPr="00167A1B" w14:paraId="4CF183F0" w14:textId="77777777" w:rsidTr="00D64690">
        <w:trPr>
          <w:trHeight w:val="304"/>
        </w:trPr>
        <w:tc>
          <w:tcPr>
            <w:tcW w:w="1173" w:type="dxa"/>
            <w:vMerge/>
            <w:tcBorders>
              <w:bottom w:val="single" w:sz="4" w:space="0" w:color="438EF1" w:themeColor="text2" w:themeTint="99"/>
            </w:tcBorders>
            <w:noWrap/>
            <w:hideMark/>
          </w:tcPr>
          <w:p w14:paraId="0639942F" w14:textId="0F8671D7" w:rsidR="00D64690" w:rsidRPr="00167A1B" w:rsidRDefault="00D64690" w:rsidP="00D64690">
            <w:pPr>
              <w:spacing w:after="0"/>
              <w:jc w:val="left"/>
              <w:rPr>
                <w:rFonts w:ascii="Trebuchet MS" w:hAnsi="Trebuchet MS"/>
                <w:sz w:val="16"/>
                <w:szCs w:val="16"/>
              </w:rPr>
            </w:pPr>
          </w:p>
        </w:tc>
        <w:tc>
          <w:tcPr>
            <w:tcW w:w="1510" w:type="dxa"/>
            <w:tcBorders>
              <w:bottom w:val="single" w:sz="4" w:space="0" w:color="438EF1" w:themeColor="text2" w:themeTint="99"/>
            </w:tcBorders>
            <w:noWrap/>
            <w:vAlign w:val="center"/>
            <w:hideMark/>
          </w:tcPr>
          <w:p w14:paraId="69F6736A"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As %</w:t>
            </w:r>
          </w:p>
        </w:tc>
        <w:tc>
          <w:tcPr>
            <w:tcW w:w="880" w:type="dxa"/>
            <w:tcBorders>
              <w:bottom w:val="single" w:sz="4" w:space="0" w:color="438EF1" w:themeColor="text2" w:themeTint="99"/>
            </w:tcBorders>
            <w:noWrap/>
            <w:vAlign w:val="bottom"/>
            <w:hideMark/>
          </w:tcPr>
          <w:p w14:paraId="2EB68705" w14:textId="5073393D"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 </w:t>
            </w:r>
          </w:p>
        </w:tc>
        <w:tc>
          <w:tcPr>
            <w:tcW w:w="1086" w:type="dxa"/>
            <w:tcBorders>
              <w:bottom w:val="single" w:sz="4" w:space="0" w:color="438EF1" w:themeColor="text2" w:themeTint="99"/>
            </w:tcBorders>
            <w:noWrap/>
            <w:vAlign w:val="bottom"/>
            <w:hideMark/>
          </w:tcPr>
          <w:p w14:paraId="2B6698AB" w14:textId="7AE5BAAA"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-0.6%</w:t>
            </w:r>
          </w:p>
        </w:tc>
        <w:tc>
          <w:tcPr>
            <w:tcW w:w="1092" w:type="dxa"/>
            <w:tcBorders>
              <w:bottom w:val="single" w:sz="4" w:space="0" w:color="438EF1" w:themeColor="text2" w:themeTint="99"/>
            </w:tcBorders>
            <w:noWrap/>
            <w:vAlign w:val="bottom"/>
            <w:hideMark/>
          </w:tcPr>
          <w:p w14:paraId="19FBA766" w14:textId="0D3A2976"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9C0006"/>
                <w:sz w:val="16"/>
                <w:szCs w:val="16"/>
              </w:rPr>
              <w:t>1.1%</w:t>
            </w:r>
          </w:p>
        </w:tc>
        <w:tc>
          <w:tcPr>
            <w:tcW w:w="1083" w:type="dxa"/>
            <w:tcBorders>
              <w:bottom w:val="single" w:sz="4" w:space="0" w:color="438EF1" w:themeColor="text2" w:themeTint="99"/>
            </w:tcBorders>
            <w:noWrap/>
            <w:vAlign w:val="bottom"/>
            <w:hideMark/>
          </w:tcPr>
          <w:p w14:paraId="6651AE46" w14:textId="635C5898"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-7.3%</w:t>
            </w:r>
          </w:p>
        </w:tc>
        <w:tc>
          <w:tcPr>
            <w:tcW w:w="1138" w:type="dxa"/>
            <w:tcBorders>
              <w:bottom w:val="single" w:sz="4" w:space="0" w:color="438EF1" w:themeColor="text2" w:themeTint="99"/>
            </w:tcBorders>
            <w:noWrap/>
            <w:vAlign w:val="bottom"/>
            <w:hideMark/>
          </w:tcPr>
          <w:p w14:paraId="66979270" w14:textId="1B50EFC0"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-8.7%</w:t>
            </w:r>
          </w:p>
        </w:tc>
        <w:tc>
          <w:tcPr>
            <w:tcW w:w="1138" w:type="dxa"/>
            <w:tcBorders>
              <w:bottom w:val="single" w:sz="4" w:space="0" w:color="438EF1" w:themeColor="text2" w:themeTint="99"/>
            </w:tcBorders>
            <w:noWrap/>
            <w:vAlign w:val="bottom"/>
            <w:hideMark/>
          </w:tcPr>
          <w:p w14:paraId="5FD9B8D0" w14:textId="276E23F9"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-9.8%</w:t>
            </w:r>
          </w:p>
        </w:tc>
      </w:tr>
      <w:tr w:rsidR="00D64690" w:rsidRPr="00167A1B" w14:paraId="45627CD5" w14:textId="77777777" w:rsidTr="00D64690">
        <w:trPr>
          <w:trHeight w:val="273"/>
        </w:trPr>
        <w:tc>
          <w:tcPr>
            <w:tcW w:w="1173" w:type="dxa"/>
            <w:vMerge w:val="restart"/>
            <w:tcBorders>
              <w:top w:val="single" w:sz="4" w:space="0" w:color="438EF1" w:themeColor="text2" w:themeTint="99"/>
            </w:tcBorders>
            <w:noWrap/>
            <w:hideMark/>
          </w:tcPr>
          <w:p w14:paraId="685F737D" w14:textId="49A9300D" w:rsidR="00D64690" w:rsidRPr="00167A1B" w:rsidRDefault="00D64690" w:rsidP="00D64690">
            <w:pPr>
              <w:spacing w:after="0"/>
              <w:jc w:val="left"/>
              <w:rPr>
                <w:rFonts w:ascii="Trebuchet MS" w:hAnsi="Trebuchet MS"/>
                <w:b/>
                <w:sz w:val="16"/>
                <w:szCs w:val="16"/>
              </w:rPr>
            </w:pPr>
            <w:r w:rsidRPr="00167A1B">
              <w:rPr>
                <w:rFonts w:ascii="Trebuchet MS" w:hAnsi="Trebuchet MS"/>
                <w:b/>
                <w:sz w:val="16"/>
                <w:szCs w:val="16"/>
              </w:rPr>
              <w:t>E-waste [tonnes]</w:t>
            </w:r>
            <w:r w:rsidRPr="00167A1B">
              <w:rPr>
                <w:rStyle w:val="FootnoteReference"/>
                <w:b/>
                <w:szCs w:val="16"/>
              </w:rPr>
              <w:footnoteReference w:id="154"/>
            </w:r>
          </w:p>
        </w:tc>
        <w:tc>
          <w:tcPr>
            <w:tcW w:w="1510" w:type="dxa"/>
            <w:tcBorders>
              <w:top w:val="single" w:sz="4" w:space="0" w:color="438EF1" w:themeColor="text2" w:themeTint="99"/>
            </w:tcBorders>
            <w:noWrap/>
            <w:vAlign w:val="center"/>
            <w:hideMark/>
          </w:tcPr>
          <w:p w14:paraId="30DE726E" w14:textId="77777777" w:rsidR="00D64690" w:rsidRPr="00167A1B" w:rsidRDefault="00D64690" w:rsidP="001E4FCA">
            <w:pPr>
              <w:spacing w:after="0"/>
              <w:jc w:val="left"/>
              <w:rPr>
                <w:rFonts w:ascii="Trebuchet MS" w:hAnsi="Trebuchet MS"/>
                <w:b/>
                <w:sz w:val="16"/>
                <w:szCs w:val="16"/>
              </w:rPr>
            </w:pPr>
            <w:r w:rsidRPr="00167A1B">
              <w:rPr>
                <w:rFonts w:ascii="Trebuchet MS" w:hAnsi="Trebuchet MS"/>
                <w:b/>
                <w:sz w:val="16"/>
                <w:szCs w:val="16"/>
              </w:rPr>
              <w:t>Total 2024-2030</w:t>
            </w:r>
          </w:p>
        </w:tc>
        <w:tc>
          <w:tcPr>
            <w:tcW w:w="880" w:type="dxa"/>
            <w:tcBorders>
              <w:top w:val="single" w:sz="4" w:space="0" w:color="438EF1" w:themeColor="text2" w:themeTint="99"/>
            </w:tcBorders>
            <w:noWrap/>
            <w:vAlign w:val="bottom"/>
            <w:hideMark/>
          </w:tcPr>
          <w:p w14:paraId="60D8AEA4" w14:textId="4F70E2B4"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133,196</w:t>
            </w:r>
          </w:p>
        </w:tc>
        <w:tc>
          <w:tcPr>
            <w:tcW w:w="1086" w:type="dxa"/>
            <w:tcBorders>
              <w:top w:val="single" w:sz="4" w:space="0" w:color="438EF1" w:themeColor="text2" w:themeTint="99"/>
            </w:tcBorders>
            <w:noWrap/>
            <w:vAlign w:val="bottom"/>
            <w:hideMark/>
          </w:tcPr>
          <w:p w14:paraId="73B0AAC2" w14:textId="39FB3855"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133,010</w:t>
            </w:r>
          </w:p>
        </w:tc>
        <w:tc>
          <w:tcPr>
            <w:tcW w:w="1092" w:type="dxa"/>
            <w:tcBorders>
              <w:top w:val="single" w:sz="4" w:space="0" w:color="438EF1" w:themeColor="text2" w:themeTint="99"/>
            </w:tcBorders>
            <w:noWrap/>
            <w:vAlign w:val="bottom"/>
            <w:hideMark/>
          </w:tcPr>
          <w:p w14:paraId="5B93C4DE" w14:textId="07FB2740"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134,050</w:t>
            </w:r>
          </w:p>
        </w:tc>
        <w:tc>
          <w:tcPr>
            <w:tcW w:w="1083" w:type="dxa"/>
            <w:tcBorders>
              <w:top w:val="single" w:sz="4" w:space="0" w:color="438EF1" w:themeColor="text2" w:themeTint="99"/>
            </w:tcBorders>
            <w:noWrap/>
            <w:vAlign w:val="bottom"/>
            <w:hideMark/>
          </w:tcPr>
          <w:p w14:paraId="4EF4642C" w14:textId="0A233348"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129,020</w:t>
            </w:r>
          </w:p>
        </w:tc>
        <w:tc>
          <w:tcPr>
            <w:tcW w:w="1138" w:type="dxa"/>
            <w:tcBorders>
              <w:top w:val="single" w:sz="4" w:space="0" w:color="438EF1" w:themeColor="text2" w:themeTint="99"/>
            </w:tcBorders>
            <w:noWrap/>
            <w:vAlign w:val="bottom"/>
            <w:hideMark/>
          </w:tcPr>
          <w:p w14:paraId="10B3B890" w14:textId="6DA5569C"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128,094</w:t>
            </w:r>
          </w:p>
        </w:tc>
        <w:tc>
          <w:tcPr>
            <w:tcW w:w="1138" w:type="dxa"/>
            <w:tcBorders>
              <w:top w:val="single" w:sz="4" w:space="0" w:color="438EF1" w:themeColor="text2" w:themeTint="99"/>
            </w:tcBorders>
            <w:noWrap/>
            <w:vAlign w:val="bottom"/>
            <w:hideMark/>
          </w:tcPr>
          <w:p w14:paraId="59BC3837" w14:textId="2B507306"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127,549</w:t>
            </w:r>
          </w:p>
        </w:tc>
      </w:tr>
      <w:tr w:rsidR="00D64690" w:rsidRPr="00167A1B" w14:paraId="6E86C81A" w14:textId="77777777" w:rsidTr="00D64690">
        <w:trPr>
          <w:trHeight w:val="273"/>
        </w:trPr>
        <w:tc>
          <w:tcPr>
            <w:tcW w:w="1173" w:type="dxa"/>
            <w:vMerge/>
            <w:noWrap/>
            <w:hideMark/>
          </w:tcPr>
          <w:p w14:paraId="6E5BCCA5" w14:textId="1E0C37E7"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52C6CAE7"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2F62EE97" w14:textId="2D7B1E0B"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0167D533" w14:textId="0EF40445"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-186</w:t>
            </w:r>
          </w:p>
        </w:tc>
        <w:tc>
          <w:tcPr>
            <w:tcW w:w="1092" w:type="dxa"/>
            <w:noWrap/>
            <w:vAlign w:val="bottom"/>
            <w:hideMark/>
          </w:tcPr>
          <w:p w14:paraId="076ABDCD" w14:textId="3D007DC2"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9C0006"/>
                <w:sz w:val="16"/>
                <w:szCs w:val="16"/>
              </w:rPr>
              <w:t>854</w:t>
            </w:r>
          </w:p>
        </w:tc>
        <w:tc>
          <w:tcPr>
            <w:tcW w:w="1083" w:type="dxa"/>
            <w:noWrap/>
            <w:vAlign w:val="bottom"/>
            <w:hideMark/>
          </w:tcPr>
          <w:p w14:paraId="250024C3" w14:textId="34B6B0BD"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-4,175</w:t>
            </w:r>
          </w:p>
        </w:tc>
        <w:tc>
          <w:tcPr>
            <w:tcW w:w="1138" w:type="dxa"/>
            <w:noWrap/>
            <w:vAlign w:val="bottom"/>
            <w:hideMark/>
          </w:tcPr>
          <w:p w14:paraId="118F102B" w14:textId="29A9A46A"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-5,102</w:t>
            </w:r>
          </w:p>
        </w:tc>
        <w:tc>
          <w:tcPr>
            <w:tcW w:w="1138" w:type="dxa"/>
            <w:noWrap/>
            <w:vAlign w:val="bottom"/>
            <w:hideMark/>
          </w:tcPr>
          <w:p w14:paraId="386BE9BF" w14:textId="06179645"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-5,647</w:t>
            </w:r>
          </w:p>
        </w:tc>
      </w:tr>
      <w:tr w:rsidR="00D64690" w:rsidRPr="00167A1B" w14:paraId="61B68DCF" w14:textId="77777777" w:rsidTr="00D64690">
        <w:trPr>
          <w:trHeight w:val="462"/>
        </w:trPr>
        <w:tc>
          <w:tcPr>
            <w:tcW w:w="1173" w:type="dxa"/>
            <w:vMerge/>
            <w:noWrap/>
            <w:hideMark/>
          </w:tcPr>
          <w:p w14:paraId="43B7864E" w14:textId="679AB5F3"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72A837B9"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Annual average</w:t>
            </w:r>
          </w:p>
        </w:tc>
        <w:tc>
          <w:tcPr>
            <w:tcW w:w="880" w:type="dxa"/>
            <w:noWrap/>
            <w:vAlign w:val="bottom"/>
            <w:hideMark/>
          </w:tcPr>
          <w:p w14:paraId="3A6EA8CC" w14:textId="7AF705E3"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19,028</w:t>
            </w:r>
          </w:p>
        </w:tc>
        <w:tc>
          <w:tcPr>
            <w:tcW w:w="1086" w:type="dxa"/>
            <w:noWrap/>
            <w:vAlign w:val="bottom"/>
            <w:hideMark/>
          </w:tcPr>
          <w:p w14:paraId="424E65DD" w14:textId="1C1D8B5F"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19,001</w:t>
            </w:r>
          </w:p>
        </w:tc>
        <w:tc>
          <w:tcPr>
            <w:tcW w:w="1092" w:type="dxa"/>
            <w:noWrap/>
            <w:vAlign w:val="bottom"/>
            <w:hideMark/>
          </w:tcPr>
          <w:p w14:paraId="54A69B43" w14:textId="0AF07577"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19,150</w:t>
            </w:r>
          </w:p>
        </w:tc>
        <w:tc>
          <w:tcPr>
            <w:tcW w:w="1083" w:type="dxa"/>
            <w:noWrap/>
            <w:vAlign w:val="bottom"/>
            <w:hideMark/>
          </w:tcPr>
          <w:p w14:paraId="169F3A3A" w14:textId="66D2A875"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18,431</w:t>
            </w:r>
          </w:p>
        </w:tc>
        <w:tc>
          <w:tcPr>
            <w:tcW w:w="1138" w:type="dxa"/>
            <w:noWrap/>
            <w:vAlign w:val="bottom"/>
            <w:hideMark/>
          </w:tcPr>
          <w:p w14:paraId="75897139" w14:textId="1356AA0A"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18,299</w:t>
            </w:r>
          </w:p>
        </w:tc>
        <w:tc>
          <w:tcPr>
            <w:tcW w:w="1138" w:type="dxa"/>
            <w:noWrap/>
            <w:vAlign w:val="bottom"/>
            <w:hideMark/>
          </w:tcPr>
          <w:p w14:paraId="34C993B7" w14:textId="09BB1778"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18,221</w:t>
            </w:r>
          </w:p>
        </w:tc>
      </w:tr>
      <w:tr w:rsidR="00D64690" w:rsidRPr="00167A1B" w14:paraId="3E809405" w14:textId="77777777" w:rsidTr="00D64690">
        <w:trPr>
          <w:trHeight w:val="288"/>
        </w:trPr>
        <w:tc>
          <w:tcPr>
            <w:tcW w:w="1173" w:type="dxa"/>
            <w:vMerge/>
            <w:noWrap/>
            <w:hideMark/>
          </w:tcPr>
          <w:p w14:paraId="336B19B0" w14:textId="60CDE9B9"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2EC54676"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612CE851" w14:textId="72B587B0"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12D96842" w14:textId="1CBB6DE2"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-27</w:t>
            </w:r>
          </w:p>
        </w:tc>
        <w:tc>
          <w:tcPr>
            <w:tcW w:w="1092" w:type="dxa"/>
            <w:noWrap/>
            <w:vAlign w:val="bottom"/>
            <w:hideMark/>
          </w:tcPr>
          <w:p w14:paraId="398176FB" w14:textId="2712977B"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9C0006"/>
                <w:sz w:val="16"/>
                <w:szCs w:val="16"/>
              </w:rPr>
              <w:t>122</w:t>
            </w:r>
          </w:p>
        </w:tc>
        <w:tc>
          <w:tcPr>
            <w:tcW w:w="1083" w:type="dxa"/>
            <w:noWrap/>
            <w:vAlign w:val="bottom"/>
            <w:hideMark/>
          </w:tcPr>
          <w:p w14:paraId="36BE4E34" w14:textId="28A0D01B"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-596</w:t>
            </w:r>
          </w:p>
        </w:tc>
        <w:tc>
          <w:tcPr>
            <w:tcW w:w="1138" w:type="dxa"/>
            <w:noWrap/>
            <w:vAlign w:val="bottom"/>
            <w:hideMark/>
          </w:tcPr>
          <w:p w14:paraId="3DCB049F" w14:textId="3F992FD1"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-729</w:t>
            </w:r>
          </w:p>
        </w:tc>
        <w:tc>
          <w:tcPr>
            <w:tcW w:w="1138" w:type="dxa"/>
            <w:noWrap/>
            <w:vAlign w:val="bottom"/>
            <w:hideMark/>
          </w:tcPr>
          <w:p w14:paraId="307D1889" w14:textId="203D5AA1"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-807</w:t>
            </w:r>
          </w:p>
        </w:tc>
      </w:tr>
      <w:tr w:rsidR="00D64690" w:rsidRPr="00167A1B" w14:paraId="10195A37" w14:textId="77777777" w:rsidTr="00D64690">
        <w:trPr>
          <w:trHeight w:val="304"/>
        </w:trPr>
        <w:tc>
          <w:tcPr>
            <w:tcW w:w="1173" w:type="dxa"/>
            <w:vMerge/>
            <w:tcBorders>
              <w:bottom w:val="single" w:sz="4" w:space="0" w:color="438EF1" w:themeColor="text2" w:themeTint="99"/>
            </w:tcBorders>
            <w:noWrap/>
            <w:hideMark/>
          </w:tcPr>
          <w:p w14:paraId="65BB4B12" w14:textId="0ED9E666" w:rsidR="00D64690" w:rsidRPr="00167A1B" w:rsidRDefault="00D64690" w:rsidP="00D64690">
            <w:pPr>
              <w:spacing w:after="0"/>
              <w:jc w:val="left"/>
              <w:rPr>
                <w:rFonts w:ascii="Trebuchet MS" w:hAnsi="Trebuchet MS"/>
                <w:sz w:val="16"/>
                <w:szCs w:val="16"/>
              </w:rPr>
            </w:pPr>
          </w:p>
        </w:tc>
        <w:tc>
          <w:tcPr>
            <w:tcW w:w="1510" w:type="dxa"/>
            <w:tcBorders>
              <w:bottom w:val="single" w:sz="4" w:space="0" w:color="438EF1" w:themeColor="text2" w:themeTint="99"/>
            </w:tcBorders>
            <w:noWrap/>
            <w:vAlign w:val="center"/>
            <w:hideMark/>
          </w:tcPr>
          <w:p w14:paraId="5D3BE7C6"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As %</w:t>
            </w:r>
          </w:p>
        </w:tc>
        <w:tc>
          <w:tcPr>
            <w:tcW w:w="880" w:type="dxa"/>
            <w:tcBorders>
              <w:bottom w:val="single" w:sz="4" w:space="0" w:color="438EF1" w:themeColor="text2" w:themeTint="99"/>
            </w:tcBorders>
            <w:noWrap/>
            <w:vAlign w:val="bottom"/>
            <w:hideMark/>
          </w:tcPr>
          <w:p w14:paraId="5E3788E5" w14:textId="311D5F6C"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 </w:t>
            </w:r>
          </w:p>
        </w:tc>
        <w:tc>
          <w:tcPr>
            <w:tcW w:w="1086" w:type="dxa"/>
            <w:tcBorders>
              <w:bottom w:val="single" w:sz="4" w:space="0" w:color="438EF1" w:themeColor="text2" w:themeTint="99"/>
            </w:tcBorders>
            <w:noWrap/>
            <w:vAlign w:val="bottom"/>
            <w:hideMark/>
          </w:tcPr>
          <w:p w14:paraId="138B9D99" w14:textId="5F78BC5F"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-0.1%</w:t>
            </w:r>
          </w:p>
        </w:tc>
        <w:tc>
          <w:tcPr>
            <w:tcW w:w="1092" w:type="dxa"/>
            <w:tcBorders>
              <w:bottom w:val="single" w:sz="4" w:space="0" w:color="438EF1" w:themeColor="text2" w:themeTint="99"/>
            </w:tcBorders>
            <w:noWrap/>
            <w:vAlign w:val="bottom"/>
            <w:hideMark/>
          </w:tcPr>
          <w:p w14:paraId="6E29B957" w14:textId="59AF7B9F"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9C0006"/>
                <w:sz w:val="16"/>
                <w:szCs w:val="16"/>
              </w:rPr>
              <w:t>0.6%</w:t>
            </w:r>
          </w:p>
        </w:tc>
        <w:tc>
          <w:tcPr>
            <w:tcW w:w="1083" w:type="dxa"/>
            <w:tcBorders>
              <w:bottom w:val="single" w:sz="4" w:space="0" w:color="438EF1" w:themeColor="text2" w:themeTint="99"/>
            </w:tcBorders>
            <w:noWrap/>
            <w:vAlign w:val="bottom"/>
            <w:hideMark/>
          </w:tcPr>
          <w:p w14:paraId="51B838BD" w14:textId="25B2DD84"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-3.1%</w:t>
            </w:r>
          </w:p>
        </w:tc>
        <w:tc>
          <w:tcPr>
            <w:tcW w:w="1138" w:type="dxa"/>
            <w:tcBorders>
              <w:bottom w:val="single" w:sz="4" w:space="0" w:color="438EF1" w:themeColor="text2" w:themeTint="99"/>
            </w:tcBorders>
            <w:noWrap/>
            <w:vAlign w:val="bottom"/>
            <w:hideMark/>
          </w:tcPr>
          <w:p w14:paraId="23658780" w14:textId="56C687F4"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-3.8%</w:t>
            </w:r>
          </w:p>
        </w:tc>
        <w:tc>
          <w:tcPr>
            <w:tcW w:w="1138" w:type="dxa"/>
            <w:tcBorders>
              <w:bottom w:val="single" w:sz="4" w:space="0" w:color="438EF1" w:themeColor="text2" w:themeTint="99"/>
            </w:tcBorders>
            <w:noWrap/>
            <w:vAlign w:val="bottom"/>
            <w:hideMark/>
          </w:tcPr>
          <w:p w14:paraId="090BEF01" w14:textId="3ECCBC2F"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-4.2%</w:t>
            </w:r>
          </w:p>
        </w:tc>
      </w:tr>
      <w:tr w:rsidR="00D64690" w:rsidRPr="00167A1B" w14:paraId="2924A360" w14:textId="77777777" w:rsidTr="00D64690">
        <w:trPr>
          <w:trHeight w:val="288"/>
        </w:trPr>
        <w:tc>
          <w:tcPr>
            <w:tcW w:w="1173" w:type="dxa"/>
            <w:vMerge w:val="restart"/>
            <w:tcBorders>
              <w:top w:val="single" w:sz="4" w:space="0" w:color="438EF1" w:themeColor="text2" w:themeTint="99"/>
            </w:tcBorders>
            <w:noWrap/>
            <w:hideMark/>
          </w:tcPr>
          <w:p w14:paraId="37A6A1F5" w14:textId="62243EEF" w:rsidR="00D64690" w:rsidRPr="00167A1B" w:rsidRDefault="00D64690" w:rsidP="00D64690">
            <w:pPr>
              <w:spacing w:after="0"/>
              <w:jc w:val="left"/>
              <w:rPr>
                <w:rFonts w:ascii="Trebuchet MS" w:hAnsi="Trebuchet MS"/>
                <w:b/>
                <w:sz w:val="16"/>
                <w:szCs w:val="16"/>
              </w:rPr>
            </w:pPr>
            <w:r w:rsidRPr="00167A1B">
              <w:rPr>
                <w:rFonts w:ascii="Trebuchet MS" w:hAnsi="Trebuchet MS"/>
                <w:b/>
                <w:sz w:val="16"/>
                <w:szCs w:val="16"/>
              </w:rPr>
              <w:t>Of which Untreated [tonnes]</w:t>
            </w:r>
            <w:r w:rsidRPr="00167A1B">
              <w:rPr>
                <w:rStyle w:val="FootnoteReference"/>
                <w:b/>
                <w:szCs w:val="16"/>
              </w:rPr>
              <w:footnoteReference w:id="155"/>
            </w:r>
          </w:p>
        </w:tc>
        <w:tc>
          <w:tcPr>
            <w:tcW w:w="1510" w:type="dxa"/>
            <w:tcBorders>
              <w:top w:val="single" w:sz="4" w:space="0" w:color="438EF1" w:themeColor="text2" w:themeTint="99"/>
            </w:tcBorders>
            <w:noWrap/>
            <w:vAlign w:val="center"/>
            <w:hideMark/>
          </w:tcPr>
          <w:p w14:paraId="0EA013C4" w14:textId="77777777" w:rsidR="00D64690" w:rsidRPr="00167A1B" w:rsidRDefault="00D64690" w:rsidP="001E4FCA">
            <w:pPr>
              <w:spacing w:after="0"/>
              <w:jc w:val="left"/>
              <w:rPr>
                <w:rFonts w:ascii="Trebuchet MS" w:hAnsi="Trebuchet MS"/>
                <w:b/>
                <w:sz w:val="16"/>
                <w:szCs w:val="16"/>
              </w:rPr>
            </w:pPr>
            <w:r w:rsidRPr="00167A1B">
              <w:rPr>
                <w:rFonts w:ascii="Trebuchet MS" w:hAnsi="Trebuchet MS"/>
                <w:b/>
                <w:sz w:val="16"/>
                <w:szCs w:val="16"/>
              </w:rPr>
              <w:t>Total 2024-2030</w:t>
            </w:r>
          </w:p>
        </w:tc>
        <w:tc>
          <w:tcPr>
            <w:tcW w:w="880" w:type="dxa"/>
            <w:tcBorders>
              <w:top w:val="single" w:sz="4" w:space="0" w:color="438EF1" w:themeColor="text2" w:themeTint="99"/>
            </w:tcBorders>
            <w:noWrap/>
            <w:vAlign w:val="bottom"/>
            <w:hideMark/>
          </w:tcPr>
          <w:p w14:paraId="2E22FEED" w14:textId="1D07271E"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27,365</w:t>
            </w:r>
          </w:p>
        </w:tc>
        <w:tc>
          <w:tcPr>
            <w:tcW w:w="1086" w:type="dxa"/>
            <w:tcBorders>
              <w:top w:val="single" w:sz="4" w:space="0" w:color="438EF1" w:themeColor="text2" w:themeTint="99"/>
            </w:tcBorders>
            <w:noWrap/>
            <w:vAlign w:val="bottom"/>
            <w:hideMark/>
          </w:tcPr>
          <w:p w14:paraId="0F9A90D5" w14:textId="28F58023"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27,335</w:t>
            </w:r>
          </w:p>
        </w:tc>
        <w:tc>
          <w:tcPr>
            <w:tcW w:w="1092" w:type="dxa"/>
            <w:tcBorders>
              <w:top w:val="single" w:sz="4" w:space="0" w:color="438EF1" w:themeColor="text2" w:themeTint="99"/>
            </w:tcBorders>
            <w:noWrap/>
            <w:vAlign w:val="bottom"/>
            <w:hideMark/>
          </w:tcPr>
          <w:p w14:paraId="37B300D7" w14:textId="038FCA6C"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27,536</w:t>
            </w:r>
          </w:p>
        </w:tc>
        <w:tc>
          <w:tcPr>
            <w:tcW w:w="1083" w:type="dxa"/>
            <w:tcBorders>
              <w:top w:val="single" w:sz="4" w:space="0" w:color="438EF1" w:themeColor="text2" w:themeTint="99"/>
            </w:tcBorders>
            <w:noWrap/>
            <w:vAlign w:val="bottom"/>
            <w:hideMark/>
          </w:tcPr>
          <w:p w14:paraId="6933FA31" w14:textId="6AEBACC0"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26,561</w:t>
            </w:r>
          </w:p>
        </w:tc>
        <w:tc>
          <w:tcPr>
            <w:tcW w:w="1138" w:type="dxa"/>
            <w:tcBorders>
              <w:top w:val="single" w:sz="4" w:space="0" w:color="438EF1" w:themeColor="text2" w:themeTint="99"/>
            </w:tcBorders>
            <w:noWrap/>
            <w:vAlign w:val="bottom"/>
            <w:hideMark/>
          </w:tcPr>
          <w:p w14:paraId="0A120B96" w14:textId="6D12F3E4"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26,381</w:t>
            </w:r>
          </w:p>
        </w:tc>
        <w:tc>
          <w:tcPr>
            <w:tcW w:w="1138" w:type="dxa"/>
            <w:tcBorders>
              <w:top w:val="single" w:sz="4" w:space="0" w:color="438EF1" w:themeColor="text2" w:themeTint="99"/>
            </w:tcBorders>
            <w:noWrap/>
            <w:vAlign w:val="bottom"/>
            <w:hideMark/>
          </w:tcPr>
          <w:p w14:paraId="71532E8A" w14:textId="689E3CE0"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26,277</w:t>
            </w:r>
          </w:p>
        </w:tc>
      </w:tr>
      <w:tr w:rsidR="00D64690" w:rsidRPr="00167A1B" w14:paraId="5A5822EC" w14:textId="77777777" w:rsidTr="00D64690">
        <w:trPr>
          <w:trHeight w:val="304"/>
        </w:trPr>
        <w:tc>
          <w:tcPr>
            <w:tcW w:w="1173" w:type="dxa"/>
            <w:vMerge/>
            <w:noWrap/>
            <w:hideMark/>
          </w:tcPr>
          <w:p w14:paraId="7D9C5092" w14:textId="4218193F"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70CBE1CE"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58A283E9" w14:textId="1F08A958"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6DAB6705" w14:textId="290A7E13"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-30</w:t>
            </w:r>
          </w:p>
        </w:tc>
        <w:tc>
          <w:tcPr>
            <w:tcW w:w="1092" w:type="dxa"/>
            <w:noWrap/>
            <w:vAlign w:val="bottom"/>
            <w:hideMark/>
          </w:tcPr>
          <w:p w14:paraId="639C21CD" w14:textId="3A6172AD"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9C0006"/>
                <w:sz w:val="16"/>
                <w:szCs w:val="16"/>
              </w:rPr>
              <w:t>171</w:t>
            </w:r>
          </w:p>
        </w:tc>
        <w:tc>
          <w:tcPr>
            <w:tcW w:w="1083" w:type="dxa"/>
            <w:noWrap/>
            <w:vAlign w:val="bottom"/>
            <w:hideMark/>
          </w:tcPr>
          <w:p w14:paraId="77C9A064" w14:textId="0E64CC17"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-805</w:t>
            </w:r>
          </w:p>
        </w:tc>
        <w:tc>
          <w:tcPr>
            <w:tcW w:w="1138" w:type="dxa"/>
            <w:noWrap/>
            <w:vAlign w:val="bottom"/>
            <w:hideMark/>
          </w:tcPr>
          <w:p w14:paraId="0D1B2440" w14:textId="3F7F4E9D"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-985</w:t>
            </w:r>
          </w:p>
        </w:tc>
        <w:tc>
          <w:tcPr>
            <w:tcW w:w="1138" w:type="dxa"/>
            <w:noWrap/>
            <w:vAlign w:val="bottom"/>
            <w:hideMark/>
          </w:tcPr>
          <w:p w14:paraId="654A71E8" w14:textId="67941C85"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-1,088</w:t>
            </w:r>
          </w:p>
        </w:tc>
      </w:tr>
      <w:tr w:rsidR="00D64690" w:rsidRPr="00167A1B" w14:paraId="06D720D0" w14:textId="77777777" w:rsidTr="00D64690">
        <w:trPr>
          <w:trHeight w:val="288"/>
        </w:trPr>
        <w:tc>
          <w:tcPr>
            <w:tcW w:w="1173" w:type="dxa"/>
            <w:vMerge/>
            <w:noWrap/>
            <w:hideMark/>
          </w:tcPr>
          <w:p w14:paraId="02409938" w14:textId="61E6F66F"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0342B8E3"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Annual average</w:t>
            </w:r>
          </w:p>
        </w:tc>
        <w:tc>
          <w:tcPr>
            <w:tcW w:w="880" w:type="dxa"/>
            <w:noWrap/>
            <w:vAlign w:val="bottom"/>
            <w:hideMark/>
          </w:tcPr>
          <w:p w14:paraId="31BB9125" w14:textId="64F1C512"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3,909</w:t>
            </w:r>
          </w:p>
        </w:tc>
        <w:tc>
          <w:tcPr>
            <w:tcW w:w="1086" w:type="dxa"/>
            <w:noWrap/>
            <w:vAlign w:val="bottom"/>
            <w:hideMark/>
          </w:tcPr>
          <w:p w14:paraId="03BBF728" w14:textId="7C37E81A"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3,905</w:t>
            </w:r>
          </w:p>
        </w:tc>
        <w:tc>
          <w:tcPr>
            <w:tcW w:w="1092" w:type="dxa"/>
            <w:noWrap/>
            <w:vAlign w:val="bottom"/>
            <w:hideMark/>
          </w:tcPr>
          <w:p w14:paraId="5D0566A3" w14:textId="57D5F217"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3,934</w:t>
            </w:r>
          </w:p>
        </w:tc>
        <w:tc>
          <w:tcPr>
            <w:tcW w:w="1083" w:type="dxa"/>
            <w:noWrap/>
            <w:vAlign w:val="bottom"/>
            <w:hideMark/>
          </w:tcPr>
          <w:p w14:paraId="333F6264" w14:textId="535494B0"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3,794</w:t>
            </w:r>
          </w:p>
        </w:tc>
        <w:tc>
          <w:tcPr>
            <w:tcW w:w="1138" w:type="dxa"/>
            <w:noWrap/>
            <w:vAlign w:val="bottom"/>
            <w:hideMark/>
          </w:tcPr>
          <w:p w14:paraId="21AE74BD" w14:textId="1977BFD5"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3,769</w:t>
            </w:r>
          </w:p>
        </w:tc>
        <w:tc>
          <w:tcPr>
            <w:tcW w:w="1138" w:type="dxa"/>
            <w:noWrap/>
            <w:vAlign w:val="bottom"/>
            <w:hideMark/>
          </w:tcPr>
          <w:p w14:paraId="3CC14B68" w14:textId="04BEDF21"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3,754</w:t>
            </w:r>
          </w:p>
        </w:tc>
      </w:tr>
      <w:tr w:rsidR="00D64690" w:rsidRPr="00167A1B" w14:paraId="791DC082" w14:textId="77777777" w:rsidTr="00D64690">
        <w:trPr>
          <w:trHeight w:val="304"/>
        </w:trPr>
        <w:tc>
          <w:tcPr>
            <w:tcW w:w="1173" w:type="dxa"/>
            <w:vMerge/>
            <w:noWrap/>
            <w:hideMark/>
          </w:tcPr>
          <w:p w14:paraId="06128051" w14:textId="18FD36A0"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0ED1521C"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0F47B5DF" w14:textId="119490CA"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4D18DA3E" w14:textId="475268CD"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-4</w:t>
            </w:r>
          </w:p>
        </w:tc>
        <w:tc>
          <w:tcPr>
            <w:tcW w:w="1092" w:type="dxa"/>
            <w:noWrap/>
            <w:vAlign w:val="bottom"/>
            <w:hideMark/>
          </w:tcPr>
          <w:p w14:paraId="4D795922" w14:textId="5E42D5AF"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9C0006"/>
                <w:sz w:val="16"/>
                <w:szCs w:val="16"/>
              </w:rPr>
              <w:t>24</w:t>
            </w:r>
          </w:p>
        </w:tc>
        <w:tc>
          <w:tcPr>
            <w:tcW w:w="1083" w:type="dxa"/>
            <w:noWrap/>
            <w:vAlign w:val="bottom"/>
            <w:hideMark/>
          </w:tcPr>
          <w:p w14:paraId="435D5AAC" w14:textId="0C19BE51"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-115</w:t>
            </w:r>
          </w:p>
        </w:tc>
        <w:tc>
          <w:tcPr>
            <w:tcW w:w="1138" w:type="dxa"/>
            <w:noWrap/>
            <w:vAlign w:val="bottom"/>
            <w:hideMark/>
          </w:tcPr>
          <w:p w14:paraId="6F6C52D8" w14:textId="695AFA39"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-141</w:t>
            </w:r>
          </w:p>
        </w:tc>
        <w:tc>
          <w:tcPr>
            <w:tcW w:w="1138" w:type="dxa"/>
            <w:noWrap/>
            <w:vAlign w:val="bottom"/>
            <w:hideMark/>
          </w:tcPr>
          <w:p w14:paraId="29B32AEC" w14:textId="0951D86E"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-155</w:t>
            </w:r>
          </w:p>
        </w:tc>
      </w:tr>
      <w:tr w:rsidR="00D64690" w:rsidRPr="00167A1B" w14:paraId="0C577672" w14:textId="77777777" w:rsidTr="00D64690">
        <w:trPr>
          <w:trHeight w:val="288"/>
        </w:trPr>
        <w:tc>
          <w:tcPr>
            <w:tcW w:w="1173" w:type="dxa"/>
            <w:vMerge/>
            <w:tcBorders>
              <w:bottom w:val="single" w:sz="4" w:space="0" w:color="438EF1" w:themeColor="text2" w:themeTint="99"/>
            </w:tcBorders>
            <w:noWrap/>
            <w:hideMark/>
          </w:tcPr>
          <w:p w14:paraId="056F36F0" w14:textId="41B73870" w:rsidR="00D64690" w:rsidRPr="00167A1B" w:rsidRDefault="00D64690" w:rsidP="00D64690">
            <w:pPr>
              <w:spacing w:after="0"/>
              <w:jc w:val="left"/>
              <w:rPr>
                <w:rFonts w:ascii="Trebuchet MS" w:hAnsi="Trebuchet MS"/>
                <w:sz w:val="16"/>
                <w:szCs w:val="16"/>
              </w:rPr>
            </w:pPr>
          </w:p>
        </w:tc>
        <w:tc>
          <w:tcPr>
            <w:tcW w:w="1510" w:type="dxa"/>
            <w:tcBorders>
              <w:bottom w:val="single" w:sz="4" w:space="0" w:color="438EF1" w:themeColor="text2" w:themeTint="99"/>
            </w:tcBorders>
            <w:noWrap/>
            <w:vAlign w:val="center"/>
            <w:hideMark/>
          </w:tcPr>
          <w:p w14:paraId="169B4478"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As %</w:t>
            </w:r>
          </w:p>
        </w:tc>
        <w:tc>
          <w:tcPr>
            <w:tcW w:w="880" w:type="dxa"/>
            <w:tcBorders>
              <w:bottom w:val="single" w:sz="4" w:space="0" w:color="438EF1" w:themeColor="text2" w:themeTint="99"/>
            </w:tcBorders>
            <w:noWrap/>
            <w:vAlign w:val="bottom"/>
            <w:hideMark/>
          </w:tcPr>
          <w:p w14:paraId="5D9E7AAC" w14:textId="2F2188B9"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 </w:t>
            </w:r>
          </w:p>
        </w:tc>
        <w:tc>
          <w:tcPr>
            <w:tcW w:w="1086" w:type="dxa"/>
            <w:tcBorders>
              <w:bottom w:val="single" w:sz="4" w:space="0" w:color="438EF1" w:themeColor="text2" w:themeTint="99"/>
            </w:tcBorders>
            <w:noWrap/>
            <w:vAlign w:val="bottom"/>
            <w:hideMark/>
          </w:tcPr>
          <w:p w14:paraId="23D4F27A" w14:textId="3817DB84"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-0.1%</w:t>
            </w:r>
          </w:p>
        </w:tc>
        <w:tc>
          <w:tcPr>
            <w:tcW w:w="1092" w:type="dxa"/>
            <w:tcBorders>
              <w:bottom w:val="single" w:sz="4" w:space="0" w:color="438EF1" w:themeColor="text2" w:themeTint="99"/>
            </w:tcBorders>
            <w:noWrap/>
            <w:vAlign w:val="bottom"/>
            <w:hideMark/>
          </w:tcPr>
          <w:p w14:paraId="3B66EB91" w14:textId="5A726C20"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9C0006"/>
                <w:sz w:val="16"/>
                <w:szCs w:val="16"/>
              </w:rPr>
              <w:t>0.6%</w:t>
            </w:r>
          </w:p>
        </w:tc>
        <w:tc>
          <w:tcPr>
            <w:tcW w:w="1083" w:type="dxa"/>
            <w:tcBorders>
              <w:bottom w:val="single" w:sz="4" w:space="0" w:color="438EF1" w:themeColor="text2" w:themeTint="99"/>
            </w:tcBorders>
            <w:noWrap/>
            <w:vAlign w:val="bottom"/>
            <w:hideMark/>
          </w:tcPr>
          <w:p w14:paraId="7667EAD2" w14:textId="2019E998"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-2.9%</w:t>
            </w:r>
          </w:p>
        </w:tc>
        <w:tc>
          <w:tcPr>
            <w:tcW w:w="1138" w:type="dxa"/>
            <w:tcBorders>
              <w:bottom w:val="single" w:sz="4" w:space="0" w:color="438EF1" w:themeColor="text2" w:themeTint="99"/>
            </w:tcBorders>
            <w:noWrap/>
            <w:vAlign w:val="bottom"/>
            <w:hideMark/>
          </w:tcPr>
          <w:p w14:paraId="0BA86FA1" w14:textId="6BA591BE"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-3.6%</w:t>
            </w:r>
          </w:p>
        </w:tc>
        <w:tc>
          <w:tcPr>
            <w:tcW w:w="1138" w:type="dxa"/>
            <w:tcBorders>
              <w:bottom w:val="single" w:sz="4" w:space="0" w:color="438EF1" w:themeColor="text2" w:themeTint="99"/>
            </w:tcBorders>
            <w:noWrap/>
            <w:vAlign w:val="bottom"/>
            <w:hideMark/>
          </w:tcPr>
          <w:p w14:paraId="57CF3859" w14:textId="0E0934C6"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-4.0%</w:t>
            </w:r>
          </w:p>
        </w:tc>
      </w:tr>
      <w:tr w:rsidR="00D64690" w:rsidRPr="00167A1B" w14:paraId="03DDB8A1" w14:textId="77777777" w:rsidTr="00D64690">
        <w:trPr>
          <w:trHeight w:val="304"/>
        </w:trPr>
        <w:tc>
          <w:tcPr>
            <w:tcW w:w="1173" w:type="dxa"/>
            <w:vMerge w:val="restart"/>
            <w:tcBorders>
              <w:top w:val="single" w:sz="4" w:space="0" w:color="438EF1" w:themeColor="text2" w:themeTint="99"/>
            </w:tcBorders>
            <w:noWrap/>
            <w:hideMark/>
          </w:tcPr>
          <w:p w14:paraId="1267A578" w14:textId="11159991" w:rsidR="00D64690" w:rsidRPr="00167A1B" w:rsidRDefault="00D64690" w:rsidP="00D64690">
            <w:pPr>
              <w:spacing w:after="0"/>
              <w:jc w:val="left"/>
              <w:rPr>
                <w:rFonts w:ascii="Trebuchet MS" w:hAnsi="Trebuchet MS"/>
                <w:b/>
                <w:sz w:val="16"/>
                <w:szCs w:val="16"/>
              </w:rPr>
            </w:pPr>
            <w:r w:rsidRPr="00167A1B">
              <w:rPr>
                <w:rFonts w:ascii="Trebuchet MS" w:hAnsi="Trebuchet MS"/>
                <w:b/>
                <w:sz w:val="16"/>
                <w:szCs w:val="16"/>
              </w:rPr>
              <w:t>Of which Recycled [tonnes]</w:t>
            </w:r>
            <w:r w:rsidRPr="00167A1B">
              <w:rPr>
                <w:rStyle w:val="FootnoteReference"/>
                <w:b/>
                <w:szCs w:val="16"/>
              </w:rPr>
              <w:footnoteReference w:id="156"/>
            </w:r>
          </w:p>
        </w:tc>
        <w:tc>
          <w:tcPr>
            <w:tcW w:w="1510" w:type="dxa"/>
            <w:tcBorders>
              <w:top w:val="single" w:sz="4" w:space="0" w:color="438EF1" w:themeColor="text2" w:themeTint="99"/>
            </w:tcBorders>
            <w:noWrap/>
            <w:vAlign w:val="center"/>
            <w:hideMark/>
          </w:tcPr>
          <w:p w14:paraId="2D43ACF5" w14:textId="77777777" w:rsidR="00D64690" w:rsidRPr="00167A1B" w:rsidRDefault="00D64690" w:rsidP="001E4FCA">
            <w:pPr>
              <w:spacing w:after="0"/>
              <w:jc w:val="left"/>
              <w:rPr>
                <w:rFonts w:ascii="Trebuchet MS" w:hAnsi="Trebuchet MS"/>
                <w:b/>
                <w:sz w:val="16"/>
                <w:szCs w:val="16"/>
              </w:rPr>
            </w:pPr>
            <w:r w:rsidRPr="00167A1B">
              <w:rPr>
                <w:rFonts w:ascii="Trebuchet MS" w:hAnsi="Trebuchet MS"/>
                <w:b/>
                <w:sz w:val="16"/>
                <w:szCs w:val="16"/>
              </w:rPr>
              <w:t>Total 2024-2030</w:t>
            </w:r>
          </w:p>
        </w:tc>
        <w:tc>
          <w:tcPr>
            <w:tcW w:w="880" w:type="dxa"/>
            <w:tcBorders>
              <w:top w:val="single" w:sz="4" w:space="0" w:color="438EF1" w:themeColor="text2" w:themeTint="99"/>
            </w:tcBorders>
            <w:noWrap/>
            <w:vAlign w:val="bottom"/>
            <w:hideMark/>
          </w:tcPr>
          <w:p w14:paraId="184F0DF8" w14:textId="60699C41"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70,685</w:t>
            </w:r>
          </w:p>
        </w:tc>
        <w:tc>
          <w:tcPr>
            <w:tcW w:w="1086" w:type="dxa"/>
            <w:tcBorders>
              <w:top w:val="single" w:sz="4" w:space="0" w:color="438EF1" w:themeColor="text2" w:themeTint="99"/>
            </w:tcBorders>
            <w:noWrap/>
            <w:vAlign w:val="bottom"/>
            <w:hideMark/>
          </w:tcPr>
          <w:p w14:paraId="2BD7AA34" w14:textId="5CC32014"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70,645</w:t>
            </w:r>
          </w:p>
        </w:tc>
        <w:tc>
          <w:tcPr>
            <w:tcW w:w="1092" w:type="dxa"/>
            <w:tcBorders>
              <w:top w:val="single" w:sz="4" w:space="0" w:color="438EF1" w:themeColor="text2" w:themeTint="99"/>
            </w:tcBorders>
            <w:noWrap/>
            <w:vAlign w:val="bottom"/>
            <w:hideMark/>
          </w:tcPr>
          <w:p w14:paraId="0BA94ED5" w14:textId="0E472DB3"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71,159</w:t>
            </w:r>
          </w:p>
        </w:tc>
        <w:tc>
          <w:tcPr>
            <w:tcW w:w="1083" w:type="dxa"/>
            <w:tcBorders>
              <w:top w:val="single" w:sz="4" w:space="0" w:color="438EF1" w:themeColor="text2" w:themeTint="99"/>
            </w:tcBorders>
            <w:noWrap/>
            <w:vAlign w:val="bottom"/>
            <w:hideMark/>
          </w:tcPr>
          <w:p w14:paraId="7941EEDB" w14:textId="2B8F48A2"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68,794</w:t>
            </w:r>
          </w:p>
        </w:tc>
        <w:tc>
          <w:tcPr>
            <w:tcW w:w="1138" w:type="dxa"/>
            <w:tcBorders>
              <w:top w:val="single" w:sz="4" w:space="0" w:color="438EF1" w:themeColor="text2" w:themeTint="99"/>
            </w:tcBorders>
            <w:noWrap/>
            <w:vAlign w:val="bottom"/>
            <w:hideMark/>
          </w:tcPr>
          <w:p w14:paraId="71755193" w14:textId="29A7928A"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68,325</w:t>
            </w:r>
          </w:p>
        </w:tc>
        <w:tc>
          <w:tcPr>
            <w:tcW w:w="1138" w:type="dxa"/>
            <w:tcBorders>
              <w:top w:val="single" w:sz="4" w:space="0" w:color="438EF1" w:themeColor="text2" w:themeTint="99"/>
            </w:tcBorders>
            <w:noWrap/>
            <w:vAlign w:val="bottom"/>
            <w:hideMark/>
          </w:tcPr>
          <w:p w14:paraId="3CC764B8" w14:textId="49B76FC6" w:rsidR="00D64690" w:rsidRPr="00167A1B" w:rsidRDefault="00D64690" w:rsidP="001E4FCA">
            <w:pPr>
              <w:spacing w:after="0"/>
              <w:jc w:val="right"/>
              <w:rPr>
                <w:rFonts w:ascii="Trebuchet MS" w:hAnsi="Trebuchet MS"/>
                <w:b/>
                <w:sz w:val="16"/>
                <w:szCs w:val="16"/>
              </w:rPr>
            </w:pPr>
            <w:r w:rsidRPr="00167A1B">
              <w:rPr>
                <w:rFonts w:ascii="Trebuchet MS" w:hAnsi="Trebuchet MS"/>
                <w:b/>
                <w:bCs/>
                <w:sz w:val="16"/>
                <w:szCs w:val="16"/>
              </w:rPr>
              <w:t>68,005</w:t>
            </w:r>
          </w:p>
        </w:tc>
      </w:tr>
      <w:tr w:rsidR="00D64690" w:rsidRPr="00167A1B" w14:paraId="3248377C" w14:textId="77777777" w:rsidTr="00B70444">
        <w:trPr>
          <w:trHeight w:val="288"/>
        </w:trPr>
        <w:tc>
          <w:tcPr>
            <w:tcW w:w="1173" w:type="dxa"/>
            <w:vMerge/>
            <w:noWrap/>
            <w:vAlign w:val="center"/>
            <w:hideMark/>
          </w:tcPr>
          <w:p w14:paraId="6C009988" w14:textId="6D3CE47F" w:rsidR="00D64690" w:rsidRPr="00167A1B" w:rsidRDefault="00D64690" w:rsidP="001E4FCA">
            <w:pPr>
              <w:spacing w:after="0"/>
              <w:jc w:val="left"/>
              <w:rPr>
                <w:rFonts w:ascii="Trebuchet MS" w:hAnsi="Trebuchet MS"/>
                <w:sz w:val="16"/>
                <w:szCs w:val="16"/>
              </w:rPr>
            </w:pPr>
          </w:p>
        </w:tc>
        <w:tc>
          <w:tcPr>
            <w:tcW w:w="1510" w:type="dxa"/>
            <w:noWrap/>
            <w:vAlign w:val="center"/>
            <w:hideMark/>
          </w:tcPr>
          <w:p w14:paraId="6E0ED437"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49F02BB4" w14:textId="6B590C73"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1DC97D9F" w14:textId="677DA624"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-40</w:t>
            </w:r>
          </w:p>
        </w:tc>
        <w:tc>
          <w:tcPr>
            <w:tcW w:w="1092" w:type="dxa"/>
            <w:noWrap/>
            <w:vAlign w:val="bottom"/>
            <w:hideMark/>
          </w:tcPr>
          <w:p w14:paraId="55E4FF72" w14:textId="06F77100"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9C0006"/>
                <w:sz w:val="16"/>
                <w:szCs w:val="16"/>
              </w:rPr>
              <w:t>474</w:t>
            </w:r>
          </w:p>
        </w:tc>
        <w:tc>
          <w:tcPr>
            <w:tcW w:w="1083" w:type="dxa"/>
            <w:noWrap/>
            <w:vAlign w:val="bottom"/>
            <w:hideMark/>
          </w:tcPr>
          <w:p w14:paraId="4D28AB94" w14:textId="48F4239E"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006100"/>
                <w:sz w:val="16"/>
                <w:szCs w:val="16"/>
              </w:rPr>
              <w:t>-1,891</w:t>
            </w:r>
          </w:p>
        </w:tc>
        <w:tc>
          <w:tcPr>
            <w:tcW w:w="1138" w:type="dxa"/>
            <w:noWrap/>
            <w:vAlign w:val="bottom"/>
            <w:hideMark/>
          </w:tcPr>
          <w:p w14:paraId="2C4B2D93" w14:textId="083E8111"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-2,359</w:t>
            </w:r>
          </w:p>
        </w:tc>
        <w:tc>
          <w:tcPr>
            <w:tcW w:w="1138" w:type="dxa"/>
            <w:noWrap/>
            <w:vAlign w:val="bottom"/>
            <w:hideMark/>
          </w:tcPr>
          <w:p w14:paraId="5B202DF4" w14:textId="0EECF4C4"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-2,680</w:t>
            </w:r>
          </w:p>
        </w:tc>
      </w:tr>
      <w:tr w:rsidR="00D64690" w:rsidRPr="00167A1B" w14:paraId="5F258097" w14:textId="77777777" w:rsidTr="00B70444">
        <w:trPr>
          <w:trHeight w:val="304"/>
        </w:trPr>
        <w:tc>
          <w:tcPr>
            <w:tcW w:w="1173" w:type="dxa"/>
            <w:vMerge/>
            <w:noWrap/>
            <w:vAlign w:val="center"/>
            <w:hideMark/>
          </w:tcPr>
          <w:p w14:paraId="17856DA3" w14:textId="7267FF09" w:rsidR="00D64690" w:rsidRPr="00167A1B" w:rsidRDefault="00D64690" w:rsidP="001E4FCA">
            <w:pPr>
              <w:spacing w:after="0"/>
              <w:jc w:val="left"/>
              <w:rPr>
                <w:rFonts w:ascii="Trebuchet MS" w:hAnsi="Trebuchet MS"/>
                <w:sz w:val="16"/>
                <w:szCs w:val="16"/>
              </w:rPr>
            </w:pPr>
          </w:p>
        </w:tc>
        <w:tc>
          <w:tcPr>
            <w:tcW w:w="1510" w:type="dxa"/>
            <w:noWrap/>
            <w:vAlign w:val="center"/>
            <w:hideMark/>
          </w:tcPr>
          <w:p w14:paraId="74CBB4AB"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Annual average</w:t>
            </w:r>
          </w:p>
        </w:tc>
        <w:tc>
          <w:tcPr>
            <w:tcW w:w="880" w:type="dxa"/>
            <w:noWrap/>
            <w:vAlign w:val="bottom"/>
            <w:hideMark/>
          </w:tcPr>
          <w:p w14:paraId="45DEF5A3" w14:textId="6FEB791C"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10,098</w:t>
            </w:r>
          </w:p>
        </w:tc>
        <w:tc>
          <w:tcPr>
            <w:tcW w:w="1086" w:type="dxa"/>
            <w:noWrap/>
            <w:vAlign w:val="bottom"/>
            <w:hideMark/>
          </w:tcPr>
          <w:p w14:paraId="15824F40" w14:textId="78E9EE7D"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10,092</w:t>
            </w:r>
          </w:p>
        </w:tc>
        <w:tc>
          <w:tcPr>
            <w:tcW w:w="1092" w:type="dxa"/>
            <w:noWrap/>
            <w:vAlign w:val="bottom"/>
            <w:hideMark/>
          </w:tcPr>
          <w:p w14:paraId="43270658" w14:textId="61B54705"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10,166</w:t>
            </w:r>
          </w:p>
        </w:tc>
        <w:tc>
          <w:tcPr>
            <w:tcW w:w="1083" w:type="dxa"/>
            <w:noWrap/>
            <w:vAlign w:val="bottom"/>
            <w:hideMark/>
          </w:tcPr>
          <w:p w14:paraId="4B2B2B5F" w14:textId="7B60DD9F"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9,828</w:t>
            </w:r>
          </w:p>
        </w:tc>
        <w:tc>
          <w:tcPr>
            <w:tcW w:w="1138" w:type="dxa"/>
            <w:noWrap/>
            <w:vAlign w:val="bottom"/>
            <w:hideMark/>
          </w:tcPr>
          <w:p w14:paraId="522BA757" w14:textId="311B9B03"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9,761</w:t>
            </w:r>
          </w:p>
        </w:tc>
        <w:tc>
          <w:tcPr>
            <w:tcW w:w="1138" w:type="dxa"/>
            <w:noWrap/>
            <w:vAlign w:val="bottom"/>
            <w:hideMark/>
          </w:tcPr>
          <w:p w14:paraId="6FBF878C" w14:textId="7B32849B"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9,715</w:t>
            </w:r>
          </w:p>
        </w:tc>
      </w:tr>
      <w:tr w:rsidR="00D64690" w:rsidRPr="00167A1B" w14:paraId="2B95B90D" w14:textId="77777777" w:rsidTr="00B70444">
        <w:trPr>
          <w:trHeight w:val="273"/>
        </w:trPr>
        <w:tc>
          <w:tcPr>
            <w:tcW w:w="1173" w:type="dxa"/>
            <w:vMerge/>
            <w:noWrap/>
            <w:vAlign w:val="center"/>
            <w:hideMark/>
          </w:tcPr>
          <w:p w14:paraId="3CC300EA" w14:textId="13FC7D64" w:rsidR="00D64690" w:rsidRPr="00167A1B" w:rsidRDefault="00D64690" w:rsidP="001E4FCA">
            <w:pPr>
              <w:spacing w:after="0"/>
              <w:jc w:val="left"/>
              <w:rPr>
                <w:rFonts w:ascii="Trebuchet MS" w:hAnsi="Trebuchet MS"/>
                <w:sz w:val="16"/>
                <w:szCs w:val="16"/>
              </w:rPr>
            </w:pPr>
          </w:p>
        </w:tc>
        <w:tc>
          <w:tcPr>
            <w:tcW w:w="1510" w:type="dxa"/>
            <w:noWrap/>
            <w:vAlign w:val="center"/>
            <w:hideMark/>
          </w:tcPr>
          <w:p w14:paraId="2006E59B"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43A3218F" w14:textId="77777777"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644B31E8" w14:textId="77777777"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9C0006"/>
                <w:sz w:val="16"/>
                <w:szCs w:val="16"/>
              </w:rPr>
              <w:t>172</w:t>
            </w:r>
          </w:p>
        </w:tc>
        <w:tc>
          <w:tcPr>
            <w:tcW w:w="1092" w:type="dxa"/>
            <w:noWrap/>
            <w:vAlign w:val="bottom"/>
            <w:hideMark/>
          </w:tcPr>
          <w:p w14:paraId="33C66BA5" w14:textId="77777777"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9C0006"/>
                <w:sz w:val="16"/>
                <w:szCs w:val="16"/>
              </w:rPr>
              <w:t>4</w:t>
            </w:r>
          </w:p>
        </w:tc>
        <w:tc>
          <w:tcPr>
            <w:tcW w:w="1083" w:type="dxa"/>
            <w:noWrap/>
            <w:vAlign w:val="bottom"/>
            <w:hideMark/>
          </w:tcPr>
          <w:p w14:paraId="5E1C7507" w14:textId="77777777"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9C0006"/>
                <w:sz w:val="16"/>
                <w:szCs w:val="16"/>
              </w:rPr>
              <w:t>78</w:t>
            </w:r>
          </w:p>
        </w:tc>
        <w:tc>
          <w:tcPr>
            <w:tcW w:w="1138" w:type="dxa"/>
            <w:noWrap/>
            <w:vAlign w:val="bottom"/>
            <w:hideMark/>
          </w:tcPr>
          <w:p w14:paraId="04C27074" w14:textId="77777777"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-388</w:t>
            </w:r>
          </w:p>
        </w:tc>
        <w:tc>
          <w:tcPr>
            <w:tcW w:w="1138" w:type="dxa"/>
            <w:noWrap/>
            <w:vAlign w:val="bottom"/>
            <w:hideMark/>
          </w:tcPr>
          <w:p w14:paraId="3260BCA0" w14:textId="77777777"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-1,778</w:t>
            </w:r>
          </w:p>
        </w:tc>
      </w:tr>
      <w:tr w:rsidR="00D64690" w:rsidRPr="00167A1B" w14:paraId="415E8077" w14:textId="77777777" w:rsidTr="00B70444">
        <w:trPr>
          <w:trHeight w:val="273"/>
        </w:trPr>
        <w:tc>
          <w:tcPr>
            <w:tcW w:w="1173" w:type="dxa"/>
            <w:vMerge/>
            <w:noWrap/>
            <w:vAlign w:val="center"/>
            <w:hideMark/>
          </w:tcPr>
          <w:p w14:paraId="29E8EF5B" w14:textId="6EDF945B" w:rsidR="00D64690" w:rsidRPr="00167A1B" w:rsidRDefault="00D64690" w:rsidP="001E4FCA">
            <w:pPr>
              <w:spacing w:after="0"/>
              <w:jc w:val="left"/>
              <w:rPr>
                <w:rFonts w:ascii="Trebuchet MS" w:hAnsi="Trebuchet MS"/>
                <w:sz w:val="16"/>
                <w:szCs w:val="16"/>
              </w:rPr>
            </w:pPr>
          </w:p>
        </w:tc>
        <w:tc>
          <w:tcPr>
            <w:tcW w:w="1510" w:type="dxa"/>
            <w:noWrap/>
            <w:vAlign w:val="center"/>
            <w:hideMark/>
          </w:tcPr>
          <w:p w14:paraId="68334269" w14:textId="77777777" w:rsidR="00D64690" w:rsidRPr="00167A1B" w:rsidRDefault="00D64690" w:rsidP="001E4FCA">
            <w:pPr>
              <w:spacing w:after="0"/>
              <w:jc w:val="left"/>
              <w:rPr>
                <w:rFonts w:ascii="Trebuchet MS" w:hAnsi="Trebuchet MS"/>
                <w:sz w:val="16"/>
                <w:szCs w:val="16"/>
              </w:rPr>
            </w:pPr>
            <w:r w:rsidRPr="00167A1B">
              <w:rPr>
                <w:rFonts w:ascii="Trebuchet MS" w:hAnsi="Trebuchet MS"/>
                <w:sz w:val="16"/>
                <w:szCs w:val="16"/>
              </w:rPr>
              <w:t>As %</w:t>
            </w:r>
          </w:p>
        </w:tc>
        <w:tc>
          <w:tcPr>
            <w:tcW w:w="880" w:type="dxa"/>
            <w:noWrap/>
            <w:vAlign w:val="bottom"/>
            <w:hideMark/>
          </w:tcPr>
          <w:p w14:paraId="11879382" w14:textId="77777777" w:rsidR="00D64690" w:rsidRPr="00167A1B" w:rsidRDefault="00D64690" w:rsidP="001E4FCA">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1932A225" w14:textId="77777777"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9C0006"/>
                <w:sz w:val="16"/>
                <w:szCs w:val="16"/>
              </w:rPr>
              <w:t>1.5%</w:t>
            </w:r>
          </w:p>
        </w:tc>
        <w:tc>
          <w:tcPr>
            <w:tcW w:w="1092" w:type="dxa"/>
            <w:noWrap/>
            <w:vAlign w:val="bottom"/>
            <w:hideMark/>
          </w:tcPr>
          <w:p w14:paraId="46831698" w14:textId="77777777"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9C0006"/>
                <w:sz w:val="16"/>
                <w:szCs w:val="16"/>
              </w:rPr>
              <w:t>0.0%</w:t>
            </w:r>
          </w:p>
        </w:tc>
        <w:tc>
          <w:tcPr>
            <w:tcW w:w="1083" w:type="dxa"/>
            <w:noWrap/>
            <w:vAlign w:val="bottom"/>
            <w:hideMark/>
          </w:tcPr>
          <w:p w14:paraId="2E06A50E" w14:textId="77777777" w:rsidR="00D64690" w:rsidRPr="00167A1B" w:rsidRDefault="00D64690" w:rsidP="001E4FCA">
            <w:pPr>
              <w:spacing w:after="0"/>
              <w:jc w:val="right"/>
              <w:rPr>
                <w:rFonts w:ascii="Trebuchet MS" w:hAnsi="Trebuchet MS"/>
                <w:color w:val="9C0006"/>
                <w:sz w:val="16"/>
                <w:szCs w:val="16"/>
              </w:rPr>
            </w:pPr>
            <w:r w:rsidRPr="00167A1B">
              <w:rPr>
                <w:rFonts w:ascii="Trebuchet MS" w:hAnsi="Trebuchet MS"/>
                <w:color w:val="9C0006"/>
                <w:sz w:val="16"/>
                <w:szCs w:val="16"/>
              </w:rPr>
              <w:t>0.7%</w:t>
            </w:r>
          </w:p>
        </w:tc>
        <w:tc>
          <w:tcPr>
            <w:tcW w:w="1138" w:type="dxa"/>
            <w:noWrap/>
            <w:vAlign w:val="bottom"/>
            <w:hideMark/>
          </w:tcPr>
          <w:p w14:paraId="4FF6C9C6" w14:textId="77777777"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-3.3%</w:t>
            </w:r>
          </w:p>
        </w:tc>
        <w:tc>
          <w:tcPr>
            <w:tcW w:w="1138" w:type="dxa"/>
            <w:noWrap/>
            <w:vAlign w:val="bottom"/>
            <w:hideMark/>
          </w:tcPr>
          <w:p w14:paraId="49A799E7" w14:textId="77777777" w:rsidR="00D64690" w:rsidRPr="00167A1B" w:rsidRDefault="00D64690" w:rsidP="001E4FCA">
            <w:pPr>
              <w:spacing w:after="0"/>
              <w:jc w:val="right"/>
              <w:rPr>
                <w:rFonts w:ascii="Trebuchet MS" w:hAnsi="Trebuchet MS"/>
                <w:color w:val="006100"/>
                <w:sz w:val="16"/>
                <w:szCs w:val="16"/>
              </w:rPr>
            </w:pPr>
            <w:r w:rsidRPr="00167A1B">
              <w:rPr>
                <w:rFonts w:ascii="Trebuchet MS" w:hAnsi="Trebuchet MS"/>
                <w:color w:val="006100"/>
                <w:sz w:val="16"/>
                <w:szCs w:val="16"/>
              </w:rPr>
              <w:t>-15.0%</w:t>
            </w:r>
          </w:p>
        </w:tc>
      </w:tr>
    </w:tbl>
    <w:p w14:paraId="61732268" w14:textId="18A66FD3" w:rsidR="001E4FCA" w:rsidRPr="00167A1B" w:rsidRDefault="009A41DA" w:rsidP="00157B22">
      <w:pPr>
        <w:spacing w:before="120"/>
        <w:jc w:val="center"/>
        <w:rPr>
          <w:rFonts w:asciiTheme="minorHAnsi" w:hAnsiTheme="minorHAnsi" w:cstheme="minorHAnsi"/>
        </w:rPr>
      </w:pPr>
      <w:r w:rsidRPr="00167A1B">
        <w:rPr>
          <w:rFonts w:asciiTheme="minorHAnsi" w:hAnsiTheme="minorHAnsi" w:cstheme="minorHAnsi"/>
          <w:b/>
          <w:sz w:val="18"/>
          <w:szCs w:val="18"/>
        </w:rPr>
        <w:t>Source:</w:t>
      </w:r>
      <w:r w:rsidRPr="00167A1B">
        <w:rPr>
          <w:rFonts w:asciiTheme="minorHAnsi" w:hAnsiTheme="minorHAnsi" w:cstheme="minorHAnsi"/>
          <w:sz w:val="18"/>
          <w:szCs w:val="18"/>
        </w:rPr>
        <w:t xml:space="preserve">  Own TRI-STOCK-CHARGER model calculations.</w:t>
      </w:r>
    </w:p>
    <w:p w14:paraId="367354FC" w14:textId="77777777" w:rsidR="00D64690" w:rsidRPr="00167A1B" w:rsidRDefault="00D64690">
      <w:pPr>
        <w:spacing w:after="0"/>
        <w:jc w:val="left"/>
        <w:rPr>
          <w:rFonts w:ascii="Arial" w:hAnsi="Arial"/>
          <w:sz w:val="22"/>
        </w:rPr>
      </w:pPr>
      <w:r w:rsidRPr="00167A1B">
        <w:br w:type="page"/>
      </w:r>
    </w:p>
    <w:p w14:paraId="515B0D05" w14:textId="4AED9ED4" w:rsidR="00953106" w:rsidRPr="00167A1B" w:rsidRDefault="00953106" w:rsidP="00953106">
      <w:pPr>
        <w:pStyle w:val="BodyText1"/>
        <w:rPr>
          <w:noProof w:val="0"/>
        </w:rPr>
      </w:pPr>
      <w:r w:rsidRPr="00167A1B">
        <w:rPr>
          <w:noProof w:val="0"/>
        </w:rPr>
        <w:lastRenderedPageBreak/>
        <w:t>As for the economic impacts (Table 30), the savings for consumers would be most significant under Packages 1 and 2 (which do not entail mandatory unbundling). In Packages 3, 4 and 5, the combination with options 1 and 2 is also estimated to offset the additional costs for consumers that would result from option 4.</w:t>
      </w:r>
      <w:proofErr w:type="spellStart"/>
      <w:r w:rsidRPr="00167A1B">
        <w:rPr>
          <w:noProof w:val="0"/>
        </w:rPr>
        <w:t>a</w:t>
      </w:r>
      <w:proofErr w:type="spellEnd"/>
      <w:r w:rsidRPr="00167A1B">
        <w:rPr>
          <w:noProof w:val="0"/>
        </w:rPr>
        <w:t xml:space="preserve"> in isolation, by reducing the need for consumers to purchase standalone chargers. As a result, </w:t>
      </w:r>
      <w:r w:rsidR="005426BB" w:rsidRPr="00167A1B">
        <w:rPr>
          <w:noProof w:val="0"/>
        </w:rPr>
        <w:t xml:space="preserve">Package 4 would be neutral as regards the cost to consumers, while </w:t>
      </w:r>
      <w:r w:rsidRPr="00167A1B">
        <w:rPr>
          <w:noProof w:val="0"/>
        </w:rPr>
        <w:t xml:space="preserve">Package 5 would result in minor savings for consumers, as well as additional benefits for distributors and retailers of chargers, at the expense of charger manufacturers and wholesalers, who would see their benefits significantly reduced. </w:t>
      </w:r>
    </w:p>
    <w:p w14:paraId="2C1C3647" w14:textId="77777777" w:rsidR="00953106" w:rsidRPr="00167A1B" w:rsidRDefault="00953106" w:rsidP="001E4FCA"/>
    <w:p w14:paraId="18FBCD12" w14:textId="1A761189" w:rsidR="001E4FCA" w:rsidRPr="00167A1B" w:rsidRDefault="001E4FCA" w:rsidP="001E4FCA">
      <w:pPr>
        <w:pStyle w:val="Caption"/>
      </w:pPr>
      <w:r w:rsidRPr="00167A1B">
        <w:t xml:space="preserve">Table </w:t>
      </w:r>
      <w:r w:rsidRPr="00167A1B">
        <w:fldChar w:fldCharType="begin"/>
      </w:r>
      <w:r w:rsidRPr="00167A1B">
        <w:instrText xml:space="preserve"> SEQ Table \* ARABIC </w:instrText>
      </w:r>
      <w:r w:rsidRPr="00167A1B">
        <w:fldChar w:fldCharType="separate"/>
      </w:r>
      <w:r w:rsidR="00953106" w:rsidRPr="00167A1B">
        <w:t>30</w:t>
      </w:r>
      <w:r w:rsidRPr="00167A1B">
        <w:fldChar w:fldCharType="end"/>
      </w:r>
      <w:r w:rsidRPr="00167A1B">
        <w:t>. Quantitative economic impacts of the packages for mobile phones</w:t>
      </w:r>
    </w:p>
    <w:tbl>
      <w:tblPr>
        <w:tblStyle w:val="TableGrid"/>
        <w:tblW w:w="9078" w:type="dxa"/>
        <w:tblCellMar>
          <w:left w:w="57" w:type="dxa"/>
          <w:right w:w="57" w:type="dxa"/>
        </w:tblCellMar>
        <w:tblLook w:val="04A0" w:firstRow="1" w:lastRow="0" w:firstColumn="1" w:lastColumn="0" w:noHBand="0" w:noVBand="1"/>
      </w:tblPr>
      <w:tblGrid>
        <w:gridCol w:w="1266"/>
        <w:gridCol w:w="1091"/>
        <w:gridCol w:w="1353"/>
        <w:gridCol w:w="1361"/>
        <w:gridCol w:w="1279"/>
        <w:gridCol w:w="1364"/>
        <w:gridCol w:w="1347"/>
        <w:gridCol w:w="17"/>
      </w:tblGrid>
      <w:tr w:rsidR="001E4FCA" w:rsidRPr="00167A1B" w14:paraId="1A59ED2F" w14:textId="77777777" w:rsidTr="004222CE">
        <w:trPr>
          <w:cnfStyle w:val="100000000000" w:firstRow="1" w:lastRow="0" w:firstColumn="0" w:lastColumn="0" w:oddVBand="0" w:evenVBand="0" w:oddHBand="0" w:evenHBand="0" w:firstRowFirstColumn="0" w:firstRowLastColumn="0" w:lastRowFirstColumn="0" w:lastRowLastColumn="0"/>
          <w:trHeight w:val="272"/>
          <w:tblHeader/>
        </w:trPr>
        <w:tc>
          <w:tcPr>
            <w:tcW w:w="1266" w:type="dxa"/>
            <w:noWrap/>
            <w:hideMark/>
          </w:tcPr>
          <w:p w14:paraId="0EF6E47D" w14:textId="77777777" w:rsidR="001E4FCA" w:rsidRPr="00167A1B" w:rsidRDefault="001E4FCA" w:rsidP="001E4FCA">
            <w:pPr>
              <w:spacing w:after="0"/>
              <w:jc w:val="left"/>
              <w:rPr>
                <w:rFonts w:ascii="Arial" w:hAnsi="Arial" w:cs="Arial"/>
                <w:sz w:val="16"/>
                <w:szCs w:val="16"/>
                <w:lang w:eastAsia="en-GB"/>
              </w:rPr>
            </w:pPr>
            <w:r w:rsidRPr="00167A1B">
              <w:rPr>
                <w:rFonts w:ascii="Arial" w:hAnsi="Arial" w:cs="Arial"/>
                <w:sz w:val="16"/>
                <w:szCs w:val="16"/>
                <w:lang w:eastAsia="en-GB"/>
              </w:rPr>
              <w:t> </w:t>
            </w:r>
          </w:p>
        </w:tc>
        <w:tc>
          <w:tcPr>
            <w:tcW w:w="1091" w:type="dxa"/>
            <w:vAlign w:val="center"/>
            <w:hideMark/>
          </w:tcPr>
          <w:p w14:paraId="30A844AF" w14:textId="77777777" w:rsidR="001E4FCA" w:rsidRPr="00167A1B" w:rsidRDefault="001E4FCA" w:rsidP="004222CE">
            <w:pPr>
              <w:spacing w:after="0"/>
              <w:jc w:val="left"/>
              <w:rPr>
                <w:rFonts w:ascii="Trebuchet MS" w:hAnsi="Trebuchet MS"/>
                <w:b/>
                <w:bCs/>
                <w:sz w:val="16"/>
                <w:szCs w:val="16"/>
                <w:lang w:eastAsia="en-GB"/>
              </w:rPr>
            </w:pPr>
            <w:r w:rsidRPr="00167A1B">
              <w:rPr>
                <w:rFonts w:ascii="Trebuchet MS" w:hAnsi="Trebuchet MS"/>
                <w:b/>
                <w:bCs/>
                <w:sz w:val="16"/>
                <w:szCs w:val="16"/>
                <w:lang w:eastAsia="en-GB"/>
              </w:rPr>
              <w:t>Baseline</w:t>
            </w:r>
          </w:p>
        </w:tc>
        <w:tc>
          <w:tcPr>
            <w:tcW w:w="0" w:type="auto"/>
            <w:vAlign w:val="center"/>
            <w:hideMark/>
          </w:tcPr>
          <w:p w14:paraId="425FCD08" w14:textId="5BB94886" w:rsidR="001E4FCA" w:rsidRPr="00167A1B" w:rsidRDefault="001E4FCA" w:rsidP="004222CE">
            <w:pPr>
              <w:spacing w:after="0"/>
              <w:jc w:val="left"/>
              <w:rPr>
                <w:rFonts w:ascii="Trebuchet MS" w:hAnsi="Trebuchet MS"/>
                <w:b/>
                <w:bCs/>
                <w:sz w:val="16"/>
                <w:szCs w:val="16"/>
                <w:lang w:eastAsia="en-GB"/>
              </w:rPr>
            </w:pPr>
            <w:r w:rsidRPr="00167A1B">
              <w:rPr>
                <w:rFonts w:ascii="Trebuchet MS" w:hAnsi="Trebuchet MS"/>
                <w:b/>
                <w:bCs/>
                <w:sz w:val="16"/>
                <w:szCs w:val="16"/>
              </w:rPr>
              <w:t>Package 1</w:t>
            </w:r>
          </w:p>
        </w:tc>
        <w:tc>
          <w:tcPr>
            <w:tcW w:w="0" w:type="auto"/>
            <w:vAlign w:val="center"/>
            <w:hideMark/>
          </w:tcPr>
          <w:p w14:paraId="7049957A" w14:textId="623D44C5" w:rsidR="001E4FCA" w:rsidRPr="00167A1B" w:rsidRDefault="001E4FCA" w:rsidP="004222CE">
            <w:pPr>
              <w:spacing w:after="0"/>
              <w:jc w:val="left"/>
              <w:rPr>
                <w:rFonts w:ascii="Trebuchet MS" w:hAnsi="Trebuchet MS"/>
                <w:b/>
                <w:bCs/>
                <w:sz w:val="16"/>
                <w:szCs w:val="16"/>
                <w:lang w:eastAsia="en-GB"/>
              </w:rPr>
            </w:pPr>
            <w:r w:rsidRPr="00167A1B">
              <w:rPr>
                <w:rFonts w:ascii="Trebuchet MS" w:hAnsi="Trebuchet MS"/>
                <w:b/>
                <w:bCs/>
                <w:sz w:val="16"/>
                <w:szCs w:val="16"/>
              </w:rPr>
              <w:t>Package 2</w:t>
            </w:r>
          </w:p>
        </w:tc>
        <w:tc>
          <w:tcPr>
            <w:tcW w:w="1279" w:type="dxa"/>
            <w:vAlign w:val="center"/>
            <w:hideMark/>
          </w:tcPr>
          <w:p w14:paraId="51F866E6" w14:textId="5D288B9B" w:rsidR="001E4FCA" w:rsidRPr="00167A1B" w:rsidRDefault="001E4FCA" w:rsidP="004222CE">
            <w:pPr>
              <w:spacing w:after="0"/>
              <w:jc w:val="left"/>
              <w:rPr>
                <w:rFonts w:ascii="Trebuchet MS" w:hAnsi="Trebuchet MS"/>
                <w:b/>
                <w:bCs/>
                <w:sz w:val="16"/>
                <w:szCs w:val="16"/>
                <w:lang w:eastAsia="en-GB"/>
              </w:rPr>
            </w:pPr>
            <w:r w:rsidRPr="00167A1B">
              <w:rPr>
                <w:rFonts w:ascii="Trebuchet MS" w:hAnsi="Trebuchet MS"/>
                <w:b/>
                <w:bCs/>
                <w:sz w:val="16"/>
                <w:szCs w:val="16"/>
              </w:rPr>
              <w:t>Package 3</w:t>
            </w:r>
          </w:p>
        </w:tc>
        <w:tc>
          <w:tcPr>
            <w:tcW w:w="1364" w:type="dxa"/>
            <w:vAlign w:val="center"/>
            <w:hideMark/>
          </w:tcPr>
          <w:p w14:paraId="41906FE1" w14:textId="75C980DE" w:rsidR="001E4FCA" w:rsidRPr="00167A1B" w:rsidRDefault="001E4FCA" w:rsidP="004222CE">
            <w:pPr>
              <w:spacing w:after="0"/>
              <w:jc w:val="left"/>
              <w:rPr>
                <w:rFonts w:ascii="Trebuchet MS" w:hAnsi="Trebuchet MS"/>
                <w:b/>
                <w:bCs/>
                <w:sz w:val="16"/>
                <w:szCs w:val="16"/>
                <w:lang w:eastAsia="en-GB"/>
              </w:rPr>
            </w:pPr>
            <w:r w:rsidRPr="00167A1B">
              <w:rPr>
                <w:rFonts w:ascii="Trebuchet MS" w:hAnsi="Trebuchet MS"/>
                <w:b/>
                <w:bCs/>
                <w:sz w:val="16"/>
                <w:szCs w:val="16"/>
              </w:rPr>
              <w:t>Package 4</w:t>
            </w:r>
          </w:p>
        </w:tc>
        <w:tc>
          <w:tcPr>
            <w:tcW w:w="1364" w:type="dxa"/>
            <w:gridSpan w:val="2"/>
            <w:vAlign w:val="center"/>
            <w:hideMark/>
          </w:tcPr>
          <w:p w14:paraId="5D20DAE9" w14:textId="1BBA1965" w:rsidR="001E4FCA" w:rsidRPr="00167A1B" w:rsidRDefault="001E4FCA" w:rsidP="004222CE">
            <w:pPr>
              <w:spacing w:after="0"/>
              <w:jc w:val="left"/>
              <w:rPr>
                <w:rFonts w:ascii="Trebuchet MS" w:hAnsi="Trebuchet MS"/>
                <w:b/>
                <w:bCs/>
                <w:sz w:val="16"/>
                <w:szCs w:val="16"/>
                <w:lang w:eastAsia="en-GB"/>
              </w:rPr>
            </w:pPr>
            <w:r w:rsidRPr="00167A1B">
              <w:rPr>
                <w:rFonts w:ascii="Trebuchet MS" w:hAnsi="Trebuchet MS"/>
                <w:b/>
                <w:bCs/>
                <w:sz w:val="16"/>
                <w:szCs w:val="16"/>
              </w:rPr>
              <w:t>Package 5</w:t>
            </w:r>
          </w:p>
        </w:tc>
      </w:tr>
      <w:tr w:rsidR="001E4FCA" w:rsidRPr="00167A1B" w14:paraId="732B5ED0" w14:textId="77777777" w:rsidTr="004222CE">
        <w:trPr>
          <w:trHeight w:val="272"/>
        </w:trPr>
        <w:tc>
          <w:tcPr>
            <w:tcW w:w="1266" w:type="dxa"/>
            <w:noWrap/>
          </w:tcPr>
          <w:p w14:paraId="06ECE856" w14:textId="77777777" w:rsidR="001E4FCA" w:rsidRPr="00167A1B" w:rsidRDefault="001E4FCA" w:rsidP="001E4FCA">
            <w:pPr>
              <w:spacing w:after="0"/>
              <w:jc w:val="left"/>
              <w:rPr>
                <w:rFonts w:ascii="Arial" w:hAnsi="Arial" w:cs="Arial"/>
                <w:sz w:val="16"/>
                <w:szCs w:val="16"/>
                <w:lang w:eastAsia="en-GB"/>
              </w:rPr>
            </w:pPr>
          </w:p>
        </w:tc>
        <w:tc>
          <w:tcPr>
            <w:tcW w:w="1091" w:type="dxa"/>
          </w:tcPr>
          <w:p w14:paraId="4999F0ED" w14:textId="77777777" w:rsidR="001E4FCA" w:rsidRPr="00167A1B" w:rsidRDefault="001E4FCA" w:rsidP="001E4FCA">
            <w:pPr>
              <w:spacing w:after="0"/>
              <w:jc w:val="left"/>
              <w:rPr>
                <w:rFonts w:ascii="Trebuchet MS" w:hAnsi="Trebuchet MS"/>
                <w:b/>
                <w:bCs/>
                <w:sz w:val="16"/>
                <w:szCs w:val="16"/>
                <w:lang w:eastAsia="en-GB"/>
              </w:rPr>
            </w:pPr>
          </w:p>
        </w:tc>
        <w:tc>
          <w:tcPr>
            <w:tcW w:w="0" w:type="auto"/>
            <w:tcBorders>
              <w:top w:val="single" w:sz="4" w:space="0" w:color="FFFFFF"/>
              <w:left w:val="single" w:sz="4" w:space="0" w:color="FFFFFF"/>
              <w:bottom w:val="single" w:sz="4" w:space="0" w:color="438EF1" w:themeColor="text2" w:themeTint="99"/>
              <w:right w:val="single" w:sz="4" w:space="0" w:color="FFFFFF"/>
            </w:tcBorders>
            <w:vAlign w:val="bottom"/>
          </w:tcPr>
          <w:p w14:paraId="31BC8B17" w14:textId="68E24722" w:rsidR="001E4FCA" w:rsidRPr="00167A1B" w:rsidRDefault="001E4FCA" w:rsidP="001E4FCA">
            <w:pPr>
              <w:spacing w:after="0"/>
              <w:jc w:val="left"/>
              <w:rPr>
                <w:rFonts w:ascii="Trebuchet MS" w:hAnsi="Trebuchet MS"/>
                <w:b/>
                <w:bCs/>
                <w:sz w:val="16"/>
                <w:szCs w:val="16"/>
                <w:lang w:eastAsia="en-GB"/>
              </w:rPr>
            </w:pPr>
            <w:r w:rsidRPr="00167A1B">
              <w:rPr>
                <w:rFonts w:ascii="Trebuchet MS" w:hAnsi="Trebuchet MS"/>
                <w:b/>
                <w:bCs/>
                <w:sz w:val="16"/>
                <w:szCs w:val="16"/>
              </w:rPr>
              <w:t>Package combining PO 1 &amp; 2</w:t>
            </w:r>
          </w:p>
        </w:tc>
        <w:tc>
          <w:tcPr>
            <w:tcW w:w="0" w:type="auto"/>
            <w:tcBorders>
              <w:top w:val="single" w:sz="4" w:space="0" w:color="FFFFFF"/>
              <w:left w:val="single" w:sz="4" w:space="0" w:color="FFFFFF"/>
              <w:bottom w:val="single" w:sz="4" w:space="0" w:color="438EF1" w:themeColor="text2" w:themeTint="99"/>
              <w:right w:val="single" w:sz="4" w:space="0" w:color="FFFFFF"/>
            </w:tcBorders>
            <w:vAlign w:val="bottom"/>
          </w:tcPr>
          <w:p w14:paraId="2930C6C7" w14:textId="7E123604" w:rsidR="001E4FCA" w:rsidRPr="00167A1B" w:rsidRDefault="001E4FCA" w:rsidP="001E4FCA">
            <w:pPr>
              <w:spacing w:after="0"/>
              <w:jc w:val="left"/>
              <w:rPr>
                <w:rFonts w:ascii="Trebuchet MS" w:hAnsi="Trebuchet MS"/>
                <w:b/>
                <w:bCs/>
                <w:sz w:val="16"/>
                <w:szCs w:val="16"/>
                <w:lang w:eastAsia="en-GB"/>
              </w:rPr>
            </w:pPr>
            <w:r w:rsidRPr="00167A1B">
              <w:rPr>
                <w:rFonts w:ascii="Trebuchet MS" w:hAnsi="Trebuchet MS"/>
                <w:b/>
                <w:bCs/>
                <w:sz w:val="16"/>
                <w:szCs w:val="16"/>
              </w:rPr>
              <w:t>Package combining PO 1 &amp; 3</w:t>
            </w:r>
          </w:p>
        </w:tc>
        <w:tc>
          <w:tcPr>
            <w:tcW w:w="1279" w:type="dxa"/>
            <w:tcBorders>
              <w:top w:val="single" w:sz="4" w:space="0" w:color="FFFFFF"/>
              <w:left w:val="single" w:sz="4" w:space="0" w:color="FFFFFF"/>
              <w:bottom w:val="single" w:sz="4" w:space="0" w:color="438EF1" w:themeColor="text2" w:themeTint="99"/>
              <w:right w:val="single" w:sz="4" w:space="0" w:color="FFFFFF"/>
            </w:tcBorders>
            <w:vAlign w:val="bottom"/>
          </w:tcPr>
          <w:p w14:paraId="4F467677" w14:textId="2E02223E" w:rsidR="001E4FCA" w:rsidRPr="00167A1B" w:rsidRDefault="001E4FCA" w:rsidP="001E4FCA">
            <w:pPr>
              <w:spacing w:after="0"/>
              <w:jc w:val="left"/>
              <w:rPr>
                <w:rFonts w:ascii="Trebuchet MS" w:hAnsi="Trebuchet MS"/>
                <w:b/>
                <w:bCs/>
                <w:sz w:val="16"/>
                <w:szCs w:val="16"/>
                <w:lang w:eastAsia="en-GB"/>
              </w:rPr>
            </w:pPr>
            <w:r w:rsidRPr="00167A1B">
              <w:rPr>
                <w:rFonts w:ascii="Trebuchet MS" w:hAnsi="Trebuchet MS"/>
                <w:b/>
                <w:bCs/>
                <w:sz w:val="16"/>
                <w:szCs w:val="16"/>
              </w:rPr>
              <w:t>Package combining PO 1 &amp; 4a</w:t>
            </w:r>
          </w:p>
        </w:tc>
        <w:tc>
          <w:tcPr>
            <w:tcW w:w="1364" w:type="dxa"/>
            <w:tcBorders>
              <w:top w:val="single" w:sz="4" w:space="0" w:color="FFFFFF"/>
              <w:left w:val="single" w:sz="4" w:space="0" w:color="FFFFFF"/>
              <w:bottom w:val="single" w:sz="4" w:space="0" w:color="438EF1" w:themeColor="text2" w:themeTint="99"/>
              <w:right w:val="single" w:sz="4" w:space="0" w:color="FFFFFF"/>
            </w:tcBorders>
            <w:vAlign w:val="bottom"/>
          </w:tcPr>
          <w:p w14:paraId="5D3B9995" w14:textId="4A1400AD" w:rsidR="001E4FCA" w:rsidRPr="00167A1B" w:rsidRDefault="001E4FCA" w:rsidP="001E4FCA">
            <w:pPr>
              <w:spacing w:after="0"/>
              <w:jc w:val="left"/>
              <w:rPr>
                <w:rFonts w:ascii="Trebuchet MS" w:hAnsi="Trebuchet MS"/>
                <w:b/>
                <w:bCs/>
                <w:sz w:val="16"/>
                <w:szCs w:val="16"/>
                <w:lang w:eastAsia="en-GB"/>
              </w:rPr>
            </w:pPr>
            <w:r w:rsidRPr="00167A1B">
              <w:rPr>
                <w:rFonts w:ascii="Trebuchet MS" w:hAnsi="Trebuchet MS"/>
                <w:b/>
                <w:bCs/>
                <w:sz w:val="16"/>
                <w:szCs w:val="16"/>
              </w:rPr>
              <w:t>Package combining PO 2 &amp; 4a</w:t>
            </w:r>
          </w:p>
        </w:tc>
        <w:tc>
          <w:tcPr>
            <w:tcW w:w="1364" w:type="dxa"/>
            <w:gridSpan w:val="2"/>
            <w:tcBorders>
              <w:top w:val="single" w:sz="4" w:space="0" w:color="FFFFFF"/>
              <w:left w:val="single" w:sz="4" w:space="0" w:color="FFFFFF"/>
              <w:bottom w:val="single" w:sz="4" w:space="0" w:color="438EF1" w:themeColor="text2" w:themeTint="99"/>
              <w:right w:val="single" w:sz="4" w:space="0" w:color="FFFFFF"/>
            </w:tcBorders>
            <w:vAlign w:val="bottom"/>
          </w:tcPr>
          <w:p w14:paraId="527FC79D" w14:textId="26F643E1" w:rsidR="001E4FCA" w:rsidRPr="00167A1B" w:rsidRDefault="001E4FCA" w:rsidP="001E4FCA">
            <w:pPr>
              <w:spacing w:after="0"/>
              <w:jc w:val="left"/>
              <w:rPr>
                <w:rFonts w:ascii="Trebuchet MS" w:hAnsi="Trebuchet MS"/>
                <w:b/>
                <w:bCs/>
                <w:sz w:val="16"/>
                <w:szCs w:val="16"/>
                <w:lang w:eastAsia="en-GB"/>
              </w:rPr>
            </w:pPr>
            <w:r w:rsidRPr="00167A1B">
              <w:rPr>
                <w:rFonts w:ascii="Trebuchet MS" w:hAnsi="Trebuchet MS"/>
                <w:b/>
                <w:bCs/>
                <w:sz w:val="16"/>
                <w:szCs w:val="16"/>
              </w:rPr>
              <w:t>Package combining PO 1, 2 &amp; 4a</w:t>
            </w:r>
          </w:p>
        </w:tc>
      </w:tr>
      <w:tr w:rsidR="001E4FCA" w:rsidRPr="00167A1B" w14:paraId="74C557BE" w14:textId="77777777" w:rsidTr="00814371">
        <w:trPr>
          <w:gridAfter w:val="1"/>
          <w:wAfter w:w="17" w:type="dxa"/>
          <w:trHeight w:val="270"/>
        </w:trPr>
        <w:tc>
          <w:tcPr>
            <w:tcW w:w="9061" w:type="dxa"/>
            <w:gridSpan w:val="7"/>
            <w:shd w:val="clear" w:color="auto" w:fill="00B0F0"/>
            <w:noWrap/>
          </w:tcPr>
          <w:p w14:paraId="12B64016" w14:textId="77777777" w:rsidR="001E4FCA" w:rsidRPr="00167A1B" w:rsidRDefault="001E4FCA" w:rsidP="001E4FCA">
            <w:pPr>
              <w:spacing w:after="0"/>
              <w:jc w:val="left"/>
              <w:rPr>
                <w:rFonts w:ascii="Trebuchet MS" w:hAnsi="Trebuchet MS"/>
                <w:b/>
                <w:bCs/>
                <w:color w:val="FFFFFF" w:themeColor="background1"/>
                <w:sz w:val="16"/>
                <w:szCs w:val="16"/>
                <w:lang w:eastAsia="en-GB"/>
              </w:rPr>
            </w:pPr>
            <w:r w:rsidRPr="00167A1B">
              <w:rPr>
                <w:rFonts w:ascii="Trebuchet MS" w:hAnsi="Trebuchet MS"/>
                <w:b/>
                <w:bCs/>
                <w:color w:val="FFFFFF" w:themeColor="background1"/>
                <w:sz w:val="16"/>
                <w:szCs w:val="16"/>
                <w:lang w:eastAsia="en-GB"/>
              </w:rPr>
              <w:t>Cost to consumers (NPV million EUR)</w:t>
            </w:r>
          </w:p>
        </w:tc>
      </w:tr>
      <w:tr w:rsidR="001E4FCA" w:rsidRPr="00167A1B" w14:paraId="2ECB113A" w14:textId="77777777" w:rsidTr="004222CE">
        <w:trPr>
          <w:trHeight w:val="272"/>
        </w:trPr>
        <w:tc>
          <w:tcPr>
            <w:tcW w:w="1266" w:type="dxa"/>
            <w:noWrap/>
            <w:hideMark/>
          </w:tcPr>
          <w:p w14:paraId="162B888B" w14:textId="77777777" w:rsidR="001E4FCA" w:rsidRPr="00167A1B" w:rsidRDefault="001E4FCA" w:rsidP="001E4FCA">
            <w:pPr>
              <w:spacing w:after="0"/>
              <w:jc w:val="left"/>
              <w:rPr>
                <w:rFonts w:ascii="Trebuchet MS" w:hAnsi="Trebuchet MS"/>
                <w:sz w:val="16"/>
                <w:szCs w:val="16"/>
                <w:lang w:eastAsia="en-GB"/>
              </w:rPr>
            </w:pPr>
            <w:r w:rsidRPr="00167A1B">
              <w:rPr>
                <w:rFonts w:ascii="Trebuchet MS" w:hAnsi="Trebuchet MS"/>
                <w:sz w:val="16"/>
                <w:szCs w:val="16"/>
                <w:lang w:eastAsia="en-GB"/>
              </w:rPr>
              <w:t>Total 2024-2030</w:t>
            </w:r>
          </w:p>
        </w:tc>
        <w:tc>
          <w:tcPr>
            <w:tcW w:w="1091" w:type="dxa"/>
            <w:noWrap/>
            <w:vAlign w:val="bottom"/>
            <w:hideMark/>
          </w:tcPr>
          <w:p w14:paraId="1F21EFD3" w14:textId="6C777996" w:rsidR="001E4FCA" w:rsidRPr="00167A1B" w:rsidRDefault="001E4FCA" w:rsidP="001E4FCA">
            <w:pPr>
              <w:spacing w:after="0"/>
              <w:jc w:val="right"/>
              <w:rPr>
                <w:rFonts w:ascii="Trebuchet MS" w:hAnsi="Trebuchet MS"/>
                <w:b/>
                <w:bCs/>
                <w:sz w:val="16"/>
                <w:szCs w:val="16"/>
                <w:lang w:eastAsia="en-GB"/>
              </w:rPr>
            </w:pPr>
            <w:r w:rsidRPr="00167A1B">
              <w:rPr>
                <w:rFonts w:ascii="Trebuchet MS" w:hAnsi="Trebuchet MS"/>
                <w:b/>
                <w:bCs/>
                <w:sz w:val="16"/>
                <w:szCs w:val="16"/>
              </w:rPr>
              <w:t>45,982</w:t>
            </w:r>
          </w:p>
        </w:tc>
        <w:tc>
          <w:tcPr>
            <w:tcW w:w="0" w:type="auto"/>
            <w:noWrap/>
            <w:vAlign w:val="bottom"/>
            <w:hideMark/>
          </w:tcPr>
          <w:p w14:paraId="73FA3562" w14:textId="5B590A50" w:rsidR="001E4FCA" w:rsidRPr="00167A1B" w:rsidRDefault="001E4FCA" w:rsidP="001E4FCA">
            <w:pPr>
              <w:spacing w:after="0"/>
              <w:jc w:val="right"/>
              <w:rPr>
                <w:rFonts w:ascii="Trebuchet MS" w:hAnsi="Trebuchet MS"/>
                <w:b/>
                <w:bCs/>
                <w:sz w:val="16"/>
                <w:szCs w:val="16"/>
                <w:lang w:eastAsia="en-GB"/>
              </w:rPr>
            </w:pPr>
            <w:r w:rsidRPr="00167A1B">
              <w:rPr>
                <w:rFonts w:ascii="Trebuchet MS" w:hAnsi="Trebuchet MS"/>
                <w:b/>
                <w:bCs/>
                <w:sz w:val="16"/>
                <w:szCs w:val="16"/>
              </w:rPr>
              <w:t>40,944</w:t>
            </w:r>
          </w:p>
        </w:tc>
        <w:tc>
          <w:tcPr>
            <w:tcW w:w="0" w:type="auto"/>
            <w:noWrap/>
            <w:vAlign w:val="bottom"/>
            <w:hideMark/>
          </w:tcPr>
          <w:p w14:paraId="60DEF898" w14:textId="10C50AC1" w:rsidR="001E4FCA" w:rsidRPr="00167A1B" w:rsidRDefault="001E4FCA" w:rsidP="001E4FCA">
            <w:pPr>
              <w:spacing w:after="0"/>
              <w:jc w:val="right"/>
              <w:rPr>
                <w:rFonts w:ascii="Trebuchet MS" w:hAnsi="Trebuchet MS"/>
                <w:b/>
                <w:bCs/>
                <w:sz w:val="16"/>
                <w:szCs w:val="16"/>
                <w:lang w:eastAsia="en-GB"/>
              </w:rPr>
            </w:pPr>
            <w:r w:rsidRPr="00167A1B">
              <w:rPr>
                <w:rFonts w:ascii="Trebuchet MS" w:hAnsi="Trebuchet MS"/>
                <w:b/>
                <w:bCs/>
                <w:sz w:val="16"/>
                <w:szCs w:val="16"/>
              </w:rPr>
              <w:t>41,049</w:t>
            </w:r>
          </w:p>
        </w:tc>
        <w:tc>
          <w:tcPr>
            <w:tcW w:w="1279" w:type="dxa"/>
            <w:noWrap/>
            <w:vAlign w:val="bottom"/>
            <w:hideMark/>
          </w:tcPr>
          <w:p w14:paraId="64F3D322" w14:textId="40240455" w:rsidR="001E4FCA" w:rsidRPr="00167A1B" w:rsidRDefault="001E4FCA" w:rsidP="001E4FCA">
            <w:pPr>
              <w:spacing w:after="0"/>
              <w:jc w:val="right"/>
              <w:rPr>
                <w:rFonts w:ascii="Trebuchet MS" w:hAnsi="Trebuchet MS"/>
                <w:b/>
                <w:bCs/>
                <w:sz w:val="16"/>
                <w:szCs w:val="16"/>
                <w:lang w:eastAsia="en-GB"/>
              </w:rPr>
            </w:pPr>
            <w:r w:rsidRPr="00167A1B">
              <w:rPr>
                <w:rFonts w:ascii="Trebuchet MS" w:hAnsi="Trebuchet MS"/>
                <w:b/>
                <w:bCs/>
                <w:sz w:val="16"/>
                <w:szCs w:val="16"/>
              </w:rPr>
              <w:t>42,674</w:t>
            </w:r>
          </w:p>
        </w:tc>
        <w:tc>
          <w:tcPr>
            <w:tcW w:w="1364" w:type="dxa"/>
            <w:noWrap/>
            <w:vAlign w:val="bottom"/>
            <w:hideMark/>
          </w:tcPr>
          <w:p w14:paraId="78F7991D" w14:textId="2E8B8B2C" w:rsidR="001E4FCA" w:rsidRPr="00167A1B" w:rsidRDefault="001E4FCA" w:rsidP="001E4FCA">
            <w:pPr>
              <w:spacing w:after="0"/>
              <w:jc w:val="right"/>
              <w:rPr>
                <w:rFonts w:ascii="Trebuchet MS" w:hAnsi="Trebuchet MS"/>
                <w:b/>
                <w:bCs/>
                <w:sz w:val="16"/>
                <w:szCs w:val="16"/>
                <w:lang w:eastAsia="en-GB"/>
              </w:rPr>
            </w:pPr>
            <w:r w:rsidRPr="00167A1B">
              <w:rPr>
                <w:rFonts w:ascii="Trebuchet MS" w:hAnsi="Trebuchet MS"/>
                <w:b/>
                <w:bCs/>
                <w:sz w:val="16"/>
                <w:szCs w:val="16"/>
              </w:rPr>
              <w:t>45,966</w:t>
            </w:r>
          </w:p>
        </w:tc>
        <w:tc>
          <w:tcPr>
            <w:tcW w:w="1364" w:type="dxa"/>
            <w:gridSpan w:val="2"/>
            <w:noWrap/>
            <w:vAlign w:val="bottom"/>
            <w:hideMark/>
          </w:tcPr>
          <w:p w14:paraId="4DB9DE9A" w14:textId="195CE9E6" w:rsidR="001E4FCA" w:rsidRPr="00167A1B" w:rsidRDefault="001E4FCA" w:rsidP="001E4FCA">
            <w:pPr>
              <w:spacing w:after="0"/>
              <w:jc w:val="right"/>
              <w:rPr>
                <w:rFonts w:ascii="Trebuchet MS" w:hAnsi="Trebuchet MS"/>
                <w:b/>
                <w:bCs/>
                <w:sz w:val="16"/>
                <w:szCs w:val="16"/>
                <w:lang w:eastAsia="en-GB"/>
              </w:rPr>
            </w:pPr>
            <w:r w:rsidRPr="00167A1B">
              <w:rPr>
                <w:rFonts w:ascii="Trebuchet MS" w:hAnsi="Trebuchet MS"/>
                <w:b/>
                <w:bCs/>
                <w:sz w:val="16"/>
                <w:szCs w:val="16"/>
              </w:rPr>
              <w:t>44,505</w:t>
            </w:r>
          </w:p>
        </w:tc>
      </w:tr>
      <w:tr w:rsidR="001E4FCA" w:rsidRPr="00167A1B" w14:paraId="1B98C289" w14:textId="77777777" w:rsidTr="004222CE">
        <w:trPr>
          <w:trHeight w:val="272"/>
        </w:trPr>
        <w:tc>
          <w:tcPr>
            <w:tcW w:w="1266" w:type="dxa"/>
            <w:noWrap/>
            <w:hideMark/>
          </w:tcPr>
          <w:p w14:paraId="3F60A939" w14:textId="77777777" w:rsidR="001E4FCA" w:rsidRPr="00167A1B" w:rsidRDefault="001E4FCA" w:rsidP="001E4FCA">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91" w:type="dxa"/>
            <w:noWrap/>
            <w:vAlign w:val="bottom"/>
            <w:hideMark/>
          </w:tcPr>
          <w:p w14:paraId="7A48D0A9" w14:textId="542E98B7" w:rsidR="001E4FCA" w:rsidRPr="00167A1B" w:rsidRDefault="001E4FCA" w:rsidP="001E4FCA">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5679E53F" w14:textId="5C5E8544" w:rsidR="001E4FCA" w:rsidRPr="00167A1B" w:rsidRDefault="001E4FCA" w:rsidP="001E4FCA">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-5,038</w:t>
            </w:r>
          </w:p>
        </w:tc>
        <w:tc>
          <w:tcPr>
            <w:tcW w:w="0" w:type="auto"/>
            <w:noWrap/>
            <w:vAlign w:val="bottom"/>
            <w:hideMark/>
          </w:tcPr>
          <w:p w14:paraId="1D5C737C" w14:textId="6AAB0F67" w:rsidR="001E4FCA" w:rsidRPr="00167A1B" w:rsidRDefault="001E4FCA" w:rsidP="001E4FCA">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-4,933</w:t>
            </w:r>
          </w:p>
        </w:tc>
        <w:tc>
          <w:tcPr>
            <w:tcW w:w="1279" w:type="dxa"/>
            <w:noWrap/>
            <w:vAlign w:val="bottom"/>
            <w:hideMark/>
          </w:tcPr>
          <w:p w14:paraId="7EC72E77" w14:textId="66271885" w:rsidR="001E4FCA" w:rsidRPr="00167A1B" w:rsidRDefault="001E4FCA" w:rsidP="001E4FCA">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-3,309</w:t>
            </w:r>
          </w:p>
        </w:tc>
        <w:tc>
          <w:tcPr>
            <w:tcW w:w="1364" w:type="dxa"/>
            <w:noWrap/>
            <w:vAlign w:val="bottom"/>
            <w:hideMark/>
          </w:tcPr>
          <w:p w14:paraId="3A4E83F1" w14:textId="51D8195E" w:rsidR="001E4FCA" w:rsidRPr="00167A1B" w:rsidRDefault="001E4FCA" w:rsidP="001E4FCA">
            <w:pPr>
              <w:spacing w:after="0"/>
              <w:jc w:val="right"/>
              <w:rPr>
                <w:rFonts w:ascii="Trebuchet MS" w:hAnsi="Trebuchet MS"/>
                <w:color w:val="9C0006"/>
                <w:sz w:val="16"/>
                <w:szCs w:val="16"/>
                <w:lang w:eastAsia="en-GB"/>
              </w:rPr>
            </w:pPr>
            <w:r w:rsidRPr="00167A1B">
              <w:rPr>
                <w:rFonts w:ascii="Trebuchet MS" w:hAnsi="Trebuchet MS"/>
                <w:color w:val="006100"/>
                <w:sz w:val="16"/>
                <w:szCs w:val="16"/>
              </w:rPr>
              <w:t>-16</w:t>
            </w:r>
          </w:p>
        </w:tc>
        <w:tc>
          <w:tcPr>
            <w:tcW w:w="1364" w:type="dxa"/>
            <w:gridSpan w:val="2"/>
            <w:noWrap/>
            <w:vAlign w:val="bottom"/>
            <w:hideMark/>
          </w:tcPr>
          <w:p w14:paraId="71288000" w14:textId="6A1FD25A" w:rsidR="001E4FCA" w:rsidRPr="00167A1B" w:rsidRDefault="001E4FCA" w:rsidP="001E4FCA">
            <w:pPr>
              <w:spacing w:after="0"/>
              <w:jc w:val="right"/>
              <w:rPr>
                <w:rFonts w:ascii="Trebuchet MS" w:hAnsi="Trebuchet MS"/>
                <w:color w:val="9C0006"/>
                <w:sz w:val="16"/>
                <w:szCs w:val="16"/>
                <w:lang w:eastAsia="en-GB"/>
              </w:rPr>
            </w:pPr>
            <w:r w:rsidRPr="00167A1B">
              <w:rPr>
                <w:rFonts w:ascii="Trebuchet MS" w:hAnsi="Trebuchet MS"/>
                <w:color w:val="006100"/>
                <w:sz w:val="16"/>
                <w:szCs w:val="16"/>
              </w:rPr>
              <w:t>-1,478</w:t>
            </w:r>
          </w:p>
        </w:tc>
      </w:tr>
      <w:tr w:rsidR="001E4FCA" w:rsidRPr="00167A1B" w14:paraId="4F152FD7" w14:textId="77777777" w:rsidTr="004222CE">
        <w:trPr>
          <w:trHeight w:val="272"/>
        </w:trPr>
        <w:tc>
          <w:tcPr>
            <w:tcW w:w="1266" w:type="dxa"/>
            <w:noWrap/>
            <w:hideMark/>
          </w:tcPr>
          <w:p w14:paraId="4E6BBC5D" w14:textId="77777777" w:rsidR="001E4FCA" w:rsidRPr="00167A1B" w:rsidRDefault="001E4FCA" w:rsidP="001E4FCA">
            <w:pPr>
              <w:spacing w:after="0"/>
              <w:jc w:val="left"/>
              <w:rPr>
                <w:rFonts w:ascii="Trebuchet MS" w:hAnsi="Trebuchet MS"/>
                <w:sz w:val="16"/>
                <w:szCs w:val="16"/>
                <w:lang w:eastAsia="en-GB"/>
              </w:rPr>
            </w:pPr>
            <w:r w:rsidRPr="00167A1B">
              <w:rPr>
                <w:rFonts w:ascii="Trebuchet MS" w:hAnsi="Trebuchet MS"/>
                <w:sz w:val="16"/>
                <w:szCs w:val="16"/>
                <w:lang w:eastAsia="en-GB"/>
              </w:rPr>
              <w:t>Annual average</w:t>
            </w:r>
          </w:p>
        </w:tc>
        <w:tc>
          <w:tcPr>
            <w:tcW w:w="1091" w:type="dxa"/>
            <w:noWrap/>
            <w:vAlign w:val="bottom"/>
            <w:hideMark/>
          </w:tcPr>
          <w:p w14:paraId="16261747" w14:textId="5F92CA5D" w:rsidR="001E4FCA" w:rsidRPr="00167A1B" w:rsidRDefault="001E4FCA" w:rsidP="001E4FCA">
            <w:pPr>
              <w:spacing w:after="0"/>
              <w:jc w:val="right"/>
              <w:rPr>
                <w:rFonts w:ascii="Trebuchet MS" w:hAnsi="Trebuchet MS"/>
                <w:sz w:val="16"/>
                <w:szCs w:val="16"/>
                <w:lang w:eastAsia="en-GB"/>
              </w:rPr>
            </w:pPr>
            <w:r w:rsidRPr="00167A1B">
              <w:rPr>
                <w:rFonts w:ascii="Trebuchet MS" w:hAnsi="Trebuchet MS"/>
                <w:sz w:val="16"/>
                <w:szCs w:val="16"/>
              </w:rPr>
              <w:t>6,569</w:t>
            </w:r>
          </w:p>
        </w:tc>
        <w:tc>
          <w:tcPr>
            <w:tcW w:w="0" w:type="auto"/>
            <w:noWrap/>
            <w:vAlign w:val="bottom"/>
            <w:hideMark/>
          </w:tcPr>
          <w:p w14:paraId="4E57A9F3" w14:textId="12317016" w:rsidR="001E4FCA" w:rsidRPr="00167A1B" w:rsidRDefault="001E4FCA" w:rsidP="001E4FCA">
            <w:pPr>
              <w:spacing w:after="0"/>
              <w:jc w:val="right"/>
              <w:rPr>
                <w:rFonts w:ascii="Trebuchet MS" w:hAnsi="Trebuchet MS"/>
                <w:sz w:val="16"/>
                <w:szCs w:val="16"/>
                <w:lang w:eastAsia="en-GB"/>
              </w:rPr>
            </w:pPr>
            <w:r w:rsidRPr="00167A1B">
              <w:rPr>
                <w:rFonts w:ascii="Trebuchet MS" w:hAnsi="Trebuchet MS"/>
                <w:sz w:val="16"/>
                <w:szCs w:val="16"/>
              </w:rPr>
              <w:t>5,849</w:t>
            </w:r>
          </w:p>
        </w:tc>
        <w:tc>
          <w:tcPr>
            <w:tcW w:w="0" w:type="auto"/>
            <w:noWrap/>
            <w:vAlign w:val="bottom"/>
            <w:hideMark/>
          </w:tcPr>
          <w:p w14:paraId="141FC119" w14:textId="298B51C8" w:rsidR="001E4FCA" w:rsidRPr="00167A1B" w:rsidRDefault="001E4FCA" w:rsidP="001E4FCA">
            <w:pPr>
              <w:spacing w:after="0"/>
              <w:jc w:val="right"/>
              <w:rPr>
                <w:rFonts w:ascii="Trebuchet MS" w:hAnsi="Trebuchet MS"/>
                <w:sz w:val="16"/>
                <w:szCs w:val="16"/>
                <w:lang w:eastAsia="en-GB"/>
              </w:rPr>
            </w:pPr>
            <w:r w:rsidRPr="00167A1B">
              <w:rPr>
                <w:rFonts w:ascii="Trebuchet MS" w:hAnsi="Trebuchet MS"/>
                <w:sz w:val="16"/>
                <w:szCs w:val="16"/>
              </w:rPr>
              <w:t>5,864</w:t>
            </w:r>
          </w:p>
        </w:tc>
        <w:tc>
          <w:tcPr>
            <w:tcW w:w="1279" w:type="dxa"/>
            <w:noWrap/>
            <w:vAlign w:val="bottom"/>
            <w:hideMark/>
          </w:tcPr>
          <w:p w14:paraId="213F8C30" w14:textId="3CCA7FA7" w:rsidR="001E4FCA" w:rsidRPr="00167A1B" w:rsidRDefault="001E4FCA" w:rsidP="001E4FCA">
            <w:pPr>
              <w:spacing w:after="0"/>
              <w:jc w:val="right"/>
              <w:rPr>
                <w:rFonts w:ascii="Trebuchet MS" w:hAnsi="Trebuchet MS"/>
                <w:sz w:val="16"/>
                <w:szCs w:val="16"/>
                <w:lang w:eastAsia="en-GB"/>
              </w:rPr>
            </w:pPr>
            <w:r w:rsidRPr="00167A1B">
              <w:rPr>
                <w:rFonts w:ascii="Trebuchet MS" w:hAnsi="Trebuchet MS"/>
                <w:sz w:val="16"/>
                <w:szCs w:val="16"/>
              </w:rPr>
              <w:t>6,096</w:t>
            </w:r>
          </w:p>
        </w:tc>
        <w:tc>
          <w:tcPr>
            <w:tcW w:w="1364" w:type="dxa"/>
            <w:noWrap/>
            <w:vAlign w:val="bottom"/>
            <w:hideMark/>
          </w:tcPr>
          <w:p w14:paraId="1DF1D871" w14:textId="14E8CC9F" w:rsidR="001E4FCA" w:rsidRPr="00167A1B" w:rsidRDefault="001E4FCA" w:rsidP="001E4FCA">
            <w:pPr>
              <w:spacing w:after="0"/>
              <w:jc w:val="right"/>
              <w:rPr>
                <w:rFonts w:ascii="Trebuchet MS" w:hAnsi="Trebuchet MS"/>
                <w:sz w:val="16"/>
                <w:szCs w:val="16"/>
                <w:lang w:eastAsia="en-GB"/>
              </w:rPr>
            </w:pPr>
            <w:r w:rsidRPr="00167A1B">
              <w:rPr>
                <w:rFonts w:ascii="Trebuchet MS" w:hAnsi="Trebuchet MS"/>
                <w:sz w:val="16"/>
                <w:szCs w:val="16"/>
              </w:rPr>
              <w:t>6,567</w:t>
            </w:r>
          </w:p>
        </w:tc>
        <w:tc>
          <w:tcPr>
            <w:tcW w:w="1364" w:type="dxa"/>
            <w:gridSpan w:val="2"/>
            <w:noWrap/>
            <w:vAlign w:val="bottom"/>
            <w:hideMark/>
          </w:tcPr>
          <w:p w14:paraId="62093A12" w14:textId="648941A3" w:rsidR="001E4FCA" w:rsidRPr="00167A1B" w:rsidRDefault="001E4FCA" w:rsidP="001E4FCA">
            <w:pPr>
              <w:spacing w:after="0"/>
              <w:jc w:val="right"/>
              <w:rPr>
                <w:rFonts w:ascii="Trebuchet MS" w:hAnsi="Trebuchet MS"/>
                <w:sz w:val="16"/>
                <w:szCs w:val="16"/>
                <w:lang w:eastAsia="en-GB"/>
              </w:rPr>
            </w:pPr>
            <w:r w:rsidRPr="00167A1B">
              <w:rPr>
                <w:rFonts w:ascii="Trebuchet MS" w:hAnsi="Trebuchet MS"/>
                <w:sz w:val="16"/>
                <w:szCs w:val="16"/>
              </w:rPr>
              <w:t>6,358</w:t>
            </w:r>
          </w:p>
        </w:tc>
      </w:tr>
      <w:tr w:rsidR="001E4FCA" w:rsidRPr="00167A1B" w14:paraId="02BF7B58" w14:textId="77777777" w:rsidTr="004222CE">
        <w:trPr>
          <w:trHeight w:val="272"/>
        </w:trPr>
        <w:tc>
          <w:tcPr>
            <w:tcW w:w="1266" w:type="dxa"/>
            <w:noWrap/>
            <w:hideMark/>
          </w:tcPr>
          <w:p w14:paraId="7AD91D99" w14:textId="77777777" w:rsidR="001E4FCA" w:rsidRPr="00167A1B" w:rsidRDefault="001E4FCA" w:rsidP="001E4FCA">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91" w:type="dxa"/>
            <w:noWrap/>
            <w:vAlign w:val="bottom"/>
            <w:hideMark/>
          </w:tcPr>
          <w:p w14:paraId="76517642" w14:textId="4485B784" w:rsidR="001E4FCA" w:rsidRPr="00167A1B" w:rsidRDefault="001E4FCA" w:rsidP="001E4FCA">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2E32AF99" w14:textId="5BDB36B1" w:rsidR="001E4FCA" w:rsidRPr="00167A1B" w:rsidRDefault="001E4FCA" w:rsidP="001E4FCA">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-720</w:t>
            </w:r>
          </w:p>
        </w:tc>
        <w:tc>
          <w:tcPr>
            <w:tcW w:w="0" w:type="auto"/>
            <w:noWrap/>
            <w:vAlign w:val="bottom"/>
            <w:hideMark/>
          </w:tcPr>
          <w:p w14:paraId="69875087" w14:textId="123C4A00" w:rsidR="001E4FCA" w:rsidRPr="00167A1B" w:rsidRDefault="001E4FCA" w:rsidP="001E4FCA">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-705</w:t>
            </w:r>
          </w:p>
        </w:tc>
        <w:tc>
          <w:tcPr>
            <w:tcW w:w="1279" w:type="dxa"/>
            <w:noWrap/>
            <w:vAlign w:val="bottom"/>
            <w:hideMark/>
          </w:tcPr>
          <w:p w14:paraId="072943FB" w14:textId="5DA4BFB4" w:rsidR="001E4FCA" w:rsidRPr="00167A1B" w:rsidRDefault="001E4FCA" w:rsidP="001E4FCA">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-473</w:t>
            </w:r>
          </w:p>
        </w:tc>
        <w:tc>
          <w:tcPr>
            <w:tcW w:w="1364" w:type="dxa"/>
            <w:noWrap/>
            <w:vAlign w:val="bottom"/>
            <w:hideMark/>
          </w:tcPr>
          <w:p w14:paraId="5521AE1A" w14:textId="0C1691C5" w:rsidR="001E4FCA" w:rsidRPr="00167A1B" w:rsidRDefault="001E4FCA" w:rsidP="001E4FCA">
            <w:pPr>
              <w:spacing w:after="0"/>
              <w:jc w:val="right"/>
              <w:rPr>
                <w:rFonts w:ascii="Trebuchet MS" w:hAnsi="Trebuchet MS"/>
                <w:color w:val="9C0006"/>
                <w:sz w:val="16"/>
                <w:szCs w:val="16"/>
                <w:lang w:eastAsia="en-GB"/>
              </w:rPr>
            </w:pPr>
            <w:r w:rsidRPr="00167A1B">
              <w:rPr>
                <w:rFonts w:ascii="Trebuchet MS" w:hAnsi="Trebuchet MS"/>
                <w:color w:val="006100"/>
                <w:sz w:val="16"/>
                <w:szCs w:val="16"/>
              </w:rPr>
              <w:t>-2</w:t>
            </w:r>
          </w:p>
        </w:tc>
        <w:tc>
          <w:tcPr>
            <w:tcW w:w="1364" w:type="dxa"/>
            <w:gridSpan w:val="2"/>
            <w:noWrap/>
            <w:vAlign w:val="bottom"/>
            <w:hideMark/>
          </w:tcPr>
          <w:p w14:paraId="082104F3" w14:textId="15241436" w:rsidR="001E4FCA" w:rsidRPr="00167A1B" w:rsidRDefault="001E4FCA" w:rsidP="001E4FCA">
            <w:pPr>
              <w:spacing w:after="0"/>
              <w:jc w:val="right"/>
              <w:rPr>
                <w:rFonts w:ascii="Trebuchet MS" w:hAnsi="Trebuchet MS"/>
                <w:color w:val="9C0006"/>
                <w:sz w:val="16"/>
                <w:szCs w:val="16"/>
                <w:lang w:eastAsia="en-GB"/>
              </w:rPr>
            </w:pPr>
            <w:r w:rsidRPr="00167A1B">
              <w:rPr>
                <w:rFonts w:ascii="Trebuchet MS" w:hAnsi="Trebuchet MS"/>
                <w:color w:val="006100"/>
                <w:sz w:val="16"/>
                <w:szCs w:val="16"/>
              </w:rPr>
              <w:t>-211</w:t>
            </w:r>
          </w:p>
        </w:tc>
      </w:tr>
      <w:tr w:rsidR="001E4FCA" w:rsidRPr="00167A1B" w14:paraId="23B9C4E3" w14:textId="77777777" w:rsidTr="004222CE">
        <w:trPr>
          <w:trHeight w:val="272"/>
        </w:trPr>
        <w:tc>
          <w:tcPr>
            <w:tcW w:w="1266" w:type="dxa"/>
            <w:noWrap/>
            <w:hideMark/>
          </w:tcPr>
          <w:p w14:paraId="06EB888F" w14:textId="77777777" w:rsidR="001E4FCA" w:rsidRPr="00167A1B" w:rsidRDefault="001E4FCA" w:rsidP="001E4FCA">
            <w:pPr>
              <w:spacing w:after="0"/>
              <w:jc w:val="left"/>
              <w:rPr>
                <w:rFonts w:ascii="Trebuchet MS" w:hAnsi="Trebuchet MS"/>
                <w:sz w:val="16"/>
                <w:szCs w:val="16"/>
                <w:lang w:eastAsia="en-GB"/>
              </w:rPr>
            </w:pPr>
            <w:r w:rsidRPr="00167A1B">
              <w:rPr>
                <w:rFonts w:ascii="Trebuchet MS" w:hAnsi="Trebuchet MS"/>
                <w:sz w:val="16"/>
                <w:szCs w:val="16"/>
                <w:lang w:eastAsia="en-GB"/>
              </w:rPr>
              <w:t>As %</w:t>
            </w:r>
          </w:p>
        </w:tc>
        <w:tc>
          <w:tcPr>
            <w:tcW w:w="1091" w:type="dxa"/>
            <w:noWrap/>
            <w:vAlign w:val="bottom"/>
            <w:hideMark/>
          </w:tcPr>
          <w:p w14:paraId="14E2822A" w14:textId="32A39D31" w:rsidR="001E4FCA" w:rsidRPr="00167A1B" w:rsidRDefault="001E4FCA" w:rsidP="001E4FCA">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50A82FCF" w14:textId="1CC2498F" w:rsidR="001E4FCA" w:rsidRPr="00167A1B" w:rsidRDefault="001E4FCA" w:rsidP="001E4FCA">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-11.0%</w:t>
            </w:r>
          </w:p>
        </w:tc>
        <w:tc>
          <w:tcPr>
            <w:tcW w:w="0" w:type="auto"/>
            <w:noWrap/>
            <w:vAlign w:val="bottom"/>
            <w:hideMark/>
          </w:tcPr>
          <w:p w14:paraId="5F3EE962" w14:textId="074EA1EE" w:rsidR="001E4FCA" w:rsidRPr="00167A1B" w:rsidRDefault="001E4FCA" w:rsidP="001E4FCA">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-10.7%</w:t>
            </w:r>
          </w:p>
        </w:tc>
        <w:tc>
          <w:tcPr>
            <w:tcW w:w="1279" w:type="dxa"/>
            <w:noWrap/>
            <w:vAlign w:val="bottom"/>
            <w:hideMark/>
          </w:tcPr>
          <w:p w14:paraId="0B8C3A35" w14:textId="1421043B" w:rsidR="001E4FCA" w:rsidRPr="00167A1B" w:rsidRDefault="001E4FCA" w:rsidP="001E4FCA">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-7.2%</w:t>
            </w:r>
          </w:p>
        </w:tc>
        <w:tc>
          <w:tcPr>
            <w:tcW w:w="1364" w:type="dxa"/>
            <w:noWrap/>
            <w:vAlign w:val="bottom"/>
            <w:hideMark/>
          </w:tcPr>
          <w:p w14:paraId="1DA1C26C" w14:textId="4F78B5A4" w:rsidR="001E4FCA" w:rsidRPr="00167A1B" w:rsidRDefault="001E4FCA" w:rsidP="001E4FCA">
            <w:pPr>
              <w:spacing w:after="0"/>
              <w:jc w:val="right"/>
              <w:rPr>
                <w:rFonts w:ascii="Trebuchet MS" w:hAnsi="Trebuchet MS"/>
                <w:color w:val="9C0006"/>
                <w:sz w:val="16"/>
                <w:szCs w:val="16"/>
                <w:lang w:eastAsia="en-GB"/>
              </w:rPr>
            </w:pPr>
            <w:r w:rsidRPr="00167A1B">
              <w:rPr>
                <w:rFonts w:ascii="Trebuchet MS" w:hAnsi="Trebuchet MS"/>
                <w:color w:val="006100"/>
                <w:sz w:val="16"/>
                <w:szCs w:val="16"/>
              </w:rPr>
              <w:t>0.0%</w:t>
            </w:r>
          </w:p>
        </w:tc>
        <w:tc>
          <w:tcPr>
            <w:tcW w:w="1364" w:type="dxa"/>
            <w:gridSpan w:val="2"/>
            <w:noWrap/>
            <w:vAlign w:val="bottom"/>
            <w:hideMark/>
          </w:tcPr>
          <w:p w14:paraId="61AC616E" w14:textId="16F0F206" w:rsidR="001E4FCA" w:rsidRPr="00167A1B" w:rsidRDefault="001E4FCA" w:rsidP="001E4FCA">
            <w:pPr>
              <w:spacing w:after="0"/>
              <w:jc w:val="right"/>
              <w:rPr>
                <w:rFonts w:ascii="Trebuchet MS" w:hAnsi="Trebuchet MS"/>
                <w:color w:val="9C0006"/>
                <w:sz w:val="16"/>
                <w:szCs w:val="16"/>
                <w:lang w:eastAsia="en-GB"/>
              </w:rPr>
            </w:pPr>
            <w:r w:rsidRPr="00167A1B">
              <w:rPr>
                <w:rFonts w:ascii="Trebuchet MS" w:hAnsi="Trebuchet MS"/>
                <w:color w:val="006100"/>
                <w:sz w:val="16"/>
                <w:szCs w:val="16"/>
              </w:rPr>
              <w:t>-3.2%</w:t>
            </w:r>
          </w:p>
        </w:tc>
      </w:tr>
      <w:tr w:rsidR="001E4FCA" w:rsidRPr="00167A1B" w14:paraId="41BFACA4" w14:textId="77777777" w:rsidTr="00814371">
        <w:trPr>
          <w:gridAfter w:val="1"/>
          <w:wAfter w:w="17" w:type="dxa"/>
          <w:trHeight w:val="270"/>
        </w:trPr>
        <w:tc>
          <w:tcPr>
            <w:tcW w:w="9061" w:type="dxa"/>
            <w:gridSpan w:val="7"/>
            <w:shd w:val="clear" w:color="auto" w:fill="00B0F0"/>
            <w:noWrap/>
          </w:tcPr>
          <w:p w14:paraId="5493B626" w14:textId="77777777" w:rsidR="001E4FCA" w:rsidRPr="00167A1B" w:rsidRDefault="001E4FCA" w:rsidP="001E4FCA">
            <w:pPr>
              <w:spacing w:after="0"/>
              <w:jc w:val="left"/>
              <w:rPr>
                <w:rFonts w:ascii="Trebuchet MS" w:hAnsi="Trebuchet MS"/>
                <w:b/>
                <w:bCs/>
                <w:color w:val="FFFFFF" w:themeColor="background1"/>
                <w:sz w:val="16"/>
                <w:szCs w:val="16"/>
                <w:lang w:eastAsia="en-GB"/>
              </w:rPr>
            </w:pPr>
            <w:r w:rsidRPr="00167A1B">
              <w:rPr>
                <w:rFonts w:ascii="Trebuchet MS" w:hAnsi="Trebuchet MS"/>
                <w:b/>
                <w:bCs/>
                <w:color w:val="FFFFFF" w:themeColor="background1"/>
                <w:sz w:val="16"/>
                <w:szCs w:val="16"/>
                <w:lang w:eastAsia="en-GB"/>
              </w:rPr>
              <w:t>Competitiveness of businesses</w:t>
            </w:r>
          </w:p>
        </w:tc>
      </w:tr>
      <w:tr w:rsidR="001E4FCA" w:rsidRPr="00167A1B" w14:paraId="7BAB1C0C" w14:textId="77777777" w:rsidTr="00814371">
        <w:trPr>
          <w:gridAfter w:val="1"/>
          <w:wAfter w:w="17" w:type="dxa"/>
          <w:trHeight w:val="270"/>
        </w:trPr>
        <w:tc>
          <w:tcPr>
            <w:tcW w:w="9061" w:type="dxa"/>
            <w:gridSpan w:val="7"/>
            <w:noWrap/>
          </w:tcPr>
          <w:p w14:paraId="714EEB70" w14:textId="77777777" w:rsidR="001E4FCA" w:rsidRPr="00167A1B" w:rsidRDefault="001E4FCA" w:rsidP="001E4FCA">
            <w:pPr>
              <w:spacing w:after="0"/>
              <w:jc w:val="left"/>
              <w:rPr>
                <w:rFonts w:ascii="Trebuchet MS" w:hAnsi="Trebuchet MS"/>
                <w:b/>
                <w:bCs/>
                <w:color w:val="006100"/>
                <w:sz w:val="16"/>
                <w:szCs w:val="16"/>
                <w:lang w:eastAsia="en-GB"/>
              </w:rPr>
            </w:pPr>
            <w:r w:rsidRPr="00167A1B">
              <w:rPr>
                <w:rFonts w:ascii="Trebuchet MS" w:hAnsi="Trebuchet MS"/>
                <w:b/>
                <w:bCs/>
                <w:sz w:val="16"/>
                <w:szCs w:val="16"/>
                <w:lang w:eastAsia="en-GB"/>
              </w:rPr>
              <w:t>Benefit for manufacturers of chargers and wholesalers (NPV million EUR)</w:t>
            </w:r>
          </w:p>
        </w:tc>
      </w:tr>
      <w:tr w:rsidR="001E4FCA" w:rsidRPr="00167A1B" w14:paraId="44DCDEC7" w14:textId="77777777" w:rsidTr="004222CE">
        <w:trPr>
          <w:trHeight w:val="272"/>
        </w:trPr>
        <w:tc>
          <w:tcPr>
            <w:tcW w:w="1266" w:type="dxa"/>
            <w:noWrap/>
            <w:hideMark/>
          </w:tcPr>
          <w:p w14:paraId="078B807F" w14:textId="77777777" w:rsidR="001E4FCA" w:rsidRPr="00167A1B" w:rsidRDefault="001E4FCA" w:rsidP="001E4FCA">
            <w:pPr>
              <w:spacing w:after="0"/>
              <w:jc w:val="left"/>
              <w:rPr>
                <w:rFonts w:ascii="Trebuchet MS" w:hAnsi="Trebuchet MS"/>
                <w:sz w:val="16"/>
                <w:szCs w:val="16"/>
                <w:lang w:eastAsia="en-GB"/>
              </w:rPr>
            </w:pPr>
            <w:r w:rsidRPr="00167A1B">
              <w:rPr>
                <w:rFonts w:ascii="Trebuchet MS" w:hAnsi="Trebuchet MS"/>
                <w:sz w:val="16"/>
                <w:szCs w:val="16"/>
                <w:lang w:eastAsia="en-GB"/>
              </w:rPr>
              <w:t>Total 2024-2030</w:t>
            </w:r>
          </w:p>
        </w:tc>
        <w:tc>
          <w:tcPr>
            <w:tcW w:w="1091" w:type="dxa"/>
            <w:noWrap/>
            <w:vAlign w:val="bottom"/>
            <w:hideMark/>
          </w:tcPr>
          <w:p w14:paraId="0DCD3027" w14:textId="2381C7CB" w:rsidR="001E4FCA" w:rsidRPr="00167A1B" w:rsidRDefault="001E4FCA" w:rsidP="001E4FCA">
            <w:pPr>
              <w:spacing w:after="0"/>
              <w:jc w:val="right"/>
              <w:rPr>
                <w:rFonts w:ascii="Trebuchet MS" w:hAnsi="Trebuchet MS"/>
                <w:b/>
                <w:bCs/>
                <w:sz w:val="16"/>
                <w:szCs w:val="16"/>
                <w:lang w:eastAsia="en-GB"/>
              </w:rPr>
            </w:pPr>
            <w:r w:rsidRPr="00167A1B">
              <w:rPr>
                <w:rFonts w:ascii="Trebuchet MS" w:hAnsi="Trebuchet MS"/>
                <w:b/>
                <w:bCs/>
                <w:sz w:val="16"/>
                <w:szCs w:val="16"/>
              </w:rPr>
              <w:t>11,903</w:t>
            </w:r>
          </w:p>
        </w:tc>
        <w:tc>
          <w:tcPr>
            <w:tcW w:w="0" w:type="auto"/>
            <w:noWrap/>
            <w:vAlign w:val="bottom"/>
            <w:hideMark/>
          </w:tcPr>
          <w:p w14:paraId="13BCFB7F" w14:textId="0BDBEADB" w:rsidR="001E4FCA" w:rsidRPr="00167A1B" w:rsidRDefault="001E4FCA" w:rsidP="001E4FCA">
            <w:pPr>
              <w:spacing w:after="0"/>
              <w:jc w:val="right"/>
              <w:rPr>
                <w:rFonts w:ascii="Trebuchet MS" w:hAnsi="Trebuchet MS"/>
                <w:b/>
                <w:bCs/>
                <w:sz w:val="16"/>
                <w:szCs w:val="16"/>
                <w:lang w:eastAsia="en-GB"/>
              </w:rPr>
            </w:pPr>
            <w:r w:rsidRPr="00167A1B">
              <w:rPr>
                <w:rFonts w:ascii="Trebuchet MS" w:hAnsi="Trebuchet MS"/>
                <w:b/>
                <w:bCs/>
                <w:sz w:val="16"/>
                <w:szCs w:val="16"/>
              </w:rPr>
              <w:t>10,693</w:t>
            </w:r>
          </w:p>
        </w:tc>
        <w:tc>
          <w:tcPr>
            <w:tcW w:w="0" w:type="auto"/>
            <w:noWrap/>
            <w:vAlign w:val="bottom"/>
            <w:hideMark/>
          </w:tcPr>
          <w:p w14:paraId="5408FADF" w14:textId="7C6C2554" w:rsidR="001E4FCA" w:rsidRPr="00167A1B" w:rsidRDefault="001E4FCA" w:rsidP="001E4FCA">
            <w:pPr>
              <w:spacing w:after="0"/>
              <w:jc w:val="right"/>
              <w:rPr>
                <w:rFonts w:ascii="Trebuchet MS" w:hAnsi="Trebuchet MS"/>
                <w:b/>
                <w:bCs/>
                <w:sz w:val="16"/>
                <w:szCs w:val="16"/>
                <w:lang w:eastAsia="en-GB"/>
              </w:rPr>
            </w:pPr>
            <w:r w:rsidRPr="00167A1B">
              <w:rPr>
                <w:rFonts w:ascii="Trebuchet MS" w:hAnsi="Trebuchet MS"/>
                <w:b/>
                <w:bCs/>
                <w:sz w:val="16"/>
                <w:szCs w:val="16"/>
              </w:rPr>
              <w:t>10,752</w:t>
            </w:r>
          </w:p>
        </w:tc>
        <w:tc>
          <w:tcPr>
            <w:tcW w:w="1279" w:type="dxa"/>
            <w:noWrap/>
            <w:vAlign w:val="bottom"/>
            <w:hideMark/>
          </w:tcPr>
          <w:p w14:paraId="778D1EA4" w14:textId="61A19ECB" w:rsidR="001E4FCA" w:rsidRPr="00167A1B" w:rsidRDefault="001E4FCA" w:rsidP="001E4FCA">
            <w:pPr>
              <w:spacing w:after="0"/>
              <w:jc w:val="right"/>
              <w:rPr>
                <w:rFonts w:ascii="Trebuchet MS" w:hAnsi="Trebuchet MS"/>
                <w:b/>
                <w:bCs/>
                <w:sz w:val="16"/>
                <w:szCs w:val="16"/>
                <w:lang w:eastAsia="en-GB"/>
              </w:rPr>
            </w:pPr>
            <w:r w:rsidRPr="00167A1B">
              <w:rPr>
                <w:rFonts w:ascii="Trebuchet MS" w:hAnsi="Trebuchet MS"/>
                <w:b/>
                <w:bCs/>
                <w:sz w:val="16"/>
                <w:szCs w:val="16"/>
              </w:rPr>
              <w:t>9,850</w:t>
            </w:r>
          </w:p>
        </w:tc>
        <w:tc>
          <w:tcPr>
            <w:tcW w:w="1364" w:type="dxa"/>
            <w:noWrap/>
            <w:vAlign w:val="bottom"/>
            <w:hideMark/>
          </w:tcPr>
          <w:p w14:paraId="7BDD6D6A" w14:textId="46EE4E40" w:rsidR="001E4FCA" w:rsidRPr="00167A1B" w:rsidRDefault="001E4FCA" w:rsidP="001E4FCA">
            <w:pPr>
              <w:spacing w:after="0"/>
              <w:jc w:val="right"/>
              <w:rPr>
                <w:rFonts w:ascii="Trebuchet MS" w:hAnsi="Trebuchet MS"/>
                <w:b/>
                <w:bCs/>
                <w:sz w:val="16"/>
                <w:szCs w:val="16"/>
                <w:lang w:eastAsia="en-GB"/>
              </w:rPr>
            </w:pPr>
            <w:r w:rsidRPr="00167A1B">
              <w:rPr>
                <w:rFonts w:ascii="Trebuchet MS" w:hAnsi="Trebuchet MS"/>
                <w:b/>
                <w:bCs/>
                <w:sz w:val="16"/>
                <w:szCs w:val="16"/>
              </w:rPr>
              <w:t>10,725</w:t>
            </w:r>
          </w:p>
        </w:tc>
        <w:tc>
          <w:tcPr>
            <w:tcW w:w="1364" w:type="dxa"/>
            <w:gridSpan w:val="2"/>
            <w:noWrap/>
            <w:vAlign w:val="bottom"/>
            <w:hideMark/>
          </w:tcPr>
          <w:p w14:paraId="78BB74D0" w14:textId="1BF05509" w:rsidR="001E4FCA" w:rsidRPr="00167A1B" w:rsidRDefault="001E4FCA" w:rsidP="001E4FCA">
            <w:pPr>
              <w:spacing w:after="0"/>
              <w:jc w:val="right"/>
              <w:rPr>
                <w:rFonts w:ascii="Trebuchet MS" w:hAnsi="Trebuchet MS"/>
                <w:b/>
                <w:bCs/>
                <w:sz w:val="16"/>
                <w:szCs w:val="16"/>
                <w:lang w:eastAsia="en-GB"/>
              </w:rPr>
            </w:pPr>
            <w:r w:rsidRPr="00167A1B">
              <w:rPr>
                <w:rFonts w:ascii="Trebuchet MS" w:hAnsi="Trebuchet MS"/>
                <w:b/>
                <w:bCs/>
                <w:sz w:val="16"/>
                <w:szCs w:val="16"/>
              </w:rPr>
              <w:t>10,216</w:t>
            </w:r>
          </w:p>
        </w:tc>
      </w:tr>
      <w:tr w:rsidR="001E4FCA" w:rsidRPr="00167A1B" w14:paraId="1901C2F3" w14:textId="77777777" w:rsidTr="004222CE">
        <w:trPr>
          <w:trHeight w:val="272"/>
        </w:trPr>
        <w:tc>
          <w:tcPr>
            <w:tcW w:w="1266" w:type="dxa"/>
            <w:noWrap/>
            <w:hideMark/>
          </w:tcPr>
          <w:p w14:paraId="685B4D42" w14:textId="77777777" w:rsidR="001E4FCA" w:rsidRPr="00167A1B" w:rsidRDefault="001E4FCA" w:rsidP="001E4FCA">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91" w:type="dxa"/>
            <w:noWrap/>
            <w:vAlign w:val="bottom"/>
            <w:hideMark/>
          </w:tcPr>
          <w:p w14:paraId="11AFDC6F" w14:textId="50C70FCE" w:rsidR="001E4FCA" w:rsidRPr="00167A1B" w:rsidRDefault="001E4FCA" w:rsidP="001E4FCA">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22A840AE" w14:textId="0BC4915E" w:rsidR="001E4FCA" w:rsidRPr="00167A1B" w:rsidRDefault="001E4FCA" w:rsidP="001E4FCA">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-1,210</w:t>
            </w:r>
          </w:p>
        </w:tc>
        <w:tc>
          <w:tcPr>
            <w:tcW w:w="0" w:type="auto"/>
            <w:noWrap/>
            <w:vAlign w:val="bottom"/>
            <w:hideMark/>
          </w:tcPr>
          <w:p w14:paraId="2BC60916" w14:textId="7877B109" w:rsidR="001E4FCA" w:rsidRPr="00167A1B" w:rsidRDefault="001E4FCA" w:rsidP="001E4FCA">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-1,150</w:t>
            </w:r>
          </w:p>
        </w:tc>
        <w:tc>
          <w:tcPr>
            <w:tcW w:w="1279" w:type="dxa"/>
            <w:noWrap/>
            <w:vAlign w:val="bottom"/>
            <w:hideMark/>
          </w:tcPr>
          <w:p w14:paraId="67575B78" w14:textId="13380173" w:rsidR="001E4FCA" w:rsidRPr="00167A1B" w:rsidRDefault="001E4FCA" w:rsidP="001E4FCA">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-2,053</w:t>
            </w:r>
          </w:p>
        </w:tc>
        <w:tc>
          <w:tcPr>
            <w:tcW w:w="1364" w:type="dxa"/>
            <w:noWrap/>
            <w:vAlign w:val="bottom"/>
            <w:hideMark/>
          </w:tcPr>
          <w:p w14:paraId="1D5CF991" w14:textId="14E40E43" w:rsidR="001E4FCA" w:rsidRPr="00167A1B" w:rsidRDefault="001E4FCA" w:rsidP="001E4FCA">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-1,178</w:t>
            </w:r>
          </w:p>
        </w:tc>
        <w:tc>
          <w:tcPr>
            <w:tcW w:w="1364" w:type="dxa"/>
            <w:gridSpan w:val="2"/>
            <w:noWrap/>
            <w:vAlign w:val="bottom"/>
            <w:hideMark/>
          </w:tcPr>
          <w:p w14:paraId="12DEE387" w14:textId="0C854C36" w:rsidR="001E4FCA" w:rsidRPr="00167A1B" w:rsidRDefault="001E4FCA" w:rsidP="001E4FCA">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-1,686</w:t>
            </w:r>
          </w:p>
        </w:tc>
      </w:tr>
      <w:tr w:rsidR="001E4FCA" w:rsidRPr="00167A1B" w14:paraId="587C803E" w14:textId="77777777" w:rsidTr="004222CE">
        <w:trPr>
          <w:trHeight w:val="272"/>
        </w:trPr>
        <w:tc>
          <w:tcPr>
            <w:tcW w:w="1266" w:type="dxa"/>
            <w:noWrap/>
            <w:hideMark/>
          </w:tcPr>
          <w:p w14:paraId="73A0B45F" w14:textId="77777777" w:rsidR="001E4FCA" w:rsidRPr="00167A1B" w:rsidRDefault="001E4FCA" w:rsidP="001E4FCA">
            <w:pPr>
              <w:spacing w:after="0"/>
              <w:jc w:val="left"/>
              <w:rPr>
                <w:rFonts w:ascii="Trebuchet MS" w:hAnsi="Trebuchet MS"/>
                <w:sz w:val="16"/>
                <w:szCs w:val="16"/>
                <w:lang w:eastAsia="en-GB"/>
              </w:rPr>
            </w:pPr>
            <w:r w:rsidRPr="00167A1B">
              <w:rPr>
                <w:rFonts w:ascii="Trebuchet MS" w:hAnsi="Trebuchet MS"/>
                <w:sz w:val="16"/>
                <w:szCs w:val="16"/>
                <w:lang w:eastAsia="en-GB"/>
              </w:rPr>
              <w:t>Annual average</w:t>
            </w:r>
          </w:p>
        </w:tc>
        <w:tc>
          <w:tcPr>
            <w:tcW w:w="1091" w:type="dxa"/>
            <w:noWrap/>
            <w:vAlign w:val="bottom"/>
            <w:hideMark/>
          </w:tcPr>
          <w:p w14:paraId="7734A761" w14:textId="780C4654" w:rsidR="001E4FCA" w:rsidRPr="00167A1B" w:rsidRDefault="001E4FCA" w:rsidP="001E4FCA">
            <w:pPr>
              <w:spacing w:after="0"/>
              <w:jc w:val="right"/>
              <w:rPr>
                <w:rFonts w:ascii="Trebuchet MS" w:hAnsi="Trebuchet MS"/>
                <w:sz w:val="16"/>
                <w:szCs w:val="16"/>
                <w:lang w:eastAsia="en-GB"/>
              </w:rPr>
            </w:pPr>
            <w:r w:rsidRPr="00167A1B">
              <w:rPr>
                <w:rFonts w:ascii="Trebuchet MS" w:hAnsi="Trebuchet MS"/>
                <w:sz w:val="16"/>
                <w:szCs w:val="16"/>
              </w:rPr>
              <w:t>1,700</w:t>
            </w:r>
          </w:p>
        </w:tc>
        <w:tc>
          <w:tcPr>
            <w:tcW w:w="0" w:type="auto"/>
            <w:noWrap/>
            <w:vAlign w:val="bottom"/>
            <w:hideMark/>
          </w:tcPr>
          <w:p w14:paraId="3A0632A5" w14:textId="4B64D474" w:rsidR="001E4FCA" w:rsidRPr="00167A1B" w:rsidRDefault="001E4FCA" w:rsidP="001E4FCA">
            <w:pPr>
              <w:spacing w:after="0"/>
              <w:jc w:val="right"/>
              <w:rPr>
                <w:rFonts w:ascii="Trebuchet MS" w:hAnsi="Trebuchet MS"/>
                <w:sz w:val="16"/>
                <w:szCs w:val="16"/>
                <w:lang w:eastAsia="en-GB"/>
              </w:rPr>
            </w:pPr>
            <w:r w:rsidRPr="00167A1B">
              <w:rPr>
                <w:rFonts w:ascii="Trebuchet MS" w:hAnsi="Trebuchet MS"/>
                <w:sz w:val="16"/>
                <w:szCs w:val="16"/>
              </w:rPr>
              <w:t>1,528</w:t>
            </w:r>
          </w:p>
        </w:tc>
        <w:tc>
          <w:tcPr>
            <w:tcW w:w="0" w:type="auto"/>
            <w:noWrap/>
            <w:vAlign w:val="bottom"/>
            <w:hideMark/>
          </w:tcPr>
          <w:p w14:paraId="1AD1A7E7" w14:textId="3F148393" w:rsidR="001E4FCA" w:rsidRPr="00167A1B" w:rsidRDefault="001E4FCA" w:rsidP="001E4FCA">
            <w:pPr>
              <w:spacing w:after="0"/>
              <w:jc w:val="right"/>
              <w:rPr>
                <w:rFonts w:ascii="Trebuchet MS" w:hAnsi="Trebuchet MS"/>
                <w:sz w:val="16"/>
                <w:szCs w:val="16"/>
                <w:lang w:eastAsia="en-GB"/>
              </w:rPr>
            </w:pPr>
            <w:r w:rsidRPr="00167A1B">
              <w:rPr>
                <w:rFonts w:ascii="Trebuchet MS" w:hAnsi="Trebuchet MS"/>
                <w:sz w:val="16"/>
                <w:szCs w:val="16"/>
              </w:rPr>
              <w:t>1,536</w:t>
            </w:r>
          </w:p>
        </w:tc>
        <w:tc>
          <w:tcPr>
            <w:tcW w:w="1279" w:type="dxa"/>
            <w:noWrap/>
            <w:vAlign w:val="bottom"/>
            <w:hideMark/>
          </w:tcPr>
          <w:p w14:paraId="78231917" w14:textId="0B4A8799" w:rsidR="001E4FCA" w:rsidRPr="00167A1B" w:rsidRDefault="001E4FCA" w:rsidP="001E4FCA">
            <w:pPr>
              <w:spacing w:after="0"/>
              <w:jc w:val="right"/>
              <w:rPr>
                <w:rFonts w:ascii="Trebuchet MS" w:hAnsi="Trebuchet MS"/>
                <w:sz w:val="16"/>
                <w:szCs w:val="16"/>
                <w:lang w:eastAsia="en-GB"/>
              </w:rPr>
            </w:pPr>
            <w:r w:rsidRPr="00167A1B">
              <w:rPr>
                <w:rFonts w:ascii="Trebuchet MS" w:hAnsi="Trebuchet MS"/>
                <w:sz w:val="16"/>
                <w:szCs w:val="16"/>
              </w:rPr>
              <w:t>1,407</w:t>
            </w:r>
          </w:p>
        </w:tc>
        <w:tc>
          <w:tcPr>
            <w:tcW w:w="1364" w:type="dxa"/>
            <w:noWrap/>
            <w:vAlign w:val="bottom"/>
            <w:hideMark/>
          </w:tcPr>
          <w:p w14:paraId="75866ED4" w14:textId="5DAB0665" w:rsidR="001E4FCA" w:rsidRPr="00167A1B" w:rsidRDefault="001E4FCA" w:rsidP="001E4FCA">
            <w:pPr>
              <w:spacing w:after="0"/>
              <w:jc w:val="right"/>
              <w:rPr>
                <w:rFonts w:ascii="Trebuchet MS" w:hAnsi="Trebuchet MS"/>
                <w:sz w:val="16"/>
                <w:szCs w:val="16"/>
                <w:lang w:eastAsia="en-GB"/>
              </w:rPr>
            </w:pPr>
            <w:r w:rsidRPr="00167A1B">
              <w:rPr>
                <w:rFonts w:ascii="Trebuchet MS" w:hAnsi="Trebuchet MS"/>
                <w:sz w:val="16"/>
                <w:szCs w:val="16"/>
              </w:rPr>
              <w:t>1,532</w:t>
            </w:r>
          </w:p>
        </w:tc>
        <w:tc>
          <w:tcPr>
            <w:tcW w:w="1364" w:type="dxa"/>
            <w:gridSpan w:val="2"/>
            <w:noWrap/>
            <w:vAlign w:val="bottom"/>
            <w:hideMark/>
          </w:tcPr>
          <w:p w14:paraId="4156B560" w14:textId="66B99A6F" w:rsidR="001E4FCA" w:rsidRPr="00167A1B" w:rsidRDefault="001E4FCA" w:rsidP="001E4FCA">
            <w:pPr>
              <w:spacing w:after="0"/>
              <w:jc w:val="right"/>
              <w:rPr>
                <w:rFonts w:ascii="Trebuchet MS" w:hAnsi="Trebuchet MS"/>
                <w:sz w:val="16"/>
                <w:szCs w:val="16"/>
                <w:lang w:eastAsia="en-GB"/>
              </w:rPr>
            </w:pPr>
            <w:r w:rsidRPr="00167A1B">
              <w:rPr>
                <w:rFonts w:ascii="Trebuchet MS" w:hAnsi="Trebuchet MS"/>
                <w:sz w:val="16"/>
                <w:szCs w:val="16"/>
              </w:rPr>
              <w:t>1,459</w:t>
            </w:r>
          </w:p>
        </w:tc>
      </w:tr>
      <w:tr w:rsidR="001E4FCA" w:rsidRPr="00167A1B" w14:paraId="4DD97C93" w14:textId="77777777" w:rsidTr="004222CE">
        <w:trPr>
          <w:trHeight w:val="272"/>
        </w:trPr>
        <w:tc>
          <w:tcPr>
            <w:tcW w:w="1266" w:type="dxa"/>
            <w:noWrap/>
            <w:hideMark/>
          </w:tcPr>
          <w:p w14:paraId="3B509DC5" w14:textId="77777777" w:rsidR="001E4FCA" w:rsidRPr="00167A1B" w:rsidRDefault="001E4FCA" w:rsidP="001E4FCA">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91" w:type="dxa"/>
            <w:noWrap/>
            <w:vAlign w:val="bottom"/>
            <w:hideMark/>
          </w:tcPr>
          <w:p w14:paraId="1EC160D7" w14:textId="6E8DDA06" w:rsidR="001E4FCA" w:rsidRPr="00167A1B" w:rsidRDefault="001E4FCA" w:rsidP="001E4FCA">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7BACDC83" w14:textId="2B0BCB75" w:rsidR="001E4FCA" w:rsidRPr="00167A1B" w:rsidRDefault="001E4FCA" w:rsidP="001E4FCA">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-173</w:t>
            </w:r>
          </w:p>
        </w:tc>
        <w:tc>
          <w:tcPr>
            <w:tcW w:w="0" w:type="auto"/>
            <w:noWrap/>
            <w:vAlign w:val="bottom"/>
            <w:hideMark/>
          </w:tcPr>
          <w:p w14:paraId="31948793" w14:textId="6944D304" w:rsidR="001E4FCA" w:rsidRPr="00167A1B" w:rsidRDefault="001E4FCA" w:rsidP="001E4FCA">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-164</w:t>
            </w:r>
          </w:p>
        </w:tc>
        <w:tc>
          <w:tcPr>
            <w:tcW w:w="1279" w:type="dxa"/>
            <w:noWrap/>
            <w:vAlign w:val="bottom"/>
            <w:hideMark/>
          </w:tcPr>
          <w:p w14:paraId="2A21E127" w14:textId="54B7A011" w:rsidR="001E4FCA" w:rsidRPr="00167A1B" w:rsidRDefault="001E4FCA" w:rsidP="001E4FCA">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-293</w:t>
            </w:r>
          </w:p>
        </w:tc>
        <w:tc>
          <w:tcPr>
            <w:tcW w:w="1364" w:type="dxa"/>
            <w:noWrap/>
            <w:vAlign w:val="bottom"/>
            <w:hideMark/>
          </w:tcPr>
          <w:p w14:paraId="70C76B55" w14:textId="3220EA92" w:rsidR="001E4FCA" w:rsidRPr="00167A1B" w:rsidRDefault="001E4FCA" w:rsidP="001E4FCA">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-168</w:t>
            </w:r>
          </w:p>
        </w:tc>
        <w:tc>
          <w:tcPr>
            <w:tcW w:w="1364" w:type="dxa"/>
            <w:gridSpan w:val="2"/>
            <w:noWrap/>
            <w:vAlign w:val="bottom"/>
            <w:hideMark/>
          </w:tcPr>
          <w:p w14:paraId="2D6D97BD" w14:textId="5913C2AC" w:rsidR="001E4FCA" w:rsidRPr="00167A1B" w:rsidRDefault="001E4FCA" w:rsidP="001E4FCA">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-241</w:t>
            </w:r>
          </w:p>
        </w:tc>
      </w:tr>
      <w:tr w:rsidR="001E4FCA" w:rsidRPr="00167A1B" w14:paraId="5AC10DFD" w14:textId="77777777" w:rsidTr="004222CE">
        <w:trPr>
          <w:trHeight w:val="272"/>
        </w:trPr>
        <w:tc>
          <w:tcPr>
            <w:tcW w:w="1266" w:type="dxa"/>
            <w:noWrap/>
            <w:hideMark/>
          </w:tcPr>
          <w:p w14:paraId="2B8CEE24" w14:textId="77777777" w:rsidR="001E4FCA" w:rsidRPr="00167A1B" w:rsidRDefault="001E4FCA" w:rsidP="001E4FCA">
            <w:pPr>
              <w:spacing w:after="0"/>
              <w:jc w:val="left"/>
              <w:rPr>
                <w:rFonts w:ascii="Trebuchet MS" w:hAnsi="Trebuchet MS"/>
                <w:sz w:val="16"/>
                <w:szCs w:val="16"/>
                <w:lang w:eastAsia="en-GB"/>
              </w:rPr>
            </w:pPr>
            <w:r w:rsidRPr="00167A1B">
              <w:rPr>
                <w:rFonts w:ascii="Trebuchet MS" w:hAnsi="Trebuchet MS"/>
                <w:sz w:val="16"/>
                <w:szCs w:val="16"/>
                <w:lang w:eastAsia="en-GB"/>
              </w:rPr>
              <w:t>As %</w:t>
            </w:r>
          </w:p>
        </w:tc>
        <w:tc>
          <w:tcPr>
            <w:tcW w:w="1091" w:type="dxa"/>
            <w:noWrap/>
            <w:vAlign w:val="bottom"/>
            <w:hideMark/>
          </w:tcPr>
          <w:p w14:paraId="5898B3A4" w14:textId="7BFD0D06" w:rsidR="001E4FCA" w:rsidRPr="00167A1B" w:rsidRDefault="001E4FCA" w:rsidP="001E4FCA">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75308F3D" w14:textId="5D359420" w:rsidR="001E4FCA" w:rsidRPr="00167A1B" w:rsidRDefault="001E4FCA" w:rsidP="001E4FCA">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-10.2%</w:t>
            </w:r>
          </w:p>
        </w:tc>
        <w:tc>
          <w:tcPr>
            <w:tcW w:w="0" w:type="auto"/>
            <w:noWrap/>
            <w:vAlign w:val="bottom"/>
            <w:hideMark/>
          </w:tcPr>
          <w:p w14:paraId="62F4103E" w14:textId="39F019AB" w:rsidR="001E4FCA" w:rsidRPr="00167A1B" w:rsidRDefault="001E4FCA" w:rsidP="001E4FCA">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-9.7%</w:t>
            </w:r>
          </w:p>
        </w:tc>
        <w:tc>
          <w:tcPr>
            <w:tcW w:w="1279" w:type="dxa"/>
            <w:noWrap/>
            <w:vAlign w:val="bottom"/>
            <w:hideMark/>
          </w:tcPr>
          <w:p w14:paraId="482008BE" w14:textId="14344F63" w:rsidR="001E4FCA" w:rsidRPr="00167A1B" w:rsidRDefault="001E4FCA" w:rsidP="001E4FCA">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-17.2%</w:t>
            </w:r>
          </w:p>
        </w:tc>
        <w:tc>
          <w:tcPr>
            <w:tcW w:w="1364" w:type="dxa"/>
            <w:noWrap/>
            <w:vAlign w:val="bottom"/>
            <w:hideMark/>
          </w:tcPr>
          <w:p w14:paraId="0FFC4249" w14:textId="7A32262E" w:rsidR="001E4FCA" w:rsidRPr="00167A1B" w:rsidRDefault="001E4FCA" w:rsidP="001E4FCA">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-9.9%</w:t>
            </w:r>
          </w:p>
        </w:tc>
        <w:tc>
          <w:tcPr>
            <w:tcW w:w="1364" w:type="dxa"/>
            <w:gridSpan w:val="2"/>
            <w:noWrap/>
            <w:vAlign w:val="bottom"/>
            <w:hideMark/>
          </w:tcPr>
          <w:p w14:paraId="5B879527" w14:textId="368D0E4F" w:rsidR="001E4FCA" w:rsidRPr="00167A1B" w:rsidRDefault="001E4FCA" w:rsidP="001E4FCA">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-14.2%</w:t>
            </w:r>
          </w:p>
        </w:tc>
      </w:tr>
      <w:tr w:rsidR="001E4FCA" w:rsidRPr="00167A1B" w14:paraId="1CED4994" w14:textId="77777777" w:rsidTr="00814371">
        <w:trPr>
          <w:gridAfter w:val="1"/>
          <w:wAfter w:w="17" w:type="dxa"/>
          <w:trHeight w:val="270"/>
        </w:trPr>
        <w:tc>
          <w:tcPr>
            <w:tcW w:w="9061" w:type="dxa"/>
            <w:gridSpan w:val="7"/>
            <w:noWrap/>
          </w:tcPr>
          <w:p w14:paraId="6DCAECDA" w14:textId="77777777" w:rsidR="001E4FCA" w:rsidRPr="00167A1B" w:rsidRDefault="001E4FCA" w:rsidP="001E4FCA">
            <w:pPr>
              <w:spacing w:after="0"/>
              <w:jc w:val="left"/>
              <w:rPr>
                <w:rFonts w:ascii="Trebuchet MS" w:hAnsi="Trebuchet MS"/>
                <w:b/>
                <w:bCs/>
                <w:i/>
                <w:iCs/>
                <w:color w:val="006100"/>
                <w:sz w:val="16"/>
                <w:szCs w:val="16"/>
                <w:lang w:eastAsia="en-GB"/>
              </w:rPr>
            </w:pPr>
            <w:r w:rsidRPr="00167A1B">
              <w:rPr>
                <w:rFonts w:ascii="Trebuchet MS" w:hAnsi="Trebuchet MS"/>
                <w:b/>
                <w:bCs/>
                <w:i/>
                <w:iCs/>
                <w:sz w:val="16"/>
                <w:szCs w:val="16"/>
                <w:lang w:eastAsia="en-GB"/>
              </w:rPr>
              <w:t>Of which benefit for EU manufacturers (NPV million EUR)</w:t>
            </w:r>
          </w:p>
        </w:tc>
      </w:tr>
      <w:tr w:rsidR="00491CD6" w:rsidRPr="00167A1B" w14:paraId="06C09DFE" w14:textId="77777777" w:rsidTr="004222CE">
        <w:trPr>
          <w:trHeight w:val="272"/>
        </w:trPr>
        <w:tc>
          <w:tcPr>
            <w:tcW w:w="1266" w:type="dxa"/>
            <w:noWrap/>
            <w:hideMark/>
          </w:tcPr>
          <w:p w14:paraId="63661102"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Total 2024-2030</w:t>
            </w:r>
          </w:p>
        </w:tc>
        <w:tc>
          <w:tcPr>
            <w:tcW w:w="1091" w:type="dxa"/>
            <w:noWrap/>
            <w:vAlign w:val="bottom"/>
            <w:hideMark/>
          </w:tcPr>
          <w:p w14:paraId="5DA76420" w14:textId="417E29F0"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1,519</w:t>
            </w:r>
          </w:p>
        </w:tc>
        <w:tc>
          <w:tcPr>
            <w:tcW w:w="0" w:type="auto"/>
            <w:noWrap/>
            <w:vAlign w:val="bottom"/>
            <w:hideMark/>
          </w:tcPr>
          <w:p w14:paraId="79B8F6C3" w14:textId="60B3183B"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1,342</w:t>
            </w:r>
          </w:p>
        </w:tc>
        <w:tc>
          <w:tcPr>
            <w:tcW w:w="0" w:type="auto"/>
            <w:noWrap/>
            <w:vAlign w:val="bottom"/>
            <w:hideMark/>
          </w:tcPr>
          <w:p w14:paraId="47DFA08F" w14:textId="3A9F710E"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1,342</w:t>
            </w:r>
          </w:p>
        </w:tc>
        <w:tc>
          <w:tcPr>
            <w:tcW w:w="1279" w:type="dxa"/>
            <w:noWrap/>
            <w:vAlign w:val="bottom"/>
            <w:hideMark/>
          </w:tcPr>
          <w:p w14:paraId="691F6264" w14:textId="3371E0EB"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1,536</w:t>
            </w:r>
          </w:p>
        </w:tc>
        <w:tc>
          <w:tcPr>
            <w:tcW w:w="1364" w:type="dxa"/>
            <w:noWrap/>
            <w:vAlign w:val="bottom"/>
            <w:hideMark/>
          </w:tcPr>
          <w:p w14:paraId="740E8B5D" w14:textId="3372A675"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1,642</w:t>
            </w:r>
          </w:p>
        </w:tc>
        <w:tc>
          <w:tcPr>
            <w:tcW w:w="1364" w:type="dxa"/>
            <w:gridSpan w:val="2"/>
            <w:noWrap/>
            <w:vAlign w:val="bottom"/>
            <w:hideMark/>
          </w:tcPr>
          <w:p w14:paraId="6D056458" w14:textId="57E6784F"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1,608</w:t>
            </w:r>
          </w:p>
        </w:tc>
      </w:tr>
      <w:tr w:rsidR="00491CD6" w:rsidRPr="00167A1B" w14:paraId="70C68C91" w14:textId="77777777" w:rsidTr="004222CE">
        <w:trPr>
          <w:trHeight w:val="272"/>
        </w:trPr>
        <w:tc>
          <w:tcPr>
            <w:tcW w:w="1266" w:type="dxa"/>
            <w:noWrap/>
            <w:hideMark/>
          </w:tcPr>
          <w:p w14:paraId="2679DB84"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91" w:type="dxa"/>
            <w:noWrap/>
            <w:vAlign w:val="bottom"/>
            <w:hideMark/>
          </w:tcPr>
          <w:p w14:paraId="2BE710F1" w14:textId="5063C0B1"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5A81A868" w14:textId="5427B172"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-176</w:t>
            </w:r>
          </w:p>
        </w:tc>
        <w:tc>
          <w:tcPr>
            <w:tcW w:w="0" w:type="auto"/>
            <w:noWrap/>
            <w:vAlign w:val="bottom"/>
            <w:hideMark/>
          </w:tcPr>
          <w:p w14:paraId="3B267E7A" w14:textId="59A2D49E"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-176</w:t>
            </w:r>
          </w:p>
        </w:tc>
        <w:tc>
          <w:tcPr>
            <w:tcW w:w="1279" w:type="dxa"/>
            <w:noWrap/>
            <w:vAlign w:val="bottom"/>
            <w:hideMark/>
          </w:tcPr>
          <w:p w14:paraId="4ECEE4A3" w14:textId="2600DD80"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006100"/>
                <w:sz w:val="16"/>
                <w:szCs w:val="16"/>
              </w:rPr>
              <w:t>17</w:t>
            </w:r>
          </w:p>
        </w:tc>
        <w:tc>
          <w:tcPr>
            <w:tcW w:w="1364" w:type="dxa"/>
            <w:noWrap/>
            <w:vAlign w:val="bottom"/>
            <w:hideMark/>
          </w:tcPr>
          <w:p w14:paraId="722624A4" w14:textId="0F149E36"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123</w:t>
            </w:r>
          </w:p>
        </w:tc>
        <w:tc>
          <w:tcPr>
            <w:tcW w:w="1364" w:type="dxa"/>
            <w:gridSpan w:val="2"/>
            <w:noWrap/>
            <w:vAlign w:val="bottom"/>
            <w:hideMark/>
          </w:tcPr>
          <w:p w14:paraId="3C58A934" w14:textId="785725BE"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89</w:t>
            </w:r>
          </w:p>
        </w:tc>
      </w:tr>
      <w:tr w:rsidR="00491CD6" w:rsidRPr="00167A1B" w14:paraId="193A934C" w14:textId="77777777" w:rsidTr="004222CE">
        <w:trPr>
          <w:trHeight w:val="272"/>
        </w:trPr>
        <w:tc>
          <w:tcPr>
            <w:tcW w:w="1266" w:type="dxa"/>
            <w:noWrap/>
            <w:hideMark/>
          </w:tcPr>
          <w:p w14:paraId="0C0B8A25"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Annual average</w:t>
            </w:r>
          </w:p>
        </w:tc>
        <w:tc>
          <w:tcPr>
            <w:tcW w:w="1091" w:type="dxa"/>
            <w:noWrap/>
            <w:vAlign w:val="bottom"/>
            <w:hideMark/>
          </w:tcPr>
          <w:p w14:paraId="31BF5D79" w14:textId="0E582AB7"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217</w:t>
            </w:r>
          </w:p>
        </w:tc>
        <w:tc>
          <w:tcPr>
            <w:tcW w:w="0" w:type="auto"/>
            <w:noWrap/>
            <w:vAlign w:val="bottom"/>
            <w:hideMark/>
          </w:tcPr>
          <w:p w14:paraId="1571AEFF" w14:textId="1EAAD964"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192</w:t>
            </w:r>
          </w:p>
        </w:tc>
        <w:tc>
          <w:tcPr>
            <w:tcW w:w="0" w:type="auto"/>
            <w:noWrap/>
            <w:vAlign w:val="bottom"/>
            <w:hideMark/>
          </w:tcPr>
          <w:p w14:paraId="45531D6A" w14:textId="320E50A6"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192</w:t>
            </w:r>
          </w:p>
        </w:tc>
        <w:tc>
          <w:tcPr>
            <w:tcW w:w="1279" w:type="dxa"/>
            <w:noWrap/>
            <w:vAlign w:val="bottom"/>
            <w:hideMark/>
          </w:tcPr>
          <w:p w14:paraId="209C4EDD" w14:textId="1F2E64EF"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219</w:t>
            </w:r>
          </w:p>
        </w:tc>
        <w:tc>
          <w:tcPr>
            <w:tcW w:w="1364" w:type="dxa"/>
            <w:noWrap/>
            <w:vAlign w:val="bottom"/>
            <w:hideMark/>
          </w:tcPr>
          <w:p w14:paraId="278A4895" w14:textId="0B4AFD34"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235</w:t>
            </w:r>
          </w:p>
        </w:tc>
        <w:tc>
          <w:tcPr>
            <w:tcW w:w="1364" w:type="dxa"/>
            <w:gridSpan w:val="2"/>
            <w:noWrap/>
            <w:vAlign w:val="bottom"/>
            <w:hideMark/>
          </w:tcPr>
          <w:p w14:paraId="7F0F3CDD" w14:textId="788E8277"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230</w:t>
            </w:r>
          </w:p>
        </w:tc>
      </w:tr>
      <w:tr w:rsidR="00491CD6" w:rsidRPr="00167A1B" w14:paraId="3A238B8A" w14:textId="77777777" w:rsidTr="004222CE">
        <w:trPr>
          <w:trHeight w:val="272"/>
        </w:trPr>
        <w:tc>
          <w:tcPr>
            <w:tcW w:w="1266" w:type="dxa"/>
            <w:noWrap/>
            <w:hideMark/>
          </w:tcPr>
          <w:p w14:paraId="77319563"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91" w:type="dxa"/>
            <w:noWrap/>
            <w:vAlign w:val="bottom"/>
            <w:hideMark/>
          </w:tcPr>
          <w:p w14:paraId="443CDB72" w14:textId="64B8C7E6"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6DBB6E37" w14:textId="7E930F58"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-25</w:t>
            </w:r>
          </w:p>
        </w:tc>
        <w:tc>
          <w:tcPr>
            <w:tcW w:w="0" w:type="auto"/>
            <w:noWrap/>
            <w:vAlign w:val="bottom"/>
            <w:hideMark/>
          </w:tcPr>
          <w:p w14:paraId="4A8030F6" w14:textId="7CD5EE6B"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-25</w:t>
            </w:r>
          </w:p>
        </w:tc>
        <w:tc>
          <w:tcPr>
            <w:tcW w:w="1279" w:type="dxa"/>
            <w:noWrap/>
            <w:vAlign w:val="bottom"/>
            <w:hideMark/>
          </w:tcPr>
          <w:p w14:paraId="32E3264F" w14:textId="49B6F833"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006100"/>
                <w:sz w:val="16"/>
                <w:szCs w:val="16"/>
              </w:rPr>
              <w:t>2</w:t>
            </w:r>
          </w:p>
        </w:tc>
        <w:tc>
          <w:tcPr>
            <w:tcW w:w="1364" w:type="dxa"/>
            <w:noWrap/>
            <w:vAlign w:val="bottom"/>
            <w:hideMark/>
          </w:tcPr>
          <w:p w14:paraId="4F416F7A" w14:textId="7A4F0253"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18</w:t>
            </w:r>
          </w:p>
        </w:tc>
        <w:tc>
          <w:tcPr>
            <w:tcW w:w="1364" w:type="dxa"/>
            <w:gridSpan w:val="2"/>
            <w:noWrap/>
            <w:vAlign w:val="bottom"/>
            <w:hideMark/>
          </w:tcPr>
          <w:p w14:paraId="1C5E7FCD" w14:textId="14FC10EA"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13</w:t>
            </w:r>
          </w:p>
        </w:tc>
      </w:tr>
      <w:tr w:rsidR="00491CD6" w:rsidRPr="00167A1B" w14:paraId="0597DC3B" w14:textId="77777777" w:rsidTr="004222CE">
        <w:trPr>
          <w:trHeight w:val="272"/>
        </w:trPr>
        <w:tc>
          <w:tcPr>
            <w:tcW w:w="1266" w:type="dxa"/>
            <w:noWrap/>
            <w:hideMark/>
          </w:tcPr>
          <w:p w14:paraId="00AD0A46"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As %</w:t>
            </w:r>
          </w:p>
        </w:tc>
        <w:tc>
          <w:tcPr>
            <w:tcW w:w="1091" w:type="dxa"/>
            <w:noWrap/>
            <w:vAlign w:val="bottom"/>
            <w:hideMark/>
          </w:tcPr>
          <w:p w14:paraId="096FCA71" w14:textId="152D4081"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20B60E92" w14:textId="0296C20B"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-11.6%</w:t>
            </w:r>
          </w:p>
        </w:tc>
        <w:tc>
          <w:tcPr>
            <w:tcW w:w="0" w:type="auto"/>
            <w:noWrap/>
            <w:vAlign w:val="bottom"/>
            <w:hideMark/>
          </w:tcPr>
          <w:p w14:paraId="0359BAE4" w14:textId="2654216A"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-11.6%</w:t>
            </w:r>
          </w:p>
        </w:tc>
        <w:tc>
          <w:tcPr>
            <w:tcW w:w="1279" w:type="dxa"/>
            <w:noWrap/>
            <w:vAlign w:val="bottom"/>
            <w:hideMark/>
          </w:tcPr>
          <w:p w14:paraId="24636F5F" w14:textId="09CC74CE"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006100"/>
                <w:sz w:val="16"/>
                <w:szCs w:val="16"/>
              </w:rPr>
              <w:t>1.1%</w:t>
            </w:r>
          </w:p>
        </w:tc>
        <w:tc>
          <w:tcPr>
            <w:tcW w:w="1364" w:type="dxa"/>
            <w:noWrap/>
            <w:vAlign w:val="bottom"/>
            <w:hideMark/>
          </w:tcPr>
          <w:p w14:paraId="15B443A1" w14:textId="1F59BD08"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8.1%</w:t>
            </w:r>
          </w:p>
        </w:tc>
        <w:tc>
          <w:tcPr>
            <w:tcW w:w="1364" w:type="dxa"/>
            <w:gridSpan w:val="2"/>
            <w:noWrap/>
            <w:vAlign w:val="bottom"/>
            <w:hideMark/>
          </w:tcPr>
          <w:p w14:paraId="3F93247C" w14:textId="634CD19D"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5.9%</w:t>
            </w:r>
          </w:p>
        </w:tc>
      </w:tr>
      <w:tr w:rsidR="001E4FCA" w:rsidRPr="00167A1B" w14:paraId="27BD3E51" w14:textId="77777777" w:rsidTr="00814371">
        <w:trPr>
          <w:gridAfter w:val="1"/>
          <w:wAfter w:w="17" w:type="dxa"/>
          <w:trHeight w:val="270"/>
        </w:trPr>
        <w:tc>
          <w:tcPr>
            <w:tcW w:w="9061" w:type="dxa"/>
            <w:gridSpan w:val="7"/>
            <w:noWrap/>
          </w:tcPr>
          <w:p w14:paraId="2E4BA9C9" w14:textId="77777777" w:rsidR="001E4FCA" w:rsidRPr="00167A1B" w:rsidRDefault="001E4FCA" w:rsidP="001E4FCA">
            <w:pPr>
              <w:spacing w:after="0"/>
              <w:jc w:val="left"/>
              <w:rPr>
                <w:rFonts w:ascii="Trebuchet MS" w:hAnsi="Trebuchet MS"/>
                <w:b/>
                <w:bCs/>
                <w:color w:val="9C0006"/>
                <w:sz w:val="16"/>
                <w:szCs w:val="16"/>
              </w:rPr>
            </w:pPr>
            <w:r w:rsidRPr="00167A1B">
              <w:rPr>
                <w:rFonts w:ascii="Trebuchet MS" w:hAnsi="Trebuchet MS"/>
                <w:b/>
                <w:bCs/>
                <w:sz w:val="16"/>
                <w:szCs w:val="16"/>
                <w:lang w:eastAsia="en-GB"/>
              </w:rPr>
              <w:t>Benefit for distributors and retailers until point of sale [NPV million EUR]</w:t>
            </w:r>
          </w:p>
        </w:tc>
      </w:tr>
      <w:tr w:rsidR="00491CD6" w:rsidRPr="00167A1B" w14:paraId="7AFC6A23" w14:textId="77777777" w:rsidTr="004222CE">
        <w:trPr>
          <w:trHeight w:val="272"/>
        </w:trPr>
        <w:tc>
          <w:tcPr>
            <w:tcW w:w="1266" w:type="dxa"/>
            <w:noWrap/>
          </w:tcPr>
          <w:p w14:paraId="7ED65C29"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Total 2024-2030</w:t>
            </w:r>
          </w:p>
        </w:tc>
        <w:tc>
          <w:tcPr>
            <w:tcW w:w="1091" w:type="dxa"/>
            <w:noWrap/>
            <w:vAlign w:val="bottom"/>
          </w:tcPr>
          <w:p w14:paraId="009A9153" w14:textId="04407268" w:rsidR="00491CD6" w:rsidRPr="00167A1B" w:rsidRDefault="00491CD6" w:rsidP="004222CE">
            <w:pPr>
              <w:spacing w:after="0"/>
              <w:jc w:val="right"/>
              <w:rPr>
                <w:rFonts w:ascii="Trebuchet MS" w:hAnsi="Trebuchet MS"/>
                <w:sz w:val="16"/>
                <w:szCs w:val="16"/>
              </w:rPr>
            </w:pPr>
            <w:r w:rsidRPr="00167A1B">
              <w:rPr>
                <w:rFonts w:ascii="Trebuchet MS" w:hAnsi="Trebuchet MS"/>
                <w:b/>
                <w:bCs/>
                <w:sz w:val="16"/>
                <w:szCs w:val="16"/>
              </w:rPr>
              <w:t>22,177</w:t>
            </w:r>
          </w:p>
        </w:tc>
        <w:tc>
          <w:tcPr>
            <w:tcW w:w="0" w:type="auto"/>
            <w:noWrap/>
            <w:vAlign w:val="bottom"/>
          </w:tcPr>
          <w:p w14:paraId="44C5DD84" w14:textId="1F67031E"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b/>
                <w:bCs/>
                <w:sz w:val="16"/>
                <w:szCs w:val="16"/>
              </w:rPr>
              <w:t>19,559</w:t>
            </w:r>
          </w:p>
        </w:tc>
        <w:tc>
          <w:tcPr>
            <w:tcW w:w="0" w:type="auto"/>
            <w:noWrap/>
            <w:vAlign w:val="bottom"/>
          </w:tcPr>
          <w:p w14:paraId="75CFEBEA" w14:textId="71EFA1C0"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b/>
                <w:bCs/>
                <w:sz w:val="16"/>
                <w:szCs w:val="16"/>
              </w:rPr>
              <w:t>19,544</w:t>
            </w:r>
          </w:p>
        </w:tc>
        <w:tc>
          <w:tcPr>
            <w:tcW w:w="1279" w:type="dxa"/>
            <w:noWrap/>
            <w:vAlign w:val="bottom"/>
          </w:tcPr>
          <w:p w14:paraId="449A68F1" w14:textId="26264FDC"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b/>
                <w:bCs/>
                <w:sz w:val="16"/>
                <w:szCs w:val="16"/>
              </w:rPr>
              <w:t>22,974</w:t>
            </w:r>
          </w:p>
        </w:tc>
        <w:tc>
          <w:tcPr>
            <w:tcW w:w="1364" w:type="dxa"/>
            <w:noWrap/>
            <w:vAlign w:val="bottom"/>
          </w:tcPr>
          <w:p w14:paraId="72B8C5FB" w14:textId="74CBE38D"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b/>
                <w:bCs/>
                <w:sz w:val="16"/>
                <w:szCs w:val="16"/>
              </w:rPr>
              <w:t>24,516</w:t>
            </w:r>
          </w:p>
        </w:tc>
        <w:tc>
          <w:tcPr>
            <w:tcW w:w="1364" w:type="dxa"/>
            <w:gridSpan w:val="2"/>
            <w:noWrap/>
            <w:vAlign w:val="bottom"/>
          </w:tcPr>
          <w:p w14:paraId="3590259F" w14:textId="201AF3A7"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b/>
                <w:bCs/>
                <w:sz w:val="16"/>
                <w:szCs w:val="16"/>
              </w:rPr>
              <w:t>24,072</w:t>
            </w:r>
          </w:p>
        </w:tc>
      </w:tr>
      <w:tr w:rsidR="00491CD6" w:rsidRPr="00167A1B" w14:paraId="7D14C93C" w14:textId="77777777" w:rsidTr="004222CE">
        <w:trPr>
          <w:trHeight w:val="272"/>
        </w:trPr>
        <w:tc>
          <w:tcPr>
            <w:tcW w:w="1266" w:type="dxa"/>
            <w:noWrap/>
          </w:tcPr>
          <w:p w14:paraId="4080A7BE"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91" w:type="dxa"/>
            <w:noWrap/>
            <w:vAlign w:val="bottom"/>
          </w:tcPr>
          <w:p w14:paraId="22AFF493" w14:textId="7C42B3F5" w:rsidR="00491CD6" w:rsidRPr="00167A1B" w:rsidRDefault="00491CD6" w:rsidP="004222CE">
            <w:pPr>
              <w:spacing w:after="0"/>
              <w:jc w:val="right"/>
              <w:rPr>
                <w:rFonts w:ascii="Trebuchet MS" w:hAnsi="Trebuchet MS"/>
                <w:sz w:val="16"/>
                <w:szCs w:val="16"/>
              </w:rPr>
            </w:pPr>
            <w:r w:rsidRPr="00167A1B">
              <w:rPr>
                <w:rFonts w:ascii="Trebuchet MS" w:hAnsi="Trebuchet MS"/>
                <w:sz w:val="16"/>
                <w:szCs w:val="16"/>
              </w:rPr>
              <w:t> </w:t>
            </w:r>
          </w:p>
        </w:tc>
        <w:tc>
          <w:tcPr>
            <w:tcW w:w="0" w:type="auto"/>
            <w:noWrap/>
            <w:vAlign w:val="bottom"/>
          </w:tcPr>
          <w:p w14:paraId="534668FE" w14:textId="3A8B9524"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9C0006"/>
                <w:sz w:val="16"/>
                <w:szCs w:val="16"/>
              </w:rPr>
              <w:t>-2,618</w:t>
            </w:r>
          </w:p>
        </w:tc>
        <w:tc>
          <w:tcPr>
            <w:tcW w:w="0" w:type="auto"/>
            <w:noWrap/>
            <w:vAlign w:val="bottom"/>
          </w:tcPr>
          <w:p w14:paraId="4F36BDF3" w14:textId="530B49A8"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9C0006"/>
                <w:sz w:val="16"/>
                <w:szCs w:val="16"/>
              </w:rPr>
              <w:t>-2,633</w:t>
            </w:r>
          </w:p>
        </w:tc>
        <w:tc>
          <w:tcPr>
            <w:tcW w:w="1279" w:type="dxa"/>
            <w:noWrap/>
            <w:vAlign w:val="bottom"/>
          </w:tcPr>
          <w:p w14:paraId="0221FFC7" w14:textId="2004F4C2"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006100"/>
                <w:sz w:val="16"/>
                <w:szCs w:val="16"/>
              </w:rPr>
              <w:t>796</w:t>
            </w:r>
          </w:p>
        </w:tc>
        <w:tc>
          <w:tcPr>
            <w:tcW w:w="1364" w:type="dxa"/>
            <w:noWrap/>
            <w:vAlign w:val="bottom"/>
          </w:tcPr>
          <w:p w14:paraId="6D5E295E" w14:textId="08695BDD"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color w:val="006100"/>
                <w:sz w:val="16"/>
                <w:szCs w:val="16"/>
              </w:rPr>
              <w:t>2,339</w:t>
            </w:r>
          </w:p>
        </w:tc>
        <w:tc>
          <w:tcPr>
            <w:tcW w:w="1364" w:type="dxa"/>
            <w:gridSpan w:val="2"/>
            <w:noWrap/>
            <w:vAlign w:val="bottom"/>
          </w:tcPr>
          <w:p w14:paraId="5065DE35" w14:textId="0F26F13D"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color w:val="006100"/>
                <w:sz w:val="16"/>
                <w:szCs w:val="16"/>
              </w:rPr>
              <w:t>1,895</w:t>
            </w:r>
          </w:p>
        </w:tc>
      </w:tr>
      <w:tr w:rsidR="00491CD6" w:rsidRPr="00167A1B" w14:paraId="48E727D5" w14:textId="77777777" w:rsidTr="004222CE">
        <w:trPr>
          <w:trHeight w:val="272"/>
        </w:trPr>
        <w:tc>
          <w:tcPr>
            <w:tcW w:w="1266" w:type="dxa"/>
            <w:noWrap/>
          </w:tcPr>
          <w:p w14:paraId="2178FBCF"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Annual average</w:t>
            </w:r>
          </w:p>
        </w:tc>
        <w:tc>
          <w:tcPr>
            <w:tcW w:w="1091" w:type="dxa"/>
            <w:noWrap/>
            <w:vAlign w:val="bottom"/>
          </w:tcPr>
          <w:p w14:paraId="3960F52A" w14:textId="27CBACDE" w:rsidR="00491CD6" w:rsidRPr="00167A1B" w:rsidRDefault="00491CD6" w:rsidP="004222CE">
            <w:pPr>
              <w:spacing w:after="0"/>
              <w:jc w:val="right"/>
              <w:rPr>
                <w:rFonts w:ascii="Trebuchet MS" w:hAnsi="Trebuchet MS"/>
                <w:sz w:val="16"/>
                <w:szCs w:val="16"/>
              </w:rPr>
            </w:pPr>
            <w:r w:rsidRPr="00167A1B">
              <w:rPr>
                <w:rFonts w:ascii="Trebuchet MS" w:hAnsi="Trebuchet MS"/>
                <w:sz w:val="16"/>
                <w:szCs w:val="16"/>
              </w:rPr>
              <w:t>3,168</w:t>
            </w:r>
          </w:p>
        </w:tc>
        <w:tc>
          <w:tcPr>
            <w:tcW w:w="0" w:type="auto"/>
            <w:noWrap/>
            <w:vAlign w:val="bottom"/>
          </w:tcPr>
          <w:p w14:paraId="57AA123D" w14:textId="40D0A666"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sz w:val="16"/>
                <w:szCs w:val="16"/>
              </w:rPr>
              <w:t>2,794</w:t>
            </w:r>
          </w:p>
        </w:tc>
        <w:tc>
          <w:tcPr>
            <w:tcW w:w="0" w:type="auto"/>
            <w:noWrap/>
            <w:vAlign w:val="bottom"/>
          </w:tcPr>
          <w:p w14:paraId="328AA107" w14:textId="67C8AA66"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sz w:val="16"/>
                <w:szCs w:val="16"/>
              </w:rPr>
              <w:t>2,792</w:t>
            </w:r>
          </w:p>
        </w:tc>
        <w:tc>
          <w:tcPr>
            <w:tcW w:w="1279" w:type="dxa"/>
            <w:noWrap/>
            <w:vAlign w:val="bottom"/>
          </w:tcPr>
          <w:p w14:paraId="0B504E7B" w14:textId="1C9C532C"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sz w:val="16"/>
                <w:szCs w:val="16"/>
              </w:rPr>
              <w:t>3,282</w:t>
            </w:r>
          </w:p>
        </w:tc>
        <w:tc>
          <w:tcPr>
            <w:tcW w:w="1364" w:type="dxa"/>
            <w:noWrap/>
            <w:vAlign w:val="bottom"/>
          </w:tcPr>
          <w:p w14:paraId="22DF7C5C" w14:textId="1D3B140A"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sz w:val="16"/>
                <w:szCs w:val="16"/>
              </w:rPr>
              <w:t>3,502</w:t>
            </w:r>
          </w:p>
        </w:tc>
        <w:tc>
          <w:tcPr>
            <w:tcW w:w="1364" w:type="dxa"/>
            <w:gridSpan w:val="2"/>
            <w:noWrap/>
            <w:vAlign w:val="bottom"/>
          </w:tcPr>
          <w:p w14:paraId="72B28752" w14:textId="09A72B31"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sz w:val="16"/>
                <w:szCs w:val="16"/>
              </w:rPr>
              <w:t>3,439</w:t>
            </w:r>
          </w:p>
        </w:tc>
      </w:tr>
      <w:tr w:rsidR="00491CD6" w:rsidRPr="00167A1B" w14:paraId="047E2F69" w14:textId="77777777" w:rsidTr="004222CE">
        <w:trPr>
          <w:trHeight w:val="272"/>
        </w:trPr>
        <w:tc>
          <w:tcPr>
            <w:tcW w:w="1266" w:type="dxa"/>
            <w:noWrap/>
          </w:tcPr>
          <w:p w14:paraId="66EFE3B4"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91" w:type="dxa"/>
            <w:noWrap/>
            <w:vAlign w:val="bottom"/>
          </w:tcPr>
          <w:p w14:paraId="1BFF5B9E" w14:textId="7D12CDB5" w:rsidR="00491CD6" w:rsidRPr="00167A1B" w:rsidRDefault="00491CD6" w:rsidP="00491CD6">
            <w:pPr>
              <w:spacing w:after="0"/>
              <w:jc w:val="left"/>
              <w:rPr>
                <w:rFonts w:ascii="Trebuchet MS" w:hAnsi="Trebuchet MS"/>
                <w:sz w:val="16"/>
                <w:szCs w:val="16"/>
              </w:rPr>
            </w:pPr>
            <w:r w:rsidRPr="00167A1B">
              <w:rPr>
                <w:rFonts w:ascii="Trebuchet MS" w:hAnsi="Trebuchet MS"/>
                <w:sz w:val="16"/>
                <w:szCs w:val="16"/>
              </w:rPr>
              <w:t> </w:t>
            </w:r>
          </w:p>
        </w:tc>
        <w:tc>
          <w:tcPr>
            <w:tcW w:w="0" w:type="auto"/>
            <w:noWrap/>
            <w:vAlign w:val="bottom"/>
          </w:tcPr>
          <w:p w14:paraId="2E6A6D1A" w14:textId="726CE3ED"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9C0006"/>
                <w:sz w:val="16"/>
                <w:szCs w:val="16"/>
              </w:rPr>
              <w:t>-374</w:t>
            </w:r>
          </w:p>
        </w:tc>
        <w:tc>
          <w:tcPr>
            <w:tcW w:w="0" w:type="auto"/>
            <w:noWrap/>
            <w:vAlign w:val="bottom"/>
          </w:tcPr>
          <w:p w14:paraId="43E85AD5" w14:textId="43E1D346"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9C0006"/>
                <w:sz w:val="16"/>
                <w:szCs w:val="16"/>
              </w:rPr>
              <w:t>-376</w:t>
            </w:r>
          </w:p>
        </w:tc>
        <w:tc>
          <w:tcPr>
            <w:tcW w:w="1279" w:type="dxa"/>
            <w:noWrap/>
            <w:vAlign w:val="bottom"/>
          </w:tcPr>
          <w:p w14:paraId="43F175CB" w14:textId="5B6C106B"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006100"/>
                <w:sz w:val="16"/>
                <w:szCs w:val="16"/>
              </w:rPr>
              <w:t>114</w:t>
            </w:r>
          </w:p>
        </w:tc>
        <w:tc>
          <w:tcPr>
            <w:tcW w:w="1364" w:type="dxa"/>
            <w:noWrap/>
            <w:vAlign w:val="bottom"/>
          </w:tcPr>
          <w:p w14:paraId="2140D37A" w14:textId="40110850"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color w:val="006100"/>
                <w:sz w:val="16"/>
                <w:szCs w:val="16"/>
              </w:rPr>
              <w:t>334</w:t>
            </w:r>
          </w:p>
        </w:tc>
        <w:tc>
          <w:tcPr>
            <w:tcW w:w="1364" w:type="dxa"/>
            <w:gridSpan w:val="2"/>
            <w:noWrap/>
            <w:vAlign w:val="bottom"/>
          </w:tcPr>
          <w:p w14:paraId="4EFDA3EB" w14:textId="7A40A119"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color w:val="006100"/>
                <w:sz w:val="16"/>
                <w:szCs w:val="16"/>
              </w:rPr>
              <w:t>271</w:t>
            </w:r>
          </w:p>
        </w:tc>
      </w:tr>
      <w:tr w:rsidR="00491CD6" w:rsidRPr="00167A1B" w14:paraId="6F9CB11B" w14:textId="77777777" w:rsidTr="00157B22">
        <w:trPr>
          <w:trHeight w:val="272"/>
        </w:trPr>
        <w:tc>
          <w:tcPr>
            <w:tcW w:w="1266" w:type="dxa"/>
            <w:tcBorders>
              <w:bottom w:val="nil"/>
            </w:tcBorders>
            <w:noWrap/>
          </w:tcPr>
          <w:p w14:paraId="77ED7C9F"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As %</w:t>
            </w:r>
          </w:p>
        </w:tc>
        <w:tc>
          <w:tcPr>
            <w:tcW w:w="1091" w:type="dxa"/>
            <w:tcBorders>
              <w:bottom w:val="nil"/>
            </w:tcBorders>
            <w:noWrap/>
            <w:vAlign w:val="bottom"/>
          </w:tcPr>
          <w:p w14:paraId="6CD2E9C7" w14:textId="3C8A8C11" w:rsidR="00491CD6" w:rsidRPr="00167A1B" w:rsidRDefault="00491CD6" w:rsidP="00491CD6">
            <w:pPr>
              <w:spacing w:after="0"/>
              <w:jc w:val="left"/>
              <w:rPr>
                <w:rFonts w:ascii="Trebuchet MS" w:hAnsi="Trebuchet MS"/>
                <w:sz w:val="16"/>
                <w:szCs w:val="16"/>
              </w:rPr>
            </w:pPr>
            <w:r w:rsidRPr="00167A1B">
              <w:rPr>
                <w:rFonts w:ascii="Trebuchet MS" w:hAnsi="Trebuchet MS"/>
                <w:sz w:val="16"/>
                <w:szCs w:val="16"/>
              </w:rPr>
              <w:t> </w:t>
            </w:r>
          </w:p>
        </w:tc>
        <w:tc>
          <w:tcPr>
            <w:tcW w:w="0" w:type="auto"/>
            <w:tcBorders>
              <w:bottom w:val="nil"/>
            </w:tcBorders>
            <w:noWrap/>
            <w:vAlign w:val="bottom"/>
          </w:tcPr>
          <w:p w14:paraId="725F679C" w14:textId="7DCB122F"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9C0006"/>
                <w:sz w:val="16"/>
                <w:szCs w:val="16"/>
              </w:rPr>
              <w:t>-11.8%</w:t>
            </w:r>
          </w:p>
        </w:tc>
        <w:tc>
          <w:tcPr>
            <w:tcW w:w="0" w:type="auto"/>
            <w:tcBorders>
              <w:bottom w:val="nil"/>
            </w:tcBorders>
            <w:noWrap/>
            <w:vAlign w:val="bottom"/>
          </w:tcPr>
          <w:p w14:paraId="5116B04D" w14:textId="08CE0134"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9C0006"/>
                <w:sz w:val="16"/>
                <w:szCs w:val="16"/>
              </w:rPr>
              <w:t>-11.9%</w:t>
            </w:r>
          </w:p>
        </w:tc>
        <w:tc>
          <w:tcPr>
            <w:tcW w:w="1279" w:type="dxa"/>
            <w:tcBorders>
              <w:bottom w:val="nil"/>
            </w:tcBorders>
            <w:noWrap/>
            <w:vAlign w:val="bottom"/>
          </w:tcPr>
          <w:p w14:paraId="6E7651B6" w14:textId="3B327D07"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006100"/>
                <w:sz w:val="16"/>
                <w:szCs w:val="16"/>
              </w:rPr>
              <w:t>3.6%</w:t>
            </w:r>
          </w:p>
        </w:tc>
        <w:tc>
          <w:tcPr>
            <w:tcW w:w="1364" w:type="dxa"/>
            <w:tcBorders>
              <w:bottom w:val="nil"/>
            </w:tcBorders>
            <w:noWrap/>
            <w:vAlign w:val="bottom"/>
          </w:tcPr>
          <w:p w14:paraId="4C29A7DB" w14:textId="040DEAB5"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color w:val="006100"/>
                <w:sz w:val="16"/>
                <w:szCs w:val="16"/>
              </w:rPr>
              <w:t>10.5%</w:t>
            </w:r>
          </w:p>
        </w:tc>
        <w:tc>
          <w:tcPr>
            <w:tcW w:w="1364" w:type="dxa"/>
            <w:gridSpan w:val="2"/>
            <w:tcBorders>
              <w:bottom w:val="nil"/>
            </w:tcBorders>
            <w:noWrap/>
            <w:vAlign w:val="bottom"/>
          </w:tcPr>
          <w:p w14:paraId="75195665" w14:textId="6CC78784"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color w:val="006100"/>
                <w:sz w:val="16"/>
                <w:szCs w:val="16"/>
              </w:rPr>
              <w:t>8.5%</w:t>
            </w:r>
          </w:p>
        </w:tc>
      </w:tr>
      <w:tr w:rsidR="004222CE" w:rsidRPr="00167A1B" w14:paraId="7C780634" w14:textId="7DB1CDE8" w:rsidTr="00157B22">
        <w:trPr>
          <w:trHeight w:val="50"/>
        </w:trPr>
        <w:tc>
          <w:tcPr>
            <w:tcW w:w="1266" w:type="dxa"/>
            <w:tcBorders>
              <w:top w:val="nil"/>
              <w:left w:val="nil"/>
              <w:bottom w:val="nil"/>
              <w:right w:val="nil"/>
            </w:tcBorders>
            <w:shd w:val="clear" w:color="auto" w:fill="auto"/>
            <w:noWrap/>
            <w:vAlign w:val="center"/>
          </w:tcPr>
          <w:p w14:paraId="07363996" w14:textId="4786D357" w:rsidR="00491CD6" w:rsidRPr="00167A1B" w:rsidRDefault="00491CD6" w:rsidP="00157B22">
            <w:pPr>
              <w:spacing w:after="0"/>
              <w:jc w:val="left"/>
              <w:rPr>
                <w:rFonts w:ascii="Trebuchet MS" w:hAnsi="Trebuchet MS"/>
                <w:sz w:val="6"/>
                <w:szCs w:val="6"/>
                <w:lang w:eastAsia="en-GB"/>
              </w:rPr>
            </w:pPr>
          </w:p>
        </w:tc>
        <w:tc>
          <w:tcPr>
            <w:tcW w:w="1091" w:type="dxa"/>
            <w:tcBorders>
              <w:top w:val="nil"/>
              <w:left w:val="nil"/>
              <w:bottom w:val="nil"/>
              <w:right w:val="nil"/>
            </w:tcBorders>
            <w:shd w:val="clear" w:color="auto" w:fill="auto"/>
            <w:noWrap/>
            <w:vAlign w:val="center"/>
          </w:tcPr>
          <w:p w14:paraId="464BDABA" w14:textId="65FD7538" w:rsidR="00491CD6" w:rsidRPr="00167A1B" w:rsidRDefault="00491CD6" w:rsidP="00157B22">
            <w:pPr>
              <w:spacing w:after="0"/>
              <w:jc w:val="left"/>
              <w:rPr>
                <w:rFonts w:ascii="Trebuchet MS" w:hAnsi="Trebuchet MS"/>
                <w:sz w:val="6"/>
                <w:szCs w:val="6"/>
                <w:lang w:eastAsia="en-GB"/>
              </w:rPr>
            </w:pPr>
          </w:p>
        </w:tc>
        <w:tc>
          <w:tcPr>
            <w:tcW w:w="1353" w:type="dxa"/>
            <w:tcBorders>
              <w:top w:val="nil"/>
              <w:left w:val="nil"/>
              <w:bottom w:val="nil"/>
              <w:right w:val="nil"/>
            </w:tcBorders>
            <w:shd w:val="clear" w:color="auto" w:fill="auto"/>
            <w:noWrap/>
            <w:vAlign w:val="center"/>
          </w:tcPr>
          <w:p w14:paraId="6712E3FD" w14:textId="5D9631B3" w:rsidR="00491CD6" w:rsidRPr="00167A1B" w:rsidRDefault="00491CD6" w:rsidP="00157B22">
            <w:pPr>
              <w:spacing w:after="0"/>
              <w:jc w:val="left"/>
              <w:rPr>
                <w:rFonts w:ascii="Trebuchet MS" w:hAnsi="Trebuchet MS"/>
                <w:sz w:val="6"/>
                <w:szCs w:val="6"/>
                <w:lang w:eastAsia="en-GB"/>
              </w:rPr>
            </w:pPr>
          </w:p>
        </w:tc>
        <w:tc>
          <w:tcPr>
            <w:tcW w:w="1361" w:type="dxa"/>
            <w:tcBorders>
              <w:top w:val="nil"/>
              <w:left w:val="nil"/>
              <w:bottom w:val="nil"/>
              <w:right w:val="nil"/>
            </w:tcBorders>
            <w:shd w:val="clear" w:color="auto" w:fill="auto"/>
            <w:noWrap/>
            <w:vAlign w:val="center"/>
          </w:tcPr>
          <w:p w14:paraId="5AC1599E" w14:textId="3F593D6C" w:rsidR="00491CD6" w:rsidRPr="00167A1B" w:rsidRDefault="00491CD6" w:rsidP="00157B22">
            <w:pPr>
              <w:spacing w:after="0"/>
              <w:jc w:val="left"/>
              <w:rPr>
                <w:rFonts w:ascii="Trebuchet MS" w:hAnsi="Trebuchet MS"/>
                <w:sz w:val="6"/>
                <w:szCs w:val="6"/>
                <w:lang w:eastAsia="en-GB"/>
              </w:rPr>
            </w:pPr>
          </w:p>
        </w:tc>
        <w:tc>
          <w:tcPr>
            <w:tcW w:w="1279" w:type="dxa"/>
            <w:tcBorders>
              <w:top w:val="nil"/>
              <w:left w:val="nil"/>
              <w:bottom w:val="nil"/>
              <w:right w:val="nil"/>
            </w:tcBorders>
            <w:shd w:val="clear" w:color="auto" w:fill="auto"/>
            <w:noWrap/>
            <w:vAlign w:val="center"/>
          </w:tcPr>
          <w:p w14:paraId="4697F424" w14:textId="4D11CFAF" w:rsidR="00491CD6" w:rsidRPr="00167A1B" w:rsidRDefault="00491CD6" w:rsidP="00157B22">
            <w:pPr>
              <w:spacing w:after="0"/>
              <w:jc w:val="left"/>
              <w:rPr>
                <w:rFonts w:ascii="Trebuchet MS" w:hAnsi="Trebuchet MS"/>
                <w:sz w:val="6"/>
                <w:szCs w:val="6"/>
                <w:lang w:eastAsia="en-GB"/>
              </w:rPr>
            </w:pPr>
          </w:p>
        </w:tc>
        <w:tc>
          <w:tcPr>
            <w:tcW w:w="1364" w:type="dxa"/>
            <w:tcBorders>
              <w:top w:val="nil"/>
              <w:left w:val="nil"/>
              <w:bottom w:val="nil"/>
              <w:right w:val="nil"/>
            </w:tcBorders>
            <w:shd w:val="clear" w:color="auto" w:fill="auto"/>
            <w:noWrap/>
            <w:vAlign w:val="center"/>
          </w:tcPr>
          <w:p w14:paraId="4E7DD894" w14:textId="3F056573" w:rsidR="00491CD6" w:rsidRPr="00167A1B" w:rsidRDefault="00491CD6" w:rsidP="00157B22">
            <w:pPr>
              <w:spacing w:after="0"/>
              <w:jc w:val="left"/>
              <w:rPr>
                <w:rFonts w:ascii="Trebuchet MS" w:hAnsi="Trebuchet MS"/>
                <w:sz w:val="6"/>
                <w:szCs w:val="6"/>
                <w:lang w:eastAsia="en-GB"/>
              </w:rPr>
            </w:pPr>
          </w:p>
        </w:tc>
        <w:tc>
          <w:tcPr>
            <w:tcW w:w="1364" w:type="dxa"/>
            <w:gridSpan w:val="2"/>
            <w:tcBorders>
              <w:top w:val="nil"/>
              <w:left w:val="nil"/>
              <w:bottom w:val="nil"/>
              <w:right w:val="nil"/>
            </w:tcBorders>
            <w:shd w:val="clear" w:color="auto" w:fill="auto"/>
            <w:noWrap/>
            <w:vAlign w:val="center"/>
          </w:tcPr>
          <w:p w14:paraId="4CEA74E4" w14:textId="5D2DBF01" w:rsidR="00491CD6" w:rsidRPr="00167A1B" w:rsidRDefault="00491CD6" w:rsidP="00157B22">
            <w:pPr>
              <w:spacing w:after="0"/>
              <w:jc w:val="left"/>
              <w:rPr>
                <w:rFonts w:ascii="Trebuchet MS" w:hAnsi="Trebuchet MS"/>
                <w:sz w:val="6"/>
                <w:szCs w:val="6"/>
                <w:lang w:eastAsia="en-GB"/>
              </w:rPr>
            </w:pPr>
          </w:p>
        </w:tc>
      </w:tr>
    </w:tbl>
    <w:p w14:paraId="1263A259" w14:textId="0B8E18F6" w:rsidR="001E4FCA" w:rsidRPr="00167A1B" w:rsidRDefault="009A41DA" w:rsidP="00157B22">
      <w:pPr>
        <w:pStyle w:val="BodyText1"/>
        <w:jc w:val="center"/>
        <w:rPr>
          <w:i/>
          <w:iCs/>
          <w:noProof w:val="0"/>
        </w:rPr>
      </w:pPr>
      <w:r w:rsidRPr="00167A1B">
        <w:rPr>
          <w:b/>
          <w:noProof w:val="0"/>
          <w:sz w:val="18"/>
          <w:szCs w:val="18"/>
        </w:rPr>
        <w:t>Source:</w:t>
      </w:r>
      <w:r w:rsidRPr="00167A1B">
        <w:rPr>
          <w:noProof w:val="0"/>
          <w:sz w:val="18"/>
          <w:szCs w:val="18"/>
        </w:rPr>
        <w:t xml:space="preserve">  Own TRI-STOCK-CHARGER model calculations.</w:t>
      </w:r>
    </w:p>
    <w:p w14:paraId="0DEB2C58" w14:textId="07ECDA2B" w:rsidR="00D64690" w:rsidRPr="00167A1B" w:rsidRDefault="00D64690">
      <w:pPr>
        <w:spacing w:after="0"/>
        <w:jc w:val="left"/>
        <w:rPr>
          <w:rFonts w:ascii="Arial" w:hAnsi="Arial" w:cs="Arial"/>
          <w:color w:val="000000" w:themeColor="text1"/>
          <w:sz w:val="22"/>
          <w:lang w:eastAsia="en-GB"/>
        </w:rPr>
      </w:pPr>
      <w:r w:rsidRPr="00167A1B">
        <w:br w:type="page"/>
      </w:r>
    </w:p>
    <w:p w14:paraId="5BABCC7E" w14:textId="77777777" w:rsidR="00953106" w:rsidRPr="00167A1B" w:rsidRDefault="00953106" w:rsidP="00953106">
      <w:pPr>
        <w:pStyle w:val="Title2"/>
      </w:pPr>
      <w:r w:rsidRPr="00167A1B">
        <w:lastRenderedPageBreak/>
        <w:t>The impacts of the packages of options – mobile phones and other portable electronic devices</w:t>
      </w:r>
    </w:p>
    <w:p w14:paraId="68D0D6F0" w14:textId="77777777" w:rsidR="00953106" w:rsidRPr="00167A1B" w:rsidRDefault="00953106" w:rsidP="00953106">
      <w:pPr>
        <w:pStyle w:val="BodyText1"/>
        <w:rPr>
          <w:noProof w:val="0"/>
        </w:rPr>
      </w:pPr>
      <w:r w:rsidRPr="00167A1B">
        <w:rPr>
          <w:noProof w:val="0"/>
        </w:rPr>
        <w:t xml:space="preserve">This section considers the likely impacts of the packages if applied with a wider scope, including not just mobile phones but also certain other portable electronic devices. The assessment builds on the elements described in chapter 6, </w:t>
      </w:r>
      <w:proofErr w:type="gramStart"/>
      <w:r w:rsidRPr="00167A1B">
        <w:rPr>
          <w:noProof w:val="0"/>
        </w:rPr>
        <w:t>in particular the</w:t>
      </w:r>
      <w:proofErr w:type="gramEnd"/>
      <w:r w:rsidRPr="00167A1B">
        <w:rPr>
          <w:noProof w:val="0"/>
        </w:rPr>
        <w:t xml:space="preserve"> groups of devices listed therein, and the explanation of why not all options are equally relevant for / applicable to all groups of devices (see section 6.1). The same considerations also apply to the packages of options – </w:t>
      </w:r>
      <w:proofErr w:type="gramStart"/>
      <w:r w:rsidRPr="00167A1B">
        <w:rPr>
          <w:noProof w:val="0"/>
        </w:rPr>
        <w:t>it is clear that some</w:t>
      </w:r>
      <w:proofErr w:type="gramEnd"/>
      <w:r w:rsidRPr="00167A1B">
        <w:rPr>
          <w:noProof w:val="0"/>
        </w:rPr>
        <w:t xml:space="preserve"> are not or only partly relevant for certain devices, given that they include component parts (i.e. individual options) that we have concluded would be unnecessary, or even not advisable, for certain devices. For example:</w:t>
      </w:r>
    </w:p>
    <w:p w14:paraId="2ED294DF" w14:textId="77777777" w:rsidR="00953106" w:rsidRPr="00167A1B" w:rsidRDefault="00953106" w:rsidP="00953106">
      <w:pPr>
        <w:pStyle w:val="bullet1"/>
        <w:rPr>
          <w:noProof w:val="0"/>
        </w:rPr>
      </w:pPr>
      <w:r w:rsidRPr="00167A1B">
        <w:rPr>
          <w:noProof w:val="0"/>
        </w:rPr>
        <w:t xml:space="preserve">If any of the packages that include unbundling of EPS (i.e. Packages 3, 4 or 5) are applied to hearing devices, the impacts on this </w:t>
      </w:r>
      <w:proofErr w:type="gramStart"/>
      <w:r w:rsidRPr="00167A1B">
        <w:rPr>
          <w:noProof w:val="0"/>
        </w:rPr>
        <w:t>particular market</w:t>
      </w:r>
      <w:proofErr w:type="gramEnd"/>
      <w:r w:rsidRPr="00167A1B">
        <w:rPr>
          <w:noProof w:val="0"/>
        </w:rPr>
        <w:t xml:space="preserve"> would be close to zero, since they are already routinely sold without an EPS.</w:t>
      </w:r>
    </w:p>
    <w:p w14:paraId="5FA60720" w14:textId="77777777" w:rsidR="00953106" w:rsidRPr="00167A1B" w:rsidRDefault="00953106" w:rsidP="00953106">
      <w:pPr>
        <w:pStyle w:val="bullet1"/>
        <w:rPr>
          <w:noProof w:val="0"/>
        </w:rPr>
      </w:pPr>
      <w:proofErr w:type="gramStart"/>
      <w:r w:rsidRPr="00167A1B">
        <w:rPr>
          <w:noProof w:val="0"/>
        </w:rPr>
        <w:t>All of</w:t>
      </w:r>
      <w:proofErr w:type="gramEnd"/>
      <w:r w:rsidRPr="00167A1B">
        <w:rPr>
          <w:noProof w:val="0"/>
        </w:rPr>
        <w:t xml:space="preserve"> the packages include at least one of options 1, 2 or 3. For the reasons described in section 6.1, these options would be disproportionate or even counterproductive in the case of both e-readers, and smartwatches and fitness trackers. </w:t>
      </w:r>
    </w:p>
    <w:p w14:paraId="7F6C47D7" w14:textId="4DA808EA" w:rsidR="00953106" w:rsidRPr="00167A1B" w:rsidRDefault="00953106" w:rsidP="00953106">
      <w:pPr>
        <w:pStyle w:val="BodyText1"/>
        <w:rPr>
          <w:noProof w:val="0"/>
        </w:rPr>
      </w:pPr>
      <w:r w:rsidRPr="00167A1B">
        <w:rPr>
          <w:noProof w:val="0"/>
        </w:rPr>
        <w:t xml:space="preserve">The only group of devices for which all options – and therefore also all packages – are applicable without reservations is tablets. For two others (e-readers, and smartwatches and fitness trackers), it does not appear advisable to apply any of the packages to these types of devices (given the issue outlined above). For the other four groups of devices (digital cameras, hearing devices, hand-held video game consoles, and portable speakers), all </w:t>
      </w:r>
      <w:r w:rsidR="005426BB" w:rsidRPr="00167A1B">
        <w:rPr>
          <w:noProof w:val="0"/>
        </w:rPr>
        <w:t>packages</w:t>
      </w:r>
      <w:r w:rsidRPr="00167A1B">
        <w:rPr>
          <w:noProof w:val="0"/>
        </w:rPr>
        <w:t xml:space="preserve"> could be applied, but it should be noted that certain components</w:t>
      </w:r>
      <w:r w:rsidR="005426BB" w:rsidRPr="00167A1B">
        <w:rPr>
          <w:noProof w:val="0"/>
        </w:rPr>
        <w:t xml:space="preserve"> (i.e. options)</w:t>
      </w:r>
      <w:r w:rsidRPr="00167A1B">
        <w:rPr>
          <w:noProof w:val="0"/>
        </w:rPr>
        <w:t xml:space="preserve"> may appear unnecessary (mainly unbundling, for devices where this is already the norm) or could be seen as disproportionate (mainly for devices that charge at very low wattage, including most digital cameras and hearing devices, as option 2 would effectively ‘bump up’ all devices to charge at a minimum of 7.5 W, which would increase their cost but not necessarily generate any clear benefits).</w:t>
      </w:r>
    </w:p>
    <w:p w14:paraId="780CEE8D" w14:textId="7E034E23" w:rsidR="00953106" w:rsidRPr="00167A1B" w:rsidRDefault="00953106" w:rsidP="00953106">
      <w:pPr>
        <w:pStyle w:val="BodyText1"/>
        <w:rPr>
          <w:noProof w:val="0"/>
        </w:rPr>
      </w:pPr>
      <w:r w:rsidRPr="00167A1B">
        <w:rPr>
          <w:noProof w:val="0"/>
        </w:rPr>
        <w:t>With these provisos, the main environmental, economic and social impacts of each package would essentially be equal to the sum of the impacts of its component parts. The only exception from this is that, as already outlined in section 7.2 above, options 1, 2 and 3 all entail the replacement of USB micro-B receptacles with USB Type-C receptacles; where any two of these options are combined (i.e. in Packages 1 and 2), the impacts of this would of course only accrue once (meaning that the cumulative impacts – both positive and negative – are slightly lower than the sum of those of the options individually).</w:t>
      </w:r>
    </w:p>
    <w:p w14:paraId="23288359" w14:textId="77777777" w:rsidR="00953106" w:rsidRPr="00167A1B" w:rsidRDefault="00953106" w:rsidP="00953106">
      <w:pPr>
        <w:pStyle w:val="BodyText1"/>
        <w:rPr>
          <w:noProof w:val="0"/>
        </w:rPr>
      </w:pPr>
      <w:r w:rsidRPr="00167A1B">
        <w:rPr>
          <w:noProof w:val="0"/>
        </w:rPr>
        <w:t xml:space="preserve">It should be noted that, in this case, no additional synergy effects are expected (beyond those already discussed under mobile phones above. This is because, as described previously (section 7.2), any such synergy effects affect the </w:t>
      </w:r>
      <w:r w:rsidRPr="00167A1B">
        <w:rPr>
          <w:i/>
          <w:iCs/>
          <w:noProof w:val="0"/>
        </w:rPr>
        <w:t>standalone</w:t>
      </w:r>
      <w:r w:rsidRPr="00167A1B">
        <w:rPr>
          <w:noProof w:val="0"/>
        </w:rPr>
        <w:t xml:space="preserve"> charger market (rather than that for chargers that are bundled with devices). The standalone market has been modelled as part of the charger stock for mobile phones, and hence any such synergy effects are already included in the results presented in section 7.2.   </w:t>
      </w:r>
    </w:p>
    <w:p w14:paraId="6443A500" w14:textId="5FD9863B" w:rsidR="00953106" w:rsidRPr="00167A1B" w:rsidRDefault="00953106" w:rsidP="00953106">
      <w:pPr>
        <w:pStyle w:val="Subtitle10"/>
        <w:rPr>
          <w:noProof w:val="0"/>
        </w:rPr>
      </w:pPr>
      <w:r w:rsidRPr="00167A1B">
        <w:rPr>
          <w:noProof w:val="0"/>
        </w:rPr>
        <w:t>Quantified impacts of the packages of options for mobile phones and other portable electronic devices</w:t>
      </w:r>
    </w:p>
    <w:p w14:paraId="121DEFA2" w14:textId="7C4E4BB7" w:rsidR="00953106" w:rsidRPr="00167A1B" w:rsidRDefault="00953106" w:rsidP="00953106">
      <w:pPr>
        <w:pStyle w:val="BodyText1"/>
        <w:rPr>
          <w:noProof w:val="0"/>
        </w:rPr>
      </w:pPr>
      <w:r w:rsidRPr="00167A1B">
        <w:rPr>
          <w:noProof w:val="0"/>
        </w:rPr>
        <w:t xml:space="preserve">The tables </w:t>
      </w:r>
      <w:r w:rsidR="00D64690" w:rsidRPr="00167A1B">
        <w:rPr>
          <w:noProof w:val="0"/>
        </w:rPr>
        <w:t>overleaf</w:t>
      </w:r>
      <w:r w:rsidRPr="00167A1B">
        <w:rPr>
          <w:noProof w:val="0"/>
        </w:rPr>
        <w:t xml:space="preserve"> present the quantitative results of applying the packages of options to those devices that we were able to include in the stock model: mobile phones, tablets, hearing devices and digital cameras. For the reasons already outlined previously (see section 6.2), the bulk of the additional quantifiable impacts from including these devices is due to tablets, which currently account for far more EPS than either digital cameras (which is a very small market) or hearing devices (which represent a sizable market, but do not include EPS to begin with).</w:t>
      </w:r>
    </w:p>
    <w:p w14:paraId="62BBB74B" w14:textId="77777777" w:rsidR="00D64690" w:rsidRPr="00167A1B" w:rsidRDefault="00D64690" w:rsidP="00953106">
      <w:pPr>
        <w:pStyle w:val="BodyText1"/>
        <w:rPr>
          <w:noProof w:val="0"/>
        </w:rPr>
      </w:pPr>
    </w:p>
    <w:p w14:paraId="4410F42C" w14:textId="3F517AC5" w:rsidR="00491CD6" w:rsidRPr="00167A1B" w:rsidRDefault="00491CD6" w:rsidP="000F5CDF">
      <w:pPr>
        <w:pStyle w:val="Caption"/>
      </w:pPr>
      <w:bookmarkStart w:id="84" w:name="_Ref74297922"/>
      <w:r w:rsidRPr="00167A1B">
        <w:lastRenderedPageBreak/>
        <w:t xml:space="preserve">Table </w:t>
      </w:r>
      <w:r w:rsidRPr="00167A1B">
        <w:fldChar w:fldCharType="begin"/>
      </w:r>
      <w:r w:rsidRPr="00167A1B">
        <w:instrText xml:space="preserve"> SEQ Table \* ARABIC </w:instrText>
      </w:r>
      <w:r w:rsidRPr="00167A1B">
        <w:fldChar w:fldCharType="separate"/>
      </w:r>
      <w:r w:rsidR="00953106" w:rsidRPr="00167A1B">
        <w:t>31</w:t>
      </w:r>
      <w:r w:rsidRPr="00167A1B">
        <w:fldChar w:fldCharType="end"/>
      </w:r>
      <w:bookmarkEnd w:id="84"/>
      <w:r w:rsidRPr="00167A1B">
        <w:t>: Environmental impacts of the packages for mobile phones and other portable devices</w:t>
      </w:r>
    </w:p>
    <w:tbl>
      <w:tblPr>
        <w:tblStyle w:val="TableGrid"/>
        <w:tblW w:w="9100" w:type="dxa"/>
        <w:tblLayout w:type="fixed"/>
        <w:tblCellMar>
          <w:left w:w="57" w:type="dxa"/>
          <w:right w:w="57" w:type="dxa"/>
        </w:tblCellMar>
        <w:tblLook w:val="04A0" w:firstRow="1" w:lastRow="0" w:firstColumn="1" w:lastColumn="0" w:noHBand="0" w:noVBand="1"/>
      </w:tblPr>
      <w:tblGrid>
        <w:gridCol w:w="1173"/>
        <w:gridCol w:w="1510"/>
        <w:gridCol w:w="880"/>
        <w:gridCol w:w="1086"/>
        <w:gridCol w:w="1092"/>
        <w:gridCol w:w="1083"/>
        <w:gridCol w:w="1138"/>
        <w:gridCol w:w="1138"/>
      </w:tblGrid>
      <w:tr w:rsidR="00491CD6" w:rsidRPr="00167A1B" w14:paraId="0BF69E8E" w14:textId="77777777" w:rsidTr="00157B22">
        <w:trPr>
          <w:cnfStyle w:val="100000000000" w:firstRow="1" w:lastRow="0" w:firstColumn="0" w:lastColumn="0" w:oddVBand="0" w:evenVBand="0" w:oddHBand="0" w:evenHBand="0" w:firstRowFirstColumn="0" w:firstRowLastColumn="0" w:lastRowFirstColumn="0" w:lastRowLastColumn="0"/>
          <w:trHeight w:val="288"/>
          <w:tblHeader/>
        </w:trPr>
        <w:tc>
          <w:tcPr>
            <w:tcW w:w="1173" w:type="dxa"/>
            <w:noWrap/>
            <w:hideMark/>
          </w:tcPr>
          <w:p w14:paraId="59740F27" w14:textId="77777777" w:rsidR="00491CD6" w:rsidRPr="00167A1B" w:rsidRDefault="00491CD6" w:rsidP="000F5CDF">
            <w:pPr>
              <w:keepNext/>
              <w:spacing w:after="0"/>
              <w:jc w:val="left"/>
              <w:rPr>
                <w:sz w:val="20"/>
                <w:szCs w:val="24"/>
              </w:rPr>
            </w:pPr>
          </w:p>
        </w:tc>
        <w:tc>
          <w:tcPr>
            <w:tcW w:w="1510" w:type="dxa"/>
            <w:noWrap/>
            <w:hideMark/>
          </w:tcPr>
          <w:p w14:paraId="54763CD5" w14:textId="77777777" w:rsidR="00491CD6" w:rsidRPr="00167A1B" w:rsidRDefault="00491CD6" w:rsidP="000F5CDF">
            <w:pPr>
              <w:keepNext/>
              <w:spacing w:after="0"/>
              <w:jc w:val="left"/>
              <w:rPr>
                <w:sz w:val="20"/>
              </w:rPr>
            </w:pPr>
          </w:p>
        </w:tc>
        <w:tc>
          <w:tcPr>
            <w:tcW w:w="880" w:type="dxa"/>
            <w:vAlign w:val="center"/>
            <w:hideMark/>
          </w:tcPr>
          <w:p w14:paraId="5708A646" w14:textId="77777777" w:rsidR="00491CD6" w:rsidRPr="00167A1B" w:rsidRDefault="00491CD6" w:rsidP="00157B22">
            <w:pPr>
              <w:keepNext/>
              <w:spacing w:after="0"/>
              <w:jc w:val="left"/>
              <w:rPr>
                <w:rFonts w:ascii="Trebuchet MS" w:hAnsi="Trebuchet MS"/>
                <w:b/>
                <w:sz w:val="16"/>
                <w:szCs w:val="16"/>
              </w:rPr>
            </w:pPr>
            <w:r w:rsidRPr="00167A1B">
              <w:rPr>
                <w:rFonts w:ascii="Trebuchet MS" w:hAnsi="Trebuchet MS"/>
                <w:b/>
                <w:sz w:val="16"/>
                <w:szCs w:val="16"/>
              </w:rPr>
              <w:t>Baseline</w:t>
            </w:r>
          </w:p>
        </w:tc>
        <w:tc>
          <w:tcPr>
            <w:tcW w:w="1086" w:type="dxa"/>
            <w:vAlign w:val="center"/>
            <w:hideMark/>
          </w:tcPr>
          <w:p w14:paraId="01DF9EAE" w14:textId="77777777" w:rsidR="00491CD6" w:rsidRPr="00167A1B" w:rsidRDefault="00491CD6" w:rsidP="00157B22">
            <w:pPr>
              <w:keepNext/>
              <w:spacing w:after="0"/>
              <w:jc w:val="left"/>
              <w:rPr>
                <w:rFonts w:ascii="Trebuchet MS" w:hAnsi="Trebuchet MS"/>
                <w:b/>
                <w:sz w:val="16"/>
                <w:szCs w:val="16"/>
              </w:rPr>
            </w:pPr>
            <w:r w:rsidRPr="00167A1B">
              <w:rPr>
                <w:rFonts w:ascii="Trebuchet MS" w:hAnsi="Trebuchet MS"/>
                <w:b/>
                <w:bCs/>
                <w:sz w:val="16"/>
                <w:szCs w:val="16"/>
              </w:rPr>
              <w:t>Package 1</w:t>
            </w:r>
          </w:p>
        </w:tc>
        <w:tc>
          <w:tcPr>
            <w:tcW w:w="1092" w:type="dxa"/>
            <w:vAlign w:val="center"/>
            <w:hideMark/>
          </w:tcPr>
          <w:p w14:paraId="7AD7251E" w14:textId="77777777" w:rsidR="00491CD6" w:rsidRPr="00167A1B" w:rsidRDefault="00491CD6" w:rsidP="00157B22">
            <w:pPr>
              <w:keepNext/>
              <w:spacing w:after="0"/>
              <w:jc w:val="left"/>
              <w:rPr>
                <w:rFonts w:ascii="Trebuchet MS" w:hAnsi="Trebuchet MS"/>
                <w:b/>
                <w:sz w:val="16"/>
                <w:szCs w:val="16"/>
              </w:rPr>
            </w:pPr>
            <w:r w:rsidRPr="00167A1B">
              <w:rPr>
                <w:rFonts w:ascii="Trebuchet MS" w:hAnsi="Trebuchet MS"/>
                <w:b/>
                <w:bCs/>
                <w:sz w:val="16"/>
                <w:szCs w:val="16"/>
              </w:rPr>
              <w:t>Package 2</w:t>
            </w:r>
          </w:p>
        </w:tc>
        <w:tc>
          <w:tcPr>
            <w:tcW w:w="1083" w:type="dxa"/>
            <w:vAlign w:val="center"/>
            <w:hideMark/>
          </w:tcPr>
          <w:p w14:paraId="2AB7DAAD" w14:textId="77777777" w:rsidR="00491CD6" w:rsidRPr="00167A1B" w:rsidRDefault="00491CD6" w:rsidP="00157B22">
            <w:pPr>
              <w:keepNext/>
              <w:spacing w:after="0"/>
              <w:jc w:val="left"/>
              <w:rPr>
                <w:rFonts w:ascii="Trebuchet MS" w:hAnsi="Trebuchet MS"/>
                <w:b/>
                <w:sz w:val="16"/>
                <w:szCs w:val="16"/>
              </w:rPr>
            </w:pPr>
            <w:r w:rsidRPr="00167A1B">
              <w:rPr>
                <w:rFonts w:ascii="Trebuchet MS" w:hAnsi="Trebuchet MS"/>
                <w:b/>
                <w:bCs/>
                <w:sz w:val="16"/>
                <w:szCs w:val="16"/>
              </w:rPr>
              <w:t>Package 3</w:t>
            </w:r>
          </w:p>
        </w:tc>
        <w:tc>
          <w:tcPr>
            <w:tcW w:w="1138" w:type="dxa"/>
            <w:vAlign w:val="center"/>
            <w:hideMark/>
          </w:tcPr>
          <w:p w14:paraId="6A4CE31B" w14:textId="77777777" w:rsidR="00491CD6" w:rsidRPr="00167A1B" w:rsidRDefault="00491CD6" w:rsidP="00157B22">
            <w:pPr>
              <w:keepNext/>
              <w:spacing w:after="0"/>
              <w:jc w:val="left"/>
              <w:rPr>
                <w:rFonts w:ascii="Trebuchet MS" w:hAnsi="Trebuchet MS"/>
                <w:b/>
                <w:sz w:val="16"/>
                <w:szCs w:val="16"/>
              </w:rPr>
            </w:pPr>
            <w:r w:rsidRPr="00167A1B">
              <w:rPr>
                <w:rFonts w:ascii="Trebuchet MS" w:hAnsi="Trebuchet MS"/>
                <w:b/>
                <w:bCs/>
                <w:sz w:val="16"/>
                <w:szCs w:val="16"/>
              </w:rPr>
              <w:t>Package 4</w:t>
            </w:r>
          </w:p>
        </w:tc>
        <w:tc>
          <w:tcPr>
            <w:tcW w:w="1138" w:type="dxa"/>
            <w:vAlign w:val="center"/>
            <w:hideMark/>
          </w:tcPr>
          <w:p w14:paraId="22B16EDB" w14:textId="77777777" w:rsidR="00491CD6" w:rsidRPr="00167A1B" w:rsidRDefault="00491CD6" w:rsidP="00157B22">
            <w:pPr>
              <w:keepNext/>
              <w:spacing w:after="0"/>
              <w:jc w:val="left"/>
              <w:rPr>
                <w:rFonts w:ascii="Trebuchet MS" w:hAnsi="Trebuchet MS"/>
                <w:b/>
                <w:sz w:val="16"/>
                <w:szCs w:val="16"/>
              </w:rPr>
            </w:pPr>
            <w:r w:rsidRPr="00167A1B">
              <w:rPr>
                <w:rFonts w:ascii="Trebuchet MS" w:hAnsi="Trebuchet MS"/>
                <w:b/>
                <w:bCs/>
                <w:sz w:val="16"/>
                <w:szCs w:val="16"/>
              </w:rPr>
              <w:t>Package 5</w:t>
            </w:r>
          </w:p>
        </w:tc>
      </w:tr>
      <w:tr w:rsidR="00491CD6" w:rsidRPr="00167A1B" w14:paraId="54A1596A" w14:textId="77777777" w:rsidTr="00814371">
        <w:trPr>
          <w:trHeight w:val="927"/>
        </w:trPr>
        <w:tc>
          <w:tcPr>
            <w:tcW w:w="1173" w:type="dxa"/>
            <w:tcBorders>
              <w:bottom w:val="single" w:sz="4" w:space="0" w:color="438EF1" w:themeColor="text2" w:themeTint="99"/>
            </w:tcBorders>
            <w:noWrap/>
            <w:hideMark/>
          </w:tcPr>
          <w:p w14:paraId="0F2D5CA5" w14:textId="77777777" w:rsidR="00491CD6" w:rsidRPr="00167A1B" w:rsidRDefault="00491CD6" w:rsidP="0070682E">
            <w:pPr>
              <w:spacing w:after="0"/>
              <w:jc w:val="left"/>
              <w:rPr>
                <w:rFonts w:ascii="Trebuchet MS" w:hAnsi="Trebuchet MS"/>
                <w:b/>
                <w:sz w:val="16"/>
                <w:szCs w:val="16"/>
              </w:rPr>
            </w:pPr>
          </w:p>
        </w:tc>
        <w:tc>
          <w:tcPr>
            <w:tcW w:w="1510" w:type="dxa"/>
            <w:tcBorders>
              <w:bottom w:val="single" w:sz="4" w:space="0" w:color="438EF1" w:themeColor="text2" w:themeTint="99"/>
            </w:tcBorders>
            <w:noWrap/>
            <w:hideMark/>
          </w:tcPr>
          <w:p w14:paraId="5A47DC1D" w14:textId="77777777" w:rsidR="00491CD6" w:rsidRPr="00167A1B" w:rsidRDefault="00491CD6" w:rsidP="0070682E">
            <w:pPr>
              <w:spacing w:after="0"/>
              <w:jc w:val="left"/>
              <w:rPr>
                <w:sz w:val="20"/>
              </w:rPr>
            </w:pPr>
          </w:p>
        </w:tc>
        <w:tc>
          <w:tcPr>
            <w:tcW w:w="880" w:type="dxa"/>
            <w:tcBorders>
              <w:bottom w:val="single" w:sz="4" w:space="0" w:color="438EF1" w:themeColor="text2" w:themeTint="99"/>
            </w:tcBorders>
            <w:hideMark/>
          </w:tcPr>
          <w:p w14:paraId="11D42AE4" w14:textId="77777777" w:rsidR="00491CD6" w:rsidRPr="00167A1B" w:rsidRDefault="00491CD6" w:rsidP="0070682E">
            <w:pPr>
              <w:spacing w:after="0"/>
              <w:jc w:val="left"/>
              <w:rPr>
                <w:rFonts w:ascii="Trebuchet MS" w:hAnsi="Trebuchet MS"/>
                <w:b/>
                <w:sz w:val="16"/>
                <w:szCs w:val="16"/>
              </w:rPr>
            </w:pPr>
            <w:r w:rsidRPr="00167A1B">
              <w:rPr>
                <w:rFonts w:ascii="Trebuchet MS" w:hAnsi="Trebuchet MS"/>
                <w:b/>
                <w:sz w:val="16"/>
                <w:szCs w:val="16"/>
              </w:rPr>
              <w:t> </w:t>
            </w:r>
          </w:p>
        </w:tc>
        <w:tc>
          <w:tcPr>
            <w:tcW w:w="1086" w:type="dxa"/>
            <w:tcBorders>
              <w:bottom w:val="single" w:sz="4" w:space="0" w:color="438EF1" w:themeColor="text2" w:themeTint="99"/>
            </w:tcBorders>
            <w:vAlign w:val="bottom"/>
            <w:hideMark/>
          </w:tcPr>
          <w:p w14:paraId="137E24F4" w14:textId="77777777" w:rsidR="00491CD6" w:rsidRPr="00167A1B" w:rsidRDefault="00491CD6" w:rsidP="0070682E">
            <w:pPr>
              <w:spacing w:after="0"/>
              <w:jc w:val="left"/>
              <w:rPr>
                <w:rFonts w:ascii="Trebuchet MS" w:hAnsi="Trebuchet MS"/>
                <w:b/>
                <w:sz w:val="16"/>
                <w:szCs w:val="16"/>
              </w:rPr>
            </w:pPr>
            <w:r w:rsidRPr="00167A1B">
              <w:rPr>
                <w:rFonts w:ascii="Trebuchet MS" w:hAnsi="Trebuchet MS"/>
                <w:b/>
                <w:bCs/>
                <w:sz w:val="16"/>
                <w:szCs w:val="16"/>
              </w:rPr>
              <w:t>Package combining PO 1 &amp; 2</w:t>
            </w:r>
          </w:p>
        </w:tc>
        <w:tc>
          <w:tcPr>
            <w:tcW w:w="1092" w:type="dxa"/>
            <w:tcBorders>
              <w:bottom w:val="single" w:sz="4" w:space="0" w:color="438EF1" w:themeColor="text2" w:themeTint="99"/>
            </w:tcBorders>
            <w:vAlign w:val="bottom"/>
            <w:hideMark/>
          </w:tcPr>
          <w:p w14:paraId="695C59FD" w14:textId="77777777" w:rsidR="00491CD6" w:rsidRPr="00167A1B" w:rsidRDefault="00491CD6" w:rsidP="0070682E">
            <w:pPr>
              <w:spacing w:after="0"/>
              <w:jc w:val="left"/>
              <w:rPr>
                <w:rFonts w:ascii="Trebuchet MS" w:hAnsi="Trebuchet MS"/>
                <w:b/>
                <w:sz w:val="16"/>
                <w:szCs w:val="16"/>
              </w:rPr>
            </w:pPr>
            <w:r w:rsidRPr="00167A1B">
              <w:rPr>
                <w:rFonts w:ascii="Trebuchet MS" w:hAnsi="Trebuchet MS"/>
                <w:b/>
                <w:bCs/>
                <w:sz w:val="16"/>
                <w:szCs w:val="16"/>
              </w:rPr>
              <w:t>Package combining PO 1 &amp; 3</w:t>
            </w:r>
          </w:p>
        </w:tc>
        <w:tc>
          <w:tcPr>
            <w:tcW w:w="1083" w:type="dxa"/>
            <w:tcBorders>
              <w:bottom w:val="single" w:sz="4" w:space="0" w:color="438EF1" w:themeColor="text2" w:themeTint="99"/>
            </w:tcBorders>
            <w:vAlign w:val="bottom"/>
            <w:hideMark/>
          </w:tcPr>
          <w:p w14:paraId="16F52557" w14:textId="77777777" w:rsidR="00491CD6" w:rsidRPr="00167A1B" w:rsidRDefault="00491CD6" w:rsidP="0070682E">
            <w:pPr>
              <w:spacing w:after="0"/>
              <w:jc w:val="left"/>
              <w:rPr>
                <w:rFonts w:ascii="Trebuchet MS" w:hAnsi="Trebuchet MS"/>
                <w:b/>
                <w:sz w:val="16"/>
                <w:szCs w:val="16"/>
              </w:rPr>
            </w:pPr>
            <w:r w:rsidRPr="00167A1B">
              <w:rPr>
                <w:rFonts w:ascii="Trebuchet MS" w:hAnsi="Trebuchet MS"/>
                <w:b/>
                <w:bCs/>
                <w:sz w:val="16"/>
                <w:szCs w:val="16"/>
              </w:rPr>
              <w:t>Package combining PO 1 &amp; 4a</w:t>
            </w:r>
          </w:p>
        </w:tc>
        <w:tc>
          <w:tcPr>
            <w:tcW w:w="1138" w:type="dxa"/>
            <w:tcBorders>
              <w:bottom w:val="single" w:sz="4" w:space="0" w:color="438EF1" w:themeColor="text2" w:themeTint="99"/>
            </w:tcBorders>
            <w:vAlign w:val="bottom"/>
            <w:hideMark/>
          </w:tcPr>
          <w:p w14:paraId="55A639B2" w14:textId="77777777" w:rsidR="00491CD6" w:rsidRPr="00167A1B" w:rsidRDefault="00491CD6" w:rsidP="0070682E">
            <w:pPr>
              <w:spacing w:after="0"/>
              <w:jc w:val="left"/>
              <w:rPr>
                <w:rFonts w:ascii="Trebuchet MS" w:hAnsi="Trebuchet MS"/>
                <w:b/>
                <w:sz w:val="16"/>
                <w:szCs w:val="16"/>
              </w:rPr>
            </w:pPr>
            <w:r w:rsidRPr="00167A1B">
              <w:rPr>
                <w:rFonts w:ascii="Trebuchet MS" w:hAnsi="Trebuchet MS"/>
                <w:b/>
                <w:bCs/>
                <w:sz w:val="16"/>
                <w:szCs w:val="16"/>
              </w:rPr>
              <w:t>Package combining PO 2 &amp; 4a</w:t>
            </w:r>
          </w:p>
        </w:tc>
        <w:tc>
          <w:tcPr>
            <w:tcW w:w="1138" w:type="dxa"/>
            <w:tcBorders>
              <w:bottom w:val="single" w:sz="4" w:space="0" w:color="438EF1" w:themeColor="text2" w:themeTint="99"/>
            </w:tcBorders>
            <w:vAlign w:val="bottom"/>
            <w:hideMark/>
          </w:tcPr>
          <w:p w14:paraId="65003941" w14:textId="77777777" w:rsidR="00491CD6" w:rsidRPr="00167A1B" w:rsidRDefault="00491CD6" w:rsidP="0070682E">
            <w:pPr>
              <w:spacing w:after="0"/>
              <w:jc w:val="left"/>
              <w:rPr>
                <w:rFonts w:ascii="Trebuchet MS" w:hAnsi="Trebuchet MS"/>
                <w:b/>
                <w:sz w:val="16"/>
                <w:szCs w:val="16"/>
              </w:rPr>
            </w:pPr>
            <w:r w:rsidRPr="00167A1B">
              <w:rPr>
                <w:rFonts w:ascii="Trebuchet MS" w:hAnsi="Trebuchet MS"/>
                <w:b/>
                <w:bCs/>
                <w:sz w:val="16"/>
                <w:szCs w:val="16"/>
              </w:rPr>
              <w:t>Package combining PO 1, 2 &amp; 4a</w:t>
            </w:r>
          </w:p>
        </w:tc>
      </w:tr>
      <w:tr w:rsidR="00D64690" w:rsidRPr="00167A1B" w14:paraId="793D2FDB" w14:textId="77777777" w:rsidTr="00D64690">
        <w:trPr>
          <w:trHeight w:val="304"/>
        </w:trPr>
        <w:tc>
          <w:tcPr>
            <w:tcW w:w="1173" w:type="dxa"/>
            <w:vMerge w:val="restart"/>
            <w:tcBorders>
              <w:top w:val="single" w:sz="4" w:space="0" w:color="438EF1" w:themeColor="text2" w:themeTint="99"/>
            </w:tcBorders>
            <w:noWrap/>
            <w:hideMark/>
          </w:tcPr>
          <w:p w14:paraId="4CF01970" w14:textId="7BA2D9CD" w:rsidR="00D64690" w:rsidRPr="00167A1B" w:rsidRDefault="00D64690" w:rsidP="00D64690">
            <w:pPr>
              <w:spacing w:after="0"/>
              <w:jc w:val="left"/>
              <w:rPr>
                <w:rFonts w:ascii="Trebuchet MS" w:hAnsi="Trebuchet MS"/>
                <w:b/>
                <w:sz w:val="16"/>
                <w:szCs w:val="16"/>
              </w:rPr>
            </w:pPr>
            <w:r w:rsidRPr="00167A1B">
              <w:rPr>
                <w:rFonts w:ascii="Trebuchet MS" w:hAnsi="Trebuchet MS"/>
                <w:b/>
                <w:sz w:val="16"/>
                <w:szCs w:val="16"/>
              </w:rPr>
              <w:t>GHG emissions [ktCO</w:t>
            </w:r>
            <w:r w:rsidRPr="00167A1B">
              <w:rPr>
                <w:rFonts w:ascii="Trebuchet MS" w:hAnsi="Trebuchet MS"/>
                <w:b/>
                <w:sz w:val="16"/>
                <w:szCs w:val="16"/>
                <w:vertAlign w:val="subscript"/>
              </w:rPr>
              <w:t>2</w:t>
            </w:r>
            <w:r w:rsidRPr="00167A1B">
              <w:rPr>
                <w:rFonts w:ascii="Trebuchet MS" w:hAnsi="Trebuchet MS"/>
                <w:b/>
                <w:sz w:val="16"/>
                <w:szCs w:val="16"/>
              </w:rPr>
              <w:t>e]</w:t>
            </w:r>
            <w:r w:rsidRPr="00167A1B">
              <w:rPr>
                <w:rStyle w:val="FootnoteReference"/>
                <w:b/>
                <w:szCs w:val="16"/>
              </w:rPr>
              <w:footnoteReference w:id="157"/>
            </w:r>
          </w:p>
        </w:tc>
        <w:tc>
          <w:tcPr>
            <w:tcW w:w="1510" w:type="dxa"/>
            <w:tcBorders>
              <w:top w:val="single" w:sz="4" w:space="0" w:color="438EF1" w:themeColor="text2" w:themeTint="99"/>
            </w:tcBorders>
            <w:noWrap/>
            <w:vAlign w:val="center"/>
            <w:hideMark/>
          </w:tcPr>
          <w:p w14:paraId="320CC70A" w14:textId="77777777" w:rsidR="00D64690" w:rsidRPr="00167A1B" w:rsidRDefault="00D64690" w:rsidP="00491CD6">
            <w:pPr>
              <w:spacing w:after="0"/>
              <w:jc w:val="left"/>
              <w:rPr>
                <w:rFonts w:ascii="Trebuchet MS" w:hAnsi="Trebuchet MS"/>
                <w:b/>
                <w:sz w:val="16"/>
                <w:szCs w:val="16"/>
              </w:rPr>
            </w:pPr>
            <w:r w:rsidRPr="00167A1B">
              <w:rPr>
                <w:rFonts w:ascii="Trebuchet MS" w:hAnsi="Trebuchet MS"/>
                <w:b/>
                <w:sz w:val="16"/>
                <w:szCs w:val="16"/>
              </w:rPr>
              <w:t>Total 2024-2030</w:t>
            </w:r>
          </w:p>
        </w:tc>
        <w:tc>
          <w:tcPr>
            <w:tcW w:w="880" w:type="dxa"/>
            <w:tcBorders>
              <w:top w:val="single" w:sz="4" w:space="0" w:color="438EF1" w:themeColor="text2" w:themeTint="99"/>
            </w:tcBorders>
            <w:noWrap/>
            <w:vAlign w:val="bottom"/>
            <w:hideMark/>
          </w:tcPr>
          <w:p w14:paraId="2F3C8CF2" w14:textId="42F18760"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9,052</w:t>
            </w:r>
          </w:p>
        </w:tc>
        <w:tc>
          <w:tcPr>
            <w:tcW w:w="1086" w:type="dxa"/>
            <w:tcBorders>
              <w:top w:val="single" w:sz="4" w:space="0" w:color="438EF1" w:themeColor="text2" w:themeTint="99"/>
            </w:tcBorders>
            <w:noWrap/>
            <w:vAlign w:val="bottom"/>
            <w:hideMark/>
          </w:tcPr>
          <w:p w14:paraId="40F7F03D" w14:textId="16F59828"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9,046</w:t>
            </w:r>
          </w:p>
        </w:tc>
        <w:tc>
          <w:tcPr>
            <w:tcW w:w="1092" w:type="dxa"/>
            <w:tcBorders>
              <w:top w:val="single" w:sz="4" w:space="0" w:color="438EF1" w:themeColor="text2" w:themeTint="99"/>
            </w:tcBorders>
            <w:noWrap/>
            <w:vAlign w:val="bottom"/>
            <w:hideMark/>
          </w:tcPr>
          <w:p w14:paraId="02C82337" w14:textId="79E542A6"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9,227</w:t>
            </w:r>
          </w:p>
        </w:tc>
        <w:tc>
          <w:tcPr>
            <w:tcW w:w="1083" w:type="dxa"/>
            <w:tcBorders>
              <w:top w:val="single" w:sz="4" w:space="0" w:color="438EF1" w:themeColor="text2" w:themeTint="99"/>
            </w:tcBorders>
            <w:noWrap/>
            <w:vAlign w:val="bottom"/>
            <w:hideMark/>
          </w:tcPr>
          <w:p w14:paraId="52FB9A4B" w14:textId="4D7B6C5A"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7,991</w:t>
            </w:r>
          </w:p>
        </w:tc>
        <w:tc>
          <w:tcPr>
            <w:tcW w:w="1138" w:type="dxa"/>
            <w:tcBorders>
              <w:top w:val="single" w:sz="4" w:space="0" w:color="438EF1" w:themeColor="text2" w:themeTint="99"/>
            </w:tcBorders>
            <w:noWrap/>
            <w:vAlign w:val="bottom"/>
            <w:hideMark/>
          </w:tcPr>
          <w:p w14:paraId="195B1AA0" w14:textId="63657719"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7,799</w:t>
            </w:r>
          </w:p>
        </w:tc>
        <w:tc>
          <w:tcPr>
            <w:tcW w:w="1138" w:type="dxa"/>
            <w:tcBorders>
              <w:top w:val="single" w:sz="4" w:space="0" w:color="438EF1" w:themeColor="text2" w:themeTint="99"/>
            </w:tcBorders>
            <w:noWrap/>
            <w:vAlign w:val="bottom"/>
            <w:hideMark/>
          </w:tcPr>
          <w:p w14:paraId="57191B67" w14:textId="251E8175"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7,767</w:t>
            </w:r>
          </w:p>
        </w:tc>
      </w:tr>
      <w:tr w:rsidR="00D64690" w:rsidRPr="00167A1B" w14:paraId="0034A3A9" w14:textId="77777777" w:rsidTr="00D64690">
        <w:trPr>
          <w:trHeight w:val="304"/>
        </w:trPr>
        <w:tc>
          <w:tcPr>
            <w:tcW w:w="1173" w:type="dxa"/>
            <w:vMerge/>
            <w:noWrap/>
            <w:hideMark/>
          </w:tcPr>
          <w:p w14:paraId="3B61E4E9" w14:textId="48873076"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35979E54"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14A1D4A2" w14:textId="5E7E800E"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1F6715B5" w14:textId="41BDCD55"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-6</w:t>
            </w:r>
          </w:p>
        </w:tc>
        <w:tc>
          <w:tcPr>
            <w:tcW w:w="1092" w:type="dxa"/>
            <w:noWrap/>
            <w:vAlign w:val="bottom"/>
            <w:hideMark/>
          </w:tcPr>
          <w:p w14:paraId="50B885D6" w14:textId="71A0D14E"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9C0006"/>
                <w:sz w:val="16"/>
                <w:szCs w:val="16"/>
              </w:rPr>
              <w:t>175</w:t>
            </w:r>
          </w:p>
        </w:tc>
        <w:tc>
          <w:tcPr>
            <w:tcW w:w="1083" w:type="dxa"/>
            <w:noWrap/>
            <w:vAlign w:val="bottom"/>
            <w:hideMark/>
          </w:tcPr>
          <w:p w14:paraId="51F34EB7" w14:textId="7CD35400"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-1,062</w:t>
            </w:r>
          </w:p>
        </w:tc>
        <w:tc>
          <w:tcPr>
            <w:tcW w:w="1138" w:type="dxa"/>
            <w:noWrap/>
            <w:vAlign w:val="bottom"/>
            <w:hideMark/>
          </w:tcPr>
          <w:p w14:paraId="7E1F9280" w14:textId="0C5797C0"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-1,253</w:t>
            </w:r>
          </w:p>
        </w:tc>
        <w:tc>
          <w:tcPr>
            <w:tcW w:w="1138" w:type="dxa"/>
            <w:noWrap/>
            <w:vAlign w:val="bottom"/>
            <w:hideMark/>
          </w:tcPr>
          <w:p w14:paraId="1C443868" w14:textId="2873832E"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-1,286</w:t>
            </w:r>
          </w:p>
        </w:tc>
      </w:tr>
      <w:tr w:rsidR="00D64690" w:rsidRPr="00167A1B" w14:paraId="5F04AEED" w14:textId="77777777" w:rsidTr="00D64690">
        <w:trPr>
          <w:trHeight w:val="304"/>
        </w:trPr>
        <w:tc>
          <w:tcPr>
            <w:tcW w:w="1173" w:type="dxa"/>
            <w:vMerge/>
            <w:noWrap/>
            <w:hideMark/>
          </w:tcPr>
          <w:p w14:paraId="7E772E82" w14:textId="444E0318"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3D402033"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Annual average</w:t>
            </w:r>
          </w:p>
        </w:tc>
        <w:tc>
          <w:tcPr>
            <w:tcW w:w="880" w:type="dxa"/>
            <w:noWrap/>
            <w:vAlign w:val="bottom"/>
            <w:hideMark/>
          </w:tcPr>
          <w:p w14:paraId="602006D6" w14:textId="23BD587F"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1,293</w:t>
            </w:r>
          </w:p>
        </w:tc>
        <w:tc>
          <w:tcPr>
            <w:tcW w:w="1086" w:type="dxa"/>
            <w:noWrap/>
            <w:vAlign w:val="bottom"/>
            <w:hideMark/>
          </w:tcPr>
          <w:p w14:paraId="47B3366E" w14:textId="2F4E45D8"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1,292</w:t>
            </w:r>
          </w:p>
        </w:tc>
        <w:tc>
          <w:tcPr>
            <w:tcW w:w="1092" w:type="dxa"/>
            <w:noWrap/>
            <w:vAlign w:val="bottom"/>
            <w:hideMark/>
          </w:tcPr>
          <w:p w14:paraId="413BE903" w14:textId="16610E39"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1,318</w:t>
            </w:r>
          </w:p>
        </w:tc>
        <w:tc>
          <w:tcPr>
            <w:tcW w:w="1083" w:type="dxa"/>
            <w:noWrap/>
            <w:vAlign w:val="bottom"/>
            <w:hideMark/>
          </w:tcPr>
          <w:p w14:paraId="3266E3C5" w14:textId="461BCEA4"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1,142</w:t>
            </w:r>
          </w:p>
        </w:tc>
        <w:tc>
          <w:tcPr>
            <w:tcW w:w="1138" w:type="dxa"/>
            <w:noWrap/>
            <w:vAlign w:val="bottom"/>
            <w:hideMark/>
          </w:tcPr>
          <w:p w14:paraId="303CC194" w14:textId="4A8374E8"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1,114</w:t>
            </w:r>
          </w:p>
        </w:tc>
        <w:tc>
          <w:tcPr>
            <w:tcW w:w="1138" w:type="dxa"/>
            <w:noWrap/>
            <w:vAlign w:val="bottom"/>
            <w:hideMark/>
          </w:tcPr>
          <w:p w14:paraId="25DB0968" w14:textId="2569FF6C"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1,110</w:t>
            </w:r>
          </w:p>
        </w:tc>
      </w:tr>
      <w:tr w:rsidR="00D64690" w:rsidRPr="00167A1B" w14:paraId="4F5C447A" w14:textId="77777777" w:rsidTr="00D64690">
        <w:trPr>
          <w:trHeight w:val="304"/>
        </w:trPr>
        <w:tc>
          <w:tcPr>
            <w:tcW w:w="1173" w:type="dxa"/>
            <w:vMerge/>
            <w:noWrap/>
            <w:hideMark/>
          </w:tcPr>
          <w:p w14:paraId="51B79343" w14:textId="227C821D"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0A995107"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36C62B4C" w14:textId="20CB277F"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6B77CD76" w14:textId="04FB2A30"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-1</w:t>
            </w:r>
          </w:p>
        </w:tc>
        <w:tc>
          <w:tcPr>
            <w:tcW w:w="1092" w:type="dxa"/>
            <w:noWrap/>
            <w:vAlign w:val="bottom"/>
            <w:hideMark/>
          </w:tcPr>
          <w:p w14:paraId="6E121350" w14:textId="10D40390"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9C0006"/>
                <w:sz w:val="16"/>
                <w:szCs w:val="16"/>
              </w:rPr>
              <w:t>25</w:t>
            </w:r>
          </w:p>
        </w:tc>
        <w:tc>
          <w:tcPr>
            <w:tcW w:w="1083" w:type="dxa"/>
            <w:noWrap/>
            <w:vAlign w:val="bottom"/>
            <w:hideMark/>
          </w:tcPr>
          <w:p w14:paraId="467BD02F" w14:textId="0AB31092"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-152</w:t>
            </w:r>
          </w:p>
        </w:tc>
        <w:tc>
          <w:tcPr>
            <w:tcW w:w="1138" w:type="dxa"/>
            <w:noWrap/>
            <w:vAlign w:val="bottom"/>
            <w:hideMark/>
          </w:tcPr>
          <w:p w14:paraId="16EE791D" w14:textId="2243AB4D"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-179</w:t>
            </w:r>
          </w:p>
        </w:tc>
        <w:tc>
          <w:tcPr>
            <w:tcW w:w="1138" w:type="dxa"/>
            <w:noWrap/>
            <w:vAlign w:val="bottom"/>
            <w:hideMark/>
          </w:tcPr>
          <w:p w14:paraId="55A8FF70" w14:textId="7DAAF5D3"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-184</w:t>
            </w:r>
          </w:p>
        </w:tc>
      </w:tr>
      <w:tr w:rsidR="00D64690" w:rsidRPr="00167A1B" w14:paraId="791D184E" w14:textId="77777777" w:rsidTr="00D64690">
        <w:trPr>
          <w:trHeight w:val="304"/>
        </w:trPr>
        <w:tc>
          <w:tcPr>
            <w:tcW w:w="1173" w:type="dxa"/>
            <w:vMerge/>
            <w:tcBorders>
              <w:bottom w:val="single" w:sz="4" w:space="0" w:color="438EF1" w:themeColor="text2" w:themeTint="99"/>
            </w:tcBorders>
            <w:noWrap/>
            <w:hideMark/>
          </w:tcPr>
          <w:p w14:paraId="21BBDF87" w14:textId="2A6BB091" w:rsidR="00D64690" w:rsidRPr="00167A1B" w:rsidRDefault="00D64690" w:rsidP="00D64690">
            <w:pPr>
              <w:spacing w:after="0"/>
              <w:jc w:val="left"/>
              <w:rPr>
                <w:rFonts w:ascii="Trebuchet MS" w:hAnsi="Trebuchet MS"/>
                <w:sz w:val="16"/>
                <w:szCs w:val="16"/>
              </w:rPr>
            </w:pPr>
          </w:p>
        </w:tc>
        <w:tc>
          <w:tcPr>
            <w:tcW w:w="1510" w:type="dxa"/>
            <w:tcBorders>
              <w:bottom w:val="single" w:sz="4" w:space="0" w:color="438EF1" w:themeColor="text2" w:themeTint="99"/>
            </w:tcBorders>
            <w:noWrap/>
            <w:vAlign w:val="center"/>
            <w:hideMark/>
          </w:tcPr>
          <w:p w14:paraId="3F7B0467"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As %</w:t>
            </w:r>
          </w:p>
        </w:tc>
        <w:tc>
          <w:tcPr>
            <w:tcW w:w="880" w:type="dxa"/>
            <w:tcBorders>
              <w:bottom w:val="single" w:sz="4" w:space="0" w:color="438EF1" w:themeColor="text2" w:themeTint="99"/>
            </w:tcBorders>
            <w:noWrap/>
            <w:vAlign w:val="bottom"/>
            <w:hideMark/>
          </w:tcPr>
          <w:p w14:paraId="6D64AC65" w14:textId="46D5A799"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 </w:t>
            </w:r>
          </w:p>
        </w:tc>
        <w:tc>
          <w:tcPr>
            <w:tcW w:w="1086" w:type="dxa"/>
            <w:tcBorders>
              <w:bottom w:val="single" w:sz="4" w:space="0" w:color="438EF1" w:themeColor="text2" w:themeTint="99"/>
            </w:tcBorders>
            <w:noWrap/>
            <w:vAlign w:val="bottom"/>
            <w:hideMark/>
          </w:tcPr>
          <w:p w14:paraId="4A369BBF" w14:textId="3B18BABE"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-0.1%</w:t>
            </w:r>
          </w:p>
        </w:tc>
        <w:tc>
          <w:tcPr>
            <w:tcW w:w="1092" w:type="dxa"/>
            <w:tcBorders>
              <w:bottom w:val="single" w:sz="4" w:space="0" w:color="438EF1" w:themeColor="text2" w:themeTint="99"/>
            </w:tcBorders>
            <w:noWrap/>
            <w:vAlign w:val="bottom"/>
            <w:hideMark/>
          </w:tcPr>
          <w:p w14:paraId="2C01CE5F" w14:textId="0692010F"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9C0006"/>
                <w:sz w:val="16"/>
                <w:szCs w:val="16"/>
              </w:rPr>
              <w:t>1.9%</w:t>
            </w:r>
          </w:p>
        </w:tc>
        <w:tc>
          <w:tcPr>
            <w:tcW w:w="1083" w:type="dxa"/>
            <w:tcBorders>
              <w:bottom w:val="single" w:sz="4" w:space="0" w:color="438EF1" w:themeColor="text2" w:themeTint="99"/>
            </w:tcBorders>
            <w:noWrap/>
            <w:vAlign w:val="bottom"/>
            <w:hideMark/>
          </w:tcPr>
          <w:p w14:paraId="5C56E023" w14:textId="5AD2DE4B"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-11.7%</w:t>
            </w:r>
          </w:p>
        </w:tc>
        <w:tc>
          <w:tcPr>
            <w:tcW w:w="1138" w:type="dxa"/>
            <w:tcBorders>
              <w:bottom w:val="single" w:sz="4" w:space="0" w:color="438EF1" w:themeColor="text2" w:themeTint="99"/>
            </w:tcBorders>
            <w:noWrap/>
            <w:vAlign w:val="bottom"/>
            <w:hideMark/>
          </w:tcPr>
          <w:p w14:paraId="0BE17F73" w14:textId="275753A8"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-13.8%</w:t>
            </w:r>
          </w:p>
        </w:tc>
        <w:tc>
          <w:tcPr>
            <w:tcW w:w="1138" w:type="dxa"/>
            <w:tcBorders>
              <w:bottom w:val="single" w:sz="4" w:space="0" w:color="438EF1" w:themeColor="text2" w:themeTint="99"/>
            </w:tcBorders>
            <w:noWrap/>
            <w:vAlign w:val="bottom"/>
            <w:hideMark/>
          </w:tcPr>
          <w:p w14:paraId="64E3255C" w14:textId="611C2AD6"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-14.2%</w:t>
            </w:r>
          </w:p>
        </w:tc>
      </w:tr>
      <w:tr w:rsidR="00D64690" w:rsidRPr="00167A1B" w14:paraId="2A2D91F5" w14:textId="77777777" w:rsidTr="00D64690">
        <w:trPr>
          <w:trHeight w:val="304"/>
        </w:trPr>
        <w:tc>
          <w:tcPr>
            <w:tcW w:w="1173" w:type="dxa"/>
            <w:vMerge w:val="restart"/>
            <w:tcBorders>
              <w:top w:val="single" w:sz="4" w:space="0" w:color="438EF1" w:themeColor="text2" w:themeTint="99"/>
            </w:tcBorders>
            <w:noWrap/>
            <w:hideMark/>
          </w:tcPr>
          <w:p w14:paraId="6C3A5907" w14:textId="5E3C817B" w:rsidR="00D64690" w:rsidRPr="00167A1B" w:rsidRDefault="00D64690" w:rsidP="00D64690">
            <w:pPr>
              <w:spacing w:after="0"/>
              <w:jc w:val="left"/>
              <w:rPr>
                <w:rFonts w:ascii="Trebuchet MS" w:hAnsi="Trebuchet MS"/>
                <w:b/>
                <w:sz w:val="16"/>
                <w:szCs w:val="16"/>
              </w:rPr>
            </w:pPr>
            <w:r w:rsidRPr="00167A1B">
              <w:rPr>
                <w:rFonts w:ascii="Trebuchet MS" w:hAnsi="Trebuchet MS"/>
                <w:b/>
                <w:sz w:val="16"/>
                <w:szCs w:val="16"/>
              </w:rPr>
              <w:t>Material Use [tonnes]</w:t>
            </w:r>
            <w:r w:rsidRPr="00167A1B">
              <w:rPr>
                <w:rStyle w:val="FootnoteReference"/>
                <w:b/>
                <w:szCs w:val="16"/>
              </w:rPr>
              <w:footnoteReference w:id="158"/>
            </w:r>
          </w:p>
        </w:tc>
        <w:tc>
          <w:tcPr>
            <w:tcW w:w="1510" w:type="dxa"/>
            <w:tcBorders>
              <w:top w:val="single" w:sz="4" w:space="0" w:color="438EF1" w:themeColor="text2" w:themeTint="99"/>
            </w:tcBorders>
            <w:noWrap/>
            <w:vAlign w:val="center"/>
            <w:hideMark/>
          </w:tcPr>
          <w:p w14:paraId="15764294" w14:textId="77777777" w:rsidR="00D64690" w:rsidRPr="00167A1B" w:rsidRDefault="00D64690" w:rsidP="00491CD6">
            <w:pPr>
              <w:spacing w:after="0"/>
              <w:jc w:val="left"/>
              <w:rPr>
                <w:rFonts w:ascii="Trebuchet MS" w:hAnsi="Trebuchet MS"/>
                <w:b/>
                <w:sz w:val="16"/>
                <w:szCs w:val="16"/>
              </w:rPr>
            </w:pPr>
            <w:r w:rsidRPr="00167A1B">
              <w:rPr>
                <w:rFonts w:ascii="Trebuchet MS" w:hAnsi="Trebuchet MS"/>
                <w:b/>
                <w:sz w:val="16"/>
                <w:szCs w:val="16"/>
              </w:rPr>
              <w:t>Total 2024-2030</w:t>
            </w:r>
          </w:p>
        </w:tc>
        <w:tc>
          <w:tcPr>
            <w:tcW w:w="880" w:type="dxa"/>
            <w:tcBorders>
              <w:top w:val="single" w:sz="4" w:space="0" w:color="438EF1" w:themeColor="text2" w:themeTint="99"/>
            </w:tcBorders>
            <w:noWrap/>
            <w:vAlign w:val="bottom"/>
            <w:hideMark/>
          </w:tcPr>
          <w:p w14:paraId="74E4E3EE" w14:textId="0641959F"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179,371</w:t>
            </w:r>
          </w:p>
        </w:tc>
        <w:tc>
          <w:tcPr>
            <w:tcW w:w="1086" w:type="dxa"/>
            <w:tcBorders>
              <w:top w:val="single" w:sz="4" w:space="0" w:color="438EF1" w:themeColor="text2" w:themeTint="99"/>
            </w:tcBorders>
            <w:noWrap/>
            <w:vAlign w:val="bottom"/>
            <w:hideMark/>
          </w:tcPr>
          <w:p w14:paraId="0C091C32" w14:textId="64F7C5E8"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179,754</w:t>
            </w:r>
          </w:p>
        </w:tc>
        <w:tc>
          <w:tcPr>
            <w:tcW w:w="1092" w:type="dxa"/>
            <w:tcBorders>
              <w:top w:val="single" w:sz="4" w:space="0" w:color="438EF1" w:themeColor="text2" w:themeTint="99"/>
            </w:tcBorders>
            <w:noWrap/>
            <w:vAlign w:val="bottom"/>
            <w:hideMark/>
          </w:tcPr>
          <w:p w14:paraId="548B7205" w14:textId="3B76224E"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182,496</w:t>
            </w:r>
          </w:p>
        </w:tc>
        <w:tc>
          <w:tcPr>
            <w:tcW w:w="1083" w:type="dxa"/>
            <w:tcBorders>
              <w:top w:val="single" w:sz="4" w:space="0" w:color="438EF1" w:themeColor="text2" w:themeTint="99"/>
            </w:tcBorders>
            <w:noWrap/>
            <w:vAlign w:val="bottom"/>
            <w:hideMark/>
          </w:tcPr>
          <w:p w14:paraId="04A20B14" w14:textId="5A51DB2B"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164,959</w:t>
            </w:r>
          </w:p>
        </w:tc>
        <w:tc>
          <w:tcPr>
            <w:tcW w:w="1138" w:type="dxa"/>
            <w:tcBorders>
              <w:top w:val="single" w:sz="4" w:space="0" w:color="438EF1" w:themeColor="text2" w:themeTint="99"/>
            </w:tcBorders>
            <w:noWrap/>
            <w:vAlign w:val="bottom"/>
            <w:hideMark/>
          </w:tcPr>
          <w:p w14:paraId="578FA8E6" w14:textId="0D75C430"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161,409</w:t>
            </w:r>
          </w:p>
        </w:tc>
        <w:tc>
          <w:tcPr>
            <w:tcW w:w="1138" w:type="dxa"/>
            <w:tcBorders>
              <w:top w:val="single" w:sz="4" w:space="0" w:color="438EF1" w:themeColor="text2" w:themeTint="99"/>
            </w:tcBorders>
            <w:noWrap/>
            <w:vAlign w:val="bottom"/>
            <w:hideMark/>
          </w:tcPr>
          <w:p w14:paraId="3D4F66F5" w14:textId="24CB766A"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161,130</w:t>
            </w:r>
          </w:p>
        </w:tc>
      </w:tr>
      <w:tr w:rsidR="00D64690" w:rsidRPr="00167A1B" w14:paraId="58E862DA" w14:textId="77777777" w:rsidTr="00D64690">
        <w:trPr>
          <w:trHeight w:val="304"/>
        </w:trPr>
        <w:tc>
          <w:tcPr>
            <w:tcW w:w="1173" w:type="dxa"/>
            <w:vMerge/>
            <w:noWrap/>
            <w:hideMark/>
          </w:tcPr>
          <w:p w14:paraId="31452C63" w14:textId="47701273"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45C49746"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21EC32F2" w14:textId="591FBEBB"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7D6B3192" w14:textId="3829CDC1"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9C0006"/>
                <w:sz w:val="16"/>
                <w:szCs w:val="16"/>
              </w:rPr>
              <w:t>383</w:t>
            </w:r>
          </w:p>
        </w:tc>
        <w:tc>
          <w:tcPr>
            <w:tcW w:w="1092" w:type="dxa"/>
            <w:noWrap/>
            <w:vAlign w:val="bottom"/>
            <w:hideMark/>
          </w:tcPr>
          <w:p w14:paraId="1459AF12" w14:textId="1311FBF9"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9C0006"/>
                <w:sz w:val="16"/>
                <w:szCs w:val="16"/>
              </w:rPr>
              <w:t>3,125</w:t>
            </w:r>
          </w:p>
        </w:tc>
        <w:tc>
          <w:tcPr>
            <w:tcW w:w="1083" w:type="dxa"/>
            <w:noWrap/>
            <w:vAlign w:val="bottom"/>
            <w:hideMark/>
          </w:tcPr>
          <w:p w14:paraId="4F9DF0EC" w14:textId="6F0C778B"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-14,412</w:t>
            </w:r>
          </w:p>
        </w:tc>
        <w:tc>
          <w:tcPr>
            <w:tcW w:w="1138" w:type="dxa"/>
            <w:noWrap/>
            <w:vAlign w:val="bottom"/>
            <w:hideMark/>
          </w:tcPr>
          <w:p w14:paraId="79306E17" w14:textId="272CB331"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-17,962</w:t>
            </w:r>
          </w:p>
        </w:tc>
        <w:tc>
          <w:tcPr>
            <w:tcW w:w="1138" w:type="dxa"/>
            <w:noWrap/>
            <w:vAlign w:val="bottom"/>
            <w:hideMark/>
          </w:tcPr>
          <w:p w14:paraId="51FC58D2" w14:textId="3FAD6100"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-18,242</w:t>
            </w:r>
          </w:p>
        </w:tc>
      </w:tr>
      <w:tr w:rsidR="00D64690" w:rsidRPr="00167A1B" w14:paraId="64AF8B0B" w14:textId="77777777" w:rsidTr="00D64690">
        <w:trPr>
          <w:trHeight w:val="304"/>
        </w:trPr>
        <w:tc>
          <w:tcPr>
            <w:tcW w:w="1173" w:type="dxa"/>
            <w:vMerge/>
            <w:noWrap/>
            <w:hideMark/>
          </w:tcPr>
          <w:p w14:paraId="66253AFB" w14:textId="3881167F"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3D549DB4"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Annual average</w:t>
            </w:r>
          </w:p>
        </w:tc>
        <w:tc>
          <w:tcPr>
            <w:tcW w:w="880" w:type="dxa"/>
            <w:noWrap/>
            <w:vAlign w:val="bottom"/>
            <w:hideMark/>
          </w:tcPr>
          <w:p w14:paraId="7232D928" w14:textId="366740CB"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25,624</w:t>
            </w:r>
          </w:p>
        </w:tc>
        <w:tc>
          <w:tcPr>
            <w:tcW w:w="1086" w:type="dxa"/>
            <w:noWrap/>
            <w:vAlign w:val="bottom"/>
            <w:hideMark/>
          </w:tcPr>
          <w:p w14:paraId="23C1BA69" w14:textId="187E90C0"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25,679</w:t>
            </w:r>
          </w:p>
        </w:tc>
        <w:tc>
          <w:tcPr>
            <w:tcW w:w="1092" w:type="dxa"/>
            <w:noWrap/>
            <w:vAlign w:val="bottom"/>
            <w:hideMark/>
          </w:tcPr>
          <w:p w14:paraId="5A1910C1" w14:textId="40AE1AFF"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26,071</w:t>
            </w:r>
          </w:p>
        </w:tc>
        <w:tc>
          <w:tcPr>
            <w:tcW w:w="1083" w:type="dxa"/>
            <w:noWrap/>
            <w:vAlign w:val="bottom"/>
            <w:hideMark/>
          </w:tcPr>
          <w:p w14:paraId="0EA4A850" w14:textId="47E7DFE4"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23,566</w:t>
            </w:r>
          </w:p>
        </w:tc>
        <w:tc>
          <w:tcPr>
            <w:tcW w:w="1138" w:type="dxa"/>
            <w:noWrap/>
            <w:vAlign w:val="bottom"/>
            <w:hideMark/>
          </w:tcPr>
          <w:p w14:paraId="5DD9C3A0" w14:textId="7ACC0511"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23,058</w:t>
            </w:r>
          </w:p>
        </w:tc>
        <w:tc>
          <w:tcPr>
            <w:tcW w:w="1138" w:type="dxa"/>
            <w:noWrap/>
            <w:vAlign w:val="bottom"/>
            <w:hideMark/>
          </w:tcPr>
          <w:p w14:paraId="0632C4AB" w14:textId="02A0ED0B"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23,019</w:t>
            </w:r>
          </w:p>
        </w:tc>
      </w:tr>
      <w:tr w:rsidR="00D64690" w:rsidRPr="00167A1B" w14:paraId="32530964" w14:textId="77777777" w:rsidTr="00D64690">
        <w:trPr>
          <w:trHeight w:val="304"/>
        </w:trPr>
        <w:tc>
          <w:tcPr>
            <w:tcW w:w="1173" w:type="dxa"/>
            <w:vMerge/>
            <w:noWrap/>
            <w:hideMark/>
          </w:tcPr>
          <w:p w14:paraId="3D76044E" w14:textId="111DC15C"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738FFFF8"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765BD2EA" w14:textId="41183211"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3BB744BB" w14:textId="7D2ED817"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9C0006"/>
                <w:sz w:val="16"/>
                <w:szCs w:val="16"/>
              </w:rPr>
              <w:t>55</w:t>
            </w:r>
          </w:p>
        </w:tc>
        <w:tc>
          <w:tcPr>
            <w:tcW w:w="1092" w:type="dxa"/>
            <w:noWrap/>
            <w:vAlign w:val="bottom"/>
            <w:hideMark/>
          </w:tcPr>
          <w:p w14:paraId="00D49F2A" w14:textId="6891FE55"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9C0006"/>
                <w:sz w:val="16"/>
                <w:szCs w:val="16"/>
              </w:rPr>
              <w:t>446</w:t>
            </w:r>
          </w:p>
        </w:tc>
        <w:tc>
          <w:tcPr>
            <w:tcW w:w="1083" w:type="dxa"/>
            <w:noWrap/>
            <w:vAlign w:val="bottom"/>
            <w:hideMark/>
          </w:tcPr>
          <w:p w14:paraId="77EAD0F1" w14:textId="2709178F"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-2,059</w:t>
            </w:r>
          </w:p>
        </w:tc>
        <w:tc>
          <w:tcPr>
            <w:tcW w:w="1138" w:type="dxa"/>
            <w:noWrap/>
            <w:vAlign w:val="bottom"/>
            <w:hideMark/>
          </w:tcPr>
          <w:p w14:paraId="065EA0B8" w14:textId="0DFFC255"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-2,566</w:t>
            </w:r>
          </w:p>
        </w:tc>
        <w:tc>
          <w:tcPr>
            <w:tcW w:w="1138" w:type="dxa"/>
            <w:noWrap/>
            <w:vAlign w:val="bottom"/>
            <w:hideMark/>
          </w:tcPr>
          <w:p w14:paraId="774878E6" w14:textId="4785DC4B"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-2,606</w:t>
            </w:r>
          </w:p>
        </w:tc>
      </w:tr>
      <w:tr w:rsidR="00D64690" w:rsidRPr="00167A1B" w14:paraId="7D2FD7AE" w14:textId="77777777" w:rsidTr="00D64690">
        <w:trPr>
          <w:trHeight w:val="304"/>
        </w:trPr>
        <w:tc>
          <w:tcPr>
            <w:tcW w:w="1173" w:type="dxa"/>
            <w:vMerge/>
            <w:tcBorders>
              <w:bottom w:val="single" w:sz="4" w:space="0" w:color="438EF1" w:themeColor="text2" w:themeTint="99"/>
            </w:tcBorders>
            <w:noWrap/>
            <w:hideMark/>
          </w:tcPr>
          <w:p w14:paraId="369C024B" w14:textId="31A783AC" w:rsidR="00D64690" w:rsidRPr="00167A1B" w:rsidRDefault="00D64690" w:rsidP="00D64690">
            <w:pPr>
              <w:spacing w:after="0"/>
              <w:jc w:val="left"/>
              <w:rPr>
                <w:rFonts w:ascii="Trebuchet MS" w:hAnsi="Trebuchet MS"/>
                <w:sz w:val="16"/>
                <w:szCs w:val="16"/>
              </w:rPr>
            </w:pPr>
          </w:p>
        </w:tc>
        <w:tc>
          <w:tcPr>
            <w:tcW w:w="1510" w:type="dxa"/>
            <w:tcBorders>
              <w:bottom w:val="single" w:sz="4" w:space="0" w:color="438EF1" w:themeColor="text2" w:themeTint="99"/>
            </w:tcBorders>
            <w:noWrap/>
            <w:vAlign w:val="center"/>
            <w:hideMark/>
          </w:tcPr>
          <w:p w14:paraId="1A10BD3B"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As %</w:t>
            </w:r>
          </w:p>
        </w:tc>
        <w:tc>
          <w:tcPr>
            <w:tcW w:w="880" w:type="dxa"/>
            <w:tcBorders>
              <w:bottom w:val="single" w:sz="4" w:space="0" w:color="438EF1" w:themeColor="text2" w:themeTint="99"/>
            </w:tcBorders>
            <w:noWrap/>
            <w:vAlign w:val="bottom"/>
            <w:hideMark/>
          </w:tcPr>
          <w:p w14:paraId="0F384CF0" w14:textId="237E6EA9"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 </w:t>
            </w:r>
          </w:p>
        </w:tc>
        <w:tc>
          <w:tcPr>
            <w:tcW w:w="1086" w:type="dxa"/>
            <w:tcBorders>
              <w:bottom w:val="single" w:sz="4" w:space="0" w:color="438EF1" w:themeColor="text2" w:themeTint="99"/>
            </w:tcBorders>
            <w:noWrap/>
            <w:vAlign w:val="bottom"/>
            <w:hideMark/>
          </w:tcPr>
          <w:p w14:paraId="7DEC581E" w14:textId="67B56224"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9C0006"/>
                <w:sz w:val="16"/>
                <w:szCs w:val="16"/>
              </w:rPr>
              <w:t>0.2%</w:t>
            </w:r>
          </w:p>
        </w:tc>
        <w:tc>
          <w:tcPr>
            <w:tcW w:w="1092" w:type="dxa"/>
            <w:tcBorders>
              <w:bottom w:val="single" w:sz="4" w:space="0" w:color="438EF1" w:themeColor="text2" w:themeTint="99"/>
            </w:tcBorders>
            <w:noWrap/>
            <w:vAlign w:val="bottom"/>
            <w:hideMark/>
          </w:tcPr>
          <w:p w14:paraId="6EFD7B4B" w14:textId="2065C062"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9C0006"/>
                <w:sz w:val="16"/>
                <w:szCs w:val="16"/>
              </w:rPr>
              <w:t>1.7%</w:t>
            </w:r>
          </w:p>
        </w:tc>
        <w:tc>
          <w:tcPr>
            <w:tcW w:w="1083" w:type="dxa"/>
            <w:tcBorders>
              <w:bottom w:val="single" w:sz="4" w:space="0" w:color="438EF1" w:themeColor="text2" w:themeTint="99"/>
            </w:tcBorders>
            <w:noWrap/>
            <w:vAlign w:val="bottom"/>
            <w:hideMark/>
          </w:tcPr>
          <w:p w14:paraId="0D6FEAF4" w14:textId="54F0B592"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-8.0%</w:t>
            </w:r>
          </w:p>
        </w:tc>
        <w:tc>
          <w:tcPr>
            <w:tcW w:w="1138" w:type="dxa"/>
            <w:tcBorders>
              <w:bottom w:val="single" w:sz="4" w:space="0" w:color="438EF1" w:themeColor="text2" w:themeTint="99"/>
            </w:tcBorders>
            <w:noWrap/>
            <w:vAlign w:val="bottom"/>
            <w:hideMark/>
          </w:tcPr>
          <w:p w14:paraId="19954C1D" w14:textId="144007C9"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-10.0%</w:t>
            </w:r>
          </w:p>
        </w:tc>
        <w:tc>
          <w:tcPr>
            <w:tcW w:w="1138" w:type="dxa"/>
            <w:tcBorders>
              <w:bottom w:val="single" w:sz="4" w:space="0" w:color="438EF1" w:themeColor="text2" w:themeTint="99"/>
            </w:tcBorders>
            <w:noWrap/>
            <w:vAlign w:val="bottom"/>
            <w:hideMark/>
          </w:tcPr>
          <w:p w14:paraId="0F95B43A" w14:textId="3CBA3B3C"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-10.2%</w:t>
            </w:r>
          </w:p>
        </w:tc>
      </w:tr>
      <w:tr w:rsidR="00D64690" w:rsidRPr="00167A1B" w14:paraId="2BF9B912" w14:textId="77777777" w:rsidTr="00D64690">
        <w:trPr>
          <w:trHeight w:val="273"/>
        </w:trPr>
        <w:tc>
          <w:tcPr>
            <w:tcW w:w="1173" w:type="dxa"/>
            <w:vMerge w:val="restart"/>
            <w:tcBorders>
              <w:top w:val="single" w:sz="4" w:space="0" w:color="438EF1" w:themeColor="text2" w:themeTint="99"/>
            </w:tcBorders>
            <w:noWrap/>
            <w:hideMark/>
          </w:tcPr>
          <w:p w14:paraId="2F721A69" w14:textId="40576E8F" w:rsidR="00D64690" w:rsidRPr="00167A1B" w:rsidRDefault="00D64690" w:rsidP="00D64690">
            <w:pPr>
              <w:spacing w:after="0"/>
              <w:jc w:val="left"/>
              <w:rPr>
                <w:rFonts w:ascii="Trebuchet MS" w:hAnsi="Trebuchet MS"/>
                <w:b/>
                <w:sz w:val="16"/>
                <w:szCs w:val="16"/>
              </w:rPr>
            </w:pPr>
            <w:r w:rsidRPr="00167A1B">
              <w:rPr>
                <w:rFonts w:ascii="Trebuchet MS" w:hAnsi="Trebuchet MS"/>
                <w:b/>
                <w:sz w:val="16"/>
                <w:szCs w:val="16"/>
              </w:rPr>
              <w:t>E-waste [tonnes]</w:t>
            </w:r>
            <w:r w:rsidRPr="00167A1B">
              <w:rPr>
                <w:rStyle w:val="FootnoteReference"/>
                <w:b/>
                <w:szCs w:val="16"/>
              </w:rPr>
              <w:footnoteReference w:id="159"/>
            </w:r>
          </w:p>
        </w:tc>
        <w:tc>
          <w:tcPr>
            <w:tcW w:w="1510" w:type="dxa"/>
            <w:tcBorders>
              <w:top w:val="single" w:sz="4" w:space="0" w:color="438EF1" w:themeColor="text2" w:themeTint="99"/>
            </w:tcBorders>
            <w:noWrap/>
            <w:vAlign w:val="center"/>
            <w:hideMark/>
          </w:tcPr>
          <w:p w14:paraId="476BECB6" w14:textId="77777777" w:rsidR="00D64690" w:rsidRPr="00167A1B" w:rsidRDefault="00D64690" w:rsidP="00491CD6">
            <w:pPr>
              <w:spacing w:after="0"/>
              <w:jc w:val="left"/>
              <w:rPr>
                <w:rFonts w:ascii="Trebuchet MS" w:hAnsi="Trebuchet MS"/>
                <w:b/>
                <w:sz w:val="16"/>
                <w:szCs w:val="16"/>
              </w:rPr>
            </w:pPr>
            <w:r w:rsidRPr="00167A1B">
              <w:rPr>
                <w:rFonts w:ascii="Trebuchet MS" w:hAnsi="Trebuchet MS"/>
                <w:b/>
                <w:sz w:val="16"/>
                <w:szCs w:val="16"/>
              </w:rPr>
              <w:t>Total 2024-2030</w:t>
            </w:r>
          </w:p>
        </w:tc>
        <w:tc>
          <w:tcPr>
            <w:tcW w:w="880" w:type="dxa"/>
            <w:tcBorders>
              <w:top w:val="single" w:sz="4" w:space="0" w:color="438EF1" w:themeColor="text2" w:themeTint="99"/>
            </w:tcBorders>
            <w:noWrap/>
            <w:vAlign w:val="bottom"/>
            <w:hideMark/>
          </w:tcPr>
          <w:p w14:paraId="1264CF4C" w14:textId="61722520"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155,463</w:t>
            </w:r>
          </w:p>
        </w:tc>
        <w:tc>
          <w:tcPr>
            <w:tcW w:w="1086" w:type="dxa"/>
            <w:tcBorders>
              <w:top w:val="single" w:sz="4" w:space="0" w:color="438EF1" w:themeColor="text2" w:themeTint="99"/>
            </w:tcBorders>
            <w:noWrap/>
            <w:vAlign w:val="bottom"/>
            <w:hideMark/>
          </w:tcPr>
          <w:p w14:paraId="40714D88" w14:textId="7514C0F2"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156,146</w:t>
            </w:r>
          </w:p>
        </w:tc>
        <w:tc>
          <w:tcPr>
            <w:tcW w:w="1092" w:type="dxa"/>
            <w:tcBorders>
              <w:top w:val="single" w:sz="4" w:space="0" w:color="438EF1" w:themeColor="text2" w:themeTint="99"/>
            </w:tcBorders>
            <w:noWrap/>
            <w:vAlign w:val="bottom"/>
            <w:hideMark/>
          </w:tcPr>
          <w:p w14:paraId="55B839B7" w14:textId="4BD1BC5E"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157,223</w:t>
            </w:r>
          </w:p>
        </w:tc>
        <w:tc>
          <w:tcPr>
            <w:tcW w:w="1083" w:type="dxa"/>
            <w:tcBorders>
              <w:top w:val="single" w:sz="4" w:space="0" w:color="438EF1" w:themeColor="text2" w:themeTint="99"/>
            </w:tcBorders>
            <w:noWrap/>
            <w:vAlign w:val="bottom"/>
            <w:hideMark/>
          </w:tcPr>
          <w:p w14:paraId="178AFD1F" w14:textId="18A0370E"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149,868</w:t>
            </w:r>
          </w:p>
        </w:tc>
        <w:tc>
          <w:tcPr>
            <w:tcW w:w="1138" w:type="dxa"/>
            <w:tcBorders>
              <w:top w:val="single" w:sz="4" w:space="0" w:color="438EF1" w:themeColor="text2" w:themeTint="99"/>
            </w:tcBorders>
            <w:noWrap/>
            <w:vAlign w:val="bottom"/>
            <w:hideMark/>
          </w:tcPr>
          <w:p w14:paraId="4A1D475B" w14:textId="4D9A5E29"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148,127</w:t>
            </w:r>
          </w:p>
        </w:tc>
        <w:tc>
          <w:tcPr>
            <w:tcW w:w="1138" w:type="dxa"/>
            <w:tcBorders>
              <w:top w:val="single" w:sz="4" w:space="0" w:color="438EF1" w:themeColor="text2" w:themeTint="99"/>
            </w:tcBorders>
            <w:noWrap/>
            <w:vAlign w:val="bottom"/>
            <w:hideMark/>
          </w:tcPr>
          <w:p w14:paraId="604757A2" w14:textId="490CC11A"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148,604</w:t>
            </w:r>
          </w:p>
        </w:tc>
      </w:tr>
      <w:tr w:rsidR="00D64690" w:rsidRPr="00167A1B" w14:paraId="5F0CA60A" w14:textId="77777777" w:rsidTr="00D64690">
        <w:trPr>
          <w:trHeight w:val="273"/>
        </w:trPr>
        <w:tc>
          <w:tcPr>
            <w:tcW w:w="1173" w:type="dxa"/>
            <w:vMerge/>
            <w:noWrap/>
            <w:hideMark/>
          </w:tcPr>
          <w:p w14:paraId="263DAB80" w14:textId="02B3033C"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26E91DAD"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582436F6" w14:textId="2E7B2B8D"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005D4F4B" w14:textId="27828C89"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9C0006"/>
                <w:sz w:val="16"/>
                <w:szCs w:val="16"/>
              </w:rPr>
              <w:t>683</w:t>
            </w:r>
          </w:p>
        </w:tc>
        <w:tc>
          <w:tcPr>
            <w:tcW w:w="1092" w:type="dxa"/>
            <w:noWrap/>
            <w:vAlign w:val="bottom"/>
            <w:hideMark/>
          </w:tcPr>
          <w:p w14:paraId="16B78E25" w14:textId="430283D0"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9C0006"/>
                <w:sz w:val="16"/>
                <w:szCs w:val="16"/>
              </w:rPr>
              <w:t>1,761</w:t>
            </w:r>
          </w:p>
        </w:tc>
        <w:tc>
          <w:tcPr>
            <w:tcW w:w="1083" w:type="dxa"/>
            <w:noWrap/>
            <w:vAlign w:val="bottom"/>
            <w:hideMark/>
          </w:tcPr>
          <w:p w14:paraId="1AD4E721" w14:textId="3A033082"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-5,595</w:t>
            </w:r>
          </w:p>
        </w:tc>
        <w:tc>
          <w:tcPr>
            <w:tcW w:w="1138" w:type="dxa"/>
            <w:noWrap/>
            <w:vAlign w:val="bottom"/>
            <w:hideMark/>
          </w:tcPr>
          <w:p w14:paraId="74B39BFB" w14:textId="7AC9FE6C"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-7,336</w:t>
            </w:r>
          </w:p>
        </w:tc>
        <w:tc>
          <w:tcPr>
            <w:tcW w:w="1138" w:type="dxa"/>
            <w:noWrap/>
            <w:vAlign w:val="bottom"/>
            <w:hideMark/>
          </w:tcPr>
          <w:p w14:paraId="2973EB0A" w14:textId="510D26AF"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-6,859</w:t>
            </w:r>
          </w:p>
        </w:tc>
      </w:tr>
      <w:tr w:rsidR="00D64690" w:rsidRPr="00167A1B" w14:paraId="3B3AFF16" w14:textId="77777777" w:rsidTr="00D64690">
        <w:trPr>
          <w:trHeight w:val="462"/>
        </w:trPr>
        <w:tc>
          <w:tcPr>
            <w:tcW w:w="1173" w:type="dxa"/>
            <w:vMerge/>
            <w:noWrap/>
            <w:hideMark/>
          </w:tcPr>
          <w:p w14:paraId="034AAB72" w14:textId="77AFE60F"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629FF7C6"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Annual average</w:t>
            </w:r>
          </w:p>
        </w:tc>
        <w:tc>
          <w:tcPr>
            <w:tcW w:w="880" w:type="dxa"/>
            <w:noWrap/>
            <w:vAlign w:val="bottom"/>
            <w:hideMark/>
          </w:tcPr>
          <w:p w14:paraId="2DF14C16" w14:textId="775C12DC"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22,209</w:t>
            </w:r>
          </w:p>
        </w:tc>
        <w:tc>
          <w:tcPr>
            <w:tcW w:w="1086" w:type="dxa"/>
            <w:noWrap/>
            <w:vAlign w:val="bottom"/>
            <w:hideMark/>
          </w:tcPr>
          <w:p w14:paraId="1D00BAB7" w14:textId="689F6B92"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22,307</w:t>
            </w:r>
          </w:p>
        </w:tc>
        <w:tc>
          <w:tcPr>
            <w:tcW w:w="1092" w:type="dxa"/>
            <w:noWrap/>
            <w:vAlign w:val="bottom"/>
            <w:hideMark/>
          </w:tcPr>
          <w:p w14:paraId="4007C656" w14:textId="4F29C984"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22,460</w:t>
            </w:r>
          </w:p>
        </w:tc>
        <w:tc>
          <w:tcPr>
            <w:tcW w:w="1083" w:type="dxa"/>
            <w:noWrap/>
            <w:vAlign w:val="bottom"/>
            <w:hideMark/>
          </w:tcPr>
          <w:p w14:paraId="0550B281" w14:textId="466D27ED"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21,410</w:t>
            </w:r>
          </w:p>
        </w:tc>
        <w:tc>
          <w:tcPr>
            <w:tcW w:w="1138" w:type="dxa"/>
            <w:noWrap/>
            <w:vAlign w:val="bottom"/>
            <w:hideMark/>
          </w:tcPr>
          <w:p w14:paraId="03DCA980" w14:textId="24908B0B"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21,161</w:t>
            </w:r>
          </w:p>
        </w:tc>
        <w:tc>
          <w:tcPr>
            <w:tcW w:w="1138" w:type="dxa"/>
            <w:noWrap/>
            <w:vAlign w:val="bottom"/>
            <w:hideMark/>
          </w:tcPr>
          <w:p w14:paraId="435F548A" w14:textId="328A816A"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21,229</w:t>
            </w:r>
          </w:p>
        </w:tc>
      </w:tr>
      <w:tr w:rsidR="00D64690" w:rsidRPr="00167A1B" w14:paraId="07757ADC" w14:textId="77777777" w:rsidTr="00D64690">
        <w:trPr>
          <w:trHeight w:val="288"/>
        </w:trPr>
        <w:tc>
          <w:tcPr>
            <w:tcW w:w="1173" w:type="dxa"/>
            <w:vMerge/>
            <w:noWrap/>
            <w:hideMark/>
          </w:tcPr>
          <w:p w14:paraId="6158B75F" w14:textId="0BED9F5E"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237FA330"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72A41C96" w14:textId="6491BDFB"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1CE99085" w14:textId="0E33DEA3"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9C0006"/>
                <w:sz w:val="16"/>
                <w:szCs w:val="16"/>
              </w:rPr>
              <w:t>98</w:t>
            </w:r>
          </w:p>
        </w:tc>
        <w:tc>
          <w:tcPr>
            <w:tcW w:w="1092" w:type="dxa"/>
            <w:noWrap/>
            <w:vAlign w:val="bottom"/>
            <w:hideMark/>
          </w:tcPr>
          <w:p w14:paraId="4759F2B1" w14:textId="0E3FA343"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9C0006"/>
                <w:sz w:val="16"/>
                <w:szCs w:val="16"/>
              </w:rPr>
              <w:t>252</w:t>
            </w:r>
          </w:p>
        </w:tc>
        <w:tc>
          <w:tcPr>
            <w:tcW w:w="1083" w:type="dxa"/>
            <w:noWrap/>
            <w:vAlign w:val="bottom"/>
            <w:hideMark/>
          </w:tcPr>
          <w:p w14:paraId="60C048DD" w14:textId="1943D930"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-799</w:t>
            </w:r>
          </w:p>
        </w:tc>
        <w:tc>
          <w:tcPr>
            <w:tcW w:w="1138" w:type="dxa"/>
            <w:noWrap/>
            <w:vAlign w:val="bottom"/>
            <w:hideMark/>
          </w:tcPr>
          <w:p w14:paraId="4BB83AF3" w14:textId="3D2BB01B"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-1,048</w:t>
            </w:r>
          </w:p>
        </w:tc>
        <w:tc>
          <w:tcPr>
            <w:tcW w:w="1138" w:type="dxa"/>
            <w:noWrap/>
            <w:vAlign w:val="bottom"/>
            <w:hideMark/>
          </w:tcPr>
          <w:p w14:paraId="75BA4EFF" w14:textId="0B308B38"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-980</w:t>
            </w:r>
          </w:p>
        </w:tc>
      </w:tr>
      <w:tr w:rsidR="00D64690" w:rsidRPr="00167A1B" w14:paraId="293A458F" w14:textId="77777777" w:rsidTr="00D64690">
        <w:trPr>
          <w:trHeight w:val="304"/>
        </w:trPr>
        <w:tc>
          <w:tcPr>
            <w:tcW w:w="1173" w:type="dxa"/>
            <w:vMerge/>
            <w:tcBorders>
              <w:bottom w:val="single" w:sz="4" w:space="0" w:color="438EF1" w:themeColor="text2" w:themeTint="99"/>
            </w:tcBorders>
            <w:noWrap/>
            <w:hideMark/>
          </w:tcPr>
          <w:p w14:paraId="40F704E4" w14:textId="0427DFC9" w:rsidR="00D64690" w:rsidRPr="00167A1B" w:rsidRDefault="00D64690" w:rsidP="00D64690">
            <w:pPr>
              <w:spacing w:after="0"/>
              <w:jc w:val="left"/>
              <w:rPr>
                <w:rFonts w:ascii="Trebuchet MS" w:hAnsi="Trebuchet MS"/>
                <w:sz w:val="16"/>
                <w:szCs w:val="16"/>
              </w:rPr>
            </w:pPr>
          </w:p>
        </w:tc>
        <w:tc>
          <w:tcPr>
            <w:tcW w:w="1510" w:type="dxa"/>
            <w:tcBorders>
              <w:bottom w:val="single" w:sz="4" w:space="0" w:color="438EF1" w:themeColor="text2" w:themeTint="99"/>
            </w:tcBorders>
            <w:noWrap/>
            <w:vAlign w:val="center"/>
            <w:hideMark/>
          </w:tcPr>
          <w:p w14:paraId="5F8376CB"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As %</w:t>
            </w:r>
          </w:p>
        </w:tc>
        <w:tc>
          <w:tcPr>
            <w:tcW w:w="880" w:type="dxa"/>
            <w:tcBorders>
              <w:bottom w:val="single" w:sz="4" w:space="0" w:color="438EF1" w:themeColor="text2" w:themeTint="99"/>
            </w:tcBorders>
            <w:noWrap/>
            <w:vAlign w:val="bottom"/>
            <w:hideMark/>
          </w:tcPr>
          <w:p w14:paraId="51712D06" w14:textId="6B1AE402"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 </w:t>
            </w:r>
          </w:p>
        </w:tc>
        <w:tc>
          <w:tcPr>
            <w:tcW w:w="1086" w:type="dxa"/>
            <w:tcBorders>
              <w:bottom w:val="single" w:sz="4" w:space="0" w:color="438EF1" w:themeColor="text2" w:themeTint="99"/>
            </w:tcBorders>
            <w:noWrap/>
            <w:vAlign w:val="bottom"/>
            <w:hideMark/>
          </w:tcPr>
          <w:p w14:paraId="7DD932DE" w14:textId="71B65625"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9C0006"/>
                <w:sz w:val="16"/>
                <w:szCs w:val="16"/>
              </w:rPr>
              <w:t>0.4%</w:t>
            </w:r>
          </w:p>
        </w:tc>
        <w:tc>
          <w:tcPr>
            <w:tcW w:w="1092" w:type="dxa"/>
            <w:tcBorders>
              <w:bottom w:val="single" w:sz="4" w:space="0" w:color="438EF1" w:themeColor="text2" w:themeTint="99"/>
            </w:tcBorders>
            <w:noWrap/>
            <w:vAlign w:val="bottom"/>
            <w:hideMark/>
          </w:tcPr>
          <w:p w14:paraId="108159E0" w14:textId="3D1DEAD7"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9C0006"/>
                <w:sz w:val="16"/>
                <w:szCs w:val="16"/>
              </w:rPr>
              <w:t>1.1%</w:t>
            </w:r>
          </w:p>
        </w:tc>
        <w:tc>
          <w:tcPr>
            <w:tcW w:w="1083" w:type="dxa"/>
            <w:tcBorders>
              <w:bottom w:val="single" w:sz="4" w:space="0" w:color="438EF1" w:themeColor="text2" w:themeTint="99"/>
            </w:tcBorders>
            <w:noWrap/>
            <w:vAlign w:val="bottom"/>
            <w:hideMark/>
          </w:tcPr>
          <w:p w14:paraId="4D619727" w14:textId="51D98DA8"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-3.6%</w:t>
            </w:r>
          </w:p>
        </w:tc>
        <w:tc>
          <w:tcPr>
            <w:tcW w:w="1138" w:type="dxa"/>
            <w:tcBorders>
              <w:bottom w:val="single" w:sz="4" w:space="0" w:color="438EF1" w:themeColor="text2" w:themeTint="99"/>
            </w:tcBorders>
            <w:noWrap/>
            <w:vAlign w:val="bottom"/>
            <w:hideMark/>
          </w:tcPr>
          <w:p w14:paraId="33F09686" w14:textId="31C25490"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-4.7%</w:t>
            </w:r>
          </w:p>
        </w:tc>
        <w:tc>
          <w:tcPr>
            <w:tcW w:w="1138" w:type="dxa"/>
            <w:tcBorders>
              <w:bottom w:val="single" w:sz="4" w:space="0" w:color="438EF1" w:themeColor="text2" w:themeTint="99"/>
            </w:tcBorders>
            <w:noWrap/>
            <w:vAlign w:val="bottom"/>
            <w:hideMark/>
          </w:tcPr>
          <w:p w14:paraId="2FCB66FA" w14:textId="4710A465"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-4.4%</w:t>
            </w:r>
          </w:p>
        </w:tc>
      </w:tr>
      <w:tr w:rsidR="00D64690" w:rsidRPr="00167A1B" w14:paraId="049B94EB" w14:textId="77777777" w:rsidTr="00D64690">
        <w:trPr>
          <w:trHeight w:val="288"/>
        </w:trPr>
        <w:tc>
          <w:tcPr>
            <w:tcW w:w="1173" w:type="dxa"/>
            <w:vMerge w:val="restart"/>
            <w:tcBorders>
              <w:top w:val="single" w:sz="4" w:space="0" w:color="438EF1" w:themeColor="text2" w:themeTint="99"/>
            </w:tcBorders>
            <w:noWrap/>
            <w:hideMark/>
          </w:tcPr>
          <w:p w14:paraId="3B8B5664" w14:textId="1E94AF9E" w:rsidR="00D64690" w:rsidRPr="00167A1B" w:rsidRDefault="00D64690" w:rsidP="00D64690">
            <w:pPr>
              <w:spacing w:after="0"/>
              <w:jc w:val="left"/>
              <w:rPr>
                <w:rFonts w:ascii="Trebuchet MS" w:hAnsi="Trebuchet MS"/>
                <w:b/>
                <w:sz w:val="16"/>
                <w:szCs w:val="16"/>
              </w:rPr>
            </w:pPr>
            <w:r w:rsidRPr="00167A1B">
              <w:rPr>
                <w:rFonts w:ascii="Trebuchet MS" w:hAnsi="Trebuchet MS"/>
                <w:b/>
                <w:sz w:val="16"/>
                <w:szCs w:val="16"/>
              </w:rPr>
              <w:t>Of which Untreated [tonnes]</w:t>
            </w:r>
            <w:r w:rsidRPr="00167A1B">
              <w:rPr>
                <w:rStyle w:val="FootnoteReference"/>
                <w:b/>
                <w:szCs w:val="16"/>
              </w:rPr>
              <w:footnoteReference w:id="160"/>
            </w:r>
          </w:p>
        </w:tc>
        <w:tc>
          <w:tcPr>
            <w:tcW w:w="1510" w:type="dxa"/>
            <w:tcBorders>
              <w:top w:val="single" w:sz="4" w:space="0" w:color="438EF1" w:themeColor="text2" w:themeTint="99"/>
            </w:tcBorders>
            <w:noWrap/>
            <w:vAlign w:val="center"/>
            <w:hideMark/>
          </w:tcPr>
          <w:p w14:paraId="6B7E1331" w14:textId="77777777" w:rsidR="00D64690" w:rsidRPr="00167A1B" w:rsidRDefault="00D64690" w:rsidP="00491CD6">
            <w:pPr>
              <w:spacing w:after="0"/>
              <w:jc w:val="left"/>
              <w:rPr>
                <w:rFonts w:ascii="Trebuchet MS" w:hAnsi="Trebuchet MS"/>
                <w:b/>
                <w:sz w:val="16"/>
                <w:szCs w:val="16"/>
              </w:rPr>
            </w:pPr>
            <w:r w:rsidRPr="00167A1B">
              <w:rPr>
                <w:rFonts w:ascii="Trebuchet MS" w:hAnsi="Trebuchet MS"/>
                <w:b/>
                <w:sz w:val="16"/>
                <w:szCs w:val="16"/>
              </w:rPr>
              <w:t>Total 2024-2030</w:t>
            </w:r>
          </w:p>
        </w:tc>
        <w:tc>
          <w:tcPr>
            <w:tcW w:w="880" w:type="dxa"/>
            <w:tcBorders>
              <w:top w:val="single" w:sz="4" w:space="0" w:color="438EF1" w:themeColor="text2" w:themeTint="99"/>
            </w:tcBorders>
            <w:noWrap/>
            <w:vAlign w:val="bottom"/>
            <w:hideMark/>
          </w:tcPr>
          <w:p w14:paraId="5EB328F9" w14:textId="0B575469"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31,914</w:t>
            </w:r>
          </w:p>
        </w:tc>
        <w:tc>
          <w:tcPr>
            <w:tcW w:w="1086" w:type="dxa"/>
            <w:tcBorders>
              <w:top w:val="single" w:sz="4" w:space="0" w:color="438EF1" w:themeColor="text2" w:themeTint="99"/>
            </w:tcBorders>
            <w:noWrap/>
            <w:vAlign w:val="bottom"/>
            <w:hideMark/>
          </w:tcPr>
          <w:p w14:paraId="1A37C122" w14:textId="3BBB5316"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32,056</w:t>
            </w:r>
          </w:p>
        </w:tc>
        <w:tc>
          <w:tcPr>
            <w:tcW w:w="1092" w:type="dxa"/>
            <w:tcBorders>
              <w:top w:val="single" w:sz="4" w:space="0" w:color="438EF1" w:themeColor="text2" w:themeTint="99"/>
            </w:tcBorders>
            <w:noWrap/>
            <w:vAlign w:val="bottom"/>
            <w:hideMark/>
          </w:tcPr>
          <w:p w14:paraId="67F905AC" w14:textId="74819D72"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32,265</w:t>
            </w:r>
          </w:p>
        </w:tc>
        <w:tc>
          <w:tcPr>
            <w:tcW w:w="1083" w:type="dxa"/>
            <w:tcBorders>
              <w:top w:val="single" w:sz="4" w:space="0" w:color="438EF1" w:themeColor="text2" w:themeTint="99"/>
            </w:tcBorders>
            <w:noWrap/>
            <w:vAlign w:val="bottom"/>
            <w:hideMark/>
          </w:tcPr>
          <w:p w14:paraId="575B8CE5" w14:textId="37CC7CF1"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30,834</w:t>
            </w:r>
          </w:p>
        </w:tc>
        <w:tc>
          <w:tcPr>
            <w:tcW w:w="1138" w:type="dxa"/>
            <w:tcBorders>
              <w:top w:val="single" w:sz="4" w:space="0" w:color="438EF1" w:themeColor="text2" w:themeTint="99"/>
            </w:tcBorders>
            <w:noWrap/>
            <w:vAlign w:val="bottom"/>
            <w:hideMark/>
          </w:tcPr>
          <w:p w14:paraId="6E391F3B" w14:textId="32526400"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30,493</w:t>
            </w:r>
          </w:p>
        </w:tc>
        <w:tc>
          <w:tcPr>
            <w:tcW w:w="1138" w:type="dxa"/>
            <w:tcBorders>
              <w:top w:val="single" w:sz="4" w:space="0" w:color="438EF1" w:themeColor="text2" w:themeTint="99"/>
            </w:tcBorders>
            <w:noWrap/>
            <w:vAlign w:val="bottom"/>
            <w:hideMark/>
          </w:tcPr>
          <w:p w14:paraId="207005CF" w14:textId="45FA8C29"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30,594</w:t>
            </w:r>
          </w:p>
        </w:tc>
      </w:tr>
      <w:tr w:rsidR="00D64690" w:rsidRPr="00167A1B" w14:paraId="133572A5" w14:textId="77777777" w:rsidTr="00D64690">
        <w:trPr>
          <w:trHeight w:val="304"/>
        </w:trPr>
        <w:tc>
          <w:tcPr>
            <w:tcW w:w="1173" w:type="dxa"/>
            <w:vMerge/>
            <w:noWrap/>
            <w:hideMark/>
          </w:tcPr>
          <w:p w14:paraId="5FACB01E" w14:textId="48CBECB0"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7EED6A4D"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75141264" w14:textId="23EDD7EB"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1E128170" w14:textId="4ED5A6FC"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9C0006"/>
                <w:sz w:val="16"/>
                <w:szCs w:val="16"/>
              </w:rPr>
              <w:t>143</w:t>
            </w:r>
          </w:p>
        </w:tc>
        <w:tc>
          <w:tcPr>
            <w:tcW w:w="1092" w:type="dxa"/>
            <w:noWrap/>
            <w:vAlign w:val="bottom"/>
            <w:hideMark/>
          </w:tcPr>
          <w:p w14:paraId="46FC69F2" w14:textId="7E55E163"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9C0006"/>
                <w:sz w:val="16"/>
                <w:szCs w:val="16"/>
              </w:rPr>
              <w:t>352</w:t>
            </w:r>
          </w:p>
        </w:tc>
        <w:tc>
          <w:tcPr>
            <w:tcW w:w="1083" w:type="dxa"/>
            <w:noWrap/>
            <w:vAlign w:val="bottom"/>
            <w:hideMark/>
          </w:tcPr>
          <w:p w14:paraId="5C7954F6" w14:textId="0DCF26C0"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-1,080</w:t>
            </w:r>
          </w:p>
        </w:tc>
        <w:tc>
          <w:tcPr>
            <w:tcW w:w="1138" w:type="dxa"/>
            <w:noWrap/>
            <w:vAlign w:val="bottom"/>
            <w:hideMark/>
          </w:tcPr>
          <w:p w14:paraId="35BD385C" w14:textId="42BDE302"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-1,421</w:t>
            </w:r>
          </w:p>
        </w:tc>
        <w:tc>
          <w:tcPr>
            <w:tcW w:w="1138" w:type="dxa"/>
            <w:noWrap/>
            <w:vAlign w:val="bottom"/>
            <w:hideMark/>
          </w:tcPr>
          <w:p w14:paraId="3727F6D7" w14:textId="57A5F090"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-1,320</w:t>
            </w:r>
          </w:p>
        </w:tc>
      </w:tr>
      <w:tr w:rsidR="00D64690" w:rsidRPr="00167A1B" w14:paraId="7B7C6EF4" w14:textId="77777777" w:rsidTr="00D64690">
        <w:trPr>
          <w:trHeight w:val="288"/>
        </w:trPr>
        <w:tc>
          <w:tcPr>
            <w:tcW w:w="1173" w:type="dxa"/>
            <w:vMerge/>
            <w:noWrap/>
            <w:hideMark/>
          </w:tcPr>
          <w:p w14:paraId="047BE3EF" w14:textId="6DA862EB"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1FE3FFF3"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Annual average</w:t>
            </w:r>
          </w:p>
        </w:tc>
        <w:tc>
          <w:tcPr>
            <w:tcW w:w="880" w:type="dxa"/>
            <w:noWrap/>
            <w:vAlign w:val="bottom"/>
            <w:hideMark/>
          </w:tcPr>
          <w:p w14:paraId="08DEC2A1" w14:textId="76762EEE"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4,559</w:t>
            </w:r>
          </w:p>
        </w:tc>
        <w:tc>
          <w:tcPr>
            <w:tcW w:w="1086" w:type="dxa"/>
            <w:noWrap/>
            <w:vAlign w:val="bottom"/>
            <w:hideMark/>
          </w:tcPr>
          <w:p w14:paraId="64DD5A8D" w14:textId="4B2BFBC8"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4,579</w:t>
            </w:r>
          </w:p>
        </w:tc>
        <w:tc>
          <w:tcPr>
            <w:tcW w:w="1092" w:type="dxa"/>
            <w:noWrap/>
            <w:vAlign w:val="bottom"/>
            <w:hideMark/>
          </w:tcPr>
          <w:p w14:paraId="1AE7B8AE" w14:textId="17A2D775"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4,609</w:t>
            </w:r>
          </w:p>
        </w:tc>
        <w:tc>
          <w:tcPr>
            <w:tcW w:w="1083" w:type="dxa"/>
            <w:noWrap/>
            <w:vAlign w:val="bottom"/>
            <w:hideMark/>
          </w:tcPr>
          <w:p w14:paraId="46A49C70" w14:textId="258DC9F0"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4,405</w:t>
            </w:r>
          </w:p>
        </w:tc>
        <w:tc>
          <w:tcPr>
            <w:tcW w:w="1138" w:type="dxa"/>
            <w:noWrap/>
            <w:vAlign w:val="bottom"/>
            <w:hideMark/>
          </w:tcPr>
          <w:p w14:paraId="34125B7D" w14:textId="5B709D40"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4,356</w:t>
            </w:r>
          </w:p>
        </w:tc>
        <w:tc>
          <w:tcPr>
            <w:tcW w:w="1138" w:type="dxa"/>
            <w:noWrap/>
            <w:vAlign w:val="bottom"/>
            <w:hideMark/>
          </w:tcPr>
          <w:p w14:paraId="3F4CAC58" w14:textId="5871601D"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4,371</w:t>
            </w:r>
          </w:p>
        </w:tc>
      </w:tr>
      <w:tr w:rsidR="00D64690" w:rsidRPr="00167A1B" w14:paraId="28C962D4" w14:textId="77777777" w:rsidTr="00D64690">
        <w:trPr>
          <w:trHeight w:val="304"/>
        </w:trPr>
        <w:tc>
          <w:tcPr>
            <w:tcW w:w="1173" w:type="dxa"/>
            <w:vMerge/>
            <w:noWrap/>
            <w:hideMark/>
          </w:tcPr>
          <w:p w14:paraId="6FB96F50" w14:textId="7F73CFB2" w:rsidR="00D64690" w:rsidRPr="00167A1B" w:rsidRDefault="00D64690" w:rsidP="00D64690">
            <w:pPr>
              <w:spacing w:after="0"/>
              <w:jc w:val="left"/>
              <w:rPr>
                <w:rFonts w:ascii="Trebuchet MS" w:hAnsi="Trebuchet MS"/>
                <w:sz w:val="16"/>
                <w:szCs w:val="16"/>
              </w:rPr>
            </w:pPr>
          </w:p>
        </w:tc>
        <w:tc>
          <w:tcPr>
            <w:tcW w:w="1510" w:type="dxa"/>
            <w:noWrap/>
            <w:vAlign w:val="center"/>
            <w:hideMark/>
          </w:tcPr>
          <w:p w14:paraId="37F046D3"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17D9E2BF" w14:textId="44C7263C"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1CDC87EA" w14:textId="10387D99"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9C0006"/>
                <w:sz w:val="16"/>
                <w:szCs w:val="16"/>
              </w:rPr>
              <w:t>20</w:t>
            </w:r>
          </w:p>
        </w:tc>
        <w:tc>
          <w:tcPr>
            <w:tcW w:w="1092" w:type="dxa"/>
            <w:noWrap/>
            <w:vAlign w:val="bottom"/>
            <w:hideMark/>
          </w:tcPr>
          <w:p w14:paraId="5356DD45" w14:textId="76B19A4A"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9C0006"/>
                <w:sz w:val="16"/>
                <w:szCs w:val="16"/>
              </w:rPr>
              <w:t>50</w:t>
            </w:r>
          </w:p>
        </w:tc>
        <w:tc>
          <w:tcPr>
            <w:tcW w:w="1083" w:type="dxa"/>
            <w:noWrap/>
            <w:vAlign w:val="bottom"/>
            <w:hideMark/>
          </w:tcPr>
          <w:p w14:paraId="467381EC" w14:textId="38B54CE6"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-154</w:t>
            </w:r>
          </w:p>
        </w:tc>
        <w:tc>
          <w:tcPr>
            <w:tcW w:w="1138" w:type="dxa"/>
            <w:noWrap/>
            <w:vAlign w:val="bottom"/>
            <w:hideMark/>
          </w:tcPr>
          <w:p w14:paraId="584C1D1D" w14:textId="15DDE0D2"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-203</w:t>
            </w:r>
          </w:p>
        </w:tc>
        <w:tc>
          <w:tcPr>
            <w:tcW w:w="1138" w:type="dxa"/>
            <w:noWrap/>
            <w:vAlign w:val="bottom"/>
            <w:hideMark/>
          </w:tcPr>
          <w:p w14:paraId="7B05CE54" w14:textId="25712A3E"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-189</w:t>
            </w:r>
          </w:p>
        </w:tc>
      </w:tr>
      <w:tr w:rsidR="00D64690" w:rsidRPr="00167A1B" w14:paraId="79F5218F" w14:textId="77777777" w:rsidTr="00D64690">
        <w:trPr>
          <w:trHeight w:val="288"/>
        </w:trPr>
        <w:tc>
          <w:tcPr>
            <w:tcW w:w="1173" w:type="dxa"/>
            <w:vMerge/>
            <w:tcBorders>
              <w:bottom w:val="single" w:sz="4" w:space="0" w:color="438EF1" w:themeColor="text2" w:themeTint="99"/>
            </w:tcBorders>
            <w:noWrap/>
            <w:hideMark/>
          </w:tcPr>
          <w:p w14:paraId="50E131A9" w14:textId="37A57A69" w:rsidR="00D64690" w:rsidRPr="00167A1B" w:rsidRDefault="00D64690" w:rsidP="00D64690">
            <w:pPr>
              <w:spacing w:after="0"/>
              <w:jc w:val="left"/>
              <w:rPr>
                <w:rFonts w:ascii="Trebuchet MS" w:hAnsi="Trebuchet MS"/>
                <w:sz w:val="16"/>
                <w:szCs w:val="16"/>
              </w:rPr>
            </w:pPr>
          </w:p>
        </w:tc>
        <w:tc>
          <w:tcPr>
            <w:tcW w:w="1510" w:type="dxa"/>
            <w:tcBorders>
              <w:bottom w:val="single" w:sz="4" w:space="0" w:color="438EF1" w:themeColor="text2" w:themeTint="99"/>
            </w:tcBorders>
            <w:noWrap/>
            <w:vAlign w:val="center"/>
            <w:hideMark/>
          </w:tcPr>
          <w:p w14:paraId="6A3B07A5"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As %</w:t>
            </w:r>
          </w:p>
        </w:tc>
        <w:tc>
          <w:tcPr>
            <w:tcW w:w="880" w:type="dxa"/>
            <w:tcBorders>
              <w:bottom w:val="single" w:sz="4" w:space="0" w:color="438EF1" w:themeColor="text2" w:themeTint="99"/>
            </w:tcBorders>
            <w:noWrap/>
            <w:vAlign w:val="bottom"/>
            <w:hideMark/>
          </w:tcPr>
          <w:p w14:paraId="75A12A51" w14:textId="01CD214F"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 </w:t>
            </w:r>
          </w:p>
        </w:tc>
        <w:tc>
          <w:tcPr>
            <w:tcW w:w="1086" w:type="dxa"/>
            <w:tcBorders>
              <w:bottom w:val="single" w:sz="4" w:space="0" w:color="438EF1" w:themeColor="text2" w:themeTint="99"/>
            </w:tcBorders>
            <w:noWrap/>
            <w:vAlign w:val="bottom"/>
            <w:hideMark/>
          </w:tcPr>
          <w:p w14:paraId="42E15C69" w14:textId="10D1B2F0"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9C0006"/>
                <w:sz w:val="16"/>
                <w:szCs w:val="16"/>
              </w:rPr>
              <w:t>0.4%</w:t>
            </w:r>
          </w:p>
        </w:tc>
        <w:tc>
          <w:tcPr>
            <w:tcW w:w="1092" w:type="dxa"/>
            <w:tcBorders>
              <w:bottom w:val="single" w:sz="4" w:space="0" w:color="438EF1" w:themeColor="text2" w:themeTint="99"/>
            </w:tcBorders>
            <w:noWrap/>
            <w:vAlign w:val="bottom"/>
            <w:hideMark/>
          </w:tcPr>
          <w:p w14:paraId="5AA31311" w14:textId="089A69DF"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9C0006"/>
                <w:sz w:val="16"/>
                <w:szCs w:val="16"/>
              </w:rPr>
              <w:t>1.1%</w:t>
            </w:r>
          </w:p>
        </w:tc>
        <w:tc>
          <w:tcPr>
            <w:tcW w:w="1083" w:type="dxa"/>
            <w:tcBorders>
              <w:bottom w:val="single" w:sz="4" w:space="0" w:color="438EF1" w:themeColor="text2" w:themeTint="99"/>
            </w:tcBorders>
            <w:noWrap/>
            <w:vAlign w:val="bottom"/>
            <w:hideMark/>
          </w:tcPr>
          <w:p w14:paraId="3D1F54BC" w14:textId="6D352BA3"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-3.4%</w:t>
            </w:r>
          </w:p>
        </w:tc>
        <w:tc>
          <w:tcPr>
            <w:tcW w:w="1138" w:type="dxa"/>
            <w:tcBorders>
              <w:bottom w:val="single" w:sz="4" w:space="0" w:color="438EF1" w:themeColor="text2" w:themeTint="99"/>
            </w:tcBorders>
            <w:noWrap/>
            <w:vAlign w:val="bottom"/>
            <w:hideMark/>
          </w:tcPr>
          <w:p w14:paraId="760276CD" w14:textId="18926B84"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-4.5%</w:t>
            </w:r>
          </w:p>
        </w:tc>
        <w:tc>
          <w:tcPr>
            <w:tcW w:w="1138" w:type="dxa"/>
            <w:tcBorders>
              <w:bottom w:val="single" w:sz="4" w:space="0" w:color="438EF1" w:themeColor="text2" w:themeTint="99"/>
            </w:tcBorders>
            <w:noWrap/>
            <w:vAlign w:val="bottom"/>
            <w:hideMark/>
          </w:tcPr>
          <w:p w14:paraId="579493C0" w14:textId="04D874D4"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-4.1%</w:t>
            </w:r>
          </w:p>
        </w:tc>
      </w:tr>
      <w:tr w:rsidR="00D64690" w:rsidRPr="00167A1B" w14:paraId="236C9F37" w14:textId="77777777" w:rsidTr="00D64690">
        <w:trPr>
          <w:trHeight w:val="304"/>
        </w:trPr>
        <w:tc>
          <w:tcPr>
            <w:tcW w:w="1173" w:type="dxa"/>
            <w:vMerge w:val="restart"/>
            <w:tcBorders>
              <w:top w:val="single" w:sz="4" w:space="0" w:color="438EF1" w:themeColor="text2" w:themeTint="99"/>
            </w:tcBorders>
            <w:noWrap/>
            <w:hideMark/>
          </w:tcPr>
          <w:p w14:paraId="4C1571F8" w14:textId="53C9BE83" w:rsidR="00D64690" w:rsidRPr="00167A1B" w:rsidRDefault="00D64690" w:rsidP="00D64690">
            <w:pPr>
              <w:spacing w:after="0"/>
              <w:jc w:val="left"/>
              <w:rPr>
                <w:rFonts w:ascii="Trebuchet MS" w:hAnsi="Trebuchet MS"/>
                <w:b/>
                <w:sz w:val="16"/>
                <w:szCs w:val="16"/>
              </w:rPr>
            </w:pPr>
            <w:r w:rsidRPr="00167A1B">
              <w:rPr>
                <w:rFonts w:ascii="Trebuchet MS" w:hAnsi="Trebuchet MS"/>
                <w:b/>
                <w:sz w:val="16"/>
                <w:szCs w:val="16"/>
              </w:rPr>
              <w:t>Of which Recycled [tonnes]</w:t>
            </w:r>
            <w:r w:rsidRPr="00167A1B">
              <w:rPr>
                <w:rStyle w:val="FootnoteReference"/>
                <w:b/>
                <w:szCs w:val="16"/>
              </w:rPr>
              <w:footnoteReference w:id="161"/>
            </w:r>
          </w:p>
        </w:tc>
        <w:tc>
          <w:tcPr>
            <w:tcW w:w="1510" w:type="dxa"/>
            <w:tcBorders>
              <w:top w:val="single" w:sz="4" w:space="0" w:color="438EF1" w:themeColor="text2" w:themeTint="99"/>
            </w:tcBorders>
            <w:noWrap/>
            <w:vAlign w:val="center"/>
            <w:hideMark/>
          </w:tcPr>
          <w:p w14:paraId="6DC21D38" w14:textId="77777777" w:rsidR="00D64690" w:rsidRPr="00167A1B" w:rsidRDefault="00D64690" w:rsidP="00491CD6">
            <w:pPr>
              <w:spacing w:after="0"/>
              <w:jc w:val="left"/>
              <w:rPr>
                <w:rFonts w:ascii="Trebuchet MS" w:hAnsi="Trebuchet MS"/>
                <w:b/>
                <w:sz w:val="16"/>
                <w:szCs w:val="16"/>
              </w:rPr>
            </w:pPr>
            <w:r w:rsidRPr="00167A1B">
              <w:rPr>
                <w:rFonts w:ascii="Trebuchet MS" w:hAnsi="Trebuchet MS"/>
                <w:b/>
                <w:sz w:val="16"/>
                <w:szCs w:val="16"/>
              </w:rPr>
              <w:t>Total 2024-2030</w:t>
            </w:r>
          </w:p>
        </w:tc>
        <w:tc>
          <w:tcPr>
            <w:tcW w:w="880" w:type="dxa"/>
            <w:tcBorders>
              <w:top w:val="single" w:sz="4" w:space="0" w:color="438EF1" w:themeColor="text2" w:themeTint="99"/>
            </w:tcBorders>
            <w:noWrap/>
            <w:vAlign w:val="bottom"/>
            <w:hideMark/>
          </w:tcPr>
          <w:p w14:paraId="4AE7DD49" w14:textId="3E29A2DD"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82,899</w:t>
            </w:r>
          </w:p>
        </w:tc>
        <w:tc>
          <w:tcPr>
            <w:tcW w:w="1086" w:type="dxa"/>
            <w:tcBorders>
              <w:top w:val="single" w:sz="4" w:space="0" w:color="438EF1" w:themeColor="text2" w:themeTint="99"/>
            </w:tcBorders>
            <w:noWrap/>
            <w:vAlign w:val="bottom"/>
            <w:hideMark/>
          </w:tcPr>
          <w:p w14:paraId="3C2121BF" w14:textId="384ED6BE"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83,418</w:t>
            </w:r>
          </w:p>
        </w:tc>
        <w:tc>
          <w:tcPr>
            <w:tcW w:w="1092" w:type="dxa"/>
            <w:tcBorders>
              <w:top w:val="single" w:sz="4" w:space="0" w:color="438EF1" w:themeColor="text2" w:themeTint="99"/>
            </w:tcBorders>
            <w:noWrap/>
            <w:vAlign w:val="bottom"/>
            <w:hideMark/>
          </w:tcPr>
          <w:p w14:paraId="5E186943" w14:textId="309F702E"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83,951</w:t>
            </w:r>
          </w:p>
        </w:tc>
        <w:tc>
          <w:tcPr>
            <w:tcW w:w="1083" w:type="dxa"/>
            <w:tcBorders>
              <w:top w:val="single" w:sz="4" w:space="0" w:color="438EF1" w:themeColor="text2" w:themeTint="99"/>
            </w:tcBorders>
            <w:noWrap/>
            <w:vAlign w:val="bottom"/>
            <w:hideMark/>
          </w:tcPr>
          <w:p w14:paraId="698B171D" w14:textId="51B470A7"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80,440</w:t>
            </w:r>
          </w:p>
        </w:tc>
        <w:tc>
          <w:tcPr>
            <w:tcW w:w="1138" w:type="dxa"/>
            <w:tcBorders>
              <w:top w:val="single" w:sz="4" w:space="0" w:color="438EF1" w:themeColor="text2" w:themeTint="99"/>
            </w:tcBorders>
            <w:noWrap/>
            <w:vAlign w:val="bottom"/>
            <w:hideMark/>
          </w:tcPr>
          <w:p w14:paraId="1802A355" w14:textId="07027FEF"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79,437</w:t>
            </w:r>
          </w:p>
        </w:tc>
        <w:tc>
          <w:tcPr>
            <w:tcW w:w="1138" w:type="dxa"/>
            <w:tcBorders>
              <w:top w:val="single" w:sz="4" w:space="0" w:color="438EF1" w:themeColor="text2" w:themeTint="99"/>
            </w:tcBorders>
            <w:noWrap/>
            <w:vAlign w:val="bottom"/>
            <w:hideMark/>
          </w:tcPr>
          <w:p w14:paraId="3840A7A8" w14:textId="489BCB8F" w:rsidR="00D64690" w:rsidRPr="00167A1B" w:rsidRDefault="00D64690" w:rsidP="00491CD6">
            <w:pPr>
              <w:spacing w:after="0"/>
              <w:jc w:val="right"/>
              <w:rPr>
                <w:rFonts w:ascii="Trebuchet MS" w:hAnsi="Trebuchet MS"/>
                <w:b/>
                <w:sz w:val="16"/>
                <w:szCs w:val="16"/>
              </w:rPr>
            </w:pPr>
            <w:r w:rsidRPr="00167A1B">
              <w:rPr>
                <w:rFonts w:ascii="Trebuchet MS" w:hAnsi="Trebuchet MS"/>
                <w:b/>
                <w:bCs/>
                <w:sz w:val="16"/>
                <w:szCs w:val="16"/>
              </w:rPr>
              <w:t>79,750</w:t>
            </w:r>
          </w:p>
        </w:tc>
      </w:tr>
      <w:tr w:rsidR="00D64690" w:rsidRPr="00167A1B" w14:paraId="55D8B456" w14:textId="77777777" w:rsidTr="00B70444">
        <w:trPr>
          <w:trHeight w:val="288"/>
        </w:trPr>
        <w:tc>
          <w:tcPr>
            <w:tcW w:w="1173" w:type="dxa"/>
            <w:vMerge/>
            <w:noWrap/>
            <w:vAlign w:val="center"/>
            <w:hideMark/>
          </w:tcPr>
          <w:p w14:paraId="1924C9E3" w14:textId="297A31B1" w:rsidR="00D64690" w:rsidRPr="00167A1B" w:rsidRDefault="00D64690" w:rsidP="00491CD6">
            <w:pPr>
              <w:spacing w:after="0"/>
              <w:jc w:val="left"/>
              <w:rPr>
                <w:rFonts w:ascii="Trebuchet MS" w:hAnsi="Trebuchet MS"/>
                <w:sz w:val="16"/>
                <w:szCs w:val="16"/>
              </w:rPr>
            </w:pPr>
          </w:p>
        </w:tc>
        <w:tc>
          <w:tcPr>
            <w:tcW w:w="1510" w:type="dxa"/>
            <w:noWrap/>
            <w:vAlign w:val="center"/>
            <w:hideMark/>
          </w:tcPr>
          <w:p w14:paraId="3361D931"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4BD5EA77" w14:textId="09C1C067"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6890C3E0" w14:textId="160574D9"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9C0006"/>
                <w:sz w:val="16"/>
                <w:szCs w:val="16"/>
              </w:rPr>
              <w:t>519</w:t>
            </w:r>
          </w:p>
        </w:tc>
        <w:tc>
          <w:tcPr>
            <w:tcW w:w="1092" w:type="dxa"/>
            <w:noWrap/>
            <w:vAlign w:val="bottom"/>
            <w:hideMark/>
          </w:tcPr>
          <w:p w14:paraId="14B750C1" w14:textId="0FA4FEA6"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9C0006"/>
                <w:sz w:val="16"/>
                <w:szCs w:val="16"/>
              </w:rPr>
              <w:t>1,052</w:t>
            </w:r>
          </w:p>
        </w:tc>
        <w:tc>
          <w:tcPr>
            <w:tcW w:w="1083" w:type="dxa"/>
            <w:noWrap/>
            <w:vAlign w:val="bottom"/>
            <w:hideMark/>
          </w:tcPr>
          <w:p w14:paraId="57A1B090" w14:textId="255E6336"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-2,459</w:t>
            </w:r>
          </w:p>
        </w:tc>
        <w:tc>
          <w:tcPr>
            <w:tcW w:w="1138" w:type="dxa"/>
            <w:noWrap/>
            <w:vAlign w:val="bottom"/>
            <w:hideMark/>
          </w:tcPr>
          <w:p w14:paraId="70FF63D8" w14:textId="6C29566C"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-3,462</w:t>
            </w:r>
          </w:p>
        </w:tc>
        <w:tc>
          <w:tcPr>
            <w:tcW w:w="1138" w:type="dxa"/>
            <w:noWrap/>
            <w:vAlign w:val="bottom"/>
            <w:hideMark/>
          </w:tcPr>
          <w:p w14:paraId="10A64604" w14:textId="611D9C0A"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-3,149</w:t>
            </w:r>
          </w:p>
        </w:tc>
      </w:tr>
      <w:tr w:rsidR="00D64690" w:rsidRPr="00167A1B" w14:paraId="77367B7A" w14:textId="77777777" w:rsidTr="00B70444">
        <w:trPr>
          <w:trHeight w:val="304"/>
        </w:trPr>
        <w:tc>
          <w:tcPr>
            <w:tcW w:w="1173" w:type="dxa"/>
            <w:vMerge/>
            <w:noWrap/>
            <w:vAlign w:val="center"/>
            <w:hideMark/>
          </w:tcPr>
          <w:p w14:paraId="758B1983" w14:textId="52E42253" w:rsidR="00D64690" w:rsidRPr="00167A1B" w:rsidRDefault="00D64690" w:rsidP="00491CD6">
            <w:pPr>
              <w:spacing w:after="0"/>
              <w:jc w:val="left"/>
              <w:rPr>
                <w:rFonts w:ascii="Trebuchet MS" w:hAnsi="Trebuchet MS"/>
                <w:sz w:val="16"/>
                <w:szCs w:val="16"/>
              </w:rPr>
            </w:pPr>
          </w:p>
        </w:tc>
        <w:tc>
          <w:tcPr>
            <w:tcW w:w="1510" w:type="dxa"/>
            <w:noWrap/>
            <w:vAlign w:val="center"/>
            <w:hideMark/>
          </w:tcPr>
          <w:p w14:paraId="745EA15C"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Annual average</w:t>
            </w:r>
          </w:p>
        </w:tc>
        <w:tc>
          <w:tcPr>
            <w:tcW w:w="880" w:type="dxa"/>
            <w:noWrap/>
            <w:vAlign w:val="bottom"/>
            <w:hideMark/>
          </w:tcPr>
          <w:p w14:paraId="6D61407A" w14:textId="1623E903"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11,843</w:t>
            </w:r>
          </w:p>
        </w:tc>
        <w:tc>
          <w:tcPr>
            <w:tcW w:w="1086" w:type="dxa"/>
            <w:noWrap/>
            <w:vAlign w:val="bottom"/>
            <w:hideMark/>
          </w:tcPr>
          <w:p w14:paraId="46F3847A" w14:textId="21734C71"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11,917</w:t>
            </w:r>
          </w:p>
        </w:tc>
        <w:tc>
          <w:tcPr>
            <w:tcW w:w="1092" w:type="dxa"/>
            <w:noWrap/>
            <w:vAlign w:val="bottom"/>
            <w:hideMark/>
          </w:tcPr>
          <w:p w14:paraId="072E156A" w14:textId="73653DC3"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11,993</w:t>
            </w:r>
          </w:p>
        </w:tc>
        <w:tc>
          <w:tcPr>
            <w:tcW w:w="1083" w:type="dxa"/>
            <w:noWrap/>
            <w:vAlign w:val="bottom"/>
            <w:hideMark/>
          </w:tcPr>
          <w:p w14:paraId="0DF835DD" w14:textId="16FFAD2A"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11,491</w:t>
            </w:r>
          </w:p>
        </w:tc>
        <w:tc>
          <w:tcPr>
            <w:tcW w:w="1138" w:type="dxa"/>
            <w:noWrap/>
            <w:vAlign w:val="bottom"/>
            <w:hideMark/>
          </w:tcPr>
          <w:p w14:paraId="0637152A" w14:textId="26E7BCB9"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11,348</w:t>
            </w:r>
          </w:p>
        </w:tc>
        <w:tc>
          <w:tcPr>
            <w:tcW w:w="1138" w:type="dxa"/>
            <w:noWrap/>
            <w:vAlign w:val="bottom"/>
            <w:hideMark/>
          </w:tcPr>
          <w:p w14:paraId="0A339060" w14:textId="5F353C64"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11,393</w:t>
            </w:r>
          </w:p>
        </w:tc>
      </w:tr>
      <w:tr w:rsidR="00D64690" w:rsidRPr="00167A1B" w14:paraId="30A32ABA" w14:textId="77777777" w:rsidTr="00B70444">
        <w:trPr>
          <w:trHeight w:val="273"/>
        </w:trPr>
        <w:tc>
          <w:tcPr>
            <w:tcW w:w="1173" w:type="dxa"/>
            <w:vMerge/>
            <w:noWrap/>
            <w:vAlign w:val="center"/>
            <w:hideMark/>
          </w:tcPr>
          <w:p w14:paraId="002BF7E7" w14:textId="138C2445" w:rsidR="00D64690" w:rsidRPr="00167A1B" w:rsidRDefault="00D64690" w:rsidP="00491CD6">
            <w:pPr>
              <w:spacing w:after="0"/>
              <w:jc w:val="left"/>
              <w:rPr>
                <w:rFonts w:ascii="Trebuchet MS" w:hAnsi="Trebuchet MS"/>
                <w:sz w:val="16"/>
                <w:szCs w:val="16"/>
              </w:rPr>
            </w:pPr>
          </w:p>
        </w:tc>
        <w:tc>
          <w:tcPr>
            <w:tcW w:w="1510" w:type="dxa"/>
            <w:noWrap/>
            <w:vAlign w:val="center"/>
            <w:hideMark/>
          </w:tcPr>
          <w:p w14:paraId="31D200B5"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Difference with baseline</w:t>
            </w:r>
          </w:p>
        </w:tc>
        <w:tc>
          <w:tcPr>
            <w:tcW w:w="880" w:type="dxa"/>
            <w:noWrap/>
            <w:vAlign w:val="bottom"/>
            <w:hideMark/>
          </w:tcPr>
          <w:p w14:paraId="6071E48A" w14:textId="69BE29C3"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0C59609F" w14:textId="3E184D0F"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9C0006"/>
                <w:sz w:val="16"/>
                <w:szCs w:val="16"/>
              </w:rPr>
              <w:t>74</w:t>
            </w:r>
          </w:p>
        </w:tc>
        <w:tc>
          <w:tcPr>
            <w:tcW w:w="1092" w:type="dxa"/>
            <w:noWrap/>
            <w:vAlign w:val="bottom"/>
            <w:hideMark/>
          </w:tcPr>
          <w:p w14:paraId="5BDC691C" w14:textId="50E721AF"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9C0006"/>
                <w:sz w:val="16"/>
                <w:szCs w:val="16"/>
              </w:rPr>
              <w:t>150</w:t>
            </w:r>
          </w:p>
        </w:tc>
        <w:tc>
          <w:tcPr>
            <w:tcW w:w="1083" w:type="dxa"/>
            <w:noWrap/>
            <w:vAlign w:val="bottom"/>
            <w:hideMark/>
          </w:tcPr>
          <w:p w14:paraId="31B93D9A" w14:textId="1029BF53"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-351</w:t>
            </w:r>
          </w:p>
        </w:tc>
        <w:tc>
          <w:tcPr>
            <w:tcW w:w="1138" w:type="dxa"/>
            <w:noWrap/>
            <w:vAlign w:val="bottom"/>
            <w:hideMark/>
          </w:tcPr>
          <w:p w14:paraId="2A7CFC09" w14:textId="3467A776"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-495</w:t>
            </w:r>
          </w:p>
        </w:tc>
        <w:tc>
          <w:tcPr>
            <w:tcW w:w="1138" w:type="dxa"/>
            <w:noWrap/>
            <w:vAlign w:val="bottom"/>
            <w:hideMark/>
          </w:tcPr>
          <w:p w14:paraId="17DDBCDD" w14:textId="3F117B79"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-450</w:t>
            </w:r>
          </w:p>
        </w:tc>
      </w:tr>
      <w:tr w:rsidR="00D64690" w:rsidRPr="00167A1B" w14:paraId="4629965A" w14:textId="77777777" w:rsidTr="00B70444">
        <w:trPr>
          <w:trHeight w:val="273"/>
        </w:trPr>
        <w:tc>
          <w:tcPr>
            <w:tcW w:w="1173" w:type="dxa"/>
            <w:vMerge/>
            <w:noWrap/>
            <w:vAlign w:val="center"/>
            <w:hideMark/>
          </w:tcPr>
          <w:p w14:paraId="7EAADD23" w14:textId="09345B2C" w:rsidR="00D64690" w:rsidRPr="00167A1B" w:rsidRDefault="00D64690" w:rsidP="00491CD6">
            <w:pPr>
              <w:spacing w:after="0"/>
              <w:jc w:val="left"/>
              <w:rPr>
                <w:rFonts w:ascii="Trebuchet MS" w:hAnsi="Trebuchet MS"/>
                <w:sz w:val="16"/>
                <w:szCs w:val="16"/>
              </w:rPr>
            </w:pPr>
          </w:p>
        </w:tc>
        <w:tc>
          <w:tcPr>
            <w:tcW w:w="1510" w:type="dxa"/>
            <w:noWrap/>
            <w:vAlign w:val="center"/>
            <w:hideMark/>
          </w:tcPr>
          <w:p w14:paraId="7BF27110" w14:textId="77777777" w:rsidR="00D64690" w:rsidRPr="00167A1B" w:rsidRDefault="00D64690" w:rsidP="00491CD6">
            <w:pPr>
              <w:spacing w:after="0"/>
              <w:jc w:val="left"/>
              <w:rPr>
                <w:rFonts w:ascii="Trebuchet MS" w:hAnsi="Trebuchet MS"/>
                <w:sz w:val="16"/>
                <w:szCs w:val="16"/>
              </w:rPr>
            </w:pPr>
            <w:r w:rsidRPr="00167A1B">
              <w:rPr>
                <w:rFonts w:ascii="Trebuchet MS" w:hAnsi="Trebuchet MS"/>
                <w:sz w:val="16"/>
                <w:szCs w:val="16"/>
              </w:rPr>
              <w:t>As %</w:t>
            </w:r>
          </w:p>
        </w:tc>
        <w:tc>
          <w:tcPr>
            <w:tcW w:w="880" w:type="dxa"/>
            <w:noWrap/>
            <w:vAlign w:val="bottom"/>
            <w:hideMark/>
          </w:tcPr>
          <w:p w14:paraId="1EE85BA4" w14:textId="77777777" w:rsidR="00D64690" w:rsidRPr="00167A1B" w:rsidRDefault="00D64690" w:rsidP="00491CD6">
            <w:pPr>
              <w:spacing w:after="0"/>
              <w:jc w:val="right"/>
              <w:rPr>
                <w:rFonts w:ascii="Trebuchet MS" w:hAnsi="Trebuchet MS"/>
                <w:sz w:val="16"/>
                <w:szCs w:val="16"/>
              </w:rPr>
            </w:pPr>
            <w:r w:rsidRPr="00167A1B">
              <w:rPr>
                <w:rFonts w:ascii="Trebuchet MS" w:hAnsi="Trebuchet MS"/>
                <w:sz w:val="16"/>
                <w:szCs w:val="16"/>
              </w:rPr>
              <w:t> </w:t>
            </w:r>
          </w:p>
        </w:tc>
        <w:tc>
          <w:tcPr>
            <w:tcW w:w="1086" w:type="dxa"/>
            <w:noWrap/>
            <w:vAlign w:val="bottom"/>
            <w:hideMark/>
          </w:tcPr>
          <w:p w14:paraId="53105A8C" w14:textId="3A0472B8"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9C0006"/>
                <w:sz w:val="16"/>
                <w:szCs w:val="16"/>
              </w:rPr>
              <w:t>0.6%</w:t>
            </w:r>
          </w:p>
        </w:tc>
        <w:tc>
          <w:tcPr>
            <w:tcW w:w="1092" w:type="dxa"/>
            <w:noWrap/>
            <w:vAlign w:val="bottom"/>
            <w:hideMark/>
          </w:tcPr>
          <w:p w14:paraId="356EA100" w14:textId="5E155745"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9C0006"/>
                <w:sz w:val="16"/>
                <w:szCs w:val="16"/>
              </w:rPr>
              <w:t>1.3%</w:t>
            </w:r>
          </w:p>
        </w:tc>
        <w:tc>
          <w:tcPr>
            <w:tcW w:w="1083" w:type="dxa"/>
            <w:noWrap/>
            <w:vAlign w:val="bottom"/>
            <w:hideMark/>
          </w:tcPr>
          <w:p w14:paraId="7023454E" w14:textId="6D0BB133" w:rsidR="00D64690" w:rsidRPr="00167A1B" w:rsidRDefault="00D64690" w:rsidP="00491CD6">
            <w:pPr>
              <w:spacing w:after="0"/>
              <w:jc w:val="right"/>
              <w:rPr>
                <w:rFonts w:ascii="Trebuchet MS" w:hAnsi="Trebuchet MS"/>
                <w:color w:val="9C0006"/>
                <w:sz w:val="16"/>
                <w:szCs w:val="16"/>
              </w:rPr>
            </w:pPr>
            <w:r w:rsidRPr="00167A1B">
              <w:rPr>
                <w:rFonts w:ascii="Trebuchet MS" w:hAnsi="Trebuchet MS"/>
                <w:color w:val="006100"/>
                <w:sz w:val="16"/>
                <w:szCs w:val="16"/>
              </w:rPr>
              <w:t>-3.0%</w:t>
            </w:r>
          </w:p>
        </w:tc>
        <w:tc>
          <w:tcPr>
            <w:tcW w:w="1138" w:type="dxa"/>
            <w:noWrap/>
            <w:vAlign w:val="bottom"/>
            <w:hideMark/>
          </w:tcPr>
          <w:p w14:paraId="1426A60B" w14:textId="50236CF5"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-4.2%</w:t>
            </w:r>
          </w:p>
        </w:tc>
        <w:tc>
          <w:tcPr>
            <w:tcW w:w="1138" w:type="dxa"/>
            <w:noWrap/>
            <w:vAlign w:val="bottom"/>
            <w:hideMark/>
          </w:tcPr>
          <w:p w14:paraId="29BCAC45" w14:textId="7E5F4909" w:rsidR="00D64690" w:rsidRPr="00167A1B" w:rsidRDefault="00D64690" w:rsidP="00491CD6">
            <w:pPr>
              <w:spacing w:after="0"/>
              <w:jc w:val="right"/>
              <w:rPr>
                <w:rFonts w:ascii="Trebuchet MS" w:hAnsi="Trebuchet MS"/>
                <w:color w:val="006100"/>
                <w:sz w:val="16"/>
                <w:szCs w:val="16"/>
              </w:rPr>
            </w:pPr>
            <w:r w:rsidRPr="00167A1B">
              <w:rPr>
                <w:rFonts w:ascii="Trebuchet MS" w:hAnsi="Trebuchet MS"/>
                <w:color w:val="006100"/>
                <w:sz w:val="16"/>
                <w:szCs w:val="16"/>
              </w:rPr>
              <w:t>-3.8%</w:t>
            </w:r>
          </w:p>
        </w:tc>
      </w:tr>
    </w:tbl>
    <w:p w14:paraId="4479D8E1" w14:textId="65605A86" w:rsidR="00491CD6" w:rsidRPr="00167A1B" w:rsidRDefault="009A41DA" w:rsidP="00157B22">
      <w:pPr>
        <w:spacing w:before="120"/>
        <w:jc w:val="center"/>
        <w:rPr>
          <w:rFonts w:asciiTheme="minorHAnsi" w:hAnsiTheme="minorHAnsi" w:cstheme="minorHAnsi"/>
        </w:rPr>
      </w:pPr>
      <w:r w:rsidRPr="00167A1B">
        <w:rPr>
          <w:rFonts w:asciiTheme="minorHAnsi" w:hAnsiTheme="minorHAnsi" w:cstheme="minorHAnsi"/>
          <w:b/>
          <w:sz w:val="18"/>
          <w:szCs w:val="18"/>
        </w:rPr>
        <w:t>Source:</w:t>
      </w:r>
      <w:r w:rsidRPr="00167A1B">
        <w:rPr>
          <w:rFonts w:asciiTheme="minorHAnsi" w:hAnsiTheme="minorHAnsi" w:cstheme="minorHAnsi"/>
          <w:sz w:val="18"/>
          <w:szCs w:val="18"/>
        </w:rPr>
        <w:t xml:space="preserve">  Own TRI-STOCK-CHARGER model calculations.</w:t>
      </w:r>
    </w:p>
    <w:p w14:paraId="023613CE" w14:textId="0F2ED92B" w:rsidR="00953106" w:rsidRPr="00167A1B" w:rsidRDefault="00953106" w:rsidP="00953106">
      <w:pPr>
        <w:pStyle w:val="Caption"/>
      </w:pPr>
      <w:r w:rsidRPr="00167A1B">
        <w:lastRenderedPageBreak/>
        <w:t xml:space="preserve">Table </w:t>
      </w:r>
      <w:r w:rsidRPr="00167A1B">
        <w:fldChar w:fldCharType="begin"/>
      </w:r>
      <w:r w:rsidRPr="00167A1B">
        <w:instrText xml:space="preserve"> SEQ Table \* ARABIC </w:instrText>
      </w:r>
      <w:r w:rsidRPr="00167A1B">
        <w:fldChar w:fldCharType="separate"/>
      </w:r>
      <w:r w:rsidRPr="00167A1B">
        <w:t>32</w:t>
      </w:r>
      <w:r w:rsidRPr="00167A1B">
        <w:fldChar w:fldCharType="end"/>
      </w:r>
      <w:r w:rsidRPr="00167A1B">
        <w:t>. Quantified economic impacts of the packages for mobile phones and other devices</w:t>
      </w:r>
    </w:p>
    <w:tbl>
      <w:tblPr>
        <w:tblStyle w:val="TableGrid"/>
        <w:tblW w:w="9078" w:type="dxa"/>
        <w:tblCellMar>
          <w:left w:w="57" w:type="dxa"/>
          <w:right w:w="57" w:type="dxa"/>
        </w:tblCellMar>
        <w:tblLook w:val="04A0" w:firstRow="1" w:lastRow="0" w:firstColumn="1" w:lastColumn="0" w:noHBand="0" w:noVBand="1"/>
      </w:tblPr>
      <w:tblGrid>
        <w:gridCol w:w="1266"/>
        <w:gridCol w:w="1091"/>
        <w:gridCol w:w="1353"/>
        <w:gridCol w:w="1361"/>
        <w:gridCol w:w="1279"/>
        <w:gridCol w:w="1364"/>
        <w:gridCol w:w="1347"/>
        <w:gridCol w:w="17"/>
      </w:tblGrid>
      <w:tr w:rsidR="00491CD6" w:rsidRPr="00167A1B" w14:paraId="1D3BC726" w14:textId="77777777" w:rsidTr="00157B22">
        <w:trPr>
          <w:cnfStyle w:val="100000000000" w:firstRow="1" w:lastRow="0" w:firstColumn="0" w:lastColumn="0" w:oddVBand="0" w:evenVBand="0" w:oddHBand="0" w:evenHBand="0" w:firstRowFirstColumn="0" w:firstRowLastColumn="0" w:lastRowFirstColumn="0" w:lastRowLastColumn="0"/>
          <w:trHeight w:val="272"/>
          <w:tblHeader/>
        </w:trPr>
        <w:tc>
          <w:tcPr>
            <w:tcW w:w="1266" w:type="dxa"/>
            <w:noWrap/>
            <w:hideMark/>
          </w:tcPr>
          <w:p w14:paraId="46908F19" w14:textId="77777777" w:rsidR="00491CD6" w:rsidRPr="00167A1B" w:rsidRDefault="00491CD6" w:rsidP="0070682E">
            <w:pPr>
              <w:spacing w:after="0"/>
              <w:jc w:val="left"/>
              <w:rPr>
                <w:rFonts w:ascii="Arial" w:hAnsi="Arial" w:cs="Arial"/>
                <w:sz w:val="16"/>
                <w:szCs w:val="16"/>
                <w:lang w:eastAsia="en-GB"/>
              </w:rPr>
            </w:pPr>
            <w:r w:rsidRPr="00167A1B">
              <w:rPr>
                <w:rFonts w:ascii="Arial" w:hAnsi="Arial" w:cs="Arial"/>
                <w:sz w:val="16"/>
                <w:szCs w:val="16"/>
                <w:lang w:eastAsia="en-GB"/>
              </w:rPr>
              <w:t> </w:t>
            </w:r>
          </w:p>
        </w:tc>
        <w:tc>
          <w:tcPr>
            <w:tcW w:w="1091" w:type="dxa"/>
            <w:vAlign w:val="center"/>
            <w:hideMark/>
          </w:tcPr>
          <w:p w14:paraId="32CE960A" w14:textId="77777777" w:rsidR="00491CD6" w:rsidRPr="00167A1B" w:rsidRDefault="00491CD6" w:rsidP="00157B22">
            <w:pPr>
              <w:spacing w:after="0"/>
              <w:jc w:val="left"/>
              <w:rPr>
                <w:rFonts w:ascii="Trebuchet MS" w:hAnsi="Trebuchet MS"/>
                <w:b/>
                <w:bCs/>
                <w:sz w:val="16"/>
                <w:szCs w:val="16"/>
                <w:lang w:eastAsia="en-GB"/>
              </w:rPr>
            </w:pPr>
            <w:r w:rsidRPr="00167A1B">
              <w:rPr>
                <w:rFonts w:ascii="Trebuchet MS" w:hAnsi="Trebuchet MS"/>
                <w:b/>
                <w:bCs/>
                <w:sz w:val="16"/>
                <w:szCs w:val="16"/>
                <w:lang w:eastAsia="en-GB"/>
              </w:rPr>
              <w:t>Baseline</w:t>
            </w:r>
          </w:p>
        </w:tc>
        <w:tc>
          <w:tcPr>
            <w:tcW w:w="0" w:type="auto"/>
            <w:vAlign w:val="center"/>
            <w:hideMark/>
          </w:tcPr>
          <w:p w14:paraId="3A5EBCF3" w14:textId="77777777" w:rsidR="00491CD6" w:rsidRPr="00167A1B" w:rsidRDefault="00491CD6" w:rsidP="00157B22">
            <w:pPr>
              <w:spacing w:after="0"/>
              <w:jc w:val="left"/>
              <w:rPr>
                <w:rFonts w:ascii="Trebuchet MS" w:hAnsi="Trebuchet MS"/>
                <w:b/>
                <w:bCs/>
                <w:sz w:val="16"/>
                <w:szCs w:val="16"/>
                <w:lang w:eastAsia="en-GB"/>
              </w:rPr>
            </w:pPr>
            <w:r w:rsidRPr="00167A1B">
              <w:rPr>
                <w:rFonts w:ascii="Trebuchet MS" w:hAnsi="Trebuchet MS"/>
                <w:b/>
                <w:bCs/>
                <w:sz w:val="16"/>
                <w:szCs w:val="16"/>
              </w:rPr>
              <w:t>Package 1</w:t>
            </w:r>
          </w:p>
        </w:tc>
        <w:tc>
          <w:tcPr>
            <w:tcW w:w="0" w:type="auto"/>
            <w:vAlign w:val="center"/>
            <w:hideMark/>
          </w:tcPr>
          <w:p w14:paraId="5F837C69" w14:textId="77777777" w:rsidR="00491CD6" w:rsidRPr="00167A1B" w:rsidRDefault="00491CD6" w:rsidP="00157B22">
            <w:pPr>
              <w:spacing w:after="0"/>
              <w:jc w:val="left"/>
              <w:rPr>
                <w:rFonts w:ascii="Trebuchet MS" w:hAnsi="Trebuchet MS"/>
                <w:b/>
                <w:bCs/>
                <w:sz w:val="16"/>
                <w:szCs w:val="16"/>
                <w:lang w:eastAsia="en-GB"/>
              </w:rPr>
            </w:pPr>
            <w:r w:rsidRPr="00167A1B">
              <w:rPr>
                <w:rFonts w:ascii="Trebuchet MS" w:hAnsi="Trebuchet MS"/>
                <w:b/>
                <w:bCs/>
                <w:sz w:val="16"/>
                <w:szCs w:val="16"/>
              </w:rPr>
              <w:t>Package 2</w:t>
            </w:r>
          </w:p>
        </w:tc>
        <w:tc>
          <w:tcPr>
            <w:tcW w:w="1279" w:type="dxa"/>
            <w:vAlign w:val="center"/>
            <w:hideMark/>
          </w:tcPr>
          <w:p w14:paraId="5248A295" w14:textId="77777777" w:rsidR="00491CD6" w:rsidRPr="00167A1B" w:rsidRDefault="00491CD6" w:rsidP="00157B22">
            <w:pPr>
              <w:spacing w:after="0"/>
              <w:jc w:val="left"/>
              <w:rPr>
                <w:rFonts w:ascii="Trebuchet MS" w:hAnsi="Trebuchet MS"/>
                <w:b/>
                <w:bCs/>
                <w:sz w:val="16"/>
                <w:szCs w:val="16"/>
                <w:lang w:eastAsia="en-GB"/>
              </w:rPr>
            </w:pPr>
            <w:r w:rsidRPr="00167A1B">
              <w:rPr>
                <w:rFonts w:ascii="Trebuchet MS" w:hAnsi="Trebuchet MS"/>
                <w:b/>
                <w:bCs/>
                <w:sz w:val="16"/>
                <w:szCs w:val="16"/>
              </w:rPr>
              <w:t>Package 3</w:t>
            </w:r>
          </w:p>
        </w:tc>
        <w:tc>
          <w:tcPr>
            <w:tcW w:w="1364" w:type="dxa"/>
            <w:vAlign w:val="center"/>
            <w:hideMark/>
          </w:tcPr>
          <w:p w14:paraId="4792112F" w14:textId="77777777" w:rsidR="00491CD6" w:rsidRPr="00167A1B" w:rsidRDefault="00491CD6" w:rsidP="00157B22">
            <w:pPr>
              <w:spacing w:after="0"/>
              <w:jc w:val="left"/>
              <w:rPr>
                <w:rFonts w:ascii="Trebuchet MS" w:hAnsi="Trebuchet MS"/>
                <w:b/>
                <w:bCs/>
                <w:sz w:val="16"/>
                <w:szCs w:val="16"/>
                <w:lang w:eastAsia="en-GB"/>
              </w:rPr>
            </w:pPr>
            <w:r w:rsidRPr="00167A1B">
              <w:rPr>
                <w:rFonts w:ascii="Trebuchet MS" w:hAnsi="Trebuchet MS"/>
                <w:b/>
                <w:bCs/>
                <w:sz w:val="16"/>
                <w:szCs w:val="16"/>
              </w:rPr>
              <w:t>Package 4</w:t>
            </w:r>
          </w:p>
        </w:tc>
        <w:tc>
          <w:tcPr>
            <w:tcW w:w="1364" w:type="dxa"/>
            <w:gridSpan w:val="2"/>
            <w:vAlign w:val="center"/>
            <w:hideMark/>
          </w:tcPr>
          <w:p w14:paraId="49AA16DC" w14:textId="77777777" w:rsidR="00491CD6" w:rsidRPr="00167A1B" w:rsidRDefault="00491CD6" w:rsidP="00157B22">
            <w:pPr>
              <w:spacing w:after="0"/>
              <w:jc w:val="left"/>
              <w:rPr>
                <w:rFonts w:ascii="Trebuchet MS" w:hAnsi="Trebuchet MS"/>
                <w:b/>
                <w:bCs/>
                <w:sz w:val="16"/>
                <w:szCs w:val="16"/>
                <w:lang w:eastAsia="en-GB"/>
              </w:rPr>
            </w:pPr>
            <w:r w:rsidRPr="00167A1B">
              <w:rPr>
                <w:rFonts w:ascii="Trebuchet MS" w:hAnsi="Trebuchet MS"/>
                <w:b/>
                <w:bCs/>
                <w:sz w:val="16"/>
                <w:szCs w:val="16"/>
              </w:rPr>
              <w:t>Package 5</w:t>
            </w:r>
          </w:p>
        </w:tc>
      </w:tr>
      <w:tr w:rsidR="00491CD6" w:rsidRPr="00167A1B" w14:paraId="2E04BB50" w14:textId="77777777" w:rsidTr="00814371">
        <w:trPr>
          <w:trHeight w:val="272"/>
        </w:trPr>
        <w:tc>
          <w:tcPr>
            <w:tcW w:w="1266" w:type="dxa"/>
            <w:noWrap/>
          </w:tcPr>
          <w:p w14:paraId="1953AC63" w14:textId="77777777" w:rsidR="00491CD6" w:rsidRPr="00167A1B" w:rsidRDefault="00491CD6" w:rsidP="0070682E">
            <w:pPr>
              <w:spacing w:after="0"/>
              <w:jc w:val="left"/>
              <w:rPr>
                <w:rFonts w:ascii="Arial" w:hAnsi="Arial" w:cs="Arial"/>
                <w:sz w:val="16"/>
                <w:szCs w:val="16"/>
                <w:lang w:eastAsia="en-GB"/>
              </w:rPr>
            </w:pPr>
          </w:p>
        </w:tc>
        <w:tc>
          <w:tcPr>
            <w:tcW w:w="1091" w:type="dxa"/>
          </w:tcPr>
          <w:p w14:paraId="3A09128E" w14:textId="77777777" w:rsidR="00491CD6" w:rsidRPr="00167A1B" w:rsidRDefault="00491CD6" w:rsidP="0070682E">
            <w:pPr>
              <w:spacing w:after="0"/>
              <w:jc w:val="left"/>
              <w:rPr>
                <w:rFonts w:ascii="Trebuchet MS" w:hAnsi="Trebuchet MS"/>
                <w:b/>
                <w:bCs/>
                <w:sz w:val="16"/>
                <w:szCs w:val="16"/>
                <w:lang w:eastAsia="en-GB"/>
              </w:rPr>
            </w:pPr>
          </w:p>
        </w:tc>
        <w:tc>
          <w:tcPr>
            <w:tcW w:w="0" w:type="auto"/>
            <w:tcBorders>
              <w:top w:val="single" w:sz="4" w:space="0" w:color="FFFFFF"/>
              <w:left w:val="single" w:sz="4" w:space="0" w:color="FFFFFF"/>
              <w:bottom w:val="single" w:sz="4" w:space="0" w:color="438EF1" w:themeColor="text2" w:themeTint="99"/>
              <w:right w:val="single" w:sz="4" w:space="0" w:color="FFFFFF"/>
            </w:tcBorders>
            <w:vAlign w:val="bottom"/>
          </w:tcPr>
          <w:p w14:paraId="09199B18" w14:textId="77777777" w:rsidR="00491CD6" w:rsidRPr="00167A1B" w:rsidRDefault="00491CD6" w:rsidP="0070682E">
            <w:pPr>
              <w:spacing w:after="0"/>
              <w:jc w:val="left"/>
              <w:rPr>
                <w:rFonts w:ascii="Trebuchet MS" w:hAnsi="Trebuchet MS"/>
                <w:b/>
                <w:bCs/>
                <w:sz w:val="16"/>
                <w:szCs w:val="16"/>
                <w:lang w:eastAsia="en-GB"/>
              </w:rPr>
            </w:pPr>
            <w:r w:rsidRPr="00167A1B">
              <w:rPr>
                <w:rFonts w:ascii="Trebuchet MS" w:hAnsi="Trebuchet MS"/>
                <w:b/>
                <w:bCs/>
                <w:sz w:val="16"/>
                <w:szCs w:val="16"/>
              </w:rPr>
              <w:t>Package combining PO 1 &amp; 2</w:t>
            </w:r>
          </w:p>
        </w:tc>
        <w:tc>
          <w:tcPr>
            <w:tcW w:w="0" w:type="auto"/>
            <w:tcBorders>
              <w:top w:val="single" w:sz="4" w:space="0" w:color="FFFFFF"/>
              <w:left w:val="single" w:sz="4" w:space="0" w:color="FFFFFF"/>
              <w:bottom w:val="single" w:sz="4" w:space="0" w:color="438EF1" w:themeColor="text2" w:themeTint="99"/>
              <w:right w:val="single" w:sz="4" w:space="0" w:color="FFFFFF"/>
            </w:tcBorders>
            <w:vAlign w:val="bottom"/>
          </w:tcPr>
          <w:p w14:paraId="365FA277" w14:textId="77777777" w:rsidR="00491CD6" w:rsidRPr="00167A1B" w:rsidRDefault="00491CD6" w:rsidP="0070682E">
            <w:pPr>
              <w:spacing w:after="0"/>
              <w:jc w:val="left"/>
              <w:rPr>
                <w:rFonts w:ascii="Trebuchet MS" w:hAnsi="Trebuchet MS"/>
                <w:b/>
                <w:bCs/>
                <w:sz w:val="16"/>
                <w:szCs w:val="16"/>
                <w:lang w:eastAsia="en-GB"/>
              </w:rPr>
            </w:pPr>
            <w:r w:rsidRPr="00167A1B">
              <w:rPr>
                <w:rFonts w:ascii="Trebuchet MS" w:hAnsi="Trebuchet MS"/>
                <w:b/>
                <w:bCs/>
                <w:sz w:val="16"/>
                <w:szCs w:val="16"/>
              </w:rPr>
              <w:t>Package combining PO 1 &amp; 3</w:t>
            </w:r>
          </w:p>
        </w:tc>
        <w:tc>
          <w:tcPr>
            <w:tcW w:w="1279" w:type="dxa"/>
            <w:tcBorders>
              <w:top w:val="single" w:sz="4" w:space="0" w:color="FFFFFF"/>
              <w:left w:val="single" w:sz="4" w:space="0" w:color="FFFFFF"/>
              <w:bottom w:val="single" w:sz="4" w:space="0" w:color="438EF1" w:themeColor="text2" w:themeTint="99"/>
              <w:right w:val="single" w:sz="4" w:space="0" w:color="FFFFFF"/>
            </w:tcBorders>
            <w:vAlign w:val="bottom"/>
          </w:tcPr>
          <w:p w14:paraId="0DE8724B" w14:textId="77777777" w:rsidR="00491CD6" w:rsidRPr="00167A1B" w:rsidRDefault="00491CD6" w:rsidP="0070682E">
            <w:pPr>
              <w:spacing w:after="0"/>
              <w:jc w:val="left"/>
              <w:rPr>
                <w:rFonts w:ascii="Trebuchet MS" w:hAnsi="Trebuchet MS"/>
                <w:b/>
                <w:bCs/>
                <w:sz w:val="16"/>
                <w:szCs w:val="16"/>
                <w:lang w:eastAsia="en-GB"/>
              </w:rPr>
            </w:pPr>
            <w:r w:rsidRPr="00167A1B">
              <w:rPr>
                <w:rFonts w:ascii="Trebuchet MS" w:hAnsi="Trebuchet MS"/>
                <w:b/>
                <w:bCs/>
                <w:sz w:val="16"/>
                <w:szCs w:val="16"/>
              </w:rPr>
              <w:t>Package combining PO 1 &amp; 4a</w:t>
            </w:r>
          </w:p>
        </w:tc>
        <w:tc>
          <w:tcPr>
            <w:tcW w:w="1364" w:type="dxa"/>
            <w:tcBorders>
              <w:top w:val="single" w:sz="4" w:space="0" w:color="FFFFFF"/>
              <w:left w:val="single" w:sz="4" w:space="0" w:color="FFFFFF"/>
              <w:bottom w:val="single" w:sz="4" w:space="0" w:color="438EF1" w:themeColor="text2" w:themeTint="99"/>
              <w:right w:val="single" w:sz="4" w:space="0" w:color="FFFFFF"/>
            </w:tcBorders>
            <w:vAlign w:val="bottom"/>
          </w:tcPr>
          <w:p w14:paraId="29757087" w14:textId="77777777" w:rsidR="00491CD6" w:rsidRPr="00167A1B" w:rsidRDefault="00491CD6" w:rsidP="0070682E">
            <w:pPr>
              <w:spacing w:after="0"/>
              <w:jc w:val="left"/>
              <w:rPr>
                <w:rFonts w:ascii="Trebuchet MS" w:hAnsi="Trebuchet MS"/>
                <w:b/>
                <w:bCs/>
                <w:sz w:val="16"/>
                <w:szCs w:val="16"/>
                <w:lang w:eastAsia="en-GB"/>
              </w:rPr>
            </w:pPr>
            <w:r w:rsidRPr="00167A1B">
              <w:rPr>
                <w:rFonts w:ascii="Trebuchet MS" w:hAnsi="Trebuchet MS"/>
                <w:b/>
                <w:bCs/>
                <w:sz w:val="16"/>
                <w:szCs w:val="16"/>
              </w:rPr>
              <w:t>Package combining PO 2 &amp; 4a</w:t>
            </w:r>
          </w:p>
        </w:tc>
        <w:tc>
          <w:tcPr>
            <w:tcW w:w="1364" w:type="dxa"/>
            <w:gridSpan w:val="2"/>
            <w:tcBorders>
              <w:top w:val="single" w:sz="4" w:space="0" w:color="FFFFFF"/>
              <w:left w:val="single" w:sz="4" w:space="0" w:color="FFFFFF"/>
              <w:bottom w:val="single" w:sz="4" w:space="0" w:color="438EF1" w:themeColor="text2" w:themeTint="99"/>
              <w:right w:val="single" w:sz="4" w:space="0" w:color="FFFFFF"/>
            </w:tcBorders>
            <w:vAlign w:val="bottom"/>
          </w:tcPr>
          <w:p w14:paraId="196AB73F" w14:textId="77777777" w:rsidR="00491CD6" w:rsidRPr="00167A1B" w:rsidRDefault="00491CD6" w:rsidP="0070682E">
            <w:pPr>
              <w:spacing w:after="0"/>
              <w:jc w:val="left"/>
              <w:rPr>
                <w:rFonts w:ascii="Trebuchet MS" w:hAnsi="Trebuchet MS"/>
                <w:b/>
                <w:bCs/>
                <w:sz w:val="16"/>
                <w:szCs w:val="16"/>
                <w:lang w:eastAsia="en-GB"/>
              </w:rPr>
            </w:pPr>
            <w:r w:rsidRPr="00167A1B">
              <w:rPr>
                <w:rFonts w:ascii="Trebuchet MS" w:hAnsi="Trebuchet MS"/>
                <w:b/>
                <w:bCs/>
                <w:sz w:val="16"/>
                <w:szCs w:val="16"/>
              </w:rPr>
              <w:t>Package combining PO 1, 2 &amp; 4a</w:t>
            </w:r>
          </w:p>
        </w:tc>
      </w:tr>
      <w:tr w:rsidR="00491CD6" w:rsidRPr="00167A1B" w14:paraId="45189F1C" w14:textId="77777777" w:rsidTr="00814371">
        <w:trPr>
          <w:gridAfter w:val="1"/>
          <w:wAfter w:w="17" w:type="dxa"/>
          <w:trHeight w:val="270"/>
        </w:trPr>
        <w:tc>
          <w:tcPr>
            <w:tcW w:w="9061" w:type="dxa"/>
            <w:gridSpan w:val="7"/>
            <w:shd w:val="clear" w:color="auto" w:fill="00B0F0"/>
            <w:noWrap/>
          </w:tcPr>
          <w:p w14:paraId="0692B439" w14:textId="77777777" w:rsidR="00491CD6" w:rsidRPr="00167A1B" w:rsidRDefault="00491CD6" w:rsidP="0070682E">
            <w:pPr>
              <w:spacing w:after="0"/>
              <w:jc w:val="left"/>
              <w:rPr>
                <w:rFonts w:ascii="Trebuchet MS" w:hAnsi="Trebuchet MS"/>
                <w:b/>
                <w:bCs/>
                <w:color w:val="FFFFFF" w:themeColor="background1"/>
                <w:sz w:val="16"/>
                <w:szCs w:val="16"/>
                <w:lang w:eastAsia="en-GB"/>
              </w:rPr>
            </w:pPr>
            <w:r w:rsidRPr="00167A1B">
              <w:rPr>
                <w:rFonts w:ascii="Trebuchet MS" w:hAnsi="Trebuchet MS"/>
                <w:b/>
                <w:bCs/>
                <w:color w:val="FFFFFF" w:themeColor="background1"/>
                <w:sz w:val="16"/>
                <w:szCs w:val="16"/>
                <w:lang w:eastAsia="en-GB"/>
              </w:rPr>
              <w:t>Cost to consumers (NPV million EUR)</w:t>
            </w:r>
          </w:p>
        </w:tc>
      </w:tr>
      <w:tr w:rsidR="00491CD6" w:rsidRPr="00167A1B" w14:paraId="57D69E59" w14:textId="77777777" w:rsidTr="00814371">
        <w:trPr>
          <w:trHeight w:val="272"/>
        </w:trPr>
        <w:tc>
          <w:tcPr>
            <w:tcW w:w="1266" w:type="dxa"/>
            <w:noWrap/>
            <w:hideMark/>
          </w:tcPr>
          <w:p w14:paraId="5C9CDC0C"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Total 2024-2030</w:t>
            </w:r>
          </w:p>
        </w:tc>
        <w:tc>
          <w:tcPr>
            <w:tcW w:w="1091" w:type="dxa"/>
            <w:noWrap/>
            <w:vAlign w:val="bottom"/>
            <w:hideMark/>
          </w:tcPr>
          <w:p w14:paraId="08B2A143" w14:textId="66DE300E"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49,960</w:t>
            </w:r>
          </w:p>
        </w:tc>
        <w:tc>
          <w:tcPr>
            <w:tcW w:w="0" w:type="auto"/>
            <w:noWrap/>
            <w:vAlign w:val="bottom"/>
            <w:hideMark/>
          </w:tcPr>
          <w:p w14:paraId="47E14634" w14:textId="46E67ED4"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44,421</w:t>
            </w:r>
          </w:p>
        </w:tc>
        <w:tc>
          <w:tcPr>
            <w:tcW w:w="0" w:type="auto"/>
            <w:noWrap/>
            <w:vAlign w:val="bottom"/>
            <w:hideMark/>
          </w:tcPr>
          <w:p w14:paraId="284F21F1" w14:textId="715D3CA9"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44,538</w:t>
            </w:r>
          </w:p>
        </w:tc>
        <w:tc>
          <w:tcPr>
            <w:tcW w:w="1279" w:type="dxa"/>
            <w:noWrap/>
            <w:vAlign w:val="bottom"/>
            <w:hideMark/>
          </w:tcPr>
          <w:p w14:paraId="7ED5E759" w14:textId="41022370"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46,413</w:t>
            </w:r>
          </w:p>
        </w:tc>
        <w:tc>
          <w:tcPr>
            <w:tcW w:w="1364" w:type="dxa"/>
            <w:noWrap/>
            <w:vAlign w:val="bottom"/>
            <w:hideMark/>
          </w:tcPr>
          <w:p w14:paraId="6F194880" w14:textId="148F9793"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50,202</w:t>
            </w:r>
          </w:p>
        </w:tc>
        <w:tc>
          <w:tcPr>
            <w:tcW w:w="1364" w:type="dxa"/>
            <w:gridSpan w:val="2"/>
            <w:noWrap/>
            <w:vAlign w:val="bottom"/>
            <w:hideMark/>
          </w:tcPr>
          <w:p w14:paraId="37FF4A6A" w14:textId="6F7280F7"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48,236</w:t>
            </w:r>
          </w:p>
        </w:tc>
      </w:tr>
      <w:tr w:rsidR="00491CD6" w:rsidRPr="00167A1B" w14:paraId="721D462D" w14:textId="77777777" w:rsidTr="00814371">
        <w:trPr>
          <w:trHeight w:val="272"/>
        </w:trPr>
        <w:tc>
          <w:tcPr>
            <w:tcW w:w="1266" w:type="dxa"/>
            <w:noWrap/>
            <w:hideMark/>
          </w:tcPr>
          <w:p w14:paraId="5F858E01"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91" w:type="dxa"/>
            <w:noWrap/>
            <w:vAlign w:val="bottom"/>
            <w:hideMark/>
          </w:tcPr>
          <w:p w14:paraId="21A595C1" w14:textId="730BCFF2"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686EDB56" w14:textId="4519DA68"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-5,540</w:t>
            </w:r>
          </w:p>
        </w:tc>
        <w:tc>
          <w:tcPr>
            <w:tcW w:w="0" w:type="auto"/>
            <w:noWrap/>
            <w:vAlign w:val="bottom"/>
            <w:hideMark/>
          </w:tcPr>
          <w:p w14:paraId="7FE1645B" w14:textId="2AF1B9C5"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-5,422</w:t>
            </w:r>
          </w:p>
        </w:tc>
        <w:tc>
          <w:tcPr>
            <w:tcW w:w="1279" w:type="dxa"/>
            <w:noWrap/>
            <w:vAlign w:val="bottom"/>
            <w:hideMark/>
          </w:tcPr>
          <w:p w14:paraId="04D3E967" w14:textId="76C6994A"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-3,547</w:t>
            </w:r>
          </w:p>
        </w:tc>
        <w:tc>
          <w:tcPr>
            <w:tcW w:w="1364" w:type="dxa"/>
            <w:noWrap/>
            <w:vAlign w:val="bottom"/>
            <w:hideMark/>
          </w:tcPr>
          <w:p w14:paraId="50ADCF16" w14:textId="0B23DC17"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242</w:t>
            </w:r>
          </w:p>
        </w:tc>
        <w:tc>
          <w:tcPr>
            <w:tcW w:w="1364" w:type="dxa"/>
            <w:gridSpan w:val="2"/>
            <w:noWrap/>
            <w:vAlign w:val="bottom"/>
            <w:hideMark/>
          </w:tcPr>
          <w:p w14:paraId="36EE6173" w14:textId="31109614"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006100"/>
                <w:sz w:val="16"/>
                <w:szCs w:val="16"/>
              </w:rPr>
              <w:t>-1,724</w:t>
            </w:r>
          </w:p>
        </w:tc>
      </w:tr>
      <w:tr w:rsidR="00491CD6" w:rsidRPr="00167A1B" w14:paraId="7EE20759" w14:textId="77777777" w:rsidTr="00814371">
        <w:trPr>
          <w:trHeight w:val="272"/>
        </w:trPr>
        <w:tc>
          <w:tcPr>
            <w:tcW w:w="1266" w:type="dxa"/>
            <w:noWrap/>
            <w:hideMark/>
          </w:tcPr>
          <w:p w14:paraId="681A1E89"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Annual average</w:t>
            </w:r>
          </w:p>
        </w:tc>
        <w:tc>
          <w:tcPr>
            <w:tcW w:w="1091" w:type="dxa"/>
            <w:noWrap/>
            <w:vAlign w:val="bottom"/>
            <w:hideMark/>
          </w:tcPr>
          <w:p w14:paraId="4D126714" w14:textId="78AFB9C5"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7,137</w:t>
            </w:r>
          </w:p>
        </w:tc>
        <w:tc>
          <w:tcPr>
            <w:tcW w:w="0" w:type="auto"/>
            <w:noWrap/>
            <w:vAlign w:val="bottom"/>
            <w:hideMark/>
          </w:tcPr>
          <w:p w14:paraId="56094707" w14:textId="4E43E52D"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6,346</w:t>
            </w:r>
          </w:p>
        </w:tc>
        <w:tc>
          <w:tcPr>
            <w:tcW w:w="0" w:type="auto"/>
            <w:noWrap/>
            <w:vAlign w:val="bottom"/>
            <w:hideMark/>
          </w:tcPr>
          <w:p w14:paraId="3CF6AC70" w14:textId="469839D4"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6,363</w:t>
            </w:r>
          </w:p>
        </w:tc>
        <w:tc>
          <w:tcPr>
            <w:tcW w:w="1279" w:type="dxa"/>
            <w:noWrap/>
            <w:vAlign w:val="bottom"/>
            <w:hideMark/>
          </w:tcPr>
          <w:p w14:paraId="5E4216CF" w14:textId="6EBEBDC2"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6,630</w:t>
            </w:r>
          </w:p>
        </w:tc>
        <w:tc>
          <w:tcPr>
            <w:tcW w:w="1364" w:type="dxa"/>
            <w:noWrap/>
            <w:vAlign w:val="bottom"/>
            <w:hideMark/>
          </w:tcPr>
          <w:p w14:paraId="2871E00A" w14:textId="7BDAA868"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7,172</w:t>
            </w:r>
          </w:p>
        </w:tc>
        <w:tc>
          <w:tcPr>
            <w:tcW w:w="1364" w:type="dxa"/>
            <w:gridSpan w:val="2"/>
            <w:noWrap/>
            <w:vAlign w:val="bottom"/>
            <w:hideMark/>
          </w:tcPr>
          <w:p w14:paraId="33AC9522" w14:textId="3696C7CF"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6,891</w:t>
            </w:r>
          </w:p>
        </w:tc>
      </w:tr>
      <w:tr w:rsidR="00491CD6" w:rsidRPr="00167A1B" w14:paraId="0C1D5A30" w14:textId="77777777" w:rsidTr="00814371">
        <w:trPr>
          <w:trHeight w:val="272"/>
        </w:trPr>
        <w:tc>
          <w:tcPr>
            <w:tcW w:w="1266" w:type="dxa"/>
            <w:noWrap/>
            <w:hideMark/>
          </w:tcPr>
          <w:p w14:paraId="4040E4E8"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91" w:type="dxa"/>
            <w:noWrap/>
            <w:vAlign w:val="bottom"/>
            <w:hideMark/>
          </w:tcPr>
          <w:p w14:paraId="149A70A0" w14:textId="24822681"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03DF6386" w14:textId="5332E1DE"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-791</w:t>
            </w:r>
          </w:p>
        </w:tc>
        <w:tc>
          <w:tcPr>
            <w:tcW w:w="0" w:type="auto"/>
            <w:noWrap/>
            <w:vAlign w:val="bottom"/>
            <w:hideMark/>
          </w:tcPr>
          <w:p w14:paraId="2BF9C467" w14:textId="18861801"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-775</w:t>
            </w:r>
          </w:p>
        </w:tc>
        <w:tc>
          <w:tcPr>
            <w:tcW w:w="1279" w:type="dxa"/>
            <w:noWrap/>
            <w:vAlign w:val="bottom"/>
            <w:hideMark/>
          </w:tcPr>
          <w:p w14:paraId="27F06A27" w14:textId="0028959E"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-507</w:t>
            </w:r>
          </w:p>
        </w:tc>
        <w:tc>
          <w:tcPr>
            <w:tcW w:w="1364" w:type="dxa"/>
            <w:noWrap/>
            <w:vAlign w:val="bottom"/>
            <w:hideMark/>
          </w:tcPr>
          <w:p w14:paraId="4D251FA0" w14:textId="1EA5BE80"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35</w:t>
            </w:r>
          </w:p>
        </w:tc>
        <w:tc>
          <w:tcPr>
            <w:tcW w:w="1364" w:type="dxa"/>
            <w:gridSpan w:val="2"/>
            <w:noWrap/>
            <w:vAlign w:val="bottom"/>
            <w:hideMark/>
          </w:tcPr>
          <w:p w14:paraId="243B2594" w14:textId="61026E93"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006100"/>
                <w:sz w:val="16"/>
                <w:szCs w:val="16"/>
              </w:rPr>
              <w:t>-246</w:t>
            </w:r>
          </w:p>
        </w:tc>
      </w:tr>
      <w:tr w:rsidR="00491CD6" w:rsidRPr="00167A1B" w14:paraId="79E4F3FC" w14:textId="77777777" w:rsidTr="00814371">
        <w:trPr>
          <w:trHeight w:val="272"/>
        </w:trPr>
        <w:tc>
          <w:tcPr>
            <w:tcW w:w="1266" w:type="dxa"/>
            <w:noWrap/>
            <w:hideMark/>
          </w:tcPr>
          <w:p w14:paraId="5D19987C"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As %</w:t>
            </w:r>
          </w:p>
        </w:tc>
        <w:tc>
          <w:tcPr>
            <w:tcW w:w="1091" w:type="dxa"/>
            <w:noWrap/>
            <w:vAlign w:val="bottom"/>
            <w:hideMark/>
          </w:tcPr>
          <w:p w14:paraId="39FBBDF7" w14:textId="317BFB30"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09B37C4F" w14:textId="137D3DE6"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-11.1%</w:t>
            </w:r>
          </w:p>
        </w:tc>
        <w:tc>
          <w:tcPr>
            <w:tcW w:w="0" w:type="auto"/>
            <w:noWrap/>
            <w:vAlign w:val="bottom"/>
            <w:hideMark/>
          </w:tcPr>
          <w:p w14:paraId="45B4926E" w14:textId="422A05FE"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-10.9%</w:t>
            </w:r>
          </w:p>
        </w:tc>
        <w:tc>
          <w:tcPr>
            <w:tcW w:w="1279" w:type="dxa"/>
            <w:noWrap/>
            <w:vAlign w:val="bottom"/>
            <w:hideMark/>
          </w:tcPr>
          <w:p w14:paraId="3B62547D" w14:textId="3E0F63D0"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-7.1%</w:t>
            </w:r>
          </w:p>
        </w:tc>
        <w:tc>
          <w:tcPr>
            <w:tcW w:w="1364" w:type="dxa"/>
            <w:noWrap/>
            <w:vAlign w:val="bottom"/>
            <w:hideMark/>
          </w:tcPr>
          <w:p w14:paraId="465000AC" w14:textId="74D8DA89"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0.5%</w:t>
            </w:r>
          </w:p>
        </w:tc>
        <w:tc>
          <w:tcPr>
            <w:tcW w:w="1364" w:type="dxa"/>
            <w:gridSpan w:val="2"/>
            <w:noWrap/>
            <w:vAlign w:val="bottom"/>
            <w:hideMark/>
          </w:tcPr>
          <w:p w14:paraId="0636A858" w14:textId="6E90CC57"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006100"/>
                <w:sz w:val="16"/>
                <w:szCs w:val="16"/>
              </w:rPr>
              <w:t>-3.5%</w:t>
            </w:r>
          </w:p>
        </w:tc>
      </w:tr>
      <w:tr w:rsidR="00491CD6" w:rsidRPr="00167A1B" w14:paraId="0BCDBAEC" w14:textId="77777777" w:rsidTr="00814371">
        <w:trPr>
          <w:gridAfter w:val="1"/>
          <w:wAfter w:w="17" w:type="dxa"/>
          <w:trHeight w:val="270"/>
        </w:trPr>
        <w:tc>
          <w:tcPr>
            <w:tcW w:w="9061" w:type="dxa"/>
            <w:gridSpan w:val="7"/>
            <w:shd w:val="clear" w:color="auto" w:fill="00B0F0"/>
            <w:noWrap/>
          </w:tcPr>
          <w:p w14:paraId="5F70F757" w14:textId="77777777" w:rsidR="00491CD6" w:rsidRPr="00167A1B" w:rsidRDefault="00491CD6" w:rsidP="0070682E">
            <w:pPr>
              <w:spacing w:after="0"/>
              <w:jc w:val="left"/>
              <w:rPr>
                <w:rFonts w:ascii="Trebuchet MS" w:hAnsi="Trebuchet MS"/>
                <w:b/>
                <w:bCs/>
                <w:color w:val="FFFFFF" w:themeColor="background1"/>
                <w:sz w:val="16"/>
                <w:szCs w:val="16"/>
                <w:lang w:eastAsia="en-GB"/>
              </w:rPr>
            </w:pPr>
            <w:r w:rsidRPr="00167A1B">
              <w:rPr>
                <w:rFonts w:ascii="Trebuchet MS" w:hAnsi="Trebuchet MS"/>
                <w:b/>
                <w:bCs/>
                <w:color w:val="FFFFFF" w:themeColor="background1"/>
                <w:sz w:val="16"/>
                <w:szCs w:val="16"/>
                <w:lang w:eastAsia="en-GB"/>
              </w:rPr>
              <w:t>Competitiveness of businesses</w:t>
            </w:r>
          </w:p>
        </w:tc>
      </w:tr>
      <w:tr w:rsidR="00491CD6" w:rsidRPr="00167A1B" w14:paraId="09D34CD6" w14:textId="77777777" w:rsidTr="00814371">
        <w:trPr>
          <w:gridAfter w:val="1"/>
          <w:wAfter w:w="17" w:type="dxa"/>
          <w:trHeight w:val="270"/>
        </w:trPr>
        <w:tc>
          <w:tcPr>
            <w:tcW w:w="9061" w:type="dxa"/>
            <w:gridSpan w:val="7"/>
            <w:noWrap/>
          </w:tcPr>
          <w:p w14:paraId="6E889BF1" w14:textId="77777777" w:rsidR="00491CD6" w:rsidRPr="00167A1B" w:rsidRDefault="00491CD6" w:rsidP="0070682E">
            <w:pPr>
              <w:spacing w:after="0"/>
              <w:jc w:val="left"/>
              <w:rPr>
                <w:rFonts w:ascii="Trebuchet MS" w:hAnsi="Trebuchet MS"/>
                <w:b/>
                <w:bCs/>
                <w:color w:val="006100"/>
                <w:sz w:val="16"/>
                <w:szCs w:val="16"/>
                <w:lang w:eastAsia="en-GB"/>
              </w:rPr>
            </w:pPr>
            <w:r w:rsidRPr="00167A1B">
              <w:rPr>
                <w:rFonts w:ascii="Trebuchet MS" w:hAnsi="Trebuchet MS"/>
                <w:b/>
                <w:bCs/>
                <w:sz w:val="16"/>
                <w:szCs w:val="16"/>
                <w:lang w:eastAsia="en-GB"/>
              </w:rPr>
              <w:t>Benefit for manufacturers of chargers and wholesalers (NPV million EUR)</w:t>
            </w:r>
          </w:p>
        </w:tc>
      </w:tr>
      <w:tr w:rsidR="00491CD6" w:rsidRPr="00167A1B" w14:paraId="6E5748D9" w14:textId="77777777" w:rsidTr="00814371">
        <w:trPr>
          <w:trHeight w:val="272"/>
        </w:trPr>
        <w:tc>
          <w:tcPr>
            <w:tcW w:w="1266" w:type="dxa"/>
            <w:noWrap/>
            <w:hideMark/>
          </w:tcPr>
          <w:p w14:paraId="0A3770F5"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Total 2024-2030</w:t>
            </w:r>
          </w:p>
        </w:tc>
        <w:tc>
          <w:tcPr>
            <w:tcW w:w="1091" w:type="dxa"/>
            <w:noWrap/>
            <w:vAlign w:val="bottom"/>
            <w:hideMark/>
          </w:tcPr>
          <w:p w14:paraId="0BF517DC" w14:textId="3A81C466"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14,176</w:t>
            </w:r>
          </w:p>
        </w:tc>
        <w:tc>
          <w:tcPr>
            <w:tcW w:w="0" w:type="auto"/>
            <w:noWrap/>
            <w:vAlign w:val="bottom"/>
            <w:hideMark/>
          </w:tcPr>
          <w:p w14:paraId="54A116E2" w14:textId="1972333B"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12,679</w:t>
            </w:r>
          </w:p>
        </w:tc>
        <w:tc>
          <w:tcPr>
            <w:tcW w:w="0" w:type="auto"/>
            <w:noWrap/>
            <w:vAlign w:val="bottom"/>
            <w:hideMark/>
          </w:tcPr>
          <w:p w14:paraId="42F7AC46" w14:textId="7D345947"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12,746</w:t>
            </w:r>
          </w:p>
        </w:tc>
        <w:tc>
          <w:tcPr>
            <w:tcW w:w="1279" w:type="dxa"/>
            <w:noWrap/>
            <w:vAlign w:val="bottom"/>
            <w:hideMark/>
          </w:tcPr>
          <w:p w14:paraId="3298E0E8" w14:textId="4DE1765E"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11,348</w:t>
            </w:r>
          </w:p>
        </w:tc>
        <w:tc>
          <w:tcPr>
            <w:tcW w:w="1364" w:type="dxa"/>
            <w:noWrap/>
            <w:vAlign w:val="bottom"/>
            <w:hideMark/>
          </w:tcPr>
          <w:p w14:paraId="2DF8F834" w14:textId="1A147801"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12,507</w:t>
            </w:r>
          </w:p>
        </w:tc>
        <w:tc>
          <w:tcPr>
            <w:tcW w:w="1364" w:type="dxa"/>
            <w:gridSpan w:val="2"/>
            <w:noWrap/>
            <w:vAlign w:val="bottom"/>
            <w:hideMark/>
          </w:tcPr>
          <w:p w14:paraId="4356A727" w14:textId="7725265A"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11,713</w:t>
            </w:r>
          </w:p>
        </w:tc>
      </w:tr>
      <w:tr w:rsidR="00491CD6" w:rsidRPr="00167A1B" w14:paraId="7E9F3B38" w14:textId="77777777" w:rsidTr="00814371">
        <w:trPr>
          <w:trHeight w:val="272"/>
        </w:trPr>
        <w:tc>
          <w:tcPr>
            <w:tcW w:w="1266" w:type="dxa"/>
            <w:noWrap/>
            <w:hideMark/>
          </w:tcPr>
          <w:p w14:paraId="2592AA30"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91" w:type="dxa"/>
            <w:noWrap/>
            <w:vAlign w:val="bottom"/>
            <w:hideMark/>
          </w:tcPr>
          <w:p w14:paraId="0697C8EF" w14:textId="31AC368D"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080435F8" w14:textId="6F986E2A"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-1,497</w:t>
            </w:r>
          </w:p>
        </w:tc>
        <w:tc>
          <w:tcPr>
            <w:tcW w:w="0" w:type="auto"/>
            <w:noWrap/>
            <w:vAlign w:val="bottom"/>
            <w:hideMark/>
          </w:tcPr>
          <w:p w14:paraId="249726F7" w14:textId="049DA648"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-1,430</w:t>
            </w:r>
          </w:p>
        </w:tc>
        <w:tc>
          <w:tcPr>
            <w:tcW w:w="1279" w:type="dxa"/>
            <w:noWrap/>
            <w:vAlign w:val="bottom"/>
            <w:hideMark/>
          </w:tcPr>
          <w:p w14:paraId="55BE8A3A" w14:textId="4B910308"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-2,828</w:t>
            </w:r>
          </w:p>
        </w:tc>
        <w:tc>
          <w:tcPr>
            <w:tcW w:w="1364" w:type="dxa"/>
            <w:noWrap/>
            <w:vAlign w:val="bottom"/>
            <w:hideMark/>
          </w:tcPr>
          <w:p w14:paraId="09C9AB44" w14:textId="2945E3B8"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-1,669</w:t>
            </w:r>
          </w:p>
        </w:tc>
        <w:tc>
          <w:tcPr>
            <w:tcW w:w="1364" w:type="dxa"/>
            <w:gridSpan w:val="2"/>
            <w:noWrap/>
            <w:vAlign w:val="bottom"/>
            <w:hideMark/>
          </w:tcPr>
          <w:p w14:paraId="18BBFB2A" w14:textId="55322F4F"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-2,463</w:t>
            </w:r>
          </w:p>
        </w:tc>
      </w:tr>
      <w:tr w:rsidR="00491CD6" w:rsidRPr="00167A1B" w14:paraId="23E08BC8" w14:textId="77777777" w:rsidTr="00814371">
        <w:trPr>
          <w:trHeight w:val="272"/>
        </w:trPr>
        <w:tc>
          <w:tcPr>
            <w:tcW w:w="1266" w:type="dxa"/>
            <w:noWrap/>
            <w:hideMark/>
          </w:tcPr>
          <w:p w14:paraId="3DAFBFB1"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Annual average</w:t>
            </w:r>
          </w:p>
        </w:tc>
        <w:tc>
          <w:tcPr>
            <w:tcW w:w="1091" w:type="dxa"/>
            <w:noWrap/>
            <w:vAlign w:val="bottom"/>
            <w:hideMark/>
          </w:tcPr>
          <w:p w14:paraId="1A59B5F4" w14:textId="1E67A169"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2,025</w:t>
            </w:r>
          </w:p>
        </w:tc>
        <w:tc>
          <w:tcPr>
            <w:tcW w:w="0" w:type="auto"/>
            <w:noWrap/>
            <w:vAlign w:val="bottom"/>
            <w:hideMark/>
          </w:tcPr>
          <w:p w14:paraId="7EA62482" w14:textId="31C2382C"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1,811</w:t>
            </w:r>
          </w:p>
        </w:tc>
        <w:tc>
          <w:tcPr>
            <w:tcW w:w="0" w:type="auto"/>
            <w:noWrap/>
            <w:vAlign w:val="bottom"/>
            <w:hideMark/>
          </w:tcPr>
          <w:p w14:paraId="46D38B62" w14:textId="0E3663A8"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1,821</w:t>
            </w:r>
          </w:p>
        </w:tc>
        <w:tc>
          <w:tcPr>
            <w:tcW w:w="1279" w:type="dxa"/>
            <w:noWrap/>
            <w:vAlign w:val="bottom"/>
            <w:hideMark/>
          </w:tcPr>
          <w:p w14:paraId="3C9707B1" w14:textId="4214A42D"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1,621</w:t>
            </w:r>
          </w:p>
        </w:tc>
        <w:tc>
          <w:tcPr>
            <w:tcW w:w="1364" w:type="dxa"/>
            <w:noWrap/>
            <w:vAlign w:val="bottom"/>
            <w:hideMark/>
          </w:tcPr>
          <w:p w14:paraId="090EEA05" w14:textId="549AE427"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1,787</w:t>
            </w:r>
          </w:p>
        </w:tc>
        <w:tc>
          <w:tcPr>
            <w:tcW w:w="1364" w:type="dxa"/>
            <w:gridSpan w:val="2"/>
            <w:noWrap/>
            <w:vAlign w:val="bottom"/>
            <w:hideMark/>
          </w:tcPr>
          <w:p w14:paraId="1C3477B1" w14:textId="1C3A60A2"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1,673</w:t>
            </w:r>
          </w:p>
        </w:tc>
      </w:tr>
      <w:tr w:rsidR="00491CD6" w:rsidRPr="00167A1B" w14:paraId="543FD915" w14:textId="77777777" w:rsidTr="00814371">
        <w:trPr>
          <w:trHeight w:val="272"/>
        </w:trPr>
        <w:tc>
          <w:tcPr>
            <w:tcW w:w="1266" w:type="dxa"/>
            <w:noWrap/>
            <w:hideMark/>
          </w:tcPr>
          <w:p w14:paraId="785F4042"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91" w:type="dxa"/>
            <w:noWrap/>
            <w:vAlign w:val="bottom"/>
            <w:hideMark/>
          </w:tcPr>
          <w:p w14:paraId="7931248D" w14:textId="5892EC1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6D5429BC" w14:textId="747A4557"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-214</w:t>
            </w:r>
          </w:p>
        </w:tc>
        <w:tc>
          <w:tcPr>
            <w:tcW w:w="0" w:type="auto"/>
            <w:noWrap/>
            <w:vAlign w:val="bottom"/>
            <w:hideMark/>
          </w:tcPr>
          <w:p w14:paraId="50D1FC85" w14:textId="02C34194"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-204</w:t>
            </w:r>
          </w:p>
        </w:tc>
        <w:tc>
          <w:tcPr>
            <w:tcW w:w="1279" w:type="dxa"/>
            <w:noWrap/>
            <w:vAlign w:val="bottom"/>
            <w:hideMark/>
          </w:tcPr>
          <w:p w14:paraId="22D15176" w14:textId="729BA2EA"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-404</w:t>
            </w:r>
          </w:p>
        </w:tc>
        <w:tc>
          <w:tcPr>
            <w:tcW w:w="1364" w:type="dxa"/>
            <w:noWrap/>
            <w:vAlign w:val="bottom"/>
            <w:hideMark/>
          </w:tcPr>
          <w:p w14:paraId="532ED8DC" w14:textId="5D8457E2"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-238</w:t>
            </w:r>
          </w:p>
        </w:tc>
        <w:tc>
          <w:tcPr>
            <w:tcW w:w="1364" w:type="dxa"/>
            <w:gridSpan w:val="2"/>
            <w:noWrap/>
            <w:vAlign w:val="bottom"/>
            <w:hideMark/>
          </w:tcPr>
          <w:p w14:paraId="47424437" w14:textId="74CFD536"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-352</w:t>
            </w:r>
          </w:p>
        </w:tc>
      </w:tr>
      <w:tr w:rsidR="00491CD6" w:rsidRPr="00167A1B" w14:paraId="6A4D2D5B" w14:textId="77777777" w:rsidTr="00814371">
        <w:trPr>
          <w:trHeight w:val="272"/>
        </w:trPr>
        <w:tc>
          <w:tcPr>
            <w:tcW w:w="1266" w:type="dxa"/>
            <w:noWrap/>
            <w:hideMark/>
          </w:tcPr>
          <w:p w14:paraId="3077D212"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As %</w:t>
            </w:r>
          </w:p>
        </w:tc>
        <w:tc>
          <w:tcPr>
            <w:tcW w:w="1091" w:type="dxa"/>
            <w:noWrap/>
            <w:vAlign w:val="bottom"/>
            <w:hideMark/>
          </w:tcPr>
          <w:p w14:paraId="7FC2D567" w14:textId="23B7D898"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7081BA97" w14:textId="2D7DD438"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-10.6%</w:t>
            </w:r>
          </w:p>
        </w:tc>
        <w:tc>
          <w:tcPr>
            <w:tcW w:w="0" w:type="auto"/>
            <w:noWrap/>
            <w:vAlign w:val="bottom"/>
            <w:hideMark/>
          </w:tcPr>
          <w:p w14:paraId="3BE01B88" w14:textId="60914ACA"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-10.1%</w:t>
            </w:r>
          </w:p>
        </w:tc>
        <w:tc>
          <w:tcPr>
            <w:tcW w:w="1279" w:type="dxa"/>
            <w:noWrap/>
            <w:vAlign w:val="bottom"/>
            <w:hideMark/>
          </w:tcPr>
          <w:p w14:paraId="1F8D00CE" w14:textId="2FBAAF17"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-19.9%</w:t>
            </w:r>
          </w:p>
        </w:tc>
        <w:tc>
          <w:tcPr>
            <w:tcW w:w="1364" w:type="dxa"/>
            <w:noWrap/>
            <w:vAlign w:val="bottom"/>
            <w:hideMark/>
          </w:tcPr>
          <w:p w14:paraId="7F64B4DA" w14:textId="38423C05"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-11.8%</w:t>
            </w:r>
          </w:p>
        </w:tc>
        <w:tc>
          <w:tcPr>
            <w:tcW w:w="1364" w:type="dxa"/>
            <w:gridSpan w:val="2"/>
            <w:noWrap/>
            <w:vAlign w:val="bottom"/>
            <w:hideMark/>
          </w:tcPr>
          <w:p w14:paraId="557AFD1D" w14:textId="47E3692E"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9C0006"/>
                <w:sz w:val="16"/>
                <w:szCs w:val="16"/>
              </w:rPr>
              <w:t>-17.4%</w:t>
            </w:r>
          </w:p>
        </w:tc>
      </w:tr>
      <w:tr w:rsidR="00491CD6" w:rsidRPr="00167A1B" w14:paraId="68383101" w14:textId="77777777" w:rsidTr="00814371">
        <w:trPr>
          <w:gridAfter w:val="1"/>
          <w:wAfter w:w="17" w:type="dxa"/>
          <w:trHeight w:val="270"/>
        </w:trPr>
        <w:tc>
          <w:tcPr>
            <w:tcW w:w="9061" w:type="dxa"/>
            <w:gridSpan w:val="7"/>
            <w:noWrap/>
          </w:tcPr>
          <w:p w14:paraId="2DD1E483" w14:textId="77777777" w:rsidR="00491CD6" w:rsidRPr="00167A1B" w:rsidRDefault="00491CD6" w:rsidP="0070682E">
            <w:pPr>
              <w:spacing w:after="0"/>
              <w:jc w:val="left"/>
              <w:rPr>
                <w:rFonts w:ascii="Trebuchet MS" w:hAnsi="Trebuchet MS"/>
                <w:b/>
                <w:bCs/>
                <w:i/>
                <w:iCs/>
                <w:color w:val="006100"/>
                <w:sz w:val="16"/>
                <w:szCs w:val="16"/>
                <w:lang w:eastAsia="en-GB"/>
              </w:rPr>
            </w:pPr>
            <w:r w:rsidRPr="00167A1B">
              <w:rPr>
                <w:rFonts w:ascii="Trebuchet MS" w:hAnsi="Trebuchet MS"/>
                <w:b/>
                <w:bCs/>
                <w:i/>
                <w:iCs/>
                <w:sz w:val="16"/>
                <w:szCs w:val="16"/>
                <w:lang w:eastAsia="en-GB"/>
              </w:rPr>
              <w:t>Of which benefit for EU manufacturers (NPV million EUR)</w:t>
            </w:r>
          </w:p>
        </w:tc>
      </w:tr>
      <w:tr w:rsidR="00491CD6" w:rsidRPr="00167A1B" w14:paraId="486316AF" w14:textId="77777777" w:rsidTr="00814371">
        <w:trPr>
          <w:trHeight w:val="272"/>
        </w:trPr>
        <w:tc>
          <w:tcPr>
            <w:tcW w:w="1266" w:type="dxa"/>
            <w:noWrap/>
            <w:hideMark/>
          </w:tcPr>
          <w:p w14:paraId="4EBCF523"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Total 2024-2030</w:t>
            </w:r>
          </w:p>
        </w:tc>
        <w:tc>
          <w:tcPr>
            <w:tcW w:w="1091" w:type="dxa"/>
            <w:noWrap/>
            <w:vAlign w:val="bottom"/>
            <w:hideMark/>
          </w:tcPr>
          <w:p w14:paraId="421530A2" w14:textId="4E210471"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1,519</w:t>
            </w:r>
          </w:p>
        </w:tc>
        <w:tc>
          <w:tcPr>
            <w:tcW w:w="0" w:type="auto"/>
            <w:noWrap/>
            <w:vAlign w:val="bottom"/>
            <w:hideMark/>
          </w:tcPr>
          <w:p w14:paraId="41F7866D" w14:textId="15D2BA05"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1,342</w:t>
            </w:r>
          </w:p>
        </w:tc>
        <w:tc>
          <w:tcPr>
            <w:tcW w:w="0" w:type="auto"/>
            <w:noWrap/>
            <w:vAlign w:val="bottom"/>
            <w:hideMark/>
          </w:tcPr>
          <w:p w14:paraId="4FECD9B1" w14:textId="6993A2C3"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1,342</w:t>
            </w:r>
          </w:p>
        </w:tc>
        <w:tc>
          <w:tcPr>
            <w:tcW w:w="1279" w:type="dxa"/>
            <w:noWrap/>
            <w:vAlign w:val="bottom"/>
            <w:hideMark/>
          </w:tcPr>
          <w:p w14:paraId="4C6829D3" w14:textId="7BA5099A"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1,603</w:t>
            </w:r>
          </w:p>
        </w:tc>
        <w:tc>
          <w:tcPr>
            <w:tcW w:w="1364" w:type="dxa"/>
            <w:noWrap/>
            <w:vAlign w:val="bottom"/>
            <w:hideMark/>
          </w:tcPr>
          <w:p w14:paraId="53196B47" w14:textId="735F2F92"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1,710</w:t>
            </w:r>
          </w:p>
        </w:tc>
        <w:tc>
          <w:tcPr>
            <w:tcW w:w="1364" w:type="dxa"/>
            <w:gridSpan w:val="2"/>
            <w:noWrap/>
            <w:vAlign w:val="bottom"/>
            <w:hideMark/>
          </w:tcPr>
          <w:p w14:paraId="113564A7" w14:textId="0C834F25" w:rsidR="00491CD6" w:rsidRPr="00167A1B" w:rsidRDefault="00491CD6" w:rsidP="00491CD6">
            <w:pPr>
              <w:spacing w:after="0"/>
              <w:jc w:val="right"/>
              <w:rPr>
                <w:rFonts w:ascii="Trebuchet MS" w:hAnsi="Trebuchet MS"/>
                <w:b/>
                <w:bCs/>
                <w:sz w:val="16"/>
                <w:szCs w:val="16"/>
                <w:lang w:eastAsia="en-GB"/>
              </w:rPr>
            </w:pPr>
            <w:r w:rsidRPr="00167A1B">
              <w:rPr>
                <w:rFonts w:ascii="Trebuchet MS" w:hAnsi="Trebuchet MS"/>
                <w:b/>
                <w:bCs/>
                <w:sz w:val="16"/>
                <w:szCs w:val="16"/>
              </w:rPr>
              <w:t>1,675</w:t>
            </w:r>
          </w:p>
        </w:tc>
      </w:tr>
      <w:tr w:rsidR="00491CD6" w:rsidRPr="00167A1B" w14:paraId="4ACD86D9" w14:textId="77777777" w:rsidTr="00814371">
        <w:trPr>
          <w:trHeight w:val="272"/>
        </w:trPr>
        <w:tc>
          <w:tcPr>
            <w:tcW w:w="1266" w:type="dxa"/>
            <w:noWrap/>
            <w:hideMark/>
          </w:tcPr>
          <w:p w14:paraId="1C6A245F"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91" w:type="dxa"/>
            <w:noWrap/>
            <w:vAlign w:val="bottom"/>
            <w:hideMark/>
          </w:tcPr>
          <w:p w14:paraId="2F022076" w14:textId="5B56B735"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7FA4216F" w14:textId="4CAEBB5D"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-176</w:t>
            </w:r>
          </w:p>
        </w:tc>
        <w:tc>
          <w:tcPr>
            <w:tcW w:w="0" w:type="auto"/>
            <w:noWrap/>
            <w:vAlign w:val="bottom"/>
            <w:hideMark/>
          </w:tcPr>
          <w:p w14:paraId="56A3A5F8" w14:textId="2A992568"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-176</w:t>
            </w:r>
          </w:p>
        </w:tc>
        <w:tc>
          <w:tcPr>
            <w:tcW w:w="1279" w:type="dxa"/>
            <w:noWrap/>
            <w:vAlign w:val="bottom"/>
            <w:hideMark/>
          </w:tcPr>
          <w:p w14:paraId="5F2304AB" w14:textId="49097660"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006100"/>
                <w:sz w:val="16"/>
                <w:szCs w:val="16"/>
              </w:rPr>
              <w:t>85</w:t>
            </w:r>
          </w:p>
        </w:tc>
        <w:tc>
          <w:tcPr>
            <w:tcW w:w="1364" w:type="dxa"/>
            <w:noWrap/>
            <w:vAlign w:val="bottom"/>
            <w:hideMark/>
          </w:tcPr>
          <w:p w14:paraId="5D76EB56" w14:textId="5DD9CC24"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191</w:t>
            </w:r>
          </w:p>
        </w:tc>
        <w:tc>
          <w:tcPr>
            <w:tcW w:w="1364" w:type="dxa"/>
            <w:gridSpan w:val="2"/>
            <w:noWrap/>
            <w:vAlign w:val="bottom"/>
            <w:hideMark/>
          </w:tcPr>
          <w:p w14:paraId="362F2C91" w14:textId="596A6F75"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156</w:t>
            </w:r>
          </w:p>
        </w:tc>
      </w:tr>
      <w:tr w:rsidR="00491CD6" w:rsidRPr="00167A1B" w14:paraId="5E563B85" w14:textId="77777777" w:rsidTr="00814371">
        <w:trPr>
          <w:trHeight w:val="272"/>
        </w:trPr>
        <w:tc>
          <w:tcPr>
            <w:tcW w:w="1266" w:type="dxa"/>
            <w:noWrap/>
            <w:hideMark/>
          </w:tcPr>
          <w:p w14:paraId="49BB1A4F"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Annual average</w:t>
            </w:r>
          </w:p>
        </w:tc>
        <w:tc>
          <w:tcPr>
            <w:tcW w:w="1091" w:type="dxa"/>
            <w:noWrap/>
            <w:vAlign w:val="bottom"/>
            <w:hideMark/>
          </w:tcPr>
          <w:p w14:paraId="29ED1C9F" w14:textId="15BA2E86"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217</w:t>
            </w:r>
          </w:p>
        </w:tc>
        <w:tc>
          <w:tcPr>
            <w:tcW w:w="0" w:type="auto"/>
            <w:noWrap/>
            <w:vAlign w:val="bottom"/>
            <w:hideMark/>
          </w:tcPr>
          <w:p w14:paraId="086FC406" w14:textId="2CD1C809"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192</w:t>
            </w:r>
          </w:p>
        </w:tc>
        <w:tc>
          <w:tcPr>
            <w:tcW w:w="0" w:type="auto"/>
            <w:noWrap/>
            <w:vAlign w:val="bottom"/>
            <w:hideMark/>
          </w:tcPr>
          <w:p w14:paraId="42BFDFDD" w14:textId="5215CAC5"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192</w:t>
            </w:r>
          </w:p>
        </w:tc>
        <w:tc>
          <w:tcPr>
            <w:tcW w:w="1279" w:type="dxa"/>
            <w:noWrap/>
            <w:vAlign w:val="bottom"/>
            <w:hideMark/>
          </w:tcPr>
          <w:p w14:paraId="55FBF847" w14:textId="020C6DA4"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229</w:t>
            </w:r>
          </w:p>
        </w:tc>
        <w:tc>
          <w:tcPr>
            <w:tcW w:w="1364" w:type="dxa"/>
            <w:noWrap/>
            <w:vAlign w:val="bottom"/>
            <w:hideMark/>
          </w:tcPr>
          <w:p w14:paraId="3E709136" w14:textId="1928043D"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244</w:t>
            </w:r>
          </w:p>
        </w:tc>
        <w:tc>
          <w:tcPr>
            <w:tcW w:w="1364" w:type="dxa"/>
            <w:gridSpan w:val="2"/>
            <w:noWrap/>
            <w:vAlign w:val="bottom"/>
            <w:hideMark/>
          </w:tcPr>
          <w:p w14:paraId="7F7FA126" w14:textId="7BAD4C39" w:rsidR="00491CD6" w:rsidRPr="00167A1B" w:rsidRDefault="00491CD6" w:rsidP="00491CD6">
            <w:pPr>
              <w:spacing w:after="0"/>
              <w:jc w:val="right"/>
              <w:rPr>
                <w:rFonts w:ascii="Trebuchet MS" w:hAnsi="Trebuchet MS"/>
                <w:sz w:val="16"/>
                <w:szCs w:val="16"/>
                <w:lang w:eastAsia="en-GB"/>
              </w:rPr>
            </w:pPr>
            <w:r w:rsidRPr="00167A1B">
              <w:rPr>
                <w:rFonts w:ascii="Trebuchet MS" w:hAnsi="Trebuchet MS"/>
                <w:sz w:val="16"/>
                <w:szCs w:val="16"/>
              </w:rPr>
              <w:t>239</w:t>
            </w:r>
          </w:p>
        </w:tc>
      </w:tr>
      <w:tr w:rsidR="00491CD6" w:rsidRPr="00167A1B" w14:paraId="0A5346C5" w14:textId="77777777" w:rsidTr="00814371">
        <w:trPr>
          <w:trHeight w:val="272"/>
        </w:trPr>
        <w:tc>
          <w:tcPr>
            <w:tcW w:w="1266" w:type="dxa"/>
            <w:noWrap/>
            <w:hideMark/>
          </w:tcPr>
          <w:p w14:paraId="2D363BF4"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91" w:type="dxa"/>
            <w:noWrap/>
            <w:vAlign w:val="bottom"/>
            <w:hideMark/>
          </w:tcPr>
          <w:p w14:paraId="14A6C2EE" w14:textId="632A5BB8"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5C90DC48" w14:textId="028D74E0"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-25</w:t>
            </w:r>
          </w:p>
        </w:tc>
        <w:tc>
          <w:tcPr>
            <w:tcW w:w="0" w:type="auto"/>
            <w:noWrap/>
            <w:vAlign w:val="bottom"/>
            <w:hideMark/>
          </w:tcPr>
          <w:p w14:paraId="3C5F9C5C" w14:textId="5477C87D"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-25</w:t>
            </w:r>
          </w:p>
        </w:tc>
        <w:tc>
          <w:tcPr>
            <w:tcW w:w="1279" w:type="dxa"/>
            <w:noWrap/>
            <w:vAlign w:val="bottom"/>
            <w:hideMark/>
          </w:tcPr>
          <w:p w14:paraId="3AFE45F8" w14:textId="21CDEE78"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006100"/>
                <w:sz w:val="16"/>
                <w:szCs w:val="16"/>
              </w:rPr>
              <w:t>12</w:t>
            </w:r>
          </w:p>
        </w:tc>
        <w:tc>
          <w:tcPr>
            <w:tcW w:w="1364" w:type="dxa"/>
            <w:noWrap/>
            <w:vAlign w:val="bottom"/>
            <w:hideMark/>
          </w:tcPr>
          <w:p w14:paraId="47CF1F0C" w14:textId="298F09F6"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27</w:t>
            </w:r>
          </w:p>
        </w:tc>
        <w:tc>
          <w:tcPr>
            <w:tcW w:w="1364" w:type="dxa"/>
            <w:gridSpan w:val="2"/>
            <w:noWrap/>
            <w:vAlign w:val="bottom"/>
            <w:hideMark/>
          </w:tcPr>
          <w:p w14:paraId="6FE6F509" w14:textId="4D362676"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22</w:t>
            </w:r>
          </w:p>
        </w:tc>
      </w:tr>
      <w:tr w:rsidR="00491CD6" w:rsidRPr="00167A1B" w14:paraId="12E18A00" w14:textId="77777777" w:rsidTr="00814371">
        <w:trPr>
          <w:trHeight w:val="272"/>
        </w:trPr>
        <w:tc>
          <w:tcPr>
            <w:tcW w:w="1266" w:type="dxa"/>
            <w:noWrap/>
            <w:hideMark/>
          </w:tcPr>
          <w:p w14:paraId="37CEA7A4"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As %</w:t>
            </w:r>
          </w:p>
        </w:tc>
        <w:tc>
          <w:tcPr>
            <w:tcW w:w="1091" w:type="dxa"/>
            <w:noWrap/>
            <w:vAlign w:val="bottom"/>
            <w:hideMark/>
          </w:tcPr>
          <w:p w14:paraId="0E0221A3" w14:textId="741A8BBB"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rPr>
              <w:t> </w:t>
            </w:r>
          </w:p>
        </w:tc>
        <w:tc>
          <w:tcPr>
            <w:tcW w:w="0" w:type="auto"/>
            <w:noWrap/>
            <w:vAlign w:val="bottom"/>
            <w:hideMark/>
          </w:tcPr>
          <w:p w14:paraId="02D122A4" w14:textId="0287CD2E"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-11.6%</w:t>
            </w:r>
          </w:p>
        </w:tc>
        <w:tc>
          <w:tcPr>
            <w:tcW w:w="0" w:type="auto"/>
            <w:noWrap/>
            <w:vAlign w:val="bottom"/>
            <w:hideMark/>
          </w:tcPr>
          <w:p w14:paraId="2C2A9870" w14:textId="08BBB2A5"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9C0006"/>
                <w:sz w:val="16"/>
                <w:szCs w:val="16"/>
              </w:rPr>
              <w:t>-11.6%</w:t>
            </w:r>
          </w:p>
        </w:tc>
        <w:tc>
          <w:tcPr>
            <w:tcW w:w="1279" w:type="dxa"/>
            <w:noWrap/>
            <w:vAlign w:val="bottom"/>
            <w:hideMark/>
          </w:tcPr>
          <w:p w14:paraId="7926D6A1" w14:textId="4338E3B2" w:rsidR="00491CD6" w:rsidRPr="00167A1B" w:rsidRDefault="00491CD6" w:rsidP="00491CD6">
            <w:pPr>
              <w:spacing w:after="0"/>
              <w:jc w:val="right"/>
              <w:rPr>
                <w:rFonts w:ascii="Trebuchet MS" w:hAnsi="Trebuchet MS"/>
                <w:color w:val="9C0006"/>
                <w:sz w:val="16"/>
                <w:szCs w:val="16"/>
                <w:lang w:eastAsia="en-GB"/>
              </w:rPr>
            </w:pPr>
            <w:r w:rsidRPr="00167A1B">
              <w:rPr>
                <w:rFonts w:ascii="Trebuchet MS" w:hAnsi="Trebuchet MS"/>
                <w:color w:val="006100"/>
                <w:sz w:val="16"/>
                <w:szCs w:val="16"/>
              </w:rPr>
              <w:t>5.6%</w:t>
            </w:r>
          </w:p>
        </w:tc>
        <w:tc>
          <w:tcPr>
            <w:tcW w:w="1364" w:type="dxa"/>
            <w:noWrap/>
            <w:vAlign w:val="bottom"/>
            <w:hideMark/>
          </w:tcPr>
          <w:p w14:paraId="6204DC71" w14:textId="7B9284AB"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12.6%</w:t>
            </w:r>
          </w:p>
        </w:tc>
        <w:tc>
          <w:tcPr>
            <w:tcW w:w="1364" w:type="dxa"/>
            <w:gridSpan w:val="2"/>
            <w:noWrap/>
            <w:vAlign w:val="bottom"/>
            <w:hideMark/>
          </w:tcPr>
          <w:p w14:paraId="6F89C1ED" w14:textId="613107F7" w:rsidR="00491CD6" w:rsidRPr="00167A1B" w:rsidRDefault="00491CD6" w:rsidP="00491CD6">
            <w:pPr>
              <w:spacing w:after="0"/>
              <w:jc w:val="right"/>
              <w:rPr>
                <w:rFonts w:ascii="Trebuchet MS" w:hAnsi="Trebuchet MS"/>
                <w:color w:val="006100"/>
                <w:sz w:val="16"/>
                <w:szCs w:val="16"/>
                <w:lang w:eastAsia="en-GB"/>
              </w:rPr>
            </w:pPr>
            <w:r w:rsidRPr="00167A1B">
              <w:rPr>
                <w:rFonts w:ascii="Trebuchet MS" w:hAnsi="Trebuchet MS"/>
                <w:color w:val="006100"/>
                <w:sz w:val="16"/>
                <w:szCs w:val="16"/>
              </w:rPr>
              <w:t>10.3%</w:t>
            </w:r>
          </w:p>
        </w:tc>
      </w:tr>
      <w:tr w:rsidR="00491CD6" w:rsidRPr="00167A1B" w14:paraId="1EFA6756" w14:textId="77777777" w:rsidTr="00814371">
        <w:trPr>
          <w:gridAfter w:val="1"/>
          <w:wAfter w:w="17" w:type="dxa"/>
          <w:trHeight w:val="270"/>
        </w:trPr>
        <w:tc>
          <w:tcPr>
            <w:tcW w:w="9061" w:type="dxa"/>
            <w:gridSpan w:val="7"/>
            <w:noWrap/>
          </w:tcPr>
          <w:p w14:paraId="7177E0DD" w14:textId="77777777" w:rsidR="00491CD6" w:rsidRPr="00167A1B" w:rsidRDefault="00491CD6" w:rsidP="0070682E">
            <w:pPr>
              <w:spacing w:after="0"/>
              <w:jc w:val="left"/>
              <w:rPr>
                <w:rFonts w:ascii="Trebuchet MS" w:hAnsi="Trebuchet MS"/>
                <w:b/>
                <w:bCs/>
                <w:color w:val="9C0006"/>
                <w:sz w:val="16"/>
                <w:szCs w:val="16"/>
              </w:rPr>
            </w:pPr>
            <w:r w:rsidRPr="00167A1B">
              <w:rPr>
                <w:rFonts w:ascii="Trebuchet MS" w:hAnsi="Trebuchet MS"/>
                <w:b/>
                <w:bCs/>
                <w:sz w:val="16"/>
                <w:szCs w:val="16"/>
                <w:lang w:eastAsia="en-GB"/>
              </w:rPr>
              <w:t>Benefit for distributors and retailers until point of sale [NPV million EUR]</w:t>
            </w:r>
          </w:p>
        </w:tc>
      </w:tr>
      <w:tr w:rsidR="00491CD6" w:rsidRPr="00167A1B" w14:paraId="10E8AA87" w14:textId="77777777" w:rsidTr="00814371">
        <w:trPr>
          <w:trHeight w:val="272"/>
        </w:trPr>
        <w:tc>
          <w:tcPr>
            <w:tcW w:w="1266" w:type="dxa"/>
            <w:noWrap/>
          </w:tcPr>
          <w:p w14:paraId="075B1B33"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Total 2024-2030</w:t>
            </w:r>
          </w:p>
        </w:tc>
        <w:tc>
          <w:tcPr>
            <w:tcW w:w="1091" w:type="dxa"/>
            <w:noWrap/>
            <w:vAlign w:val="bottom"/>
          </w:tcPr>
          <w:p w14:paraId="4D2F158B" w14:textId="26848D14" w:rsidR="00491CD6" w:rsidRPr="00167A1B" w:rsidRDefault="00491CD6" w:rsidP="00491CD6">
            <w:pPr>
              <w:spacing w:after="0"/>
              <w:jc w:val="right"/>
              <w:rPr>
                <w:rFonts w:ascii="Trebuchet MS" w:hAnsi="Trebuchet MS"/>
                <w:sz w:val="16"/>
                <w:szCs w:val="16"/>
              </w:rPr>
            </w:pPr>
            <w:r w:rsidRPr="00167A1B">
              <w:rPr>
                <w:rFonts w:ascii="Trebuchet MS" w:hAnsi="Trebuchet MS"/>
                <w:b/>
                <w:bCs/>
                <w:sz w:val="16"/>
                <w:szCs w:val="16"/>
              </w:rPr>
              <w:t>21,609</w:t>
            </w:r>
          </w:p>
        </w:tc>
        <w:tc>
          <w:tcPr>
            <w:tcW w:w="0" w:type="auto"/>
            <w:noWrap/>
            <w:vAlign w:val="bottom"/>
          </w:tcPr>
          <w:p w14:paraId="225A612C" w14:textId="15403DFC"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b/>
                <w:bCs/>
                <w:sz w:val="16"/>
                <w:szCs w:val="16"/>
              </w:rPr>
              <w:t>19,062</w:t>
            </w:r>
          </w:p>
        </w:tc>
        <w:tc>
          <w:tcPr>
            <w:tcW w:w="0" w:type="auto"/>
            <w:noWrap/>
            <w:vAlign w:val="bottom"/>
          </w:tcPr>
          <w:p w14:paraId="004E8924" w14:textId="1D6E2AD9"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b/>
                <w:bCs/>
                <w:sz w:val="16"/>
                <w:szCs w:val="16"/>
              </w:rPr>
              <w:t>19,046</w:t>
            </w:r>
          </w:p>
        </w:tc>
        <w:tc>
          <w:tcPr>
            <w:tcW w:w="1279" w:type="dxa"/>
            <w:noWrap/>
            <w:vAlign w:val="bottom"/>
          </w:tcPr>
          <w:p w14:paraId="5FEFC760" w14:textId="7AD21247"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b/>
                <w:bCs/>
                <w:sz w:val="16"/>
                <w:szCs w:val="16"/>
              </w:rPr>
              <w:t>23,717</w:t>
            </w:r>
          </w:p>
        </w:tc>
        <w:tc>
          <w:tcPr>
            <w:tcW w:w="1364" w:type="dxa"/>
            <w:noWrap/>
            <w:vAlign w:val="bottom"/>
          </w:tcPr>
          <w:p w14:paraId="0CC0888B" w14:textId="67697613"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b/>
                <w:bCs/>
                <w:sz w:val="16"/>
                <w:szCs w:val="16"/>
              </w:rPr>
              <w:t>25,189</w:t>
            </w:r>
          </w:p>
        </w:tc>
        <w:tc>
          <w:tcPr>
            <w:tcW w:w="1364" w:type="dxa"/>
            <w:gridSpan w:val="2"/>
            <w:noWrap/>
            <w:vAlign w:val="bottom"/>
          </w:tcPr>
          <w:p w14:paraId="5142F61D" w14:textId="5E42A307"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b/>
                <w:bCs/>
                <w:sz w:val="16"/>
                <w:szCs w:val="16"/>
              </w:rPr>
              <w:t>24,811</w:t>
            </w:r>
          </w:p>
        </w:tc>
      </w:tr>
      <w:tr w:rsidR="00491CD6" w:rsidRPr="00167A1B" w14:paraId="5223D83E" w14:textId="77777777" w:rsidTr="00814371">
        <w:trPr>
          <w:trHeight w:val="272"/>
        </w:trPr>
        <w:tc>
          <w:tcPr>
            <w:tcW w:w="1266" w:type="dxa"/>
            <w:noWrap/>
          </w:tcPr>
          <w:p w14:paraId="48E2B769"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91" w:type="dxa"/>
            <w:noWrap/>
            <w:vAlign w:val="bottom"/>
          </w:tcPr>
          <w:p w14:paraId="3CA32417" w14:textId="52DAD46B" w:rsidR="00491CD6" w:rsidRPr="00167A1B" w:rsidRDefault="00491CD6" w:rsidP="00491CD6">
            <w:pPr>
              <w:spacing w:after="0"/>
              <w:jc w:val="right"/>
              <w:rPr>
                <w:rFonts w:ascii="Trebuchet MS" w:hAnsi="Trebuchet MS"/>
                <w:sz w:val="16"/>
                <w:szCs w:val="16"/>
              </w:rPr>
            </w:pPr>
            <w:r w:rsidRPr="00167A1B">
              <w:rPr>
                <w:rFonts w:ascii="Trebuchet MS" w:hAnsi="Trebuchet MS"/>
                <w:sz w:val="16"/>
                <w:szCs w:val="16"/>
              </w:rPr>
              <w:t> </w:t>
            </w:r>
          </w:p>
        </w:tc>
        <w:tc>
          <w:tcPr>
            <w:tcW w:w="0" w:type="auto"/>
            <w:noWrap/>
            <w:vAlign w:val="bottom"/>
          </w:tcPr>
          <w:p w14:paraId="59AC643D" w14:textId="059250C9"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9C0006"/>
                <w:sz w:val="16"/>
                <w:szCs w:val="16"/>
              </w:rPr>
              <w:t>-2,546</w:t>
            </w:r>
          </w:p>
        </w:tc>
        <w:tc>
          <w:tcPr>
            <w:tcW w:w="0" w:type="auto"/>
            <w:noWrap/>
            <w:vAlign w:val="bottom"/>
          </w:tcPr>
          <w:p w14:paraId="458E68DA" w14:textId="6A7A4BEB"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9C0006"/>
                <w:sz w:val="16"/>
                <w:szCs w:val="16"/>
              </w:rPr>
              <w:t>-2,563</w:t>
            </w:r>
          </w:p>
        </w:tc>
        <w:tc>
          <w:tcPr>
            <w:tcW w:w="1279" w:type="dxa"/>
            <w:noWrap/>
            <w:vAlign w:val="bottom"/>
          </w:tcPr>
          <w:p w14:paraId="0359543B" w14:textId="78F5FC72"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006100"/>
                <w:sz w:val="16"/>
                <w:szCs w:val="16"/>
              </w:rPr>
              <w:t>2,108</w:t>
            </w:r>
          </w:p>
        </w:tc>
        <w:tc>
          <w:tcPr>
            <w:tcW w:w="1364" w:type="dxa"/>
            <w:noWrap/>
            <w:vAlign w:val="bottom"/>
          </w:tcPr>
          <w:p w14:paraId="15011787" w14:textId="0492B9D2"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color w:val="006100"/>
                <w:sz w:val="16"/>
                <w:szCs w:val="16"/>
              </w:rPr>
              <w:t>3,580</w:t>
            </w:r>
          </w:p>
        </w:tc>
        <w:tc>
          <w:tcPr>
            <w:tcW w:w="1364" w:type="dxa"/>
            <w:gridSpan w:val="2"/>
            <w:noWrap/>
            <w:vAlign w:val="bottom"/>
          </w:tcPr>
          <w:p w14:paraId="65F06371" w14:textId="7ABBE139"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color w:val="006100"/>
                <w:sz w:val="16"/>
                <w:szCs w:val="16"/>
              </w:rPr>
              <w:t>3,202</w:t>
            </w:r>
          </w:p>
        </w:tc>
      </w:tr>
      <w:tr w:rsidR="00491CD6" w:rsidRPr="00167A1B" w14:paraId="00A28F1D" w14:textId="77777777" w:rsidTr="00814371">
        <w:trPr>
          <w:trHeight w:val="272"/>
        </w:trPr>
        <w:tc>
          <w:tcPr>
            <w:tcW w:w="1266" w:type="dxa"/>
            <w:noWrap/>
          </w:tcPr>
          <w:p w14:paraId="442B9578"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Annual average</w:t>
            </w:r>
          </w:p>
        </w:tc>
        <w:tc>
          <w:tcPr>
            <w:tcW w:w="1091" w:type="dxa"/>
            <w:noWrap/>
            <w:vAlign w:val="bottom"/>
          </w:tcPr>
          <w:p w14:paraId="5711F95B" w14:textId="1611281E" w:rsidR="00491CD6" w:rsidRPr="00167A1B" w:rsidRDefault="00491CD6" w:rsidP="00491CD6">
            <w:pPr>
              <w:spacing w:after="0"/>
              <w:jc w:val="right"/>
              <w:rPr>
                <w:rFonts w:ascii="Trebuchet MS" w:hAnsi="Trebuchet MS"/>
                <w:sz w:val="16"/>
                <w:szCs w:val="16"/>
              </w:rPr>
            </w:pPr>
            <w:r w:rsidRPr="00167A1B">
              <w:rPr>
                <w:rFonts w:ascii="Trebuchet MS" w:hAnsi="Trebuchet MS"/>
                <w:sz w:val="16"/>
                <w:szCs w:val="16"/>
              </w:rPr>
              <w:t>3,087</w:t>
            </w:r>
          </w:p>
        </w:tc>
        <w:tc>
          <w:tcPr>
            <w:tcW w:w="0" w:type="auto"/>
            <w:noWrap/>
            <w:vAlign w:val="bottom"/>
          </w:tcPr>
          <w:p w14:paraId="6797ECF3" w14:textId="5322EDEB"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sz w:val="16"/>
                <w:szCs w:val="16"/>
              </w:rPr>
              <w:t>2,723</w:t>
            </w:r>
          </w:p>
        </w:tc>
        <w:tc>
          <w:tcPr>
            <w:tcW w:w="0" w:type="auto"/>
            <w:noWrap/>
            <w:vAlign w:val="bottom"/>
          </w:tcPr>
          <w:p w14:paraId="4A6A1EC3" w14:textId="011A03EC"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sz w:val="16"/>
                <w:szCs w:val="16"/>
              </w:rPr>
              <w:t>2,721</w:t>
            </w:r>
          </w:p>
        </w:tc>
        <w:tc>
          <w:tcPr>
            <w:tcW w:w="1279" w:type="dxa"/>
            <w:noWrap/>
            <w:vAlign w:val="bottom"/>
          </w:tcPr>
          <w:p w14:paraId="642AFBAD" w14:textId="6BF0FA15"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sz w:val="16"/>
                <w:szCs w:val="16"/>
              </w:rPr>
              <w:t>3,388</w:t>
            </w:r>
          </w:p>
        </w:tc>
        <w:tc>
          <w:tcPr>
            <w:tcW w:w="1364" w:type="dxa"/>
            <w:noWrap/>
            <w:vAlign w:val="bottom"/>
          </w:tcPr>
          <w:p w14:paraId="6005F7B5" w14:textId="01F5B33C"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sz w:val="16"/>
                <w:szCs w:val="16"/>
              </w:rPr>
              <w:t>3,598</w:t>
            </w:r>
          </w:p>
        </w:tc>
        <w:tc>
          <w:tcPr>
            <w:tcW w:w="1364" w:type="dxa"/>
            <w:gridSpan w:val="2"/>
            <w:noWrap/>
            <w:vAlign w:val="bottom"/>
          </w:tcPr>
          <w:p w14:paraId="5FFCCF1E" w14:textId="252CD42B"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sz w:val="16"/>
                <w:szCs w:val="16"/>
              </w:rPr>
              <w:t>3,544</w:t>
            </w:r>
          </w:p>
        </w:tc>
      </w:tr>
      <w:tr w:rsidR="00491CD6" w:rsidRPr="00167A1B" w14:paraId="4E526330" w14:textId="77777777" w:rsidTr="00814371">
        <w:trPr>
          <w:trHeight w:val="272"/>
        </w:trPr>
        <w:tc>
          <w:tcPr>
            <w:tcW w:w="1266" w:type="dxa"/>
            <w:noWrap/>
          </w:tcPr>
          <w:p w14:paraId="7758FD82"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Difference with baseline</w:t>
            </w:r>
          </w:p>
        </w:tc>
        <w:tc>
          <w:tcPr>
            <w:tcW w:w="1091" w:type="dxa"/>
            <w:noWrap/>
            <w:vAlign w:val="bottom"/>
          </w:tcPr>
          <w:p w14:paraId="2C026A5A" w14:textId="3FBD58C9" w:rsidR="00491CD6" w:rsidRPr="00167A1B" w:rsidRDefault="00491CD6" w:rsidP="00491CD6">
            <w:pPr>
              <w:spacing w:after="0"/>
              <w:jc w:val="left"/>
              <w:rPr>
                <w:rFonts w:ascii="Trebuchet MS" w:hAnsi="Trebuchet MS"/>
                <w:sz w:val="16"/>
                <w:szCs w:val="16"/>
              </w:rPr>
            </w:pPr>
            <w:r w:rsidRPr="00167A1B">
              <w:rPr>
                <w:rFonts w:ascii="Trebuchet MS" w:hAnsi="Trebuchet MS"/>
                <w:sz w:val="16"/>
                <w:szCs w:val="16"/>
              </w:rPr>
              <w:t> </w:t>
            </w:r>
          </w:p>
        </w:tc>
        <w:tc>
          <w:tcPr>
            <w:tcW w:w="0" w:type="auto"/>
            <w:noWrap/>
            <w:vAlign w:val="bottom"/>
          </w:tcPr>
          <w:p w14:paraId="73B6C2F4" w14:textId="57CEBE82"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9C0006"/>
                <w:sz w:val="16"/>
                <w:szCs w:val="16"/>
              </w:rPr>
              <w:t>-364</w:t>
            </w:r>
          </w:p>
        </w:tc>
        <w:tc>
          <w:tcPr>
            <w:tcW w:w="0" w:type="auto"/>
            <w:noWrap/>
            <w:vAlign w:val="bottom"/>
          </w:tcPr>
          <w:p w14:paraId="4561F6B0" w14:textId="186CE832"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9C0006"/>
                <w:sz w:val="16"/>
                <w:szCs w:val="16"/>
              </w:rPr>
              <w:t>-366</w:t>
            </w:r>
          </w:p>
        </w:tc>
        <w:tc>
          <w:tcPr>
            <w:tcW w:w="1279" w:type="dxa"/>
            <w:noWrap/>
            <w:vAlign w:val="bottom"/>
          </w:tcPr>
          <w:p w14:paraId="5A419514" w14:textId="1E3D923C"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006100"/>
                <w:sz w:val="16"/>
                <w:szCs w:val="16"/>
              </w:rPr>
              <w:t>301</w:t>
            </w:r>
          </w:p>
        </w:tc>
        <w:tc>
          <w:tcPr>
            <w:tcW w:w="1364" w:type="dxa"/>
            <w:noWrap/>
            <w:vAlign w:val="bottom"/>
          </w:tcPr>
          <w:p w14:paraId="2101039F" w14:textId="4D432860"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color w:val="006100"/>
                <w:sz w:val="16"/>
                <w:szCs w:val="16"/>
              </w:rPr>
              <w:t>511</w:t>
            </w:r>
          </w:p>
        </w:tc>
        <w:tc>
          <w:tcPr>
            <w:tcW w:w="1364" w:type="dxa"/>
            <w:gridSpan w:val="2"/>
            <w:noWrap/>
            <w:vAlign w:val="bottom"/>
          </w:tcPr>
          <w:p w14:paraId="3EF4BF0E" w14:textId="14E13609"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color w:val="006100"/>
                <w:sz w:val="16"/>
                <w:szCs w:val="16"/>
              </w:rPr>
              <w:t>457</w:t>
            </w:r>
          </w:p>
        </w:tc>
      </w:tr>
      <w:tr w:rsidR="00491CD6" w:rsidRPr="00167A1B" w14:paraId="12F8686F" w14:textId="77777777" w:rsidTr="00157B22">
        <w:trPr>
          <w:trHeight w:val="272"/>
        </w:trPr>
        <w:tc>
          <w:tcPr>
            <w:tcW w:w="1266" w:type="dxa"/>
            <w:tcBorders>
              <w:bottom w:val="nil"/>
            </w:tcBorders>
            <w:noWrap/>
          </w:tcPr>
          <w:p w14:paraId="49B3FFE1" w14:textId="77777777" w:rsidR="00491CD6" w:rsidRPr="00167A1B" w:rsidRDefault="00491CD6" w:rsidP="00491CD6">
            <w:pPr>
              <w:spacing w:after="0"/>
              <w:jc w:val="left"/>
              <w:rPr>
                <w:rFonts w:ascii="Trebuchet MS" w:hAnsi="Trebuchet MS"/>
                <w:sz w:val="16"/>
                <w:szCs w:val="16"/>
                <w:lang w:eastAsia="en-GB"/>
              </w:rPr>
            </w:pPr>
            <w:r w:rsidRPr="00167A1B">
              <w:rPr>
                <w:rFonts w:ascii="Trebuchet MS" w:hAnsi="Trebuchet MS"/>
                <w:sz w:val="16"/>
                <w:szCs w:val="16"/>
                <w:lang w:eastAsia="en-GB"/>
              </w:rPr>
              <w:t>As %</w:t>
            </w:r>
          </w:p>
        </w:tc>
        <w:tc>
          <w:tcPr>
            <w:tcW w:w="1091" w:type="dxa"/>
            <w:tcBorders>
              <w:bottom w:val="nil"/>
            </w:tcBorders>
            <w:noWrap/>
            <w:vAlign w:val="bottom"/>
          </w:tcPr>
          <w:p w14:paraId="196C339B" w14:textId="79F3A517" w:rsidR="00491CD6" w:rsidRPr="00167A1B" w:rsidRDefault="00491CD6" w:rsidP="00491CD6">
            <w:pPr>
              <w:spacing w:after="0"/>
              <w:jc w:val="left"/>
              <w:rPr>
                <w:rFonts w:ascii="Trebuchet MS" w:hAnsi="Trebuchet MS"/>
                <w:sz w:val="16"/>
                <w:szCs w:val="16"/>
              </w:rPr>
            </w:pPr>
            <w:r w:rsidRPr="00167A1B">
              <w:rPr>
                <w:rFonts w:ascii="Trebuchet MS" w:hAnsi="Trebuchet MS"/>
                <w:sz w:val="16"/>
                <w:szCs w:val="16"/>
              </w:rPr>
              <w:t> </w:t>
            </w:r>
          </w:p>
        </w:tc>
        <w:tc>
          <w:tcPr>
            <w:tcW w:w="0" w:type="auto"/>
            <w:tcBorders>
              <w:bottom w:val="nil"/>
            </w:tcBorders>
            <w:noWrap/>
            <w:vAlign w:val="bottom"/>
          </w:tcPr>
          <w:p w14:paraId="6704851E" w14:textId="199E9F4F"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9C0006"/>
                <w:sz w:val="16"/>
                <w:szCs w:val="16"/>
              </w:rPr>
              <w:t>-11.8%</w:t>
            </w:r>
          </w:p>
        </w:tc>
        <w:tc>
          <w:tcPr>
            <w:tcW w:w="0" w:type="auto"/>
            <w:tcBorders>
              <w:bottom w:val="nil"/>
            </w:tcBorders>
            <w:noWrap/>
            <w:vAlign w:val="bottom"/>
          </w:tcPr>
          <w:p w14:paraId="3373B880" w14:textId="70D4EF9D"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9C0006"/>
                <w:sz w:val="16"/>
                <w:szCs w:val="16"/>
              </w:rPr>
              <w:t>-11.9%</w:t>
            </w:r>
          </w:p>
        </w:tc>
        <w:tc>
          <w:tcPr>
            <w:tcW w:w="1279" w:type="dxa"/>
            <w:tcBorders>
              <w:bottom w:val="nil"/>
            </w:tcBorders>
            <w:noWrap/>
            <w:vAlign w:val="bottom"/>
          </w:tcPr>
          <w:p w14:paraId="7979CFDA" w14:textId="7CF9CB15" w:rsidR="00491CD6" w:rsidRPr="00167A1B" w:rsidRDefault="00491CD6" w:rsidP="00491CD6">
            <w:pPr>
              <w:spacing w:after="0"/>
              <w:jc w:val="right"/>
              <w:rPr>
                <w:rFonts w:ascii="Trebuchet MS" w:hAnsi="Trebuchet MS"/>
                <w:color w:val="9C0006"/>
                <w:sz w:val="16"/>
                <w:szCs w:val="16"/>
              </w:rPr>
            </w:pPr>
            <w:r w:rsidRPr="00167A1B">
              <w:rPr>
                <w:rFonts w:ascii="Trebuchet MS" w:hAnsi="Trebuchet MS"/>
                <w:color w:val="006100"/>
                <w:sz w:val="16"/>
                <w:szCs w:val="16"/>
              </w:rPr>
              <w:t>9.8%</w:t>
            </w:r>
          </w:p>
        </w:tc>
        <w:tc>
          <w:tcPr>
            <w:tcW w:w="1364" w:type="dxa"/>
            <w:tcBorders>
              <w:bottom w:val="nil"/>
            </w:tcBorders>
            <w:noWrap/>
            <w:vAlign w:val="bottom"/>
          </w:tcPr>
          <w:p w14:paraId="5127D7BA" w14:textId="5203D9AE"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color w:val="006100"/>
                <w:sz w:val="16"/>
                <w:szCs w:val="16"/>
              </w:rPr>
              <w:t>16.6%</w:t>
            </w:r>
          </w:p>
        </w:tc>
        <w:tc>
          <w:tcPr>
            <w:tcW w:w="1364" w:type="dxa"/>
            <w:gridSpan w:val="2"/>
            <w:tcBorders>
              <w:bottom w:val="nil"/>
            </w:tcBorders>
            <w:noWrap/>
            <w:vAlign w:val="bottom"/>
          </w:tcPr>
          <w:p w14:paraId="008BEC64" w14:textId="6275E013" w:rsidR="00491CD6" w:rsidRPr="00167A1B" w:rsidRDefault="00491CD6" w:rsidP="00491CD6">
            <w:pPr>
              <w:spacing w:after="0"/>
              <w:jc w:val="right"/>
              <w:rPr>
                <w:rFonts w:ascii="Trebuchet MS" w:hAnsi="Trebuchet MS"/>
                <w:color w:val="006100"/>
                <w:sz w:val="16"/>
                <w:szCs w:val="16"/>
              </w:rPr>
            </w:pPr>
            <w:r w:rsidRPr="00167A1B">
              <w:rPr>
                <w:rFonts w:ascii="Trebuchet MS" w:hAnsi="Trebuchet MS"/>
                <w:color w:val="006100"/>
                <w:sz w:val="16"/>
                <w:szCs w:val="16"/>
              </w:rPr>
              <w:t>14.8%</w:t>
            </w:r>
          </w:p>
        </w:tc>
      </w:tr>
      <w:tr w:rsidR="00491CD6" w:rsidRPr="00167A1B" w14:paraId="0EB5768F" w14:textId="5321E376" w:rsidTr="00157B22">
        <w:trPr>
          <w:trHeight w:val="50"/>
        </w:trPr>
        <w:tc>
          <w:tcPr>
            <w:tcW w:w="1266" w:type="dxa"/>
            <w:tcBorders>
              <w:top w:val="nil"/>
              <w:left w:val="nil"/>
              <w:bottom w:val="nil"/>
              <w:right w:val="nil"/>
            </w:tcBorders>
            <w:shd w:val="clear" w:color="auto" w:fill="auto"/>
            <w:noWrap/>
          </w:tcPr>
          <w:p w14:paraId="25AF68A1" w14:textId="6672F3D4" w:rsidR="00491CD6" w:rsidRPr="00167A1B" w:rsidRDefault="00491CD6" w:rsidP="00491CD6">
            <w:pPr>
              <w:spacing w:after="0"/>
              <w:jc w:val="left"/>
              <w:rPr>
                <w:rFonts w:ascii="Trebuchet MS" w:hAnsi="Trebuchet MS"/>
                <w:sz w:val="4"/>
                <w:szCs w:val="4"/>
                <w:lang w:eastAsia="en-GB"/>
              </w:rPr>
            </w:pPr>
          </w:p>
        </w:tc>
        <w:tc>
          <w:tcPr>
            <w:tcW w:w="1091" w:type="dxa"/>
            <w:tcBorders>
              <w:top w:val="nil"/>
              <w:left w:val="nil"/>
              <w:bottom w:val="nil"/>
              <w:right w:val="nil"/>
            </w:tcBorders>
            <w:shd w:val="clear" w:color="auto" w:fill="auto"/>
            <w:noWrap/>
            <w:vAlign w:val="bottom"/>
          </w:tcPr>
          <w:p w14:paraId="554DBC8F" w14:textId="558B9228" w:rsidR="00491CD6" w:rsidRPr="00167A1B" w:rsidRDefault="00491CD6" w:rsidP="00491CD6">
            <w:pPr>
              <w:spacing w:after="0"/>
              <w:jc w:val="left"/>
              <w:rPr>
                <w:rFonts w:ascii="Trebuchet MS" w:hAnsi="Trebuchet MS"/>
                <w:sz w:val="4"/>
                <w:szCs w:val="4"/>
                <w:lang w:eastAsia="en-GB"/>
              </w:rPr>
            </w:pPr>
          </w:p>
        </w:tc>
        <w:tc>
          <w:tcPr>
            <w:tcW w:w="1353" w:type="dxa"/>
            <w:tcBorders>
              <w:top w:val="nil"/>
              <w:left w:val="nil"/>
              <w:bottom w:val="nil"/>
              <w:right w:val="nil"/>
            </w:tcBorders>
            <w:shd w:val="clear" w:color="auto" w:fill="auto"/>
            <w:noWrap/>
            <w:vAlign w:val="bottom"/>
          </w:tcPr>
          <w:p w14:paraId="22478C26" w14:textId="1C9D31C8" w:rsidR="00491CD6" w:rsidRPr="00167A1B" w:rsidRDefault="00491CD6" w:rsidP="00491CD6">
            <w:pPr>
              <w:spacing w:after="0"/>
              <w:jc w:val="right"/>
              <w:rPr>
                <w:rFonts w:ascii="Trebuchet MS" w:hAnsi="Trebuchet MS"/>
                <w:color w:val="9C0006"/>
                <w:sz w:val="4"/>
                <w:szCs w:val="4"/>
                <w:lang w:eastAsia="en-GB"/>
              </w:rPr>
            </w:pPr>
          </w:p>
        </w:tc>
        <w:tc>
          <w:tcPr>
            <w:tcW w:w="1361" w:type="dxa"/>
            <w:tcBorders>
              <w:top w:val="nil"/>
              <w:left w:val="nil"/>
              <w:bottom w:val="nil"/>
              <w:right w:val="nil"/>
            </w:tcBorders>
            <w:shd w:val="clear" w:color="auto" w:fill="auto"/>
            <w:noWrap/>
            <w:vAlign w:val="bottom"/>
          </w:tcPr>
          <w:p w14:paraId="2DD84B3F" w14:textId="6B68554C" w:rsidR="00491CD6" w:rsidRPr="00167A1B" w:rsidRDefault="00491CD6" w:rsidP="00491CD6">
            <w:pPr>
              <w:spacing w:after="0"/>
              <w:jc w:val="right"/>
              <w:rPr>
                <w:rFonts w:ascii="Trebuchet MS" w:hAnsi="Trebuchet MS"/>
                <w:color w:val="9C0006"/>
                <w:sz w:val="4"/>
                <w:szCs w:val="4"/>
                <w:lang w:eastAsia="en-GB"/>
              </w:rPr>
            </w:pPr>
          </w:p>
        </w:tc>
        <w:tc>
          <w:tcPr>
            <w:tcW w:w="1279" w:type="dxa"/>
            <w:tcBorders>
              <w:top w:val="nil"/>
              <w:left w:val="nil"/>
              <w:bottom w:val="nil"/>
              <w:right w:val="nil"/>
            </w:tcBorders>
            <w:shd w:val="clear" w:color="auto" w:fill="auto"/>
            <w:noWrap/>
            <w:vAlign w:val="bottom"/>
          </w:tcPr>
          <w:p w14:paraId="5DCB87A0" w14:textId="3B168E92" w:rsidR="00491CD6" w:rsidRPr="00167A1B" w:rsidRDefault="00491CD6" w:rsidP="00491CD6">
            <w:pPr>
              <w:spacing w:after="0"/>
              <w:jc w:val="right"/>
              <w:rPr>
                <w:rFonts w:ascii="Trebuchet MS" w:hAnsi="Trebuchet MS"/>
                <w:color w:val="9C0006"/>
                <w:sz w:val="4"/>
                <w:szCs w:val="4"/>
                <w:lang w:eastAsia="en-GB"/>
              </w:rPr>
            </w:pPr>
          </w:p>
        </w:tc>
        <w:tc>
          <w:tcPr>
            <w:tcW w:w="1364" w:type="dxa"/>
            <w:tcBorders>
              <w:top w:val="nil"/>
              <w:left w:val="nil"/>
              <w:bottom w:val="nil"/>
              <w:right w:val="nil"/>
            </w:tcBorders>
            <w:shd w:val="clear" w:color="auto" w:fill="auto"/>
            <w:noWrap/>
            <w:vAlign w:val="bottom"/>
          </w:tcPr>
          <w:p w14:paraId="641EF9DD" w14:textId="173082CC" w:rsidR="00491CD6" w:rsidRPr="00167A1B" w:rsidRDefault="00491CD6" w:rsidP="00491CD6">
            <w:pPr>
              <w:spacing w:after="0"/>
              <w:jc w:val="right"/>
              <w:rPr>
                <w:rFonts w:ascii="Trebuchet MS" w:hAnsi="Trebuchet MS"/>
                <w:color w:val="006100"/>
                <w:sz w:val="4"/>
                <w:szCs w:val="4"/>
                <w:lang w:eastAsia="en-GB"/>
              </w:rPr>
            </w:pPr>
          </w:p>
        </w:tc>
        <w:tc>
          <w:tcPr>
            <w:tcW w:w="1364" w:type="dxa"/>
            <w:gridSpan w:val="2"/>
            <w:tcBorders>
              <w:top w:val="nil"/>
              <w:left w:val="nil"/>
              <w:bottom w:val="nil"/>
              <w:right w:val="nil"/>
            </w:tcBorders>
            <w:shd w:val="clear" w:color="auto" w:fill="auto"/>
            <w:noWrap/>
            <w:vAlign w:val="bottom"/>
          </w:tcPr>
          <w:p w14:paraId="13646CFA" w14:textId="230F25F9" w:rsidR="00491CD6" w:rsidRPr="00167A1B" w:rsidRDefault="00491CD6" w:rsidP="00491CD6">
            <w:pPr>
              <w:spacing w:after="0"/>
              <w:jc w:val="right"/>
              <w:rPr>
                <w:rFonts w:ascii="Trebuchet MS" w:hAnsi="Trebuchet MS"/>
                <w:color w:val="006100"/>
                <w:sz w:val="4"/>
                <w:szCs w:val="4"/>
                <w:lang w:eastAsia="en-GB"/>
              </w:rPr>
            </w:pPr>
          </w:p>
        </w:tc>
      </w:tr>
    </w:tbl>
    <w:p w14:paraId="62920737" w14:textId="0B4950C6" w:rsidR="00491CD6" w:rsidRPr="00167A1B" w:rsidRDefault="00624269" w:rsidP="00157B22">
      <w:pPr>
        <w:pStyle w:val="BodyText1"/>
        <w:jc w:val="center"/>
        <w:rPr>
          <w:i/>
          <w:iCs/>
          <w:noProof w:val="0"/>
        </w:rPr>
      </w:pPr>
      <w:r w:rsidRPr="00167A1B">
        <w:rPr>
          <w:b/>
          <w:noProof w:val="0"/>
          <w:sz w:val="18"/>
          <w:szCs w:val="18"/>
        </w:rPr>
        <w:t>Source:</w:t>
      </w:r>
      <w:r w:rsidRPr="00167A1B">
        <w:rPr>
          <w:noProof w:val="0"/>
          <w:sz w:val="18"/>
          <w:szCs w:val="18"/>
        </w:rPr>
        <w:t xml:space="preserve">  Own TRI-STOCK-CHARGER model calculations.</w:t>
      </w:r>
    </w:p>
    <w:p w14:paraId="765391DD" w14:textId="2871403E" w:rsidR="008F65B2" w:rsidRPr="00167A1B" w:rsidRDefault="008F65B2">
      <w:pPr>
        <w:spacing w:after="0"/>
        <w:jc w:val="left"/>
      </w:pPr>
      <w:r w:rsidRPr="00167A1B">
        <w:br w:type="page"/>
      </w:r>
    </w:p>
    <w:p w14:paraId="3AB3F733" w14:textId="0E53E060" w:rsidR="00D30D44" w:rsidRPr="00167A1B" w:rsidRDefault="00D30D44" w:rsidP="00630BCE">
      <w:pPr>
        <w:pStyle w:val="Title1"/>
        <w:outlineLvl w:val="0"/>
      </w:pPr>
      <w:bookmarkStart w:id="85" w:name="_Toc74319767"/>
      <w:r w:rsidRPr="00167A1B">
        <w:lastRenderedPageBreak/>
        <w:t>Comparison of options</w:t>
      </w:r>
      <w:bookmarkEnd w:id="85"/>
      <w:r w:rsidRPr="00167A1B">
        <w:t xml:space="preserve"> </w:t>
      </w:r>
    </w:p>
    <w:p w14:paraId="2AF5ABEA" w14:textId="381F69D1" w:rsidR="009D260B" w:rsidRPr="00167A1B" w:rsidRDefault="009D260B" w:rsidP="009D260B">
      <w:pPr>
        <w:pStyle w:val="BodyText1"/>
        <w:rPr>
          <w:noProof w:val="0"/>
        </w:rPr>
      </w:pPr>
      <w:r w:rsidRPr="00167A1B">
        <w:rPr>
          <w:noProof w:val="0"/>
        </w:rPr>
        <w:t xml:space="preserve">This chapter provides a summary of the various impacts of the options and packages, as analysed previously. For the environmental and some economic impacts, we </w:t>
      </w:r>
      <w:proofErr w:type="gramStart"/>
      <w:r w:rsidRPr="00167A1B">
        <w:rPr>
          <w:noProof w:val="0"/>
        </w:rPr>
        <w:t>are able to</w:t>
      </w:r>
      <w:proofErr w:type="gramEnd"/>
      <w:r w:rsidRPr="00167A1B">
        <w:rPr>
          <w:noProof w:val="0"/>
        </w:rPr>
        <w:t xml:space="preserve"> provide quantitative estimates based on the stock model. The types of impacts for which this is not possible are assessed in qualitative terms. To facilitate comparison, we have used a multi-criteria analysis (MCA) </w:t>
      </w:r>
      <w:proofErr w:type="gramStart"/>
      <w:r w:rsidRPr="00167A1B">
        <w:rPr>
          <w:noProof w:val="0"/>
        </w:rPr>
        <w:t>approach, and</w:t>
      </w:r>
      <w:proofErr w:type="gramEnd"/>
      <w:r w:rsidRPr="00167A1B">
        <w:rPr>
          <w:noProof w:val="0"/>
        </w:rPr>
        <w:t xml:space="preserve"> converted all effects into a common “currency” (from a “major positive” to a “major negative” impact). These are shown in the summary table below, which shows the impacts of the individual policy options, applied to mobile phones only, relative to the baseline. For the detailed assessments, quantitative estimates, considerations and assumption underlying these, please refer to chapters 4 and 5.</w:t>
      </w:r>
    </w:p>
    <w:p w14:paraId="78117B3D" w14:textId="77777777" w:rsidR="009D260B" w:rsidRPr="00167A1B" w:rsidRDefault="009D260B" w:rsidP="009D260B">
      <w:pPr>
        <w:pStyle w:val="BodyText1"/>
        <w:rPr>
          <w:noProof w:val="0"/>
        </w:rPr>
      </w:pPr>
    </w:p>
    <w:p w14:paraId="1C2AF432" w14:textId="73B2DF1F" w:rsidR="00827359" w:rsidRPr="00167A1B" w:rsidRDefault="00827359" w:rsidP="00827359">
      <w:pPr>
        <w:pStyle w:val="Caption"/>
      </w:pPr>
      <w:r w:rsidRPr="00167A1B">
        <w:t xml:space="preserve">Table </w:t>
      </w:r>
      <w:r w:rsidRPr="00167A1B">
        <w:fldChar w:fldCharType="begin"/>
      </w:r>
      <w:r w:rsidRPr="00167A1B">
        <w:instrText xml:space="preserve"> SEQ Table \* ARABIC </w:instrText>
      </w:r>
      <w:r w:rsidRPr="00167A1B">
        <w:fldChar w:fldCharType="separate"/>
      </w:r>
      <w:r w:rsidR="00953106" w:rsidRPr="00167A1B">
        <w:t>33</w:t>
      </w:r>
      <w:r w:rsidRPr="00167A1B">
        <w:fldChar w:fldCharType="end"/>
      </w:r>
      <w:r w:rsidRPr="00167A1B">
        <w:t xml:space="preserve">: Summary of the main impacts of the policy options </w:t>
      </w:r>
    </w:p>
    <w:tbl>
      <w:tblPr>
        <w:tblStyle w:val="TableGridLight11"/>
        <w:tblW w:w="9628" w:type="dxa"/>
        <w:tblInd w:w="0" w:type="dxa"/>
        <w:tblLayout w:type="fixed"/>
        <w:tblCellMar>
          <w:top w:w="57" w:type="dxa"/>
          <w:left w:w="57" w:type="dxa"/>
          <w:bottom w:w="57" w:type="dxa"/>
          <w:right w:w="57" w:type="dxa"/>
        </w:tblCellMar>
        <w:tblLook w:val="04A0" w:firstRow="1" w:lastRow="0" w:firstColumn="1" w:lastColumn="0" w:noHBand="0" w:noVBand="1"/>
      </w:tblPr>
      <w:tblGrid>
        <w:gridCol w:w="988"/>
        <w:gridCol w:w="2313"/>
        <w:gridCol w:w="1054"/>
        <w:gridCol w:w="1055"/>
        <w:gridCol w:w="1054"/>
        <w:gridCol w:w="1055"/>
        <w:gridCol w:w="1054"/>
        <w:gridCol w:w="1055"/>
      </w:tblGrid>
      <w:tr w:rsidR="009D260B" w:rsidRPr="00167A1B" w14:paraId="51CC35B6" w14:textId="77777777" w:rsidTr="009D260B">
        <w:trPr>
          <w:tblHeader/>
        </w:trPr>
        <w:tc>
          <w:tcPr>
            <w:tcW w:w="3301" w:type="dxa"/>
            <w:gridSpan w:val="2"/>
            <w:vMerge w:val="restart"/>
          </w:tcPr>
          <w:p w14:paraId="1D7967CE" w14:textId="77777777" w:rsidR="009D260B" w:rsidRPr="00167A1B" w:rsidRDefault="009D260B" w:rsidP="009D260B">
            <w:pPr>
              <w:spacing w:after="0"/>
              <w:jc w:val="left"/>
              <w:rPr>
                <w:b/>
                <w:bCs/>
                <w:sz w:val="18"/>
                <w:szCs w:val="18"/>
              </w:rPr>
            </w:pPr>
            <w:r w:rsidRPr="00167A1B">
              <w:rPr>
                <w:b/>
                <w:bCs/>
                <w:sz w:val="18"/>
                <w:szCs w:val="18"/>
              </w:rPr>
              <w:t>Impacts</w:t>
            </w:r>
          </w:p>
        </w:tc>
        <w:tc>
          <w:tcPr>
            <w:tcW w:w="1054" w:type="dxa"/>
          </w:tcPr>
          <w:p w14:paraId="559014EA" w14:textId="77777777" w:rsidR="009D260B" w:rsidRPr="00167A1B" w:rsidRDefault="009D260B" w:rsidP="009D260B">
            <w:pPr>
              <w:spacing w:after="0"/>
              <w:jc w:val="center"/>
              <w:rPr>
                <w:b/>
                <w:bCs/>
                <w:sz w:val="18"/>
                <w:szCs w:val="18"/>
              </w:rPr>
            </w:pPr>
            <w:r w:rsidRPr="00167A1B">
              <w:rPr>
                <w:b/>
                <w:bCs/>
                <w:sz w:val="18"/>
                <w:szCs w:val="18"/>
              </w:rPr>
              <w:t>Option 1</w:t>
            </w:r>
          </w:p>
        </w:tc>
        <w:tc>
          <w:tcPr>
            <w:tcW w:w="1055" w:type="dxa"/>
          </w:tcPr>
          <w:p w14:paraId="137F2F00" w14:textId="77777777" w:rsidR="009D260B" w:rsidRPr="00167A1B" w:rsidRDefault="009D260B" w:rsidP="009D260B">
            <w:pPr>
              <w:spacing w:after="0"/>
              <w:jc w:val="center"/>
              <w:rPr>
                <w:b/>
                <w:bCs/>
                <w:sz w:val="18"/>
                <w:szCs w:val="18"/>
              </w:rPr>
            </w:pPr>
            <w:r w:rsidRPr="00167A1B">
              <w:rPr>
                <w:b/>
                <w:bCs/>
                <w:sz w:val="18"/>
                <w:szCs w:val="18"/>
              </w:rPr>
              <w:t>Option 2</w:t>
            </w:r>
          </w:p>
        </w:tc>
        <w:tc>
          <w:tcPr>
            <w:tcW w:w="1054" w:type="dxa"/>
          </w:tcPr>
          <w:p w14:paraId="113ACC40" w14:textId="77777777" w:rsidR="009D260B" w:rsidRPr="00167A1B" w:rsidRDefault="009D260B" w:rsidP="009D260B">
            <w:pPr>
              <w:spacing w:after="0"/>
              <w:jc w:val="center"/>
              <w:rPr>
                <w:b/>
                <w:bCs/>
                <w:sz w:val="18"/>
                <w:szCs w:val="18"/>
              </w:rPr>
            </w:pPr>
            <w:r w:rsidRPr="00167A1B">
              <w:rPr>
                <w:b/>
                <w:bCs/>
                <w:sz w:val="18"/>
                <w:szCs w:val="18"/>
              </w:rPr>
              <w:t>Option 3</w:t>
            </w:r>
          </w:p>
        </w:tc>
        <w:tc>
          <w:tcPr>
            <w:tcW w:w="1055" w:type="dxa"/>
          </w:tcPr>
          <w:p w14:paraId="17BA5E09" w14:textId="77777777" w:rsidR="009D260B" w:rsidRPr="00167A1B" w:rsidRDefault="009D260B" w:rsidP="009D260B">
            <w:pPr>
              <w:spacing w:after="0"/>
              <w:jc w:val="center"/>
              <w:rPr>
                <w:b/>
                <w:bCs/>
                <w:sz w:val="18"/>
                <w:szCs w:val="18"/>
              </w:rPr>
            </w:pPr>
            <w:r w:rsidRPr="00167A1B">
              <w:rPr>
                <w:b/>
                <w:bCs/>
                <w:sz w:val="18"/>
                <w:szCs w:val="18"/>
              </w:rPr>
              <w:t xml:space="preserve">Option </w:t>
            </w:r>
            <w:proofErr w:type="gramStart"/>
            <w:r w:rsidRPr="00167A1B">
              <w:rPr>
                <w:b/>
                <w:bCs/>
                <w:sz w:val="18"/>
                <w:szCs w:val="18"/>
              </w:rPr>
              <w:t>4.a</w:t>
            </w:r>
            <w:proofErr w:type="gramEnd"/>
          </w:p>
        </w:tc>
        <w:tc>
          <w:tcPr>
            <w:tcW w:w="1054" w:type="dxa"/>
          </w:tcPr>
          <w:p w14:paraId="63B64E3E" w14:textId="77777777" w:rsidR="009D260B" w:rsidRPr="00167A1B" w:rsidRDefault="009D260B" w:rsidP="009D260B">
            <w:pPr>
              <w:spacing w:after="0"/>
              <w:jc w:val="center"/>
              <w:rPr>
                <w:b/>
                <w:bCs/>
                <w:sz w:val="18"/>
                <w:szCs w:val="18"/>
              </w:rPr>
            </w:pPr>
            <w:r w:rsidRPr="00167A1B">
              <w:rPr>
                <w:b/>
                <w:bCs/>
                <w:sz w:val="18"/>
                <w:szCs w:val="18"/>
              </w:rPr>
              <w:t xml:space="preserve">Option </w:t>
            </w:r>
            <w:proofErr w:type="gramStart"/>
            <w:r w:rsidRPr="00167A1B">
              <w:rPr>
                <w:b/>
                <w:bCs/>
                <w:sz w:val="18"/>
                <w:szCs w:val="18"/>
              </w:rPr>
              <w:t>4.b</w:t>
            </w:r>
            <w:proofErr w:type="gramEnd"/>
          </w:p>
        </w:tc>
        <w:tc>
          <w:tcPr>
            <w:tcW w:w="1055" w:type="dxa"/>
          </w:tcPr>
          <w:p w14:paraId="63E48B98" w14:textId="77777777" w:rsidR="009D260B" w:rsidRPr="00167A1B" w:rsidRDefault="009D260B" w:rsidP="009D260B">
            <w:pPr>
              <w:spacing w:after="0"/>
              <w:jc w:val="center"/>
              <w:rPr>
                <w:b/>
                <w:bCs/>
                <w:sz w:val="18"/>
                <w:szCs w:val="18"/>
              </w:rPr>
            </w:pPr>
            <w:r w:rsidRPr="00167A1B">
              <w:rPr>
                <w:b/>
                <w:bCs/>
                <w:sz w:val="18"/>
                <w:szCs w:val="18"/>
              </w:rPr>
              <w:t>Option 5</w:t>
            </w:r>
          </w:p>
        </w:tc>
      </w:tr>
      <w:tr w:rsidR="009D260B" w:rsidRPr="00167A1B" w14:paraId="182ED8F4" w14:textId="77777777" w:rsidTr="009D260B">
        <w:tc>
          <w:tcPr>
            <w:tcW w:w="3301" w:type="dxa"/>
            <w:gridSpan w:val="2"/>
            <w:vMerge/>
          </w:tcPr>
          <w:p w14:paraId="22356BBF" w14:textId="77777777" w:rsidR="009D260B" w:rsidRPr="00167A1B" w:rsidRDefault="009D260B" w:rsidP="009D260B">
            <w:pPr>
              <w:spacing w:after="0"/>
              <w:jc w:val="left"/>
              <w:rPr>
                <w:sz w:val="18"/>
                <w:szCs w:val="18"/>
              </w:rPr>
            </w:pPr>
          </w:p>
        </w:tc>
        <w:tc>
          <w:tcPr>
            <w:tcW w:w="1054" w:type="dxa"/>
          </w:tcPr>
          <w:p w14:paraId="7673560D" w14:textId="77777777" w:rsidR="009D260B" w:rsidRPr="00167A1B" w:rsidRDefault="009D260B" w:rsidP="009D260B">
            <w:pPr>
              <w:spacing w:after="0"/>
              <w:jc w:val="center"/>
              <w:rPr>
                <w:sz w:val="18"/>
                <w:szCs w:val="18"/>
              </w:rPr>
            </w:pPr>
            <w:r w:rsidRPr="00167A1B">
              <w:rPr>
                <w:sz w:val="18"/>
                <w:szCs w:val="18"/>
              </w:rPr>
              <w:t>Harmonise connectors on mobile phones</w:t>
            </w:r>
          </w:p>
        </w:tc>
        <w:tc>
          <w:tcPr>
            <w:tcW w:w="1055" w:type="dxa"/>
          </w:tcPr>
          <w:p w14:paraId="41B91E7E" w14:textId="77777777" w:rsidR="009D260B" w:rsidRPr="00167A1B" w:rsidRDefault="009D260B" w:rsidP="009D260B">
            <w:pPr>
              <w:spacing w:after="0"/>
              <w:jc w:val="center"/>
              <w:rPr>
                <w:sz w:val="18"/>
                <w:szCs w:val="18"/>
              </w:rPr>
            </w:pPr>
            <w:r w:rsidRPr="00167A1B">
              <w:rPr>
                <w:sz w:val="18"/>
                <w:szCs w:val="18"/>
              </w:rPr>
              <w:t>Require phones to be compatible with USB technology</w:t>
            </w:r>
          </w:p>
        </w:tc>
        <w:tc>
          <w:tcPr>
            <w:tcW w:w="1054" w:type="dxa"/>
          </w:tcPr>
          <w:p w14:paraId="75D3A5A8" w14:textId="77777777" w:rsidR="009D260B" w:rsidRPr="00167A1B" w:rsidRDefault="009D260B" w:rsidP="009D260B">
            <w:pPr>
              <w:spacing w:after="0"/>
              <w:jc w:val="center"/>
              <w:rPr>
                <w:sz w:val="18"/>
                <w:szCs w:val="18"/>
              </w:rPr>
            </w:pPr>
            <w:r w:rsidRPr="00167A1B">
              <w:rPr>
                <w:sz w:val="18"/>
                <w:szCs w:val="18"/>
              </w:rPr>
              <w:t>Require EPS for phones to comply with USB interop. guidelines</w:t>
            </w:r>
          </w:p>
        </w:tc>
        <w:tc>
          <w:tcPr>
            <w:tcW w:w="1055" w:type="dxa"/>
          </w:tcPr>
          <w:p w14:paraId="53870EB9" w14:textId="77777777" w:rsidR="009D260B" w:rsidRPr="00167A1B" w:rsidRDefault="009D260B" w:rsidP="009D260B">
            <w:pPr>
              <w:spacing w:after="0"/>
              <w:jc w:val="center"/>
              <w:rPr>
                <w:sz w:val="18"/>
                <w:szCs w:val="18"/>
              </w:rPr>
            </w:pPr>
            <w:r w:rsidRPr="00167A1B">
              <w:rPr>
                <w:sz w:val="18"/>
                <w:szCs w:val="18"/>
              </w:rPr>
              <w:t>Mandatory unbundling of EPS</w:t>
            </w:r>
          </w:p>
        </w:tc>
        <w:tc>
          <w:tcPr>
            <w:tcW w:w="1054" w:type="dxa"/>
          </w:tcPr>
          <w:p w14:paraId="7F4CB03C" w14:textId="77777777" w:rsidR="009D260B" w:rsidRPr="00167A1B" w:rsidRDefault="009D260B" w:rsidP="009D260B">
            <w:pPr>
              <w:spacing w:after="0"/>
              <w:jc w:val="center"/>
              <w:rPr>
                <w:sz w:val="18"/>
                <w:szCs w:val="18"/>
              </w:rPr>
            </w:pPr>
            <w:r w:rsidRPr="00167A1B">
              <w:rPr>
                <w:sz w:val="18"/>
                <w:szCs w:val="18"/>
              </w:rPr>
              <w:t>Mandatory unbundling of EPS and Cable</w:t>
            </w:r>
          </w:p>
        </w:tc>
        <w:tc>
          <w:tcPr>
            <w:tcW w:w="1055" w:type="dxa"/>
          </w:tcPr>
          <w:p w14:paraId="3C11F69E" w14:textId="77777777" w:rsidR="009D260B" w:rsidRPr="00167A1B" w:rsidRDefault="009D260B" w:rsidP="009D260B">
            <w:pPr>
              <w:spacing w:after="0"/>
              <w:jc w:val="center"/>
              <w:rPr>
                <w:sz w:val="18"/>
                <w:szCs w:val="18"/>
              </w:rPr>
            </w:pPr>
            <w:r w:rsidRPr="00167A1B">
              <w:rPr>
                <w:sz w:val="18"/>
                <w:szCs w:val="18"/>
              </w:rPr>
              <w:t>Interopera-bility labelling / information scheme</w:t>
            </w:r>
          </w:p>
        </w:tc>
      </w:tr>
      <w:tr w:rsidR="009D260B" w:rsidRPr="00167A1B" w14:paraId="3F4EDDA4" w14:textId="77777777" w:rsidTr="009D260B">
        <w:trPr>
          <w:trHeight w:val="414"/>
        </w:trPr>
        <w:tc>
          <w:tcPr>
            <w:tcW w:w="988" w:type="dxa"/>
            <w:vMerge w:val="restart"/>
          </w:tcPr>
          <w:p w14:paraId="5845BC0A" w14:textId="77777777" w:rsidR="009D260B" w:rsidRPr="00167A1B" w:rsidRDefault="009D260B" w:rsidP="009D260B">
            <w:pPr>
              <w:spacing w:after="0"/>
              <w:jc w:val="left"/>
              <w:rPr>
                <w:b/>
                <w:bCs/>
                <w:sz w:val="18"/>
                <w:szCs w:val="18"/>
              </w:rPr>
            </w:pPr>
            <w:r w:rsidRPr="00167A1B">
              <w:rPr>
                <w:b/>
                <w:bCs/>
                <w:sz w:val="18"/>
                <w:szCs w:val="18"/>
              </w:rPr>
              <w:t>Environ-mental</w:t>
            </w:r>
          </w:p>
        </w:tc>
        <w:tc>
          <w:tcPr>
            <w:tcW w:w="2313" w:type="dxa"/>
            <w:vAlign w:val="center"/>
          </w:tcPr>
          <w:p w14:paraId="064BBCB4" w14:textId="77777777" w:rsidR="009D260B" w:rsidRPr="00167A1B" w:rsidRDefault="009D260B" w:rsidP="009D260B">
            <w:pPr>
              <w:spacing w:after="0"/>
              <w:jc w:val="left"/>
              <w:rPr>
                <w:sz w:val="18"/>
                <w:szCs w:val="18"/>
              </w:rPr>
            </w:pPr>
            <w:r w:rsidRPr="00167A1B">
              <w:rPr>
                <w:sz w:val="18"/>
                <w:szCs w:val="18"/>
              </w:rPr>
              <w:t>GHG emissions</w:t>
            </w:r>
          </w:p>
        </w:tc>
        <w:tc>
          <w:tcPr>
            <w:tcW w:w="1054" w:type="dxa"/>
            <w:shd w:val="clear" w:color="auto" w:fill="FAE1DC"/>
            <w:vAlign w:val="center"/>
          </w:tcPr>
          <w:p w14:paraId="2292FC8A" w14:textId="77777777" w:rsidR="009D260B" w:rsidRPr="00167A1B" w:rsidRDefault="009D260B" w:rsidP="009D260B">
            <w:pPr>
              <w:spacing w:after="0"/>
              <w:jc w:val="center"/>
              <w:rPr>
                <w:sz w:val="18"/>
                <w:szCs w:val="18"/>
              </w:rPr>
            </w:pPr>
            <w:r w:rsidRPr="00167A1B">
              <w:rPr>
                <w:sz w:val="18"/>
                <w:szCs w:val="18"/>
              </w:rPr>
              <w:t>0/-</w:t>
            </w:r>
          </w:p>
        </w:tc>
        <w:tc>
          <w:tcPr>
            <w:tcW w:w="1055" w:type="dxa"/>
            <w:shd w:val="clear" w:color="auto" w:fill="CDF7E9"/>
            <w:vAlign w:val="center"/>
          </w:tcPr>
          <w:p w14:paraId="7BEF07FB" w14:textId="77777777" w:rsidR="009D260B" w:rsidRPr="00167A1B" w:rsidRDefault="009D260B" w:rsidP="009D260B">
            <w:pPr>
              <w:spacing w:after="0"/>
              <w:jc w:val="center"/>
              <w:rPr>
                <w:sz w:val="18"/>
                <w:szCs w:val="18"/>
              </w:rPr>
            </w:pPr>
            <w:r w:rsidRPr="00167A1B">
              <w:rPr>
                <w:sz w:val="18"/>
                <w:szCs w:val="18"/>
              </w:rPr>
              <w:t>0/+</w:t>
            </w:r>
          </w:p>
        </w:tc>
        <w:tc>
          <w:tcPr>
            <w:tcW w:w="1054" w:type="dxa"/>
            <w:shd w:val="clear" w:color="auto" w:fill="FAE1DC"/>
            <w:vAlign w:val="center"/>
          </w:tcPr>
          <w:p w14:paraId="1C121DD3" w14:textId="77777777" w:rsidR="009D260B" w:rsidRPr="00167A1B" w:rsidRDefault="009D260B" w:rsidP="009D260B">
            <w:pPr>
              <w:spacing w:after="0"/>
              <w:jc w:val="center"/>
              <w:rPr>
                <w:sz w:val="18"/>
                <w:szCs w:val="18"/>
              </w:rPr>
            </w:pPr>
            <w:r w:rsidRPr="00167A1B">
              <w:rPr>
                <w:sz w:val="18"/>
                <w:szCs w:val="18"/>
              </w:rPr>
              <w:t>0/-</w:t>
            </w:r>
          </w:p>
        </w:tc>
        <w:tc>
          <w:tcPr>
            <w:tcW w:w="1055" w:type="dxa"/>
            <w:shd w:val="clear" w:color="auto" w:fill="69E7BD"/>
            <w:vAlign w:val="center"/>
          </w:tcPr>
          <w:p w14:paraId="7E0EE205" w14:textId="77777777" w:rsidR="009D260B" w:rsidRPr="00167A1B" w:rsidRDefault="009D260B" w:rsidP="009D260B">
            <w:pPr>
              <w:spacing w:after="0"/>
              <w:jc w:val="center"/>
              <w:rPr>
                <w:sz w:val="18"/>
                <w:szCs w:val="18"/>
              </w:rPr>
            </w:pPr>
            <w:r w:rsidRPr="00167A1B">
              <w:rPr>
                <w:sz w:val="18"/>
                <w:szCs w:val="18"/>
              </w:rPr>
              <w:t>+/++</w:t>
            </w:r>
          </w:p>
        </w:tc>
        <w:tc>
          <w:tcPr>
            <w:tcW w:w="1054" w:type="dxa"/>
            <w:shd w:val="clear" w:color="auto" w:fill="1EC08A" w:themeFill="accent4"/>
            <w:vAlign w:val="center"/>
          </w:tcPr>
          <w:p w14:paraId="1C01C6C4" w14:textId="77777777" w:rsidR="009D260B" w:rsidRPr="00167A1B" w:rsidRDefault="009D260B" w:rsidP="009D260B">
            <w:pPr>
              <w:spacing w:after="0"/>
              <w:jc w:val="center"/>
              <w:rPr>
                <w:sz w:val="18"/>
                <w:szCs w:val="18"/>
              </w:rPr>
            </w:pPr>
            <w:r w:rsidRPr="00167A1B">
              <w:rPr>
                <w:sz w:val="18"/>
                <w:szCs w:val="18"/>
              </w:rPr>
              <w:t>++</w:t>
            </w:r>
          </w:p>
        </w:tc>
        <w:tc>
          <w:tcPr>
            <w:tcW w:w="1055" w:type="dxa"/>
            <w:shd w:val="clear" w:color="auto" w:fill="CDF7E9"/>
            <w:vAlign w:val="center"/>
          </w:tcPr>
          <w:p w14:paraId="0B3304E1" w14:textId="77777777" w:rsidR="009D260B" w:rsidRPr="00167A1B" w:rsidRDefault="009D260B" w:rsidP="009D260B">
            <w:pPr>
              <w:spacing w:after="0"/>
              <w:jc w:val="center"/>
              <w:rPr>
                <w:sz w:val="18"/>
                <w:szCs w:val="18"/>
              </w:rPr>
            </w:pPr>
            <w:r w:rsidRPr="00167A1B">
              <w:rPr>
                <w:sz w:val="18"/>
                <w:szCs w:val="18"/>
              </w:rPr>
              <w:t>0/+</w:t>
            </w:r>
          </w:p>
        </w:tc>
      </w:tr>
      <w:tr w:rsidR="009D260B" w:rsidRPr="00167A1B" w14:paraId="4800E349" w14:textId="77777777" w:rsidTr="009D260B">
        <w:trPr>
          <w:trHeight w:val="414"/>
        </w:trPr>
        <w:tc>
          <w:tcPr>
            <w:tcW w:w="988" w:type="dxa"/>
            <w:vMerge/>
          </w:tcPr>
          <w:p w14:paraId="4F99B55E" w14:textId="77777777" w:rsidR="009D260B" w:rsidRPr="00167A1B" w:rsidRDefault="009D260B" w:rsidP="009D260B">
            <w:pPr>
              <w:spacing w:after="0"/>
              <w:jc w:val="left"/>
              <w:rPr>
                <w:b/>
                <w:bCs/>
                <w:sz w:val="18"/>
                <w:szCs w:val="18"/>
              </w:rPr>
            </w:pPr>
          </w:p>
        </w:tc>
        <w:tc>
          <w:tcPr>
            <w:tcW w:w="2313" w:type="dxa"/>
            <w:vAlign w:val="center"/>
          </w:tcPr>
          <w:p w14:paraId="56CFBA5A" w14:textId="77777777" w:rsidR="009D260B" w:rsidRPr="00167A1B" w:rsidRDefault="009D260B" w:rsidP="009D260B">
            <w:pPr>
              <w:spacing w:after="0"/>
              <w:jc w:val="left"/>
              <w:rPr>
                <w:sz w:val="18"/>
                <w:szCs w:val="18"/>
              </w:rPr>
            </w:pPr>
            <w:r w:rsidRPr="00167A1B">
              <w:rPr>
                <w:sz w:val="18"/>
                <w:szCs w:val="18"/>
              </w:rPr>
              <w:t>Material use</w:t>
            </w:r>
          </w:p>
        </w:tc>
        <w:tc>
          <w:tcPr>
            <w:tcW w:w="1054" w:type="dxa"/>
            <w:shd w:val="clear" w:color="auto" w:fill="FAE1DC"/>
            <w:vAlign w:val="center"/>
          </w:tcPr>
          <w:p w14:paraId="7A2CFB6A" w14:textId="77777777" w:rsidR="009D260B" w:rsidRPr="00167A1B" w:rsidRDefault="009D260B" w:rsidP="009D260B">
            <w:pPr>
              <w:spacing w:after="0"/>
              <w:jc w:val="center"/>
              <w:rPr>
                <w:sz w:val="18"/>
                <w:szCs w:val="18"/>
              </w:rPr>
            </w:pPr>
            <w:r w:rsidRPr="00167A1B">
              <w:rPr>
                <w:sz w:val="18"/>
                <w:szCs w:val="18"/>
              </w:rPr>
              <w:t>0/-</w:t>
            </w:r>
          </w:p>
        </w:tc>
        <w:tc>
          <w:tcPr>
            <w:tcW w:w="1055" w:type="dxa"/>
            <w:shd w:val="clear" w:color="auto" w:fill="CDF7E9"/>
            <w:vAlign w:val="center"/>
          </w:tcPr>
          <w:p w14:paraId="2AB600DA" w14:textId="77777777" w:rsidR="009D260B" w:rsidRPr="00167A1B" w:rsidRDefault="009D260B" w:rsidP="009D260B">
            <w:pPr>
              <w:spacing w:after="0"/>
              <w:jc w:val="center"/>
              <w:rPr>
                <w:sz w:val="18"/>
                <w:szCs w:val="18"/>
              </w:rPr>
            </w:pPr>
            <w:r w:rsidRPr="00167A1B">
              <w:rPr>
                <w:sz w:val="18"/>
                <w:szCs w:val="18"/>
              </w:rPr>
              <w:t>0/+</w:t>
            </w:r>
          </w:p>
        </w:tc>
        <w:tc>
          <w:tcPr>
            <w:tcW w:w="1054" w:type="dxa"/>
            <w:shd w:val="clear" w:color="auto" w:fill="FAE1DC"/>
            <w:vAlign w:val="center"/>
          </w:tcPr>
          <w:p w14:paraId="234B820A" w14:textId="77777777" w:rsidR="009D260B" w:rsidRPr="00167A1B" w:rsidRDefault="009D260B" w:rsidP="009D260B">
            <w:pPr>
              <w:spacing w:after="0"/>
              <w:jc w:val="center"/>
              <w:rPr>
                <w:sz w:val="18"/>
                <w:szCs w:val="18"/>
              </w:rPr>
            </w:pPr>
            <w:r w:rsidRPr="00167A1B">
              <w:rPr>
                <w:sz w:val="18"/>
                <w:szCs w:val="18"/>
              </w:rPr>
              <w:t>0/-</w:t>
            </w:r>
          </w:p>
        </w:tc>
        <w:tc>
          <w:tcPr>
            <w:tcW w:w="1055" w:type="dxa"/>
            <w:shd w:val="clear" w:color="auto" w:fill="69E7BD"/>
            <w:vAlign w:val="center"/>
          </w:tcPr>
          <w:p w14:paraId="22C8811E" w14:textId="77777777" w:rsidR="009D260B" w:rsidRPr="00167A1B" w:rsidRDefault="009D260B" w:rsidP="009D260B">
            <w:pPr>
              <w:spacing w:after="0"/>
              <w:jc w:val="center"/>
              <w:rPr>
                <w:sz w:val="18"/>
                <w:szCs w:val="18"/>
              </w:rPr>
            </w:pPr>
            <w:r w:rsidRPr="00167A1B">
              <w:rPr>
                <w:sz w:val="18"/>
                <w:szCs w:val="18"/>
              </w:rPr>
              <w:t>+/++</w:t>
            </w:r>
          </w:p>
        </w:tc>
        <w:tc>
          <w:tcPr>
            <w:tcW w:w="1054" w:type="dxa"/>
            <w:shd w:val="clear" w:color="auto" w:fill="1EC08A"/>
            <w:vAlign w:val="center"/>
          </w:tcPr>
          <w:p w14:paraId="010E1A51" w14:textId="77777777" w:rsidR="009D260B" w:rsidRPr="00167A1B" w:rsidRDefault="009D260B" w:rsidP="009D260B">
            <w:pPr>
              <w:spacing w:after="0"/>
              <w:jc w:val="center"/>
              <w:rPr>
                <w:sz w:val="18"/>
                <w:szCs w:val="18"/>
              </w:rPr>
            </w:pPr>
            <w:r w:rsidRPr="00167A1B">
              <w:rPr>
                <w:sz w:val="18"/>
                <w:szCs w:val="18"/>
              </w:rPr>
              <w:t>++</w:t>
            </w:r>
          </w:p>
        </w:tc>
        <w:tc>
          <w:tcPr>
            <w:tcW w:w="1055" w:type="dxa"/>
            <w:shd w:val="clear" w:color="auto" w:fill="CDF7E9"/>
            <w:vAlign w:val="center"/>
          </w:tcPr>
          <w:p w14:paraId="151454AB" w14:textId="77777777" w:rsidR="009D260B" w:rsidRPr="00167A1B" w:rsidRDefault="009D260B" w:rsidP="009D260B">
            <w:pPr>
              <w:spacing w:after="0"/>
              <w:jc w:val="center"/>
              <w:rPr>
                <w:sz w:val="18"/>
                <w:szCs w:val="18"/>
              </w:rPr>
            </w:pPr>
            <w:r w:rsidRPr="00167A1B">
              <w:rPr>
                <w:sz w:val="18"/>
                <w:szCs w:val="18"/>
              </w:rPr>
              <w:t>0/+</w:t>
            </w:r>
          </w:p>
        </w:tc>
      </w:tr>
      <w:tr w:rsidR="009D260B" w:rsidRPr="00167A1B" w14:paraId="6DFA000D" w14:textId="77777777" w:rsidTr="009D260B">
        <w:trPr>
          <w:trHeight w:val="414"/>
        </w:trPr>
        <w:tc>
          <w:tcPr>
            <w:tcW w:w="988" w:type="dxa"/>
            <w:vMerge/>
          </w:tcPr>
          <w:p w14:paraId="651C5194" w14:textId="77777777" w:rsidR="009D260B" w:rsidRPr="00167A1B" w:rsidRDefault="009D260B" w:rsidP="009D260B">
            <w:pPr>
              <w:spacing w:after="0"/>
              <w:jc w:val="left"/>
              <w:rPr>
                <w:b/>
                <w:bCs/>
                <w:sz w:val="18"/>
                <w:szCs w:val="18"/>
              </w:rPr>
            </w:pPr>
          </w:p>
        </w:tc>
        <w:tc>
          <w:tcPr>
            <w:tcW w:w="2313" w:type="dxa"/>
            <w:vAlign w:val="center"/>
          </w:tcPr>
          <w:p w14:paraId="0A728C10" w14:textId="77777777" w:rsidR="009D260B" w:rsidRPr="00167A1B" w:rsidRDefault="009D260B" w:rsidP="009D260B">
            <w:pPr>
              <w:spacing w:after="0"/>
              <w:jc w:val="left"/>
              <w:rPr>
                <w:sz w:val="18"/>
                <w:szCs w:val="18"/>
              </w:rPr>
            </w:pPr>
            <w:r w:rsidRPr="00167A1B">
              <w:rPr>
                <w:sz w:val="18"/>
                <w:szCs w:val="18"/>
              </w:rPr>
              <w:t>Electronic waste</w:t>
            </w:r>
          </w:p>
        </w:tc>
        <w:tc>
          <w:tcPr>
            <w:tcW w:w="1054" w:type="dxa"/>
            <w:shd w:val="clear" w:color="auto" w:fill="FAE1DC"/>
            <w:vAlign w:val="center"/>
          </w:tcPr>
          <w:p w14:paraId="6773E780" w14:textId="77777777" w:rsidR="009D260B" w:rsidRPr="00167A1B" w:rsidRDefault="009D260B" w:rsidP="009D260B">
            <w:pPr>
              <w:spacing w:after="0"/>
              <w:jc w:val="center"/>
              <w:rPr>
                <w:sz w:val="18"/>
                <w:szCs w:val="18"/>
              </w:rPr>
            </w:pPr>
            <w:r w:rsidRPr="00167A1B">
              <w:rPr>
                <w:sz w:val="18"/>
                <w:szCs w:val="18"/>
              </w:rPr>
              <w:t>0/-</w:t>
            </w:r>
          </w:p>
        </w:tc>
        <w:tc>
          <w:tcPr>
            <w:tcW w:w="1055" w:type="dxa"/>
            <w:shd w:val="clear" w:color="auto" w:fill="CDF7E9"/>
            <w:vAlign w:val="center"/>
          </w:tcPr>
          <w:p w14:paraId="64850159" w14:textId="77777777" w:rsidR="009D260B" w:rsidRPr="00167A1B" w:rsidRDefault="009D260B" w:rsidP="009D260B">
            <w:pPr>
              <w:spacing w:after="0"/>
              <w:jc w:val="center"/>
              <w:rPr>
                <w:sz w:val="18"/>
                <w:szCs w:val="18"/>
              </w:rPr>
            </w:pPr>
            <w:r w:rsidRPr="00167A1B">
              <w:rPr>
                <w:sz w:val="18"/>
                <w:szCs w:val="18"/>
              </w:rPr>
              <w:t>0/+</w:t>
            </w:r>
          </w:p>
        </w:tc>
        <w:tc>
          <w:tcPr>
            <w:tcW w:w="1054" w:type="dxa"/>
            <w:shd w:val="clear" w:color="auto" w:fill="FAE1DC"/>
            <w:vAlign w:val="center"/>
          </w:tcPr>
          <w:p w14:paraId="5D91AA18" w14:textId="77777777" w:rsidR="009D260B" w:rsidRPr="00167A1B" w:rsidRDefault="009D260B" w:rsidP="009D260B">
            <w:pPr>
              <w:spacing w:after="0"/>
              <w:jc w:val="center"/>
              <w:rPr>
                <w:sz w:val="18"/>
                <w:szCs w:val="18"/>
              </w:rPr>
            </w:pPr>
            <w:r w:rsidRPr="00167A1B">
              <w:rPr>
                <w:sz w:val="18"/>
                <w:szCs w:val="18"/>
              </w:rPr>
              <w:t>0/-</w:t>
            </w:r>
          </w:p>
        </w:tc>
        <w:tc>
          <w:tcPr>
            <w:tcW w:w="1055" w:type="dxa"/>
            <w:shd w:val="clear" w:color="auto" w:fill="9BEFD3"/>
            <w:vAlign w:val="center"/>
          </w:tcPr>
          <w:p w14:paraId="383730BD" w14:textId="77777777" w:rsidR="009D260B" w:rsidRPr="00167A1B" w:rsidRDefault="009D260B" w:rsidP="009D260B">
            <w:pPr>
              <w:spacing w:after="0"/>
              <w:jc w:val="center"/>
              <w:rPr>
                <w:sz w:val="18"/>
                <w:szCs w:val="18"/>
              </w:rPr>
            </w:pPr>
            <w:r w:rsidRPr="00167A1B">
              <w:rPr>
                <w:sz w:val="18"/>
                <w:szCs w:val="18"/>
              </w:rPr>
              <w:t>+</w:t>
            </w:r>
          </w:p>
        </w:tc>
        <w:tc>
          <w:tcPr>
            <w:tcW w:w="1054" w:type="dxa"/>
            <w:shd w:val="clear" w:color="auto" w:fill="69E7BD"/>
            <w:vAlign w:val="center"/>
          </w:tcPr>
          <w:p w14:paraId="38558A38" w14:textId="77777777" w:rsidR="009D260B" w:rsidRPr="00167A1B" w:rsidRDefault="009D260B" w:rsidP="009D260B">
            <w:pPr>
              <w:spacing w:after="0"/>
              <w:jc w:val="center"/>
              <w:rPr>
                <w:sz w:val="18"/>
                <w:szCs w:val="18"/>
              </w:rPr>
            </w:pPr>
            <w:r w:rsidRPr="00167A1B">
              <w:rPr>
                <w:sz w:val="18"/>
                <w:szCs w:val="18"/>
              </w:rPr>
              <w:t>+/++</w:t>
            </w:r>
          </w:p>
        </w:tc>
        <w:tc>
          <w:tcPr>
            <w:tcW w:w="1055" w:type="dxa"/>
            <w:shd w:val="clear" w:color="auto" w:fill="CDF7E9"/>
            <w:vAlign w:val="center"/>
          </w:tcPr>
          <w:p w14:paraId="44A44BBA" w14:textId="77777777" w:rsidR="009D260B" w:rsidRPr="00167A1B" w:rsidRDefault="009D260B" w:rsidP="009D260B">
            <w:pPr>
              <w:spacing w:after="0"/>
              <w:jc w:val="center"/>
              <w:rPr>
                <w:sz w:val="18"/>
                <w:szCs w:val="18"/>
              </w:rPr>
            </w:pPr>
            <w:r w:rsidRPr="00167A1B">
              <w:rPr>
                <w:sz w:val="18"/>
                <w:szCs w:val="18"/>
              </w:rPr>
              <w:t>0/+</w:t>
            </w:r>
          </w:p>
        </w:tc>
      </w:tr>
      <w:tr w:rsidR="009D260B" w:rsidRPr="00167A1B" w14:paraId="72817082" w14:textId="77777777" w:rsidTr="009D260B">
        <w:trPr>
          <w:trHeight w:val="414"/>
        </w:trPr>
        <w:tc>
          <w:tcPr>
            <w:tcW w:w="988" w:type="dxa"/>
            <w:vMerge w:val="restart"/>
          </w:tcPr>
          <w:p w14:paraId="2AE0D8A0" w14:textId="77777777" w:rsidR="009D260B" w:rsidRPr="00167A1B" w:rsidRDefault="009D260B" w:rsidP="009D260B">
            <w:pPr>
              <w:spacing w:after="0"/>
              <w:jc w:val="left"/>
              <w:rPr>
                <w:b/>
                <w:bCs/>
                <w:sz w:val="18"/>
                <w:szCs w:val="18"/>
              </w:rPr>
            </w:pPr>
            <w:r w:rsidRPr="00167A1B">
              <w:rPr>
                <w:b/>
                <w:bCs/>
                <w:sz w:val="18"/>
                <w:szCs w:val="18"/>
              </w:rPr>
              <w:t>Economic</w:t>
            </w:r>
          </w:p>
        </w:tc>
        <w:tc>
          <w:tcPr>
            <w:tcW w:w="2313" w:type="dxa"/>
            <w:vAlign w:val="center"/>
          </w:tcPr>
          <w:p w14:paraId="0EE34D2B" w14:textId="77777777" w:rsidR="009D260B" w:rsidRPr="00167A1B" w:rsidRDefault="009D260B" w:rsidP="009D260B">
            <w:pPr>
              <w:spacing w:after="0"/>
              <w:jc w:val="left"/>
              <w:rPr>
                <w:sz w:val="18"/>
                <w:szCs w:val="18"/>
              </w:rPr>
            </w:pPr>
            <w:r w:rsidRPr="00167A1B">
              <w:rPr>
                <w:sz w:val="18"/>
                <w:szCs w:val="18"/>
              </w:rPr>
              <w:t xml:space="preserve">Cost to consumers </w:t>
            </w:r>
          </w:p>
        </w:tc>
        <w:tc>
          <w:tcPr>
            <w:tcW w:w="1054" w:type="dxa"/>
            <w:shd w:val="clear" w:color="auto" w:fill="69E7BD"/>
            <w:vAlign w:val="center"/>
          </w:tcPr>
          <w:p w14:paraId="41141255" w14:textId="77777777" w:rsidR="009D260B" w:rsidRPr="00167A1B" w:rsidRDefault="009D260B" w:rsidP="009D260B">
            <w:pPr>
              <w:spacing w:after="0"/>
              <w:jc w:val="center"/>
              <w:rPr>
                <w:sz w:val="18"/>
                <w:szCs w:val="18"/>
              </w:rPr>
            </w:pPr>
            <w:r w:rsidRPr="00167A1B">
              <w:rPr>
                <w:sz w:val="18"/>
                <w:szCs w:val="18"/>
              </w:rPr>
              <w:t>+/++</w:t>
            </w:r>
          </w:p>
        </w:tc>
        <w:tc>
          <w:tcPr>
            <w:tcW w:w="1055" w:type="dxa"/>
            <w:shd w:val="clear" w:color="auto" w:fill="9BEFD3"/>
            <w:vAlign w:val="center"/>
          </w:tcPr>
          <w:p w14:paraId="3A102B0F" w14:textId="77777777" w:rsidR="009D260B" w:rsidRPr="00167A1B" w:rsidRDefault="009D260B" w:rsidP="009D260B">
            <w:pPr>
              <w:spacing w:after="0"/>
              <w:jc w:val="center"/>
              <w:rPr>
                <w:sz w:val="18"/>
                <w:szCs w:val="18"/>
              </w:rPr>
            </w:pPr>
            <w:r w:rsidRPr="00167A1B">
              <w:rPr>
                <w:sz w:val="18"/>
                <w:szCs w:val="18"/>
              </w:rPr>
              <w:t>+</w:t>
            </w:r>
          </w:p>
        </w:tc>
        <w:tc>
          <w:tcPr>
            <w:tcW w:w="1054" w:type="dxa"/>
            <w:shd w:val="clear" w:color="auto" w:fill="9BEFD3"/>
            <w:vAlign w:val="center"/>
          </w:tcPr>
          <w:p w14:paraId="1950B2AC" w14:textId="77777777" w:rsidR="009D260B" w:rsidRPr="00167A1B" w:rsidRDefault="009D260B" w:rsidP="009D260B">
            <w:pPr>
              <w:spacing w:after="0"/>
              <w:jc w:val="center"/>
              <w:rPr>
                <w:sz w:val="18"/>
                <w:szCs w:val="18"/>
              </w:rPr>
            </w:pPr>
            <w:r w:rsidRPr="00167A1B">
              <w:rPr>
                <w:sz w:val="18"/>
                <w:szCs w:val="18"/>
              </w:rPr>
              <w:t>+</w:t>
            </w:r>
          </w:p>
        </w:tc>
        <w:tc>
          <w:tcPr>
            <w:tcW w:w="1055" w:type="dxa"/>
            <w:shd w:val="clear" w:color="auto" w:fill="F5C3B9"/>
            <w:vAlign w:val="center"/>
          </w:tcPr>
          <w:p w14:paraId="47E32A41" w14:textId="77777777" w:rsidR="009D260B" w:rsidRPr="00167A1B" w:rsidRDefault="009D260B" w:rsidP="009D260B">
            <w:pPr>
              <w:spacing w:after="0"/>
              <w:jc w:val="center"/>
              <w:rPr>
                <w:sz w:val="18"/>
                <w:szCs w:val="18"/>
              </w:rPr>
            </w:pPr>
            <w:r w:rsidRPr="00167A1B">
              <w:rPr>
                <w:sz w:val="18"/>
                <w:szCs w:val="18"/>
              </w:rPr>
              <w:t>-</w:t>
            </w:r>
          </w:p>
        </w:tc>
        <w:tc>
          <w:tcPr>
            <w:tcW w:w="1054" w:type="dxa"/>
            <w:shd w:val="clear" w:color="auto" w:fill="F5C3B9"/>
            <w:vAlign w:val="center"/>
          </w:tcPr>
          <w:p w14:paraId="70D8DB2C" w14:textId="77777777" w:rsidR="009D260B" w:rsidRPr="00167A1B" w:rsidRDefault="009D260B" w:rsidP="009D260B">
            <w:pPr>
              <w:spacing w:after="0"/>
              <w:jc w:val="center"/>
              <w:rPr>
                <w:sz w:val="18"/>
                <w:szCs w:val="18"/>
              </w:rPr>
            </w:pPr>
            <w:r w:rsidRPr="00167A1B">
              <w:rPr>
                <w:sz w:val="18"/>
                <w:szCs w:val="18"/>
              </w:rPr>
              <w:t>-</w:t>
            </w:r>
          </w:p>
        </w:tc>
        <w:tc>
          <w:tcPr>
            <w:tcW w:w="1055" w:type="dxa"/>
            <w:shd w:val="clear" w:color="auto" w:fill="FAE1DC"/>
            <w:vAlign w:val="center"/>
          </w:tcPr>
          <w:p w14:paraId="4A5D25D6" w14:textId="06794338" w:rsidR="009D260B" w:rsidRPr="00167A1B" w:rsidRDefault="009D260B" w:rsidP="009D260B">
            <w:pPr>
              <w:spacing w:after="0"/>
              <w:jc w:val="center"/>
              <w:rPr>
                <w:sz w:val="18"/>
                <w:szCs w:val="18"/>
              </w:rPr>
            </w:pPr>
            <w:r w:rsidRPr="00167A1B">
              <w:rPr>
                <w:sz w:val="18"/>
                <w:szCs w:val="18"/>
              </w:rPr>
              <w:t>0/-</w:t>
            </w:r>
          </w:p>
        </w:tc>
      </w:tr>
      <w:tr w:rsidR="009D260B" w:rsidRPr="00167A1B" w14:paraId="3ADF380B" w14:textId="77777777" w:rsidTr="00157B22">
        <w:trPr>
          <w:trHeight w:val="414"/>
        </w:trPr>
        <w:tc>
          <w:tcPr>
            <w:tcW w:w="988" w:type="dxa"/>
            <w:vMerge/>
          </w:tcPr>
          <w:p w14:paraId="6AC62F66" w14:textId="77777777" w:rsidR="009D260B" w:rsidRPr="00167A1B" w:rsidRDefault="009D260B" w:rsidP="009D260B">
            <w:pPr>
              <w:spacing w:after="0"/>
              <w:jc w:val="left"/>
              <w:rPr>
                <w:b/>
                <w:bCs/>
                <w:sz w:val="18"/>
                <w:szCs w:val="18"/>
              </w:rPr>
            </w:pPr>
          </w:p>
        </w:tc>
        <w:tc>
          <w:tcPr>
            <w:tcW w:w="2313" w:type="dxa"/>
            <w:vAlign w:val="center"/>
          </w:tcPr>
          <w:p w14:paraId="501545C7" w14:textId="566C3EFA" w:rsidR="009D260B" w:rsidRPr="00167A1B" w:rsidRDefault="009D260B" w:rsidP="009D260B">
            <w:pPr>
              <w:spacing w:after="0"/>
              <w:jc w:val="left"/>
              <w:rPr>
                <w:sz w:val="18"/>
                <w:szCs w:val="18"/>
              </w:rPr>
            </w:pPr>
            <w:r w:rsidRPr="00167A1B">
              <w:rPr>
                <w:sz w:val="18"/>
                <w:szCs w:val="18"/>
              </w:rPr>
              <w:t xml:space="preserve">Gross profit of manufacturers of chargers </w:t>
            </w:r>
          </w:p>
        </w:tc>
        <w:tc>
          <w:tcPr>
            <w:tcW w:w="1054" w:type="dxa"/>
            <w:shd w:val="clear" w:color="auto" w:fill="F0A697"/>
            <w:vAlign w:val="center"/>
          </w:tcPr>
          <w:p w14:paraId="5B22C885" w14:textId="11B8E247" w:rsidR="009D260B" w:rsidRPr="00167A1B" w:rsidRDefault="009D260B" w:rsidP="009D260B">
            <w:pPr>
              <w:spacing w:after="0"/>
              <w:jc w:val="center"/>
              <w:rPr>
                <w:sz w:val="18"/>
                <w:szCs w:val="18"/>
              </w:rPr>
            </w:pPr>
            <w:r w:rsidRPr="00167A1B">
              <w:rPr>
                <w:sz w:val="18"/>
                <w:szCs w:val="18"/>
              </w:rPr>
              <w:t>-/--</w:t>
            </w:r>
          </w:p>
        </w:tc>
        <w:tc>
          <w:tcPr>
            <w:tcW w:w="1055" w:type="dxa"/>
            <w:shd w:val="clear" w:color="auto" w:fill="FAE1DC"/>
            <w:vAlign w:val="center"/>
          </w:tcPr>
          <w:p w14:paraId="60737F5D" w14:textId="77777777" w:rsidR="009D260B" w:rsidRPr="00167A1B" w:rsidRDefault="009D260B" w:rsidP="009D260B">
            <w:pPr>
              <w:spacing w:after="0"/>
              <w:jc w:val="center"/>
              <w:rPr>
                <w:sz w:val="18"/>
                <w:szCs w:val="18"/>
              </w:rPr>
            </w:pPr>
            <w:r w:rsidRPr="00167A1B">
              <w:rPr>
                <w:sz w:val="18"/>
                <w:szCs w:val="18"/>
              </w:rPr>
              <w:t>0/-</w:t>
            </w:r>
          </w:p>
        </w:tc>
        <w:tc>
          <w:tcPr>
            <w:tcW w:w="1054" w:type="dxa"/>
            <w:shd w:val="clear" w:color="auto" w:fill="FAE1DC"/>
            <w:vAlign w:val="center"/>
          </w:tcPr>
          <w:p w14:paraId="49EA05F3" w14:textId="7CCD6F04" w:rsidR="009D260B" w:rsidRPr="00167A1B" w:rsidRDefault="009D260B" w:rsidP="009D260B">
            <w:pPr>
              <w:spacing w:after="0"/>
              <w:jc w:val="center"/>
              <w:rPr>
                <w:sz w:val="18"/>
                <w:szCs w:val="18"/>
              </w:rPr>
            </w:pPr>
            <w:r w:rsidRPr="00167A1B">
              <w:rPr>
                <w:sz w:val="18"/>
                <w:szCs w:val="18"/>
              </w:rPr>
              <w:t>0/-</w:t>
            </w:r>
          </w:p>
        </w:tc>
        <w:tc>
          <w:tcPr>
            <w:tcW w:w="1055" w:type="dxa"/>
            <w:shd w:val="clear" w:color="auto" w:fill="F5C3B9"/>
            <w:vAlign w:val="center"/>
          </w:tcPr>
          <w:p w14:paraId="31F31C16" w14:textId="7028F99E" w:rsidR="009D260B" w:rsidRPr="00167A1B" w:rsidRDefault="009D260B" w:rsidP="009D260B">
            <w:pPr>
              <w:spacing w:after="0"/>
              <w:jc w:val="center"/>
              <w:rPr>
                <w:sz w:val="18"/>
                <w:szCs w:val="18"/>
              </w:rPr>
            </w:pPr>
            <w:r w:rsidRPr="00167A1B">
              <w:rPr>
                <w:sz w:val="18"/>
                <w:szCs w:val="18"/>
              </w:rPr>
              <w:t>-</w:t>
            </w:r>
          </w:p>
        </w:tc>
        <w:tc>
          <w:tcPr>
            <w:tcW w:w="1054" w:type="dxa"/>
            <w:shd w:val="clear" w:color="auto" w:fill="E76C53"/>
            <w:vAlign w:val="center"/>
          </w:tcPr>
          <w:p w14:paraId="5689458B" w14:textId="6EFD0454" w:rsidR="009D260B" w:rsidRPr="00167A1B" w:rsidRDefault="009D260B" w:rsidP="009D260B">
            <w:pPr>
              <w:spacing w:after="0"/>
              <w:jc w:val="center"/>
              <w:rPr>
                <w:sz w:val="18"/>
                <w:szCs w:val="18"/>
              </w:rPr>
            </w:pPr>
            <w:r w:rsidRPr="00167A1B">
              <w:rPr>
                <w:sz w:val="18"/>
                <w:szCs w:val="18"/>
              </w:rPr>
              <w:t>--</w:t>
            </w:r>
          </w:p>
        </w:tc>
        <w:tc>
          <w:tcPr>
            <w:tcW w:w="1055" w:type="dxa"/>
            <w:shd w:val="clear" w:color="auto" w:fill="FAE1DC"/>
            <w:vAlign w:val="center"/>
          </w:tcPr>
          <w:p w14:paraId="6B3DBF42" w14:textId="77777777" w:rsidR="009D260B" w:rsidRPr="00167A1B" w:rsidRDefault="009D260B" w:rsidP="009D260B">
            <w:pPr>
              <w:spacing w:after="0"/>
              <w:jc w:val="center"/>
              <w:rPr>
                <w:sz w:val="18"/>
                <w:szCs w:val="18"/>
              </w:rPr>
            </w:pPr>
            <w:r w:rsidRPr="00167A1B">
              <w:rPr>
                <w:sz w:val="18"/>
                <w:szCs w:val="18"/>
              </w:rPr>
              <w:t>0/-</w:t>
            </w:r>
          </w:p>
        </w:tc>
      </w:tr>
      <w:tr w:rsidR="009D260B" w:rsidRPr="00167A1B" w14:paraId="7BCEF3E6" w14:textId="77777777" w:rsidTr="00157B22">
        <w:trPr>
          <w:trHeight w:val="104"/>
        </w:trPr>
        <w:tc>
          <w:tcPr>
            <w:tcW w:w="988" w:type="dxa"/>
            <w:vMerge/>
          </w:tcPr>
          <w:p w14:paraId="2075DB95" w14:textId="77777777" w:rsidR="009D260B" w:rsidRPr="00167A1B" w:rsidRDefault="009D260B" w:rsidP="009D260B">
            <w:pPr>
              <w:spacing w:after="0"/>
              <w:jc w:val="left"/>
              <w:rPr>
                <w:b/>
                <w:bCs/>
                <w:sz w:val="18"/>
                <w:szCs w:val="18"/>
              </w:rPr>
            </w:pPr>
          </w:p>
        </w:tc>
        <w:tc>
          <w:tcPr>
            <w:tcW w:w="2313" w:type="dxa"/>
            <w:vAlign w:val="center"/>
          </w:tcPr>
          <w:p w14:paraId="6475B7F2" w14:textId="3AEFF087" w:rsidR="009D260B" w:rsidRPr="00167A1B" w:rsidRDefault="009D260B" w:rsidP="009D260B">
            <w:pPr>
              <w:spacing w:after="0"/>
              <w:jc w:val="left"/>
              <w:rPr>
                <w:sz w:val="18"/>
                <w:szCs w:val="18"/>
              </w:rPr>
            </w:pPr>
            <w:r w:rsidRPr="00167A1B">
              <w:rPr>
                <w:sz w:val="18"/>
                <w:szCs w:val="18"/>
              </w:rPr>
              <w:t xml:space="preserve">Gross profit of distributors and retailers </w:t>
            </w:r>
          </w:p>
        </w:tc>
        <w:tc>
          <w:tcPr>
            <w:tcW w:w="1054" w:type="dxa"/>
            <w:shd w:val="clear" w:color="auto" w:fill="F0A697"/>
            <w:vAlign w:val="center"/>
          </w:tcPr>
          <w:p w14:paraId="131EB06F" w14:textId="77777777" w:rsidR="009D260B" w:rsidRPr="00167A1B" w:rsidRDefault="009D260B" w:rsidP="009D260B">
            <w:pPr>
              <w:spacing w:after="0"/>
              <w:jc w:val="center"/>
              <w:rPr>
                <w:sz w:val="18"/>
                <w:szCs w:val="18"/>
              </w:rPr>
            </w:pPr>
            <w:r w:rsidRPr="00167A1B">
              <w:rPr>
                <w:sz w:val="18"/>
                <w:szCs w:val="18"/>
              </w:rPr>
              <w:t>-/--</w:t>
            </w:r>
          </w:p>
        </w:tc>
        <w:tc>
          <w:tcPr>
            <w:tcW w:w="1055" w:type="dxa"/>
            <w:shd w:val="clear" w:color="auto" w:fill="F5C3B9"/>
            <w:vAlign w:val="center"/>
          </w:tcPr>
          <w:p w14:paraId="1B634CEC" w14:textId="77777777" w:rsidR="009D260B" w:rsidRPr="00167A1B" w:rsidRDefault="009D260B" w:rsidP="009D260B">
            <w:pPr>
              <w:spacing w:after="0"/>
              <w:jc w:val="center"/>
              <w:rPr>
                <w:sz w:val="18"/>
                <w:szCs w:val="18"/>
              </w:rPr>
            </w:pPr>
            <w:r w:rsidRPr="00167A1B">
              <w:rPr>
                <w:sz w:val="18"/>
                <w:szCs w:val="18"/>
              </w:rPr>
              <w:t>-</w:t>
            </w:r>
          </w:p>
        </w:tc>
        <w:tc>
          <w:tcPr>
            <w:tcW w:w="1054" w:type="dxa"/>
            <w:shd w:val="clear" w:color="auto" w:fill="F5C3B9"/>
            <w:vAlign w:val="center"/>
          </w:tcPr>
          <w:p w14:paraId="4B8AAEDC" w14:textId="77777777" w:rsidR="009D260B" w:rsidRPr="00167A1B" w:rsidRDefault="009D260B" w:rsidP="009D260B">
            <w:pPr>
              <w:spacing w:after="0"/>
              <w:jc w:val="center"/>
              <w:rPr>
                <w:sz w:val="18"/>
                <w:szCs w:val="18"/>
              </w:rPr>
            </w:pPr>
            <w:r w:rsidRPr="00167A1B">
              <w:rPr>
                <w:sz w:val="18"/>
                <w:szCs w:val="18"/>
              </w:rPr>
              <w:t>-</w:t>
            </w:r>
          </w:p>
        </w:tc>
        <w:tc>
          <w:tcPr>
            <w:tcW w:w="1055" w:type="dxa"/>
            <w:shd w:val="clear" w:color="auto" w:fill="1EC08A"/>
            <w:vAlign w:val="center"/>
          </w:tcPr>
          <w:p w14:paraId="2262FF72" w14:textId="77777777" w:rsidR="009D260B" w:rsidRPr="00167A1B" w:rsidRDefault="009D260B" w:rsidP="009D260B">
            <w:pPr>
              <w:spacing w:after="0"/>
              <w:jc w:val="center"/>
              <w:rPr>
                <w:sz w:val="18"/>
                <w:szCs w:val="18"/>
              </w:rPr>
            </w:pPr>
            <w:r w:rsidRPr="00167A1B">
              <w:rPr>
                <w:sz w:val="18"/>
                <w:szCs w:val="18"/>
              </w:rPr>
              <w:t>++</w:t>
            </w:r>
          </w:p>
        </w:tc>
        <w:tc>
          <w:tcPr>
            <w:tcW w:w="1054" w:type="dxa"/>
            <w:shd w:val="clear" w:color="auto" w:fill="1EC08A"/>
            <w:vAlign w:val="center"/>
          </w:tcPr>
          <w:p w14:paraId="4AEE83DE" w14:textId="77777777" w:rsidR="009D260B" w:rsidRPr="00167A1B" w:rsidRDefault="009D260B" w:rsidP="009D260B">
            <w:pPr>
              <w:spacing w:after="0"/>
              <w:jc w:val="center"/>
              <w:rPr>
                <w:sz w:val="18"/>
                <w:szCs w:val="18"/>
              </w:rPr>
            </w:pPr>
            <w:r w:rsidRPr="00167A1B">
              <w:rPr>
                <w:sz w:val="18"/>
                <w:szCs w:val="18"/>
              </w:rPr>
              <w:t>++</w:t>
            </w:r>
          </w:p>
        </w:tc>
        <w:tc>
          <w:tcPr>
            <w:tcW w:w="1055" w:type="dxa"/>
            <w:shd w:val="clear" w:color="auto" w:fill="FAE1DC"/>
            <w:vAlign w:val="center"/>
          </w:tcPr>
          <w:p w14:paraId="3B45B21E" w14:textId="21EB3D51" w:rsidR="009D260B" w:rsidRPr="00167A1B" w:rsidRDefault="009D260B" w:rsidP="009D260B">
            <w:pPr>
              <w:spacing w:after="0"/>
              <w:jc w:val="center"/>
              <w:rPr>
                <w:sz w:val="18"/>
                <w:szCs w:val="18"/>
              </w:rPr>
            </w:pPr>
            <w:r w:rsidRPr="00167A1B">
              <w:rPr>
                <w:sz w:val="18"/>
                <w:szCs w:val="18"/>
              </w:rPr>
              <w:t>0/-</w:t>
            </w:r>
          </w:p>
        </w:tc>
      </w:tr>
      <w:tr w:rsidR="009D260B" w:rsidRPr="00167A1B" w14:paraId="10B1BCE8" w14:textId="77777777" w:rsidTr="009D260B">
        <w:trPr>
          <w:trHeight w:val="20"/>
        </w:trPr>
        <w:tc>
          <w:tcPr>
            <w:tcW w:w="988" w:type="dxa"/>
            <w:vMerge/>
          </w:tcPr>
          <w:p w14:paraId="4D6FB7F0" w14:textId="77777777" w:rsidR="009D260B" w:rsidRPr="00167A1B" w:rsidRDefault="009D260B" w:rsidP="009D260B">
            <w:pPr>
              <w:spacing w:after="0"/>
              <w:jc w:val="left"/>
              <w:rPr>
                <w:b/>
                <w:bCs/>
                <w:sz w:val="18"/>
                <w:szCs w:val="18"/>
              </w:rPr>
            </w:pPr>
          </w:p>
        </w:tc>
        <w:tc>
          <w:tcPr>
            <w:tcW w:w="2313" w:type="dxa"/>
            <w:vAlign w:val="center"/>
          </w:tcPr>
          <w:p w14:paraId="51F055EB" w14:textId="589C10D6" w:rsidR="009D260B" w:rsidRPr="00167A1B" w:rsidRDefault="009D260B" w:rsidP="009D260B">
            <w:pPr>
              <w:spacing w:after="0"/>
              <w:jc w:val="left"/>
              <w:rPr>
                <w:sz w:val="18"/>
                <w:szCs w:val="18"/>
              </w:rPr>
            </w:pPr>
            <w:r w:rsidRPr="00167A1B">
              <w:rPr>
                <w:sz w:val="18"/>
                <w:szCs w:val="18"/>
              </w:rPr>
              <w:t>Innovation</w:t>
            </w:r>
          </w:p>
        </w:tc>
        <w:tc>
          <w:tcPr>
            <w:tcW w:w="1054" w:type="dxa"/>
            <w:shd w:val="clear" w:color="auto" w:fill="F5C3B9"/>
            <w:vAlign w:val="center"/>
          </w:tcPr>
          <w:p w14:paraId="0C1CE926" w14:textId="77777777" w:rsidR="009D260B" w:rsidRPr="00167A1B" w:rsidRDefault="009D260B" w:rsidP="009D260B">
            <w:pPr>
              <w:spacing w:after="0"/>
              <w:jc w:val="center"/>
              <w:rPr>
                <w:sz w:val="18"/>
                <w:szCs w:val="18"/>
              </w:rPr>
            </w:pPr>
            <w:r w:rsidRPr="00167A1B">
              <w:rPr>
                <w:sz w:val="18"/>
                <w:szCs w:val="18"/>
              </w:rPr>
              <w:t>-</w:t>
            </w:r>
          </w:p>
        </w:tc>
        <w:tc>
          <w:tcPr>
            <w:tcW w:w="1055" w:type="dxa"/>
            <w:vAlign w:val="center"/>
          </w:tcPr>
          <w:p w14:paraId="4C2902F0" w14:textId="77777777" w:rsidR="009D260B" w:rsidRPr="00167A1B" w:rsidRDefault="009D260B" w:rsidP="009D260B">
            <w:pPr>
              <w:spacing w:after="0"/>
              <w:jc w:val="center"/>
              <w:rPr>
                <w:sz w:val="18"/>
                <w:szCs w:val="18"/>
              </w:rPr>
            </w:pPr>
            <w:r w:rsidRPr="00167A1B">
              <w:rPr>
                <w:sz w:val="18"/>
                <w:szCs w:val="18"/>
              </w:rPr>
              <w:t>0</w:t>
            </w:r>
          </w:p>
        </w:tc>
        <w:tc>
          <w:tcPr>
            <w:tcW w:w="1054" w:type="dxa"/>
            <w:shd w:val="clear" w:color="auto" w:fill="F0A697"/>
            <w:vAlign w:val="center"/>
          </w:tcPr>
          <w:p w14:paraId="5C628A80" w14:textId="77777777" w:rsidR="009D260B" w:rsidRPr="00167A1B" w:rsidRDefault="009D260B" w:rsidP="009D260B">
            <w:pPr>
              <w:spacing w:after="0"/>
              <w:jc w:val="center"/>
              <w:rPr>
                <w:sz w:val="18"/>
                <w:szCs w:val="18"/>
              </w:rPr>
            </w:pPr>
            <w:r w:rsidRPr="00167A1B">
              <w:rPr>
                <w:sz w:val="18"/>
                <w:szCs w:val="18"/>
              </w:rPr>
              <w:t>-/--</w:t>
            </w:r>
          </w:p>
        </w:tc>
        <w:tc>
          <w:tcPr>
            <w:tcW w:w="1055" w:type="dxa"/>
            <w:vAlign w:val="center"/>
          </w:tcPr>
          <w:p w14:paraId="4B683E1F" w14:textId="77777777" w:rsidR="009D260B" w:rsidRPr="00167A1B" w:rsidRDefault="009D260B" w:rsidP="009D260B">
            <w:pPr>
              <w:spacing w:after="0"/>
              <w:jc w:val="center"/>
              <w:rPr>
                <w:sz w:val="18"/>
                <w:szCs w:val="18"/>
              </w:rPr>
            </w:pPr>
            <w:r w:rsidRPr="00167A1B">
              <w:rPr>
                <w:sz w:val="18"/>
                <w:szCs w:val="18"/>
              </w:rPr>
              <w:t>0</w:t>
            </w:r>
          </w:p>
        </w:tc>
        <w:tc>
          <w:tcPr>
            <w:tcW w:w="1054" w:type="dxa"/>
            <w:vAlign w:val="center"/>
          </w:tcPr>
          <w:p w14:paraId="7923FB22" w14:textId="77777777" w:rsidR="009D260B" w:rsidRPr="00167A1B" w:rsidRDefault="009D260B" w:rsidP="009D260B">
            <w:pPr>
              <w:spacing w:after="0"/>
              <w:jc w:val="center"/>
              <w:rPr>
                <w:sz w:val="18"/>
                <w:szCs w:val="18"/>
              </w:rPr>
            </w:pPr>
            <w:r w:rsidRPr="00167A1B">
              <w:rPr>
                <w:sz w:val="18"/>
                <w:szCs w:val="18"/>
              </w:rPr>
              <w:t>0</w:t>
            </w:r>
          </w:p>
        </w:tc>
        <w:tc>
          <w:tcPr>
            <w:tcW w:w="1055" w:type="dxa"/>
            <w:vAlign w:val="center"/>
          </w:tcPr>
          <w:p w14:paraId="74663951" w14:textId="77777777" w:rsidR="009D260B" w:rsidRPr="00167A1B" w:rsidRDefault="009D260B" w:rsidP="009D260B">
            <w:pPr>
              <w:spacing w:after="0"/>
              <w:jc w:val="center"/>
              <w:rPr>
                <w:sz w:val="18"/>
                <w:szCs w:val="18"/>
              </w:rPr>
            </w:pPr>
            <w:r w:rsidRPr="00167A1B">
              <w:rPr>
                <w:sz w:val="18"/>
                <w:szCs w:val="18"/>
              </w:rPr>
              <w:t>0</w:t>
            </w:r>
          </w:p>
        </w:tc>
      </w:tr>
      <w:tr w:rsidR="009D260B" w:rsidRPr="00167A1B" w14:paraId="38732013" w14:textId="77777777" w:rsidTr="009D260B">
        <w:trPr>
          <w:trHeight w:val="20"/>
        </w:trPr>
        <w:tc>
          <w:tcPr>
            <w:tcW w:w="988" w:type="dxa"/>
            <w:vMerge/>
          </w:tcPr>
          <w:p w14:paraId="0DA8DA17" w14:textId="77777777" w:rsidR="009D260B" w:rsidRPr="00167A1B" w:rsidRDefault="009D260B" w:rsidP="009D260B">
            <w:pPr>
              <w:spacing w:after="0"/>
              <w:jc w:val="left"/>
              <w:rPr>
                <w:b/>
                <w:bCs/>
                <w:sz w:val="18"/>
                <w:szCs w:val="18"/>
              </w:rPr>
            </w:pPr>
          </w:p>
        </w:tc>
        <w:tc>
          <w:tcPr>
            <w:tcW w:w="2313" w:type="dxa"/>
            <w:vAlign w:val="center"/>
          </w:tcPr>
          <w:p w14:paraId="5D91BD9C" w14:textId="201CA882" w:rsidR="009D260B" w:rsidRPr="00167A1B" w:rsidRDefault="009D260B" w:rsidP="009D260B">
            <w:pPr>
              <w:spacing w:after="0"/>
              <w:jc w:val="left"/>
              <w:rPr>
                <w:sz w:val="18"/>
                <w:szCs w:val="18"/>
              </w:rPr>
            </w:pPr>
            <w:r w:rsidRPr="00167A1B">
              <w:rPr>
                <w:sz w:val="18"/>
                <w:szCs w:val="18"/>
              </w:rPr>
              <w:t>Other impacts on competitiveness</w:t>
            </w:r>
          </w:p>
        </w:tc>
        <w:tc>
          <w:tcPr>
            <w:tcW w:w="1054" w:type="dxa"/>
            <w:shd w:val="clear" w:color="auto" w:fill="F5C3B9"/>
            <w:vAlign w:val="center"/>
          </w:tcPr>
          <w:p w14:paraId="3B23FAD0" w14:textId="77777777" w:rsidR="009D260B" w:rsidRPr="00167A1B" w:rsidRDefault="009D260B" w:rsidP="009D260B">
            <w:pPr>
              <w:spacing w:after="0"/>
              <w:jc w:val="center"/>
              <w:rPr>
                <w:sz w:val="18"/>
                <w:szCs w:val="18"/>
              </w:rPr>
            </w:pPr>
            <w:r w:rsidRPr="00167A1B">
              <w:rPr>
                <w:sz w:val="18"/>
                <w:szCs w:val="18"/>
              </w:rPr>
              <w:t>-</w:t>
            </w:r>
          </w:p>
        </w:tc>
        <w:tc>
          <w:tcPr>
            <w:tcW w:w="1055" w:type="dxa"/>
            <w:vAlign w:val="center"/>
          </w:tcPr>
          <w:p w14:paraId="6E59E20A" w14:textId="77777777" w:rsidR="009D260B" w:rsidRPr="00167A1B" w:rsidRDefault="009D260B" w:rsidP="009D260B">
            <w:pPr>
              <w:spacing w:after="0"/>
              <w:jc w:val="center"/>
              <w:rPr>
                <w:sz w:val="18"/>
                <w:szCs w:val="18"/>
              </w:rPr>
            </w:pPr>
            <w:r w:rsidRPr="00167A1B">
              <w:rPr>
                <w:sz w:val="18"/>
                <w:szCs w:val="18"/>
              </w:rPr>
              <w:t>0</w:t>
            </w:r>
          </w:p>
        </w:tc>
        <w:tc>
          <w:tcPr>
            <w:tcW w:w="1054" w:type="dxa"/>
            <w:shd w:val="clear" w:color="auto" w:fill="FAE1DC"/>
            <w:vAlign w:val="center"/>
          </w:tcPr>
          <w:p w14:paraId="094189BB" w14:textId="763EB55C" w:rsidR="009D260B" w:rsidRPr="00167A1B" w:rsidRDefault="009D260B" w:rsidP="009D260B">
            <w:pPr>
              <w:spacing w:after="0"/>
              <w:jc w:val="center"/>
              <w:rPr>
                <w:sz w:val="18"/>
                <w:szCs w:val="18"/>
              </w:rPr>
            </w:pPr>
            <w:r w:rsidRPr="00167A1B">
              <w:rPr>
                <w:sz w:val="18"/>
                <w:szCs w:val="18"/>
              </w:rPr>
              <w:t>0/-</w:t>
            </w:r>
          </w:p>
        </w:tc>
        <w:tc>
          <w:tcPr>
            <w:tcW w:w="1055" w:type="dxa"/>
            <w:vAlign w:val="center"/>
          </w:tcPr>
          <w:p w14:paraId="324D7438" w14:textId="77777777" w:rsidR="009D260B" w:rsidRPr="00167A1B" w:rsidRDefault="009D260B" w:rsidP="009D260B">
            <w:pPr>
              <w:spacing w:after="0"/>
              <w:jc w:val="center"/>
              <w:rPr>
                <w:sz w:val="18"/>
                <w:szCs w:val="18"/>
              </w:rPr>
            </w:pPr>
            <w:r w:rsidRPr="00167A1B">
              <w:rPr>
                <w:sz w:val="18"/>
                <w:szCs w:val="18"/>
              </w:rPr>
              <w:t>0</w:t>
            </w:r>
          </w:p>
        </w:tc>
        <w:tc>
          <w:tcPr>
            <w:tcW w:w="1054" w:type="dxa"/>
            <w:vAlign w:val="center"/>
          </w:tcPr>
          <w:p w14:paraId="60706567" w14:textId="77777777" w:rsidR="009D260B" w:rsidRPr="00167A1B" w:rsidRDefault="009D260B" w:rsidP="009D260B">
            <w:pPr>
              <w:spacing w:after="0"/>
              <w:jc w:val="center"/>
              <w:rPr>
                <w:sz w:val="18"/>
                <w:szCs w:val="18"/>
              </w:rPr>
            </w:pPr>
            <w:r w:rsidRPr="00167A1B">
              <w:rPr>
                <w:sz w:val="18"/>
                <w:szCs w:val="18"/>
              </w:rPr>
              <w:t>0</w:t>
            </w:r>
          </w:p>
        </w:tc>
        <w:tc>
          <w:tcPr>
            <w:tcW w:w="1055" w:type="dxa"/>
            <w:vAlign w:val="center"/>
          </w:tcPr>
          <w:p w14:paraId="52EF112F" w14:textId="77777777" w:rsidR="009D260B" w:rsidRPr="00167A1B" w:rsidRDefault="009D260B" w:rsidP="009D260B">
            <w:pPr>
              <w:spacing w:after="0"/>
              <w:jc w:val="center"/>
              <w:rPr>
                <w:sz w:val="18"/>
                <w:szCs w:val="18"/>
              </w:rPr>
            </w:pPr>
            <w:r w:rsidRPr="00167A1B">
              <w:rPr>
                <w:sz w:val="18"/>
                <w:szCs w:val="18"/>
              </w:rPr>
              <w:t>0</w:t>
            </w:r>
          </w:p>
        </w:tc>
      </w:tr>
      <w:tr w:rsidR="009D260B" w:rsidRPr="00167A1B" w14:paraId="55122653" w14:textId="77777777" w:rsidTr="009D260B">
        <w:trPr>
          <w:trHeight w:val="20"/>
        </w:trPr>
        <w:tc>
          <w:tcPr>
            <w:tcW w:w="988" w:type="dxa"/>
            <w:vMerge/>
          </w:tcPr>
          <w:p w14:paraId="33A2573D" w14:textId="77777777" w:rsidR="009D260B" w:rsidRPr="00167A1B" w:rsidRDefault="009D260B" w:rsidP="009D260B">
            <w:pPr>
              <w:spacing w:after="0"/>
              <w:jc w:val="left"/>
              <w:rPr>
                <w:b/>
                <w:bCs/>
                <w:sz w:val="18"/>
                <w:szCs w:val="18"/>
              </w:rPr>
            </w:pPr>
          </w:p>
        </w:tc>
        <w:tc>
          <w:tcPr>
            <w:tcW w:w="2313" w:type="dxa"/>
            <w:vAlign w:val="center"/>
          </w:tcPr>
          <w:p w14:paraId="01A09B7F" w14:textId="19E98104" w:rsidR="009D260B" w:rsidRPr="00167A1B" w:rsidRDefault="009D260B" w:rsidP="009D260B">
            <w:pPr>
              <w:spacing w:after="0"/>
              <w:jc w:val="left"/>
              <w:rPr>
                <w:sz w:val="18"/>
                <w:szCs w:val="18"/>
              </w:rPr>
            </w:pPr>
            <w:r w:rsidRPr="00167A1B">
              <w:rPr>
                <w:sz w:val="18"/>
                <w:szCs w:val="18"/>
              </w:rPr>
              <w:t>Operating costs and conduct of business</w:t>
            </w:r>
          </w:p>
        </w:tc>
        <w:tc>
          <w:tcPr>
            <w:tcW w:w="1054" w:type="dxa"/>
            <w:shd w:val="clear" w:color="auto" w:fill="F5C3B9"/>
            <w:vAlign w:val="center"/>
          </w:tcPr>
          <w:p w14:paraId="097A158E" w14:textId="2E072C8E" w:rsidR="009D260B" w:rsidRPr="00167A1B" w:rsidRDefault="009D260B" w:rsidP="009D260B">
            <w:pPr>
              <w:spacing w:after="0"/>
              <w:jc w:val="center"/>
              <w:rPr>
                <w:sz w:val="18"/>
                <w:szCs w:val="18"/>
              </w:rPr>
            </w:pPr>
            <w:r w:rsidRPr="00167A1B">
              <w:rPr>
                <w:sz w:val="18"/>
                <w:szCs w:val="18"/>
              </w:rPr>
              <w:t>-</w:t>
            </w:r>
          </w:p>
        </w:tc>
        <w:tc>
          <w:tcPr>
            <w:tcW w:w="1055" w:type="dxa"/>
            <w:shd w:val="clear" w:color="auto" w:fill="FAE1DC"/>
            <w:vAlign w:val="center"/>
          </w:tcPr>
          <w:p w14:paraId="2B99A7D4" w14:textId="6444FC9B" w:rsidR="009D260B" w:rsidRPr="00167A1B" w:rsidRDefault="009D260B" w:rsidP="009D260B">
            <w:pPr>
              <w:spacing w:after="0"/>
              <w:jc w:val="center"/>
              <w:rPr>
                <w:sz w:val="18"/>
                <w:szCs w:val="18"/>
              </w:rPr>
            </w:pPr>
            <w:r w:rsidRPr="00167A1B">
              <w:rPr>
                <w:sz w:val="18"/>
                <w:szCs w:val="18"/>
              </w:rPr>
              <w:t>0/-</w:t>
            </w:r>
          </w:p>
        </w:tc>
        <w:tc>
          <w:tcPr>
            <w:tcW w:w="1054" w:type="dxa"/>
            <w:shd w:val="clear" w:color="auto" w:fill="F5C3B9"/>
            <w:vAlign w:val="center"/>
          </w:tcPr>
          <w:p w14:paraId="40C83AAF" w14:textId="77777777" w:rsidR="009D260B" w:rsidRPr="00167A1B" w:rsidRDefault="009D260B" w:rsidP="009D260B">
            <w:pPr>
              <w:spacing w:after="0"/>
              <w:jc w:val="center"/>
              <w:rPr>
                <w:sz w:val="18"/>
                <w:szCs w:val="18"/>
              </w:rPr>
            </w:pPr>
            <w:r w:rsidRPr="00167A1B">
              <w:rPr>
                <w:sz w:val="18"/>
                <w:szCs w:val="18"/>
              </w:rPr>
              <w:t>-</w:t>
            </w:r>
          </w:p>
        </w:tc>
        <w:tc>
          <w:tcPr>
            <w:tcW w:w="1055" w:type="dxa"/>
            <w:shd w:val="clear" w:color="auto" w:fill="FAE1DC"/>
            <w:vAlign w:val="center"/>
          </w:tcPr>
          <w:p w14:paraId="5C80126B" w14:textId="459BA8EA" w:rsidR="009D260B" w:rsidRPr="00167A1B" w:rsidRDefault="009D260B" w:rsidP="009D260B">
            <w:pPr>
              <w:spacing w:after="0"/>
              <w:jc w:val="center"/>
              <w:rPr>
                <w:sz w:val="18"/>
                <w:szCs w:val="18"/>
              </w:rPr>
            </w:pPr>
            <w:r w:rsidRPr="00167A1B">
              <w:rPr>
                <w:sz w:val="18"/>
                <w:szCs w:val="18"/>
              </w:rPr>
              <w:t>0/-</w:t>
            </w:r>
          </w:p>
        </w:tc>
        <w:tc>
          <w:tcPr>
            <w:tcW w:w="1054" w:type="dxa"/>
            <w:shd w:val="clear" w:color="auto" w:fill="FAE1DC"/>
            <w:vAlign w:val="center"/>
          </w:tcPr>
          <w:p w14:paraId="384F75ED" w14:textId="7FABF458" w:rsidR="009D260B" w:rsidRPr="00167A1B" w:rsidRDefault="009D260B" w:rsidP="009D260B">
            <w:pPr>
              <w:spacing w:after="0"/>
              <w:jc w:val="center"/>
              <w:rPr>
                <w:sz w:val="18"/>
                <w:szCs w:val="18"/>
              </w:rPr>
            </w:pPr>
            <w:r w:rsidRPr="00167A1B">
              <w:rPr>
                <w:sz w:val="18"/>
                <w:szCs w:val="18"/>
              </w:rPr>
              <w:t>0/-</w:t>
            </w:r>
          </w:p>
        </w:tc>
        <w:tc>
          <w:tcPr>
            <w:tcW w:w="1055" w:type="dxa"/>
            <w:shd w:val="clear" w:color="auto" w:fill="FAE1DC"/>
            <w:vAlign w:val="center"/>
          </w:tcPr>
          <w:p w14:paraId="5B6BE3E1" w14:textId="02C9BDEC" w:rsidR="009D260B" w:rsidRPr="00167A1B" w:rsidRDefault="009D260B" w:rsidP="009D260B">
            <w:pPr>
              <w:spacing w:after="0"/>
              <w:jc w:val="center"/>
              <w:rPr>
                <w:sz w:val="18"/>
                <w:szCs w:val="18"/>
              </w:rPr>
            </w:pPr>
            <w:r w:rsidRPr="00167A1B">
              <w:rPr>
                <w:sz w:val="18"/>
                <w:szCs w:val="18"/>
              </w:rPr>
              <w:t>0/-</w:t>
            </w:r>
          </w:p>
        </w:tc>
      </w:tr>
      <w:tr w:rsidR="009D260B" w:rsidRPr="00167A1B" w14:paraId="4A3C7DAE" w14:textId="77777777" w:rsidTr="009D260B">
        <w:trPr>
          <w:trHeight w:val="414"/>
        </w:trPr>
        <w:tc>
          <w:tcPr>
            <w:tcW w:w="988" w:type="dxa"/>
            <w:vMerge/>
          </w:tcPr>
          <w:p w14:paraId="34551419" w14:textId="77777777" w:rsidR="009D260B" w:rsidRPr="00167A1B" w:rsidRDefault="009D260B" w:rsidP="009D260B">
            <w:pPr>
              <w:spacing w:after="0"/>
              <w:jc w:val="left"/>
              <w:rPr>
                <w:b/>
                <w:bCs/>
                <w:sz w:val="18"/>
                <w:szCs w:val="18"/>
              </w:rPr>
            </w:pPr>
          </w:p>
        </w:tc>
        <w:tc>
          <w:tcPr>
            <w:tcW w:w="2313" w:type="dxa"/>
            <w:vAlign w:val="center"/>
          </w:tcPr>
          <w:p w14:paraId="3EF0C3AC" w14:textId="77777777" w:rsidR="009D260B" w:rsidRPr="00167A1B" w:rsidRDefault="009D260B" w:rsidP="009D260B">
            <w:pPr>
              <w:spacing w:after="0"/>
              <w:jc w:val="left"/>
              <w:rPr>
                <w:sz w:val="18"/>
                <w:szCs w:val="18"/>
              </w:rPr>
            </w:pPr>
            <w:r w:rsidRPr="00167A1B">
              <w:rPr>
                <w:sz w:val="18"/>
                <w:szCs w:val="18"/>
              </w:rPr>
              <w:t>Costs to public authorities (EU)</w:t>
            </w:r>
          </w:p>
        </w:tc>
        <w:tc>
          <w:tcPr>
            <w:tcW w:w="1054" w:type="dxa"/>
            <w:vAlign w:val="center"/>
          </w:tcPr>
          <w:p w14:paraId="358F66FD" w14:textId="77777777" w:rsidR="009D260B" w:rsidRPr="00167A1B" w:rsidRDefault="009D260B" w:rsidP="009D260B">
            <w:pPr>
              <w:spacing w:after="0"/>
              <w:jc w:val="center"/>
              <w:rPr>
                <w:sz w:val="18"/>
                <w:szCs w:val="18"/>
              </w:rPr>
            </w:pPr>
            <w:r w:rsidRPr="00167A1B">
              <w:rPr>
                <w:sz w:val="18"/>
                <w:szCs w:val="18"/>
              </w:rPr>
              <w:t>0</w:t>
            </w:r>
          </w:p>
        </w:tc>
        <w:tc>
          <w:tcPr>
            <w:tcW w:w="1055" w:type="dxa"/>
            <w:vAlign w:val="center"/>
          </w:tcPr>
          <w:p w14:paraId="596ED904" w14:textId="77777777" w:rsidR="009D260B" w:rsidRPr="00167A1B" w:rsidRDefault="009D260B" w:rsidP="009D260B">
            <w:pPr>
              <w:spacing w:after="0"/>
              <w:jc w:val="center"/>
              <w:rPr>
                <w:sz w:val="18"/>
                <w:szCs w:val="18"/>
              </w:rPr>
            </w:pPr>
            <w:r w:rsidRPr="00167A1B">
              <w:rPr>
                <w:sz w:val="18"/>
                <w:szCs w:val="18"/>
              </w:rPr>
              <w:t>0</w:t>
            </w:r>
          </w:p>
        </w:tc>
        <w:tc>
          <w:tcPr>
            <w:tcW w:w="1054" w:type="dxa"/>
            <w:vAlign w:val="center"/>
          </w:tcPr>
          <w:p w14:paraId="0C8857E1" w14:textId="77777777" w:rsidR="009D260B" w:rsidRPr="00167A1B" w:rsidRDefault="009D260B" w:rsidP="009D260B">
            <w:pPr>
              <w:spacing w:after="0"/>
              <w:jc w:val="center"/>
              <w:rPr>
                <w:sz w:val="18"/>
                <w:szCs w:val="18"/>
              </w:rPr>
            </w:pPr>
            <w:r w:rsidRPr="00167A1B">
              <w:rPr>
                <w:sz w:val="18"/>
                <w:szCs w:val="18"/>
              </w:rPr>
              <w:t>0</w:t>
            </w:r>
          </w:p>
        </w:tc>
        <w:tc>
          <w:tcPr>
            <w:tcW w:w="1055" w:type="dxa"/>
            <w:vAlign w:val="center"/>
          </w:tcPr>
          <w:p w14:paraId="65A01C04" w14:textId="77777777" w:rsidR="009D260B" w:rsidRPr="00167A1B" w:rsidRDefault="009D260B" w:rsidP="009D260B">
            <w:pPr>
              <w:spacing w:after="0"/>
              <w:jc w:val="center"/>
              <w:rPr>
                <w:sz w:val="18"/>
                <w:szCs w:val="18"/>
              </w:rPr>
            </w:pPr>
            <w:r w:rsidRPr="00167A1B">
              <w:rPr>
                <w:sz w:val="18"/>
                <w:szCs w:val="18"/>
              </w:rPr>
              <w:t>0</w:t>
            </w:r>
          </w:p>
        </w:tc>
        <w:tc>
          <w:tcPr>
            <w:tcW w:w="1054" w:type="dxa"/>
            <w:vAlign w:val="center"/>
          </w:tcPr>
          <w:p w14:paraId="4A5FB805" w14:textId="77777777" w:rsidR="009D260B" w:rsidRPr="00167A1B" w:rsidRDefault="009D260B" w:rsidP="009D260B">
            <w:pPr>
              <w:spacing w:after="0"/>
              <w:jc w:val="center"/>
              <w:rPr>
                <w:sz w:val="18"/>
                <w:szCs w:val="18"/>
              </w:rPr>
            </w:pPr>
            <w:r w:rsidRPr="00167A1B">
              <w:rPr>
                <w:sz w:val="18"/>
                <w:szCs w:val="18"/>
              </w:rPr>
              <w:t>0</w:t>
            </w:r>
          </w:p>
        </w:tc>
        <w:tc>
          <w:tcPr>
            <w:tcW w:w="1055" w:type="dxa"/>
            <w:shd w:val="clear" w:color="auto" w:fill="F0A697"/>
            <w:vAlign w:val="center"/>
          </w:tcPr>
          <w:p w14:paraId="5523673D" w14:textId="77777777" w:rsidR="009D260B" w:rsidRPr="00167A1B" w:rsidRDefault="009D260B" w:rsidP="009D260B">
            <w:pPr>
              <w:spacing w:after="0"/>
              <w:jc w:val="center"/>
              <w:rPr>
                <w:sz w:val="18"/>
                <w:szCs w:val="18"/>
              </w:rPr>
            </w:pPr>
            <w:r w:rsidRPr="00167A1B">
              <w:rPr>
                <w:sz w:val="18"/>
                <w:szCs w:val="18"/>
              </w:rPr>
              <w:t>-/--</w:t>
            </w:r>
          </w:p>
        </w:tc>
      </w:tr>
      <w:tr w:rsidR="009D260B" w:rsidRPr="00167A1B" w14:paraId="37EE0CE4" w14:textId="77777777" w:rsidTr="00157B22">
        <w:trPr>
          <w:trHeight w:val="414"/>
        </w:trPr>
        <w:tc>
          <w:tcPr>
            <w:tcW w:w="988" w:type="dxa"/>
            <w:vMerge/>
          </w:tcPr>
          <w:p w14:paraId="0DAE52FB" w14:textId="77777777" w:rsidR="009D260B" w:rsidRPr="00167A1B" w:rsidRDefault="009D260B" w:rsidP="009D260B">
            <w:pPr>
              <w:spacing w:after="0"/>
              <w:jc w:val="left"/>
              <w:rPr>
                <w:b/>
                <w:bCs/>
                <w:sz w:val="18"/>
                <w:szCs w:val="18"/>
              </w:rPr>
            </w:pPr>
          </w:p>
        </w:tc>
        <w:tc>
          <w:tcPr>
            <w:tcW w:w="2313" w:type="dxa"/>
            <w:vAlign w:val="center"/>
          </w:tcPr>
          <w:p w14:paraId="73B227B2" w14:textId="1087B438" w:rsidR="009D260B" w:rsidRPr="00167A1B" w:rsidRDefault="009D260B" w:rsidP="009D260B">
            <w:pPr>
              <w:spacing w:after="0"/>
              <w:jc w:val="left"/>
              <w:rPr>
                <w:sz w:val="18"/>
                <w:szCs w:val="18"/>
              </w:rPr>
            </w:pPr>
            <w:r w:rsidRPr="00167A1B">
              <w:rPr>
                <w:sz w:val="18"/>
                <w:szCs w:val="18"/>
              </w:rPr>
              <w:t>Impacts on SMEs (EU)</w:t>
            </w:r>
          </w:p>
        </w:tc>
        <w:tc>
          <w:tcPr>
            <w:tcW w:w="1054" w:type="dxa"/>
            <w:shd w:val="clear" w:color="auto" w:fill="FAE1DC"/>
            <w:vAlign w:val="center"/>
          </w:tcPr>
          <w:p w14:paraId="14A9C091" w14:textId="411985A3" w:rsidR="009D260B" w:rsidRPr="00167A1B" w:rsidRDefault="009D260B" w:rsidP="009D260B">
            <w:pPr>
              <w:spacing w:after="0"/>
              <w:jc w:val="center"/>
              <w:rPr>
                <w:sz w:val="18"/>
                <w:szCs w:val="18"/>
              </w:rPr>
            </w:pPr>
            <w:r w:rsidRPr="00167A1B">
              <w:rPr>
                <w:sz w:val="18"/>
                <w:szCs w:val="18"/>
              </w:rPr>
              <w:t>0/-</w:t>
            </w:r>
          </w:p>
        </w:tc>
        <w:tc>
          <w:tcPr>
            <w:tcW w:w="1055" w:type="dxa"/>
            <w:shd w:val="clear" w:color="auto" w:fill="FAE1DC"/>
            <w:vAlign w:val="center"/>
          </w:tcPr>
          <w:p w14:paraId="4F4D398A" w14:textId="0B289F07" w:rsidR="009D260B" w:rsidRPr="00167A1B" w:rsidRDefault="009D260B" w:rsidP="009D260B">
            <w:pPr>
              <w:spacing w:after="0"/>
              <w:jc w:val="center"/>
              <w:rPr>
                <w:sz w:val="18"/>
                <w:szCs w:val="18"/>
              </w:rPr>
            </w:pPr>
            <w:r w:rsidRPr="00167A1B">
              <w:rPr>
                <w:sz w:val="18"/>
                <w:szCs w:val="18"/>
              </w:rPr>
              <w:t>0/-</w:t>
            </w:r>
          </w:p>
        </w:tc>
        <w:tc>
          <w:tcPr>
            <w:tcW w:w="1054" w:type="dxa"/>
            <w:shd w:val="clear" w:color="auto" w:fill="auto"/>
            <w:vAlign w:val="center"/>
          </w:tcPr>
          <w:p w14:paraId="60A54C2E" w14:textId="77777777" w:rsidR="009D260B" w:rsidRPr="00167A1B" w:rsidRDefault="009D260B" w:rsidP="009D260B">
            <w:pPr>
              <w:spacing w:after="0"/>
              <w:jc w:val="center"/>
              <w:rPr>
                <w:sz w:val="18"/>
                <w:szCs w:val="18"/>
              </w:rPr>
            </w:pPr>
            <w:r w:rsidRPr="00167A1B">
              <w:rPr>
                <w:sz w:val="18"/>
                <w:szCs w:val="18"/>
              </w:rPr>
              <w:t>0</w:t>
            </w:r>
          </w:p>
        </w:tc>
        <w:tc>
          <w:tcPr>
            <w:tcW w:w="1055" w:type="dxa"/>
            <w:shd w:val="clear" w:color="auto" w:fill="auto"/>
            <w:vAlign w:val="center"/>
          </w:tcPr>
          <w:p w14:paraId="406873E0" w14:textId="306976BB" w:rsidR="009D260B" w:rsidRPr="00167A1B" w:rsidRDefault="009D260B" w:rsidP="009D260B">
            <w:pPr>
              <w:spacing w:after="0"/>
              <w:jc w:val="center"/>
              <w:rPr>
                <w:sz w:val="18"/>
                <w:szCs w:val="18"/>
              </w:rPr>
            </w:pPr>
            <w:r w:rsidRPr="00167A1B">
              <w:rPr>
                <w:sz w:val="18"/>
                <w:szCs w:val="18"/>
              </w:rPr>
              <w:t>0</w:t>
            </w:r>
          </w:p>
        </w:tc>
        <w:tc>
          <w:tcPr>
            <w:tcW w:w="1054" w:type="dxa"/>
            <w:shd w:val="clear" w:color="auto" w:fill="auto"/>
            <w:vAlign w:val="center"/>
          </w:tcPr>
          <w:p w14:paraId="02323930" w14:textId="58FCBDB2" w:rsidR="009D260B" w:rsidRPr="00167A1B" w:rsidRDefault="009D260B" w:rsidP="009D260B">
            <w:pPr>
              <w:spacing w:after="0"/>
              <w:jc w:val="center"/>
              <w:rPr>
                <w:sz w:val="18"/>
                <w:szCs w:val="18"/>
              </w:rPr>
            </w:pPr>
            <w:r w:rsidRPr="00167A1B">
              <w:rPr>
                <w:sz w:val="18"/>
                <w:szCs w:val="18"/>
              </w:rPr>
              <w:t>0</w:t>
            </w:r>
          </w:p>
        </w:tc>
        <w:tc>
          <w:tcPr>
            <w:tcW w:w="1055" w:type="dxa"/>
            <w:shd w:val="clear" w:color="auto" w:fill="auto"/>
            <w:vAlign w:val="center"/>
          </w:tcPr>
          <w:p w14:paraId="5BC88DA0" w14:textId="77777777" w:rsidR="009D260B" w:rsidRPr="00167A1B" w:rsidRDefault="009D260B" w:rsidP="009D260B">
            <w:pPr>
              <w:spacing w:after="0"/>
              <w:jc w:val="center"/>
              <w:rPr>
                <w:sz w:val="18"/>
                <w:szCs w:val="18"/>
              </w:rPr>
            </w:pPr>
            <w:r w:rsidRPr="00167A1B">
              <w:rPr>
                <w:sz w:val="18"/>
                <w:szCs w:val="18"/>
              </w:rPr>
              <w:t>0</w:t>
            </w:r>
          </w:p>
        </w:tc>
      </w:tr>
      <w:tr w:rsidR="009D260B" w:rsidRPr="00167A1B" w14:paraId="2F7BD87B" w14:textId="77777777" w:rsidTr="001D0B0A">
        <w:trPr>
          <w:trHeight w:val="414"/>
        </w:trPr>
        <w:tc>
          <w:tcPr>
            <w:tcW w:w="988" w:type="dxa"/>
            <w:vMerge w:val="restart"/>
          </w:tcPr>
          <w:p w14:paraId="42716889" w14:textId="77777777" w:rsidR="009D260B" w:rsidRPr="00167A1B" w:rsidRDefault="009D260B" w:rsidP="009D260B">
            <w:pPr>
              <w:spacing w:after="0"/>
              <w:jc w:val="left"/>
              <w:rPr>
                <w:b/>
                <w:bCs/>
                <w:sz w:val="18"/>
                <w:szCs w:val="18"/>
              </w:rPr>
            </w:pPr>
            <w:r w:rsidRPr="00167A1B">
              <w:rPr>
                <w:b/>
                <w:bCs/>
                <w:sz w:val="18"/>
                <w:szCs w:val="18"/>
              </w:rPr>
              <w:t>Social</w:t>
            </w:r>
          </w:p>
        </w:tc>
        <w:tc>
          <w:tcPr>
            <w:tcW w:w="2313" w:type="dxa"/>
            <w:vAlign w:val="center"/>
          </w:tcPr>
          <w:p w14:paraId="13C42437" w14:textId="77777777" w:rsidR="009D260B" w:rsidRPr="00167A1B" w:rsidRDefault="009D260B" w:rsidP="009D260B">
            <w:pPr>
              <w:spacing w:after="0"/>
              <w:jc w:val="left"/>
              <w:rPr>
                <w:sz w:val="18"/>
                <w:szCs w:val="18"/>
              </w:rPr>
            </w:pPr>
            <w:r w:rsidRPr="00167A1B">
              <w:rPr>
                <w:sz w:val="18"/>
                <w:szCs w:val="18"/>
              </w:rPr>
              <w:t>Consumer convenience</w:t>
            </w:r>
          </w:p>
        </w:tc>
        <w:tc>
          <w:tcPr>
            <w:tcW w:w="1054" w:type="dxa"/>
            <w:shd w:val="clear" w:color="auto" w:fill="9BEFD3"/>
            <w:vAlign w:val="center"/>
          </w:tcPr>
          <w:p w14:paraId="66AE20A7" w14:textId="77777777" w:rsidR="009D260B" w:rsidRPr="00167A1B" w:rsidRDefault="009D260B" w:rsidP="009D260B">
            <w:pPr>
              <w:spacing w:after="0"/>
              <w:jc w:val="center"/>
              <w:rPr>
                <w:sz w:val="18"/>
                <w:szCs w:val="18"/>
              </w:rPr>
            </w:pPr>
            <w:r w:rsidRPr="00167A1B">
              <w:rPr>
                <w:sz w:val="18"/>
                <w:szCs w:val="18"/>
              </w:rPr>
              <w:t>+</w:t>
            </w:r>
          </w:p>
        </w:tc>
        <w:tc>
          <w:tcPr>
            <w:tcW w:w="1055" w:type="dxa"/>
            <w:shd w:val="clear" w:color="auto" w:fill="9BEFD3"/>
            <w:vAlign w:val="center"/>
          </w:tcPr>
          <w:p w14:paraId="41279C3B" w14:textId="77777777" w:rsidR="009D260B" w:rsidRPr="00167A1B" w:rsidRDefault="009D260B" w:rsidP="009D260B">
            <w:pPr>
              <w:spacing w:after="0"/>
              <w:jc w:val="center"/>
              <w:rPr>
                <w:sz w:val="18"/>
                <w:szCs w:val="18"/>
              </w:rPr>
            </w:pPr>
            <w:r w:rsidRPr="00167A1B">
              <w:rPr>
                <w:sz w:val="18"/>
                <w:szCs w:val="18"/>
              </w:rPr>
              <w:t>+</w:t>
            </w:r>
          </w:p>
        </w:tc>
        <w:tc>
          <w:tcPr>
            <w:tcW w:w="1054" w:type="dxa"/>
            <w:shd w:val="clear" w:color="auto" w:fill="9BEFD3"/>
            <w:vAlign w:val="center"/>
          </w:tcPr>
          <w:p w14:paraId="27A15D0D" w14:textId="77777777" w:rsidR="009D260B" w:rsidRPr="00167A1B" w:rsidRDefault="009D260B" w:rsidP="009D260B">
            <w:pPr>
              <w:spacing w:after="0"/>
              <w:jc w:val="center"/>
              <w:rPr>
                <w:sz w:val="18"/>
                <w:szCs w:val="18"/>
              </w:rPr>
            </w:pPr>
            <w:r w:rsidRPr="00167A1B">
              <w:rPr>
                <w:sz w:val="18"/>
                <w:szCs w:val="18"/>
              </w:rPr>
              <w:t>+</w:t>
            </w:r>
          </w:p>
        </w:tc>
        <w:tc>
          <w:tcPr>
            <w:tcW w:w="1055" w:type="dxa"/>
            <w:shd w:val="clear" w:color="auto" w:fill="F0A697" w:themeFill="accent1" w:themeFillTint="99"/>
            <w:vAlign w:val="center"/>
          </w:tcPr>
          <w:p w14:paraId="747B787D" w14:textId="7C2E9832" w:rsidR="009D260B" w:rsidRPr="00167A1B" w:rsidRDefault="009D260B" w:rsidP="009D260B">
            <w:pPr>
              <w:spacing w:after="0"/>
              <w:jc w:val="center"/>
              <w:rPr>
                <w:sz w:val="18"/>
                <w:szCs w:val="18"/>
              </w:rPr>
            </w:pPr>
            <w:r w:rsidRPr="00167A1B">
              <w:rPr>
                <w:sz w:val="18"/>
                <w:szCs w:val="18"/>
              </w:rPr>
              <w:t>-</w:t>
            </w:r>
            <w:r w:rsidR="00AD2E6A" w:rsidRPr="00167A1B">
              <w:rPr>
                <w:sz w:val="18"/>
                <w:szCs w:val="18"/>
              </w:rPr>
              <w:t>/--</w:t>
            </w:r>
          </w:p>
        </w:tc>
        <w:tc>
          <w:tcPr>
            <w:tcW w:w="1054" w:type="dxa"/>
            <w:shd w:val="clear" w:color="auto" w:fill="E76C53"/>
            <w:vAlign w:val="center"/>
          </w:tcPr>
          <w:p w14:paraId="3FCA392A" w14:textId="77777777" w:rsidR="009D260B" w:rsidRPr="00167A1B" w:rsidRDefault="009D260B" w:rsidP="009D260B">
            <w:pPr>
              <w:spacing w:after="0"/>
              <w:jc w:val="center"/>
              <w:rPr>
                <w:sz w:val="18"/>
                <w:szCs w:val="18"/>
              </w:rPr>
            </w:pPr>
            <w:r w:rsidRPr="00167A1B">
              <w:rPr>
                <w:sz w:val="18"/>
                <w:szCs w:val="18"/>
              </w:rPr>
              <w:t>--</w:t>
            </w:r>
          </w:p>
        </w:tc>
        <w:tc>
          <w:tcPr>
            <w:tcW w:w="1055" w:type="dxa"/>
            <w:shd w:val="clear" w:color="auto" w:fill="9BEFD3"/>
            <w:vAlign w:val="center"/>
          </w:tcPr>
          <w:p w14:paraId="4BFFCD82" w14:textId="77777777" w:rsidR="009D260B" w:rsidRPr="00167A1B" w:rsidRDefault="009D260B" w:rsidP="009D260B">
            <w:pPr>
              <w:spacing w:after="0"/>
              <w:jc w:val="center"/>
              <w:rPr>
                <w:sz w:val="18"/>
                <w:szCs w:val="18"/>
              </w:rPr>
            </w:pPr>
            <w:r w:rsidRPr="00167A1B">
              <w:rPr>
                <w:sz w:val="18"/>
                <w:szCs w:val="18"/>
              </w:rPr>
              <w:t>+</w:t>
            </w:r>
          </w:p>
        </w:tc>
      </w:tr>
      <w:tr w:rsidR="009D260B" w:rsidRPr="00167A1B" w14:paraId="3452FF1E" w14:textId="77777777" w:rsidTr="001D0B0A">
        <w:trPr>
          <w:trHeight w:val="414"/>
        </w:trPr>
        <w:tc>
          <w:tcPr>
            <w:tcW w:w="988" w:type="dxa"/>
            <w:vMerge/>
          </w:tcPr>
          <w:p w14:paraId="3D2CC1DF" w14:textId="77777777" w:rsidR="009D260B" w:rsidRPr="00167A1B" w:rsidRDefault="009D260B" w:rsidP="009D260B">
            <w:pPr>
              <w:spacing w:after="0"/>
              <w:jc w:val="left"/>
              <w:rPr>
                <w:sz w:val="18"/>
                <w:szCs w:val="18"/>
              </w:rPr>
            </w:pPr>
          </w:p>
        </w:tc>
        <w:tc>
          <w:tcPr>
            <w:tcW w:w="2313" w:type="dxa"/>
            <w:vAlign w:val="center"/>
          </w:tcPr>
          <w:p w14:paraId="79166405" w14:textId="77777777" w:rsidR="009D260B" w:rsidRPr="00167A1B" w:rsidRDefault="009D260B" w:rsidP="009D260B">
            <w:pPr>
              <w:spacing w:after="0"/>
              <w:jc w:val="left"/>
              <w:rPr>
                <w:sz w:val="18"/>
                <w:szCs w:val="18"/>
              </w:rPr>
            </w:pPr>
            <w:r w:rsidRPr="00167A1B">
              <w:rPr>
                <w:sz w:val="18"/>
                <w:szCs w:val="18"/>
              </w:rPr>
              <w:t>Product safety &amp; illicit markets</w:t>
            </w:r>
          </w:p>
        </w:tc>
        <w:tc>
          <w:tcPr>
            <w:tcW w:w="1054" w:type="dxa"/>
            <w:shd w:val="clear" w:color="auto" w:fill="CDF7E9"/>
            <w:vAlign w:val="center"/>
          </w:tcPr>
          <w:p w14:paraId="6B08161D" w14:textId="77777777" w:rsidR="009D260B" w:rsidRPr="00167A1B" w:rsidRDefault="009D260B" w:rsidP="009D260B">
            <w:pPr>
              <w:spacing w:after="0"/>
              <w:jc w:val="center"/>
              <w:rPr>
                <w:sz w:val="18"/>
                <w:szCs w:val="18"/>
              </w:rPr>
            </w:pPr>
            <w:r w:rsidRPr="00167A1B">
              <w:rPr>
                <w:sz w:val="18"/>
                <w:szCs w:val="18"/>
              </w:rPr>
              <w:t>0/+</w:t>
            </w:r>
          </w:p>
        </w:tc>
        <w:tc>
          <w:tcPr>
            <w:tcW w:w="1055" w:type="dxa"/>
            <w:shd w:val="clear" w:color="auto" w:fill="CDF7E9"/>
            <w:vAlign w:val="center"/>
          </w:tcPr>
          <w:p w14:paraId="304551F1" w14:textId="77777777" w:rsidR="009D260B" w:rsidRPr="00167A1B" w:rsidRDefault="009D260B" w:rsidP="009D260B">
            <w:pPr>
              <w:spacing w:after="0"/>
              <w:jc w:val="center"/>
              <w:rPr>
                <w:sz w:val="18"/>
                <w:szCs w:val="18"/>
              </w:rPr>
            </w:pPr>
            <w:r w:rsidRPr="00167A1B">
              <w:rPr>
                <w:sz w:val="18"/>
                <w:szCs w:val="18"/>
              </w:rPr>
              <w:t>0/+</w:t>
            </w:r>
          </w:p>
        </w:tc>
        <w:tc>
          <w:tcPr>
            <w:tcW w:w="1054" w:type="dxa"/>
            <w:shd w:val="clear" w:color="auto" w:fill="CDF7E9"/>
            <w:vAlign w:val="center"/>
          </w:tcPr>
          <w:p w14:paraId="6E656AAE" w14:textId="77777777" w:rsidR="009D260B" w:rsidRPr="00167A1B" w:rsidRDefault="009D260B" w:rsidP="009D260B">
            <w:pPr>
              <w:spacing w:after="0"/>
              <w:jc w:val="center"/>
              <w:rPr>
                <w:sz w:val="18"/>
                <w:szCs w:val="18"/>
              </w:rPr>
            </w:pPr>
            <w:r w:rsidRPr="00167A1B">
              <w:rPr>
                <w:sz w:val="18"/>
                <w:szCs w:val="18"/>
              </w:rPr>
              <w:t>0/+</w:t>
            </w:r>
          </w:p>
        </w:tc>
        <w:tc>
          <w:tcPr>
            <w:tcW w:w="1055" w:type="dxa"/>
            <w:shd w:val="clear" w:color="auto" w:fill="F0A697" w:themeFill="accent1" w:themeFillTint="99"/>
            <w:vAlign w:val="center"/>
          </w:tcPr>
          <w:p w14:paraId="43BA9723" w14:textId="0BB01B13" w:rsidR="009D260B" w:rsidRPr="00167A1B" w:rsidRDefault="009D260B" w:rsidP="009D260B">
            <w:pPr>
              <w:spacing w:after="0"/>
              <w:jc w:val="center"/>
              <w:rPr>
                <w:sz w:val="18"/>
                <w:szCs w:val="18"/>
              </w:rPr>
            </w:pPr>
            <w:r w:rsidRPr="00167A1B">
              <w:rPr>
                <w:sz w:val="18"/>
                <w:szCs w:val="18"/>
              </w:rPr>
              <w:t>-</w:t>
            </w:r>
            <w:r w:rsidR="00AD2E6A" w:rsidRPr="00167A1B">
              <w:rPr>
                <w:sz w:val="18"/>
                <w:szCs w:val="18"/>
              </w:rPr>
              <w:t>/--</w:t>
            </w:r>
          </w:p>
        </w:tc>
        <w:tc>
          <w:tcPr>
            <w:tcW w:w="1054" w:type="dxa"/>
            <w:shd w:val="clear" w:color="auto" w:fill="E76C53"/>
            <w:vAlign w:val="center"/>
          </w:tcPr>
          <w:p w14:paraId="6844F25A" w14:textId="77777777" w:rsidR="009D260B" w:rsidRPr="00167A1B" w:rsidRDefault="009D260B" w:rsidP="009D260B">
            <w:pPr>
              <w:spacing w:after="0"/>
              <w:jc w:val="center"/>
              <w:rPr>
                <w:sz w:val="18"/>
                <w:szCs w:val="18"/>
              </w:rPr>
            </w:pPr>
            <w:r w:rsidRPr="00167A1B">
              <w:rPr>
                <w:sz w:val="18"/>
                <w:szCs w:val="18"/>
              </w:rPr>
              <w:t>--</w:t>
            </w:r>
          </w:p>
        </w:tc>
        <w:tc>
          <w:tcPr>
            <w:tcW w:w="1055" w:type="dxa"/>
            <w:shd w:val="clear" w:color="auto" w:fill="CDF7E9"/>
            <w:vAlign w:val="center"/>
          </w:tcPr>
          <w:p w14:paraId="38126254" w14:textId="77777777" w:rsidR="009D260B" w:rsidRPr="00167A1B" w:rsidRDefault="009D260B" w:rsidP="009D260B">
            <w:pPr>
              <w:spacing w:after="0"/>
              <w:jc w:val="center"/>
              <w:rPr>
                <w:sz w:val="18"/>
                <w:szCs w:val="18"/>
              </w:rPr>
            </w:pPr>
            <w:r w:rsidRPr="00167A1B">
              <w:rPr>
                <w:sz w:val="18"/>
                <w:szCs w:val="18"/>
              </w:rPr>
              <w:t>0/+</w:t>
            </w:r>
          </w:p>
        </w:tc>
      </w:tr>
    </w:tbl>
    <w:tbl>
      <w:tblPr>
        <w:tblStyle w:val="TableGridLight"/>
        <w:tblW w:w="9072"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1814"/>
        <w:gridCol w:w="1814"/>
        <w:gridCol w:w="1815"/>
        <w:gridCol w:w="1814"/>
        <w:gridCol w:w="1815"/>
      </w:tblGrid>
      <w:tr w:rsidR="00827359" w:rsidRPr="00167A1B" w14:paraId="744399E5" w14:textId="77777777" w:rsidTr="00AD2E6A">
        <w:trPr>
          <w:trHeight w:val="210"/>
        </w:trPr>
        <w:tc>
          <w:tcPr>
            <w:tcW w:w="1814" w:type="dxa"/>
          </w:tcPr>
          <w:p w14:paraId="08B55659" w14:textId="77777777" w:rsidR="00827359" w:rsidRPr="00167A1B" w:rsidRDefault="00827359" w:rsidP="00AA04BB">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 Major positive impact</w:t>
            </w:r>
          </w:p>
        </w:tc>
        <w:tc>
          <w:tcPr>
            <w:tcW w:w="1814" w:type="dxa"/>
          </w:tcPr>
          <w:p w14:paraId="2FBE54D9" w14:textId="77777777" w:rsidR="00827359" w:rsidRPr="00167A1B" w:rsidRDefault="00827359" w:rsidP="00AA04BB">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 Minor positive impact</w:t>
            </w:r>
          </w:p>
        </w:tc>
        <w:tc>
          <w:tcPr>
            <w:tcW w:w="1815" w:type="dxa"/>
          </w:tcPr>
          <w:p w14:paraId="33C9CB5F" w14:textId="77777777" w:rsidR="00827359" w:rsidRPr="00167A1B" w:rsidRDefault="00827359" w:rsidP="00AA04BB">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0 No or negligible impact</w:t>
            </w:r>
          </w:p>
        </w:tc>
        <w:tc>
          <w:tcPr>
            <w:tcW w:w="1814" w:type="dxa"/>
          </w:tcPr>
          <w:p w14:paraId="5F8BBA60" w14:textId="77777777" w:rsidR="00827359" w:rsidRPr="00167A1B" w:rsidRDefault="00827359" w:rsidP="00AA04BB">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 Minor negative impact</w:t>
            </w:r>
          </w:p>
        </w:tc>
        <w:tc>
          <w:tcPr>
            <w:tcW w:w="1815" w:type="dxa"/>
          </w:tcPr>
          <w:p w14:paraId="0E79DDEE" w14:textId="77777777" w:rsidR="00827359" w:rsidRPr="00167A1B" w:rsidRDefault="00827359" w:rsidP="00AA04BB">
            <w:pPr>
              <w:pStyle w:val="Body"/>
              <w:numPr>
                <w:ilvl w:val="0"/>
                <w:numId w:val="28"/>
              </w:numPr>
              <w:spacing w:after="240"/>
              <w:ind w:left="176" w:hanging="176"/>
              <w:jc w:val="left"/>
              <w:rPr>
                <w:rFonts w:ascii="Arial" w:hAnsi="Arial"/>
                <w:i/>
                <w:sz w:val="18"/>
                <w:szCs w:val="18"/>
                <w:lang w:val="en-GB"/>
              </w:rPr>
            </w:pPr>
            <w:r w:rsidRPr="00167A1B">
              <w:rPr>
                <w:rFonts w:ascii="Arial" w:hAnsi="Arial"/>
                <w:i/>
                <w:sz w:val="18"/>
                <w:szCs w:val="18"/>
                <w:lang w:val="en-GB"/>
              </w:rPr>
              <w:t>-- Major negative impact</w:t>
            </w:r>
          </w:p>
        </w:tc>
      </w:tr>
    </w:tbl>
    <w:p w14:paraId="0FDC7B02" w14:textId="77777777" w:rsidR="00827359" w:rsidRPr="00167A1B" w:rsidRDefault="00827359">
      <w:pPr>
        <w:pStyle w:val="BodyText1"/>
        <w:rPr>
          <w:noProof w:val="0"/>
        </w:rPr>
      </w:pPr>
      <w:r w:rsidRPr="00167A1B">
        <w:rPr>
          <w:noProof w:val="0"/>
        </w:rPr>
        <w:t>To briefly explain the main impacts shown in the table:</w:t>
      </w:r>
    </w:p>
    <w:p w14:paraId="1867C66F" w14:textId="77777777" w:rsidR="00827359" w:rsidRPr="00167A1B" w:rsidRDefault="00827359" w:rsidP="00827359">
      <w:pPr>
        <w:pStyle w:val="bullet1"/>
        <w:rPr>
          <w:noProof w:val="0"/>
        </w:rPr>
      </w:pPr>
      <w:r w:rsidRPr="00167A1B">
        <w:rPr>
          <w:b/>
          <w:bCs/>
          <w:noProof w:val="0"/>
        </w:rPr>
        <w:t>Environmental impacts:</w:t>
      </w:r>
      <w:r w:rsidRPr="00167A1B">
        <w:rPr>
          <w:noProof w:val="0"/>
        </w:rPr>
        <w:t xml:space="preserve"> As can be seen, options 1, 2, 3 and 5 only have very minor, potentially negligible (no more than 1.5% change compared with the baseline) impacts </w:t>
      </w:r>
      <w:r w:rsidRPr="00167A1B">
        <w:rPr>
          <w:noProof w:val="0"/>
        </w:rPr>
        <w:lastRenderedPageBreak/>
        <w:t xml:space="preserve">on the environment, as they are expected to lead to very small changes in the </w:t>
      </w:r>
      <w:r w:rsidRPr="00167A1B">
        <w:rPr>
          <w:i/>
          <w:iCs/>
          <w:noProof w:val="0"/>
        </w:rPr>
        <w:t>number</w:t>
      </w:r>
      <w:r w:rsidRPr="00167A1B">
        <w:rPr>
          <w:noProof w:val="0"/>
        </w:rPr>
        <w:t xml:space="preserve"> of chargers sold, as well as, in some cases, to changes in the </w:t>
      </w:r>
      <w:r w:rsidRPr="00167A1B">
        <w:rPr>
          <w:i/>
          <w:iCs/>
          <w:noProof w:val="0"/>
        </w:rPr>
        <w:t>types</w:t>
      </w:r>
      <w:r w:rsidRPr="00167A1B">
        <w:rPr>
          <w:noProof w:val="0"/>
        </w:rPr>
        <w:t xml:space="preserve"> of chargers sold (with very minor impacts on their weight and composition). From an environmental perspective, unbundling is the only intervention that offers major benefits. However, compared with the estimates in the first IA study, these benefits are smaller than anticipated (between 3 and 9% reduction in environmental impacts for option 4.a, and between 10 and 20% for option 4.b, compared to the baseline) due to the fact that a part of the market has begun to sell phones without EPS voluntarily. </w:t>
      </w:r>
    </w:p>
    <w:p w14:paraId="710C952C" w14:textId="167CD5D3" w:rsidR="009D260B" w:rsidRPr="00167A1B" w:rsidRDefault="009D260B" w:rsidP="009D260B">
      <w:pPr>
        <w:pStyle w:val="bullet1"/>
        <w:rPr>
          <w:noProof w:val="0"/>
        </w:rPr>
      </w:pPr>
      <w:r w:rsidRPr="00167A1B">
        <w:rPr>
          <w:b/>
          <w:bCs/>
          <w:noProof w:val="0"/>
        </w:rPr>
        <w:t>Economic impacts</w:t>
      </w:r>
      <w:r w:rsidRPr="00167A1B">
        <w:rPr>
          <w:noProof w:val="0"/>
        </w:rPr>
        <w:t xml:space="preserve">: From an economic perspective, the option that generates the most savings for consumers is option 1, due to the savings from switching from (more expensive) Lightning cables to USB Type-C cables, and the reduction in standalone sales of cables (Lightning cables are replaced more frequently than standard cables, according to the results of the consumer survey). This option delivers relatively high economic costs for manufacturers and </w:t>
      </w:r>
      <w:proofErr w:type="gramStart"/>
      <w:r w:rsidRPr="00167A1B">
        <w:rPr>
          <w:noProof w:val="0"/>
        </w:rPr>
        <w:t>distributors, and</w:t>
      </w:r>
      <w:proofErr w:type="gramEnd"/>
      <w:r w:rsidRPr="00167A1B">
        <w:rPr>
          <w:noProof w:val="0"/>
        </w:rPr>
        <w:t xml:space="preserve"> </w:t>
      </w:r>
      <w:r w:rsidR="004C2C56" w:rsidRPr="00167A1B">
        <w:rPr>
          <w:noProof w:val="0"/>
        </w:rPr>
        <w:t xml:space="preserve">may </w:t>
      </w:r>
      <w:r w:rsidRPr="00167A1B">
        <w:rPr>
          <w:noProof w:val="0"/>
        </w:rPr>
        <w:t>slightly constrain innovation</w:t>
      </w:r>
      <w:r w:rsidR="00DF0328" w:rsidRPr="00167A1B">
        <w:rPr>
          <w:noProof w:val="0"/>
        </w:rPr>
        <w:t>.</w:t>
      </w:r>
      <w:r w:rsidR="00A37355" w:rsidRPr="00167A1B">
        <w:rPr>
          <w:rStyle w:val="FootnoteReference"/>
          <w:noProof w:val="0"/>
        </w:rPr>
        <w:footnoteReference w:id="162"/>
      </w:r>
      <w:r w:rsidR="00DF0328" w:rsidRPr="00167A1B">
        <w:rPr>
          <w:noProof w:val="0"/>
        </w:rPr>
        <w:t xml:space="preserve"> </w:t>
      </w:r>
      <w:r w:rsidRPr="00167A1B">
        <w:rPr>
          <w:noProof w:val="0"/>
        </w:rPr>
        <w:t xml:space="preserve">It may also entail minor economic costs for SMEs in the EU. Options 2 and 3 are relatively similar in terms of reducing costs for </w:t>
      </w:r>
      <w:proofErr w:type="gramStart"/>
      <w:r w:rsidRPr="00167A1B">
        <w:rPr>
          <w:noProof w:val="0"/>
        </w:rPr>
        <w:t>consumers, and</w:t>
      </w:r>
      <w:proofErr w:type="gramEnd"/>
      <w:r w:rsidRPr="00167A1B">
        <w:rPr>
          <w:noProof w:val="0"/>
        </w:rPr>
        <w:t xml:space="preserve"> generate similar costs for the industry. However, option 2 affects the competitive landscape less and does not constrain innovation. Options 4.a and 4.b deliver similar results, including small cost increases for consumers. Both options, but especially option 4.b, generate a loss of gross profit for manufacturers of chargers, given the reduced number of EPS and cables that would be sold in the EU.</w:t>
      </w:r>
    </w:p>
    <w:p w14:paraId="50A6BACF" w14:textId="77777777" w:rsidR="00827359" w:rsidRPr="00167A1B" w:rsidRDefault="00827359" w:rsidP="00827359">
      <w:pPr>
        <w:pStyle w:val="bullet1"/>
        <w:rPr>
          <w:noProof w:val="0"/>
        </w:rPr>
      </w:pPr>
      <w:r w:rsidRPr="00167A1B">
        <w:rPr>
          <w:b/>
          <w:bCs/>
          <w:noProof w:val="0"/>
        </w:rPr>
        <w:t>Social impacts</w:t>
      </w:r>
      <w:r w:rsidRPr="00167A1B">
        <w:rPr>
          <w:noProof w:val="0"/>
        </w:rPr>
        <w:t>: Options 1, 2, 3 and 5 are all expected to result in minor convenience benefits for consumers (each of them addresses the different sources of inconvenience to varying extents), as well as very small improvements in terms of product safety and illicit markets (mainly due to the expected very small reduction in stand-alone charger sales). For the mandatory unbundling options, the conclusion is the opposite: these would reduce consumer convenience overall (especially option 4.b), since the convenience gains for consumers who are keen to have fewer chargers are outweighed by the inconvenience for the majority of consumers for whom the provision of a charger along with new phones is important. They would also lead to higher stand-alone charger sales, some of which are likely to be counterfeit and/or substandard.</w:t>
      </w:r>
    </w:p>
    <w:p w14:paraId="2759667A" w14:textId="77777777" w:rsidR="00827359" w:rsidRPr="00167A1B" w:rsidRDefault="00827359" w:rsidP="00827359">
      <w:pPr>
        <w:pStyle w:val="BodyText1"/>
        <w:rPr>
          <w:noProof w:val="0"/>
        </w:rPr>
      </w:pPr>
    </w:p>
    <w:p w14:paraId="1BF31AE1" w14:textId="77777777" w:rsidR="00882C69" w:rsidRPr="00167A1B" w:rsidRDefault="00882C69" w:rsidP="00882C69">
      <w:pPr>
        <w:pStyle w:val="Subtitle10"/>
        <w:rPr>
          <w:noProof w:val="0"/>
        </w:rPr>
      </w:pPr>
      <w:r w:rsidRPr="00167A1B">
        <w:rPr>
          <w:noProof w:val="0"/>
        </w:rPr>
        <w:t>Combinations / packages of options</w:t>
      </w:r>
    </w:p>
    <w:p w14:paraId="585ADC17" w14:textId="77777777" w:rsidR="00882C69" w:rsidRPr="00167A1B" w:rsidRDefault="00882C69" w:rsidP="00882C69">
      <w:pPr>
        <w:pStyle w:val="BodyText1"/>
        <w:rPr>
          <w:noProof w:val="0"/>
        </w:rPr>
      </w:pPr>
      <w:r w:rsidRPr="00167A1B">
        <w:rPr>
          <w:noProof w:val="0"/>
        </w:rPr>
        <w:t xml:space="preserve">The policy options as defined for this study are not necessarily mutually </w:t>
      </w:r>
      <w:proofErr w:type="gramStart"/>
      <w:r w:rsidRPr="00167A1B">
        <w:rPr>
          <w:noProof w:val="0"/>
        </w:rPr>
        <w:t>exclusive, but</w:t>
      </w:r>
      <w:proofErr w:type="gramEnd"/>
      <w:r w:rsidRPr="00167A1B">
        <w:rPr>
          <w:noProof w:val="0"/>
        </w:rPr>
        <w:t xml:space="preserve"> could potentially be combined into a “package” of measures. As analysed in chapter 7, there are five main combinations: option 1 can be combined with either option 2 or 3, as well as with option 4; option 2 could also be combined with option 4.</w:t>
      </w:r>
    </w:p>
    <w:p w14:paraId="30BA3A98" w14:textId="77777777" w:rsidR="00882C69" w:rsidRPr="00167A1B" w:rsidRDefault="00882C69" w:rsidP="00882C69">
      <w:pPr>
        <w:pStyle w:val="BodyText1"/>
        <w:rPr>
          <w:noProof w:val="0"/>
        </w:rPr>
      </w:pPr>
      <w:r w:rsidRPr="00167A1B">
        <w:rPr>
          <w:noProof w:val="0"/>
        </w:rPr>
        <w:t>By and large, when combined, the impacts of the different options would “stack”, meaning the cumulative impacts of the packages of options can be expected to be equal to the sum of the impacts of the options individually. However, there are some exceptions to this, namely:</w:t>
      </w:r>
    </w:p>
    <w:p w14:paraId="7366A3B2" w14:textId="77777777" w:rsidR="00882C69" w:rsidRPr="00167A1B" w:rsidRDefault="00882C69" w:rsidP="00882C69">
      <w:pPr>
        <w:pStyle w:val="bullet1"/>
        <w:rPr>
          <w:noProof w:val="0"/>
        </w:rPr>
      </w:pPr>
      <w:r w:rsidRPr="00167A1B">
        <w:rPr>
          <w:noProof w:val="0"/>
        </w:rPr>
        <w:t>Options 1, 2 and 3 would all lead to the elimination of USB micro-B connectors from all mobile phones (among other effects). When combined, the specific effects of this would obviously only accrue once, meaning the (positive as well as negative) impacts of the package would be slightly smaller than the sum of the impacts of the relevant options individually.</w:t>
      </w:r>
    </w:p>
    <w:p w14:paraId="43A2D2A2" w14:textId="317F4D63" w:rsidR="00882C69" w:rsidRPr="00167A1B" w:rsidRDefault="00882C69" w:rsidP="00882C69">
      <w:pPr>
        <w:pStyle w:val="bullet1"/>
        <w:rPr>
          <w:noProof w:val="0"/>
        </w:rPr>
      </w:pPr>
      <w:r w:rsidRPr="00167A1B">
        <w:rPr>
          <w:noProof w:val="0"/>
        </w:rPr>
        <w:lastRenderedPageBreak/>
        <w:t>If any of the “harmon</w:t>
      </w:r>
      <w:r w:rsidR="00F65A8F" w:rsidRPr="00167A1B">
        <w:rPr>
          <w:noProof w:val="0"/>
        </w:rPr>
        <w:t>i</w:t>
      </w:r>
      <w:r w:rsidRPr="00167A1B">
        <w:rPr>
          <w:noProof w:val="0"/>
        </w:rPr>
        <w:t>sation” options 1, 2 or 3 is combined with mandatory unbundling (option 4.a or 4.b), there would likely be synergy effects that enhance the overall benefits of the relevant package to slightly beyond those of the options individually, as the enhanced interoperability and/or consumer awareness of this lead to a small reduction in demand for stand-alone chargers, because slightly fewer consumers would be likely to choose to purchase an EPS along with a new unbundled phone (options 2 and 3), and/or a new cable along with an EPS bought separately (option 1).</w:t>
      </w:r>
    </w:p>
    <w:p w14:paraId="58776B24" w14:textId="77777777" w:rsidR="00882C69" w:rsidRPr="00167A1B" w:rsidRDefault="00882C69" w:rsidP="00882C69">
      <w:pPr>
        <w:pStyle w:val="BodyText1"/>
        <w:rPr>
          <w:noProof w:val="0"/>
        </w:rPr>
      </w:pPr>
      <w:r w:rsidRPr="00167A1B">
        <w:rPr>
          <w:noProof w:val="0"/>
        </w:rPr>
        <w:t xml:space="preserve">Option 5 (an interoperability labelling / information scheme) could serve as a flanking measure to </w:t>
      </w:r>
      <w:r w:rsidRPr="00167A1B">
        <w:rPr>
          <w:i/>
          <w:iCs/>
          <w:noProof w:val="0"/>
        </w:rPr>
        <w:t>any</w:t>
      </w:r>
      <w:r w:rsidRPr="00167A1B">
        <w:rPr>
          <w:noProof w:val="0"/>
        </w:rPr>
        <w:t xml:space="preserve"> of the options or packages. We expect that its marginal effects when combined with any of these would always be in line with those of the scheme individually.</w:t>
      </w:r>
    </w:p>
    <w:p w14:paraId="78561932" w14:textId="77777777" w:rsidR="00882C69" w:rsidRPr="00167A1B" w:rsidRDefault="00882C69" w:rsidP="00882C69">
      <w:pPr>
        <w:pStyle w:val="BodyText1"/>
        <w:rPr>
          <w:noProof w:val="0"/>
        </w:rPr>
      </w:pPr>
      <w:r w:rsidRPr="00167A1B">
        <w:rPr>
          <w:noProof w:val="0"/>
        </w:rPr>
        <w:t>The table below provides a summary of the main impacts of the five packages, applied to mobile phones only, again using an MCA approach to combine impacts that have been estimated quantitatively and others that have been assessed qualitatively:</w:t>
      </w:r>
    </w:p>
    <w:p w14:paraId="1A117A31" w14:textId="77777777" w:rsidR="00882C69" w:rsidRPr="00167A1B" w:rsidRDefault="00882C69" w:rsidP="00882C69">
      <w:pPr>
        <w:pStyle w:val="bullet1"/>
        <w:rPr>
          <w:noProof w:val="0"/>
        </w:rPr>
      </w:pPr>
      <w:r w:rsidRPr="00167A1B">
        <w:rPr>
          <w:b/>
          <w:bCs/>
          <w:noProof w:val="0"/>
        </w:rPr>
        <w:t>Environmental impacts</w:t>
      </w:r>
      <w:r w:rsidRPr="00167A1B">
        <w:rPr>
          <w:noProof w:val="0"/>
        </w:rPr>
        <w:t>: Packages 3, 4 and 5 provide significant environmental benefits. These would be highest for package 5. Although they are in the same broad range as those of the other two (‘+/++’ for GHG emissions and material use, ‘+’ for e-waste), the estimated reductions (see chapter 7) are around 10% higher than for package 4, 30% higher than for package 3, and 50% higher than those that would result from mandatory unbundling (option 4.a) alone.</w:t>
      </w:r>
    </w:p>
    <w:p w14:paraId="2B897A5A" w14:textId="51C02100" w:rsidR="00882C69" w:rsidRPr="00167A1B" w:rsidRDefault="00882C69" w:rsidP="00882C69">
      <w:pPr>
        <w:pStyle w:val="bullet1"/>
        <w:rPr>
          <w:noProof w:val="0"/>
        </w:rPr>
      </w:pPr>
      <w:r w:rsidRPr="00167A1B">
        <w:rPr>
          <w:b/>
          <w:bCs/>
          <w:noProof w:val="0"/>
        </w:rPr>
        <w:t>Economic impacts</w:t>
      </w:r>
      <w:r w:rsidRPr="00167A1B">
        <w:rPr>
          <w:noProof w:val="0"/>
        </w:rPr>
        <w:t>: All packages except package 4 would lead to savings for consumers; these would be most significant under packages 1 and 2 (which do not entail mandatory unbundling). All packages (especially package 3) would reduce the benefits for charger manufacturers and wholesalers; packages 1 and 2 would also lead to reduced benefits for charger distributors and retailers, while packages 3, 4 and 5 would increase their benefits (due to the higher standalone charger sales). Package 4 is the one that generates the smallest negative impacts on the competitive landscape, innovation, and operating costs for the industry, whereas package 2 is the most disruptive, with significant impacts on innovation and operating costs. All the packages may generate small costs for SMEs in Europe as they all imply the move from USB micro-B connectors to USB Type-C.</w:t>
      </w:r>
    </w:p>
    <w:p w14:paraId="54278C49" w14:textId="6F542C0A" w:rsidR="00882C69" w:rsidRPr="00167A1B" w:rsidRDefault="00882C69" w:rsidP="00882C69">
      <w:pPr>
        <w:pStyle w:val="bullet1"/>
        <w:rPr>
          <w:noProof w:val="0"/>
        </w:rPr>
      </w:pPr>
      <w:r w:rsidRPr="00167A1B">
        <w:rPr>
          <w:b/>
          <w:bCs/>
          <w:noProof w:val="0"/>
        </w:rPr>
        <w:t>Social impacts</w:t>
      </w:r>
      <w:r w:rsidRPr="00167A1B">
        <w:rPr>
          <w:noProof w:val="0"/>
        </w:rPr>
        <w:t xml:space="preserve">: While packages 1 and 2 would have a minor positive effect on consumer convenience and lead to very small improvements in terms of product safety and illicit markets (for the same reasons as options 1, 2 and 3 individually), packages 3, 4 and </w:t>
      </w:r>
      <w:r w:rsidR="00AD2E6A" w:rsidRPr="00167A1B">
        <w:rPr>
          <w:noProof w:val="0"/>
        </w:rPr>
        <w:t xml:space="preserve">(to a slightly lesser extent) </w:t>
      </w:r>
      <w:r w:rsidRPr="00167A1B">
        <w:rPr>
          <w:noProof w:val="0"/>
        </w:rPr>
        <w:t>5 would have minor negative impacts. This is because the improvements from options 1</w:t>
      </w:r>
      <w:r w:rsidR="00AD2E6A" w:rsidRPr="00167A1B">
        <w:rPr>
          <w:noProof w:val="0"/>
        </w:rPr>
        <w:t xml:space="preserve"> and/or</w:t>
      </w:r>
      <w:r w:rsidRPr="00167A1B">
        <w:rPr>
          <w:noProof w:val="0"/>
        </w:rPr>
        <w:t xml:space="preserve"> 2 and would be likely to alleviate, but not entirely offset the consumer inconvenience and increased demand for standalone EPS generated by mandatory unbundling. </w:t>
      </w:r>
    </w:p>
    <w:p w14:paraId="0C3DB233" w14:textId="77777777" w:rsidR="00882C69" w:rsidRPr="00167A1B" w:rsidRDefault="00882C69" w:rsidP="00882C69">
      <w:pPr>
        <w:pStyle w:val="BodyText1"/>
        <w:rPr>
          <w:noProof w:val="0"/>
        </w:rPr>
      </w:pPr>
    </w:p>
    <w:p w14:paraId="35EA14A9" w14:textId="77777777" w:rsidR="00882C69" w:rsidRPr="00167A1B" w:rsidRDefault="00882C69" w:rsidP="00882C69">
      <w:pPr>
        <w:pStyle w:val="Caption"/>
      </w:pPr>
      <w:r w:rsidRPr="00167A1B">
        <w:t xml:space="preserve">Table </w:t>
      </w:r>
      <w:r w:rsidRPr="00167A1B">
        <w:fldChar w:fldCharType="begin"/>
      </w:r>
      <w:r w:rsidRPr="00167A1B">
        <w:instrText xml:space="preserve"> SEQ Table \* ARABIC </w:instrText>
      </w:r>
      <w:r w:rsidRPr="00167A1B">
        <w:fldChar w:fldCharType="separate"/>
      </w:r>
      <w:r w:rsidRPr="00167A1B">
        <w:t>27</w:t>
      </w:r>
      <w:r w:rsidRPr="00167A1B">
        <w:fldChar w:fldCharType="end"/>
      </w:r>
      <w:r w:rsidRPr="00167A1B">
        <w:t>: Summary of the main impacts of the packages of options</w:t>
      </w:r>
    </w:p>
    <w:tbl>
      <w:tblPr>
        <w:tblStyle w:val="TableGridLight11"/>
        <w:tblW w:w="9067" w:type="dxa"/>
        <w:tblInd w:w="0" w:type="dxa"/>
        <w:tblLayout w:type="fixed"/>
        <w:tblCellMar>
          <w:top w:w="57" w:type="dxa"/>
          <w:left w:w="57" w:type="dxa"/>
          <w:bottom w:w="57" w:type="dxa"/>
          <w:right w:w="57" w:type="dxa"/>
        </w:tblCellMar>
        <w:tblLook w:val="04A0" w:firstRow="1" w:lastRow="0" w:firstColumn="1" w:lastColumn="0" w:noHBand="0" w:noVBand="1"/>
      </w:tblPr>
      <w:tblGrid>
        <w:gridCol w:w="988"/>
        <w:gridCol w:w="2313"/>
        <w:gridCol w:w="1153"/>
        <w:gridCol w:w="1153"/>
        <w:gridCol w:w="1153"/>
        <w:gridCol w:w="1153"/>
        <w:gridCol w:w="1154"/>
      </w:tblGrid>
      <w:tr w:rsidR="00882C69" w:rsidRPr="00167A1B" w14:paraId="35C18714" w14:textId="77777777" w:rsidTr="0047194C">
        <w:trPr>
          <w:tblHeader/>
        </w:trPr>
        <w:tc>
          <w:tcPr>
            <w:tcW w:w="3301" w:type="dxa"/>
            <w:gridSpan w:val="2"/>
            <w:vMerge w:val="restart"/>
          </w:tcPr>
          <w:p w14:paraId="702771D5" w14:textId="77777777" w:rsidR="00882C69" w:rsidRPr="00167A1B" w:rsidRDefault="00882C69" w:rsidP="0047194C">
            <w:pPr>
              <w:spacing w:after="0"/>
              <w:jc w:val="left"/>
              <w:rPr>
                <w:b/>
                <w:bCs/>
                <w:sz w:val="18"/>
                <w:szCs w:val="18"/>
              </w:rPr>
            </w:pPr>
            <w:bookmarkStart w:id="86" w:name="_Hlk74234367"/>
            <w:r w:rsidRPr="00167A1B">
              <w:rPr>
                <w:b/>
                <w:bCs/>
                <w:sz w:val="18"/>
                <w:szCs w:val="18"/>
              </w:rPr>
              <w:t>Impacts</w:t>
            </w:r>
          </w:p>
        </w:tc>
        <w:tc>
          <w:tcPr>
            <w:tcW w:w="1153" w:type="dxa"/>
            <w:vAlign w:val="center"/>
          </w:tcPr>
          <w:p w14:paraId="3446DB6F" w14:textId="77777777" w:rsidR="00882C69" w:rsidRPr="00167A1B" w:rsidRDefault="00882C69" w:rsidP="0047194C">
            <w:pPr>
              <w:spacing w:after="0"/>
              <w:jc w:val="center"/>
              <w:rPr>
                <w:b/>
                <w:bCs/>
                <w:sz w:val="18"/>
                <w:szCs w:val="18"/>
              </w:rPr>
            </w:pPr>
            <w:r w:rsidRPr="00167A1B">
              <w:rPr>
                <w:b/>
                <w:bCs/>
                <w:sz w:val="18"/>
                <w:szCs w:val="18"/>
              </w:rPr>
              <w:t>Package 1</w:t>
            </w:r>
          </w:p>
        </w:tc>
        <w:tc>
          <w:tcPr>
            <w:tcW w:w="1153" w:type="dxa"/>
            <w:vAlign w:val="center"/>
          </w:tcPr>
          <w:p w14:paraId="1D5D1043" w14:textId="77777777" w:rsidR="00882C69" w:rsidRPr="00167A1B" w:rsidRDefault="00882C69" w:rsidP="0047194C">
            <w:pPr>
              <w:spacing w:after="0"/>
              <w:jc w:val="center"/>
              <w:rPr>
                <w:b/>
                <w:bCs/>
                <w:sz w:val="18"/>
                <w:szCs w:val="18"/>
              </w:rPr>
            </w:pPr>
            <w:r w:rsidRPr="00167A1B">
              <w:rPr>
                <w:b/>
                <w:bCs/>
                <w:sz w:val="18"/>
                <w:szCs w:val="18"/>
              </w:rPr>
              <w:t>Package 2</w:t>
            </w:r>
          </w:p>
        </w:tc>
        <w:tc>
          <w:tcPr>
            <w:tcW w:w="1153" w:type="dxa"/>
            <w:vAlign w:val="center"/>
          </w:tcPr>
          <w:p w14:paraId="16459323" w14:textId="77777777" w:rsidR="00882C69" w:rsidRPr="00167A1B" w:rsidRDefault="00882C69" w:rsidP="0047194C">
            <w:pPr>
              <w:spacing w:after="0"/>
              <w:jc w:val="center"/>
              <w:rPr>
                <w:b/>
                <w:bCs/>
                <w:sz w:val="18"/>
                <w:szCs w:val="18"/>
              </w:rPr>
            </w:pPr>
            <w:r w:rsidRPr="00167A1B">
              <w:rPr>
                <w:b/>
                <w:bCs/>
                <w:sz w:val="18"/>
                <w:szCs w:val="18"/>
              </w:rPr>
              <w:t>Package 3</w:t>
            </w:r>
          </w:p>
        </w:tc>
        <w:tc>
          <w:tcPr>
            <w:tcW w:w="1153" w:type="dxa"/>
            <w:vAlign w:val="center"/>
          </w:tcPr>
          <w:p w14:paraId="062A736B" w14:textId="77777777" w:rsidR="00882C69" w:rsidRPr="00167A1B" w:rsidRDefault="00882C69" w:rsidP="0047194C">
            <w:pPr>
              <w:spacing w:after="0"/>
              <w:jc w:val="center"/>
              <w:rPr>
                <w:b/>
                <w:bCs/>
                <w:sz w:val="18"/>
                <w:szCs w:val="18"/>
              </w:rPr>
            </w:pPr>
            <w:r w:rsidRPr="00167A1B">
              <w:rPr>
                <w:b/>
                <w:bCs/>
                <w:sz w:val="18"/>
                <w:szCs w:val="18"/>
              </w:rPr>
              <w:t>Package 4</w:t>
            </w:r>
          </w:p>
        </w:tc>
        <w:tc>
          <w:tcPr>
            <w:tcW w:w="1154" w:type="dxa"/>
            <w:vAlign w:val="center"/>
          </w:tcPr>
          <w:p w14:paraId="259A9136" w14:textId="77777777" w:rsidR="00882C69" w:rsidRPr="00167A1B" w:rsidRDefault="00882C69" w:rsidP="0047194C">
            <w:pPr>
              <w:spacing w:after="0"/>
              <w:jc w:val="center"/>
              <w:rPr>
                <w:b/>
                <w:bCs/>
                <w:sz w:val="18"/>
                <w:szCs w:val="18"/>
              </w:rPr>
            </w:pPr>
            <w:r w:rsidRPr="00167A1B">
              <w:rPr>
                <w:b/>
                <w:bCs/>
                <w:sz w:val="18"/>
                <w:szCs w:val="18"/>
              </w:rPr>
              <w:t>Package 5</w:t>
            </w:r>
          </w:p>
        </w:tc>
      </w:tr>
      <w:tr w:rsidR="00882C69" w:rsidRPr="00167A1B" w14:paraId="7F1D8811" w14:textId="77777777" w:rsidTr="0047194C">
        <w:tc>
          <w:tcPr>
            <w:tcW w:w="3301" w:type="dxa"/>
            <w:gridSpan w:val="2"/>
            <w:vMerge/>
          </w:tcPr>
          <w:p w14:paraId="5C67E886" w14:textId="77777777" w:rsidR="00882C69" w:rsidRPr="00167A1B" w:rsidRDefault="00882C69" w:rsidP="0047194C">
            <w:pPr>
              <w:spacing w:after="0"/>
              <w:jc w:val="left"/>
              <w:rPr>
                <w:sz w:val="18"/>
                <w:szCs w:val="18"/>
              </w:rPr>
            </w:pPr>
          </w:p>
        </w:tc>
        <w:tc>
          <w:tcPr>
            <w:tcW w:w="1153" w:type="dxa"/>
            <w:vAlign w:val="bottom"/>
          </w:tcPr>
          <w:p w14:paraId="195049DA" w14:textId="77777777" w:rsidR="00882C69" w:rsidRPr="00167A1B" w:rsidRDefault="00882C69" w:rsidP="0047194C">
            <w:pPr>
              <w:spacing w:after="0"/>
              <w:jc w:val="center"/>
              <w:rPr>
                <w:sz w:val="18"/>
                <w:szCs w:val="18"/>
              </w:rPr>
            </w:pPr>
            <w:r w:rsidRPr="00167A1B">
              <w:rPr>
                <w:sz w:val="18"/>
                <w:szCs w:val="18"/>
              </w:rPr>
              <w:t>Package combining PO 1 &amp; 2</w:t>
            </w:r>
          </w:p>
        </w:tc>
        <w:tc>
          <w:tcPr>
            <w:tcW w:w="1153" w:type="dxa"/>
            <w:vAlign w:val="bottom"/>
          </w:tcPr>
          <w:p w14:paraId="382DFC9F" w14:textId="77777777" w:rsidR="00882C69" w:rsidRPr="00167A1B" w:rsidRDefault="00882C69" w:rsidP="0047194C">
            <w:pPr>
              <w:spacing w:after="0"/>
              <w:jc w:val="center"/>
              <w:rPr>
                <w:sz w:val="18"/>
                <w:szCs w:val="18"/>
              </w:rPr>
            </w:pPr>
            <w:r w:rsidRPr="00167A1B">
              <w:rPr>
                <w:sz w:val="18"/>
                <w:szCs w:val="18"/>
              </w:rPr>
              <w:t>Package combining PO 1 &amp; 3</w:t>
            </w:r>
          </w:p>
        </w:tc>
        <w:tc>
          <w:tcPr>
            <w:tcW w:w="1153" w:type="dxa"/>
            <w:vAlign w:val="bottom"/>
          </w:tcPr>
          <w:p w14:paraId="57414417" w14:textId="77777777" w:rsidR="00882C69" w:rsidRPr="00167A1B" w:rsidRDefault="00882C69" w:rsidP="0047194C">
            <w:pPr>
              <w:spacing w:after="0"/>
              <w:jc w:val="center"/>
              <w:rPr>
                <w:sz w:val="18"/>
                <w:szCs w:val="18"/>
              </w:rPr>
            </w:pPr>
            <w:r w:rsidRPr="00167A1B">
              <w:rPr>
                <w:sz w:val="18"/>
                <w:szCs w:val="18"/>
              </w:rPr>
              <w:t>Package combining PO 1 &amp; 4a</w:t>
            </w:r>
          </w:p>
        </w:tc>
        <w:tc>
          <w:tcPr>
            <w:tcW w:w="1153" w:type="dxa"/>
            <w:vAlign w:val="bottom"/>
          </w:tcPr>
          <w:p w14:paraId="7DDE0882" w14:textId="77777777" w:rsidR="00882C69" w:rsidRPr="00167A1B" w:rsidRDefault="00882C69" w:rsidP="0047194C">
            <w:pPr>
              <w:spacing w:after="0"/>
              <w:jc w:val="center"/>
              <w:rPr>
                <w:sz w:val="18"/>
                <w:szCs w:val="18"/>
              </w:rPr>
            </w:pPr>
            <w:r w:rsidRPr="00167A1B">
              <w:rPr>
                <w:sz w:val="18"/>
                <w:szCs w:val="18"/>
              </w:rPr>
              <w:t>Package combining PO 2 &amp; 4a</w:t>
            </w:r>
          </w:p>
        </w:tc>
        <w:tc>
          <w:tcPr>
            <w:tcW w:w="1154" w:type="dxa"/>
            <w:vAlign w:val="bottom"/>
          </w:tcPr>
          <w:p w14:paraId="49F9617B" w14:textId="77777777" w:rsidR="00882C69" w:rsidRPr="00167A1B" w:rsidRDefault="00882C69" w:rsidP="0047194C">
            <w:pPr>
              <w:spacing w:after="0"/>
              <w:jc w:val="center"/>
              <w:rPr>
                <w:sz w:val="18"/>
                <w:szCs w:val="18"/>
              </w:rPr>
            </w:pPr>
            <w:r w:rsidRPr="00167A1B">
              <w:rPr>
                <w:sz w:val="18"/>
                <w:szCs w:val="18"/>
              </w:rPr>
              <w:t>Package combining PO 1, 2 &amp; 4a</w:t>
            </w:r>
          </w:p>
        </w:tc>
      </w:tr>
      <w:tr w:rsidR="00882C69" w:rsidRPr="00167A1B" w14:paraId="2A3152D3" w14:textId="77777777" w:rsidTr="0047194C">
        <w:trPr>
          <w:trHeight w:val="414"/>
        </w:trPr>
        <w:tc>
          <w:tcPr>
            <w:tcW w:w="988" w:type="dxa"/>
            <w:vMerge w:val="restart"/>
          </w:tcPr>
          <w:p w14:paraId="2AF9F2F5" w14:textId="77777777" w:rsidR="00882C69" w:rsidRPr="00167A1B" w:rsidRDefault="00882C69" w:rsidP="0047194C">
            <w:pPr>
              <w:spacing w:after="0"/>
              <w:jc w:val="left"/>
              <w:rPr>
                <w:b/>
                <w:bCs/>
                <w:sz w:val="18"/>
                <w:szCs w:val="18"/>
              </w:rPr>
            </w:pPr>
            <w:r w:rsidRPr="00167A1B">
              <w:rPr>
                <w:b/>
                <w:bCs/>
                <w:sz w:val="18"/>
                <w:szCs w:val="18"/>
              </w:rPr>
              <w:t>Environ-mental</w:t>
            </w:r>
          </w:p>
        </w:tc>
        <w:tc>
          <w:tcPr>
            <w:tcW w:w="2313" w:type="dxa"/>
            <w:vAlign w:val="center"/>
          </w:tcPr>
          <w:p w14:paraId="51EA615E" w14:textId="77777777" w:rsidR="00882C69" w:rsidRPr="00167A1B" w:rsidRDefault="00882C69" w:rsidP="0047194C">
            <w:pPr>
              <w:spacing w:after="0"/>
              <w:jc w:val="left"/>
              <w:rPr>
                <w:sz w:val="18"/>
                <w:szCs w:val="18"/>
              </w:rPr>
            </w:pPr>
            <w:r w:rsidRPr="00167A1B">
              <w:rPr>
                <w:sz w:val="18"/>
                <w:szCs w:val="18"/>
              </w:rPr>
              <w:t>GHG emissions</w:t>
            </w:r>
          </w:p>
        </w:tc>
        <w:tc>
          <w:tcPr>
            <w:tcW w:w="1153" w:type="dxa"/>
            <w:shd w:val="clear" w:color="auto" w:fill="CDF7E9" w:themeFill="accent4" w:themeFillTint="33"/>
            <w:vAlign w:val="center"/>
          </w:tcPr>
          <w:p w14:paraId="27A62E1D" w14:textId="77777777" w:rsidR="00882C69" w:rsidRPr="00167A1B" w:rsidRDefault="00882C69" w:rsidP="0047194C">
            <w:pPr>
              <w:spacing w:after="0"/>
              <w:jc w:val="center"/>
              <w:rPr>
                <w:sz w:val="18"/>
                <w:szCs w:val="18"/>
              </w:rPr>
            </w:pPr>
            <w:r w:rsidRPr="00167A1B">
              <w:rPr>
                <w:sz w:val="18"/>
                <w:szCs w:val="18"/>
              </w:rPr>
              <w:t>0/+</w:t>
            </w:r>
          </w:p>
        </w:tc>
        <w:tc>
          <w:tcPr>
            <w:tcW w:w="1153" w:type="dxa"/>
            <w:shd w:val="clear" w:color="auto" w:fill="FAE1DC" w:themeFill="accent1" w:themeFillTint="33"/>
            <w:vAlign w:val="center"/>
          </w:tcPr>
          <w:p w14:paraId="2D43D5A5" w14:textId="77777777" w:rsidR="00882C69" w:rsidRPr="00167A1B" w:rsidRDefault="00882C69" w:rsidP="0047194C">
            <w:pPr>
              <w:spacing w:after="0"/>
              <w:jc w:val="center"/>
              <w:rPr>
                <w:sz w:val="18"/>
                <w:szCs w:val="18"/>
              </w:rPr>
            </w:pPr>
            <w:r w:rsidRPr="00167A1B">
              <w:rPr>
                <w:sz w:val="18"/>
                <w:szCs w:val="18"/>
              </w:rPr>
              <w:t>0/-</w:t>
            </w:r>
          </w:p>
        </w:tc>
        <w:tc>
          <w:tcPr>
            <w:tcW w:w="1153" w:type="dxa"/>
            <w:shd w:val="clear" w:color="auto" w:fill="69E7BD" w:themeFill="accent4" w:themeFillTint="99"/>
            <w:vAlign w:val="center"/>
          </w:tcPr>
          <w:p w14:paraId="1E67DCE1"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69E7BD" w:themeFill="accent4" w:themeFillTint="99"/>
            <w:vAlign w:val="center"/>
          </w:tcPr>
          <w:p w14:paraId="11917796" w14:textId="77777777" w:rsidR="00882C69" w:rsidRPr="00167A1B" w:rsidRDefault="00882C69" w:rsidP="0047194C">
            <w:pPr>
              <w:spacing w:after="0"/>
              <w:jc w:val="center"/>
              <w:rPr>
                <w:sz w:val="18"/>
                <w:szCs w:val="18"/>
              </w:rPr>
            </w:pPr>
            <w:r w:rsidRPr="00167A1B">
              <w:rPr>
                <w:sz w:val="18"/>
                <w:szCs w:val="18"/>
              </w:rPr>
              <w:t>+/++</w:t>
            </w:r>
          </w:p>
        </w:tc>
        <w:tc>
          <w:tcPr>
            <w:tcW w:w="1154" w:type="dxa"/>
            <w:shd w:val="clear" w:color="auto" w:fill="69E7BD" w:themeFill="accent4" w:themeFillTint="99"/>
            <w:vAlign w:val="center"/>
          </w:tcPr>
          <w:p w14:paraId="14A572C9" w14:textId="77777777" w:rsidR="00882C69" w:rsidRPr="00167A1B" w:rsidRDefault="00882C69" w:rsidP="0047194C">
            <w:pPr>
              <w:spacing w:after="0"/>
              <w:jc w:val="center"/>
              <w:rPr>
                <w:sz w:val="18"/>
                <w:szCs w:val="18"/>
              </w:rPr>
            </w:pPr>
            <w:r w:rsidRPr="00167A1B">
              <w:rPr>
                <w:sz w:val="18"/>
                <w:szCs w:val="18"/>
              </w:rPr>
              <w:t>+/++</w:t>
            </w:r>
          </w:p>
        </w:tc>
      </w:tr>
      <w:tr w:rsidR="00882C69" w:rsidRPr="00167A1B" w14:paraId="4757780C" w14:textId="77777777" w:rsidTr="0047194C">
        <w:trPr>
          <w:trHeight w:val="414"/>
        </w:trPr>
        <w:tc>
          <w:tcPr>
            <w:tcW w:w="988" w:type="dxa"/>
            <w:vMerge/>
          </w:tcPr>
          <w:p w14:paraId="41433F45" w14:textId="77777777" w:rsidR="00882C69" w:rsidRPr="00167A1B" w:rsidRDefault="00882C69" w:rsidP="0047194C">
            <w:pPr>
              <w:spacing w:after="0"/>
              <w:jc w:val="left"/>
              <w:rPr>
                <w:b/>
                <w:bCs/>
                <w:sz w:val="18"/>
                <w:szCs w:val="18"/>
              </w:rPr>
            </w:pPr>
          </w:p>
        </w:tc>
        <w:tc>
          <w:tcPr>
            <w:tcW w:w="2313" w:type="dxa"/>
            <w:vAlign w:val="center"/>
          </w:tcPr>
          <w:p w14:paraId="4BDF1302" w14:textId="77777777" w:rsidR="00882C69" w:rsidRPr="00167A1B" w:rsidRDefault="00882C69" w:rsidP="0047194C">
            <w:pPr>
              <w:spacing w:after="0"/>
              <w:jc w:val="left"/>
              <w:rPr>
                <w:sz w:val="18"/>
                <w:szCs w:val="18"/>
              </w:rPr>
            </w:pPr>
            <w:r w:rsidRPr="00167A1B">
              <w:rPr>
                <w:sz w:val="18"/>
                <w:szCs w:val="18"/>
              </w:rPr>
              <w:t>Material use</w:t>
            </w:r>
          </w:p>
        </w:tc>
        <w:tc>
          <w:tcPr>
            <w:tcW w:w="1153" w:type="dxa"/>
            <w:shd w:val="clear" w:color="auto" w:fill="CDF7E9" w:themeFill="accent4" w:themeFillTint="33"/>
            <w:vAlign w:val="center"/>
          </w:tcPr>
          <w:p w14:paraId="47E8FE81" w14:textId="77777777" w:rsidR="00882C69" w:rsidRPr="00167A1B" w:rsidRDefault="00882C69" w:rsidP="0047194C">
            <w:pPr>
              <w:spacing w:after="0"/>
              <w:jc w:val="center"/>
              <w:rPr>
                <w:sz w:val="18"/>
                <w:szCs w:val="18"/>
              </w:rPr>
            </w:pPr>
            <w:r w:rsidRPr="00167A1B">
              <w:rPr>
                <w:sz w:val="18"/>
                <w:szCs w:val="18"/>
              </w:rPr>
              <w:t>0/+</w:t>
            </w:r>
          </w:p>
        </w:tc>
        <w:tc>
          <w:tcPr>
            <w:tcW w:w="1153" w:type="dxa"/>
            <w:shd w:val="clear" w:color="auto" w:fill="FAE1DC" w:themeFill="accent1" w:themeFillTint="33"/>
            <w:vAlign w:val="center"/>
          </w:tcPr>
          <w:p w14:paraId="50787F57" w14:textId="77777777" w:rsidR="00882C69" w:rsidRPr="00167A1B" w:rsidRDefault="00882C69" w:rsidP="0047194C">
            <w:pPr>
              <w:spacing w:after="0"/>
              <w:jc w:val="center"/>
              <w:rPr>
                <w:sz w:val="18"/>
                <w:szCs w:val="18"/>
              </w:rPr>
            </w:pPr>
            <w:r w:rsidRPr="00167A1B">
              <w:rPr>
                <w:sz w:val="18"/>
                <w:szCs w:val="18"/>
              </w:rPr>
              <w:t>0/-</w:t>
            </w:r>
          </w:p>
        </w:tc>
        <w:tc>
          <w:tcPr>
            <w:tcW w:w="1153" w:type="dxa"/>
            <w:shd w:val="clear" w:color="auto" w:fill="69E7BD" w:themeFill="accent4" w:themeFillTint="99"/>
            <w:vAlign w:val="center"/>
          </w:tcPr>
          <w:p w14:paraId="39BA1CB3"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69E7BD" w:themeFill="accent4" w:themeFillTint="99"/>
            <w:vAlign w:val="center"/>
          </w:tcPr>
          <w:p w14:paraId="33EBCEAD" w14:textId="77777777" w:rsidR="00882C69" w:rsidRPr="00167A1B" w:rsidRDefault="00882C69" w:rsidP="0047194C">
            <w:pPr>
              <w:spacing w:after="0"/>
              <w:jc w:val="center"/>
              <w:rPr>
                <w:sz w:val="18"/>
                <w:szCs w:val="18"/>
              </w:rPr>
            </w:pPr>
            <w:r w:rsidRPr="00167A1B">
              <w:rPr>
                <w:sz w:val="18"/>
                <w:szCs w:val="18"/>
              </w:rPr>
              <w:t>+/++</w:t>
            </w:r>
          </w:p>
        </w:tc>
        <w:tc>
          <w:tcPr>
            <w:tcW w:w="1154" w:type="dxa"/>
            <w:shd w:val="clear" w:color="auto" w:fill="69E7BD" w:themeFill="accent4" w:themeFillTint="99"/>
            <w:vAlign w:val="center"/>
          </w:tcPr>
          <w:p w14:paraId="78649FE8" w14:textId="77777777" w:rsidR="00882C69" w:rsidRPr="00167A1B" w:rsidRDefault="00882C69" w:rsidP="0047194C">
            <w:pPr>
              <w:spacing w:after="0"/>
              <w:jc w:val="center"/>
              <w:rPr>
                <w:sz w:val="18"/>
                <w:szCs w:val="18"/>
              </w:rPr>
            </w:pPr>
            <w:r w:rsidRPr="00167A1B">
              <w:rPr>
                <w:sz w:val="18"/>
                <w:szCs w:val="18"/>
              </w:rPr>
              <w:t>+/++</w:t>
            </w:r>
          </w:p>
        </w:tc>
      </w:tr>
      <w:tr w:rsidR="00882C69" w:rsidRPr="00167A1B" w14:paraId="6AF3136F" w14:textId="77777777" w:rsidTr="0047194C">
        <w:trPr>
          <w:trHeight w:val="414"/>
        </w:trPr>
        <w:tc>
          <w:tcPr>
            <w:tcW w:w="988" w:type="dxa"/>
            <w:vMerge/>
          </w:tcPr>
          <w:p w14:paraId="01A54C70" w14:textId="77777777" w:rsidR="00882C69" w:rsidRPr="00167A1B" w:rsidRDefault="00882C69" w:rsidP="0047194C">
            <w:pPr>
              <w:spacing w:after="0"/>
              <w:jc w:val="left"/>
              <w:rPr>
                <w:b/>
                <w:bCs/>
                <w:sz w:val="18"/>
                <w:szCs w:val="18"/>
              </w:rPr>
            </w:pPr>
          </w:p>
        </w:tc>
        <w:tc>
          <w:tcPr>
            <w:tcW w:w="2313" w:type="dxa"/>
            <w:vAlign w:val="center"/>
          </w:tcPr>
          <w:p w14:paraId="3D7223A1" w14:textId="77777777" w:rsidR="00882C69" w:rsidRPr="00167A1B" w:rsidRDefault="00882C69" w:rsidP="0047194C">
            <w:pPr>
              <w:spacing w:after="0"/>
              <w:jc w:val="left"/>
              <w:rPr>
                <w:sz w:val="18"/>
                <w:szCs w:val="18"/>
              </w:rPr>
            </w:pPr>
            <w:r w:rsidRPr="00167A1B">
              <w:rPr>
                <w:sz w:val="18"/>
                <w:szCs w:val="18"/>
              </w:rPr>
              <w:t>Electronic waste</w:t>
            </w:r>
          </w:p>
        </w:tc>
        <w:tc>
          <w:tcPr>
            <w:tcW w:w="1153" w:type="dxa"/>
            <w:shd w:val="clear" w:color="auto" w:fill="auto"/>
            <w:vAlign w:val="center"/>
          </w:tcPr>
          <w:p w14:paraId="5ECDA124" w14:textId="77777777" w:rsidR="00882C69" w:rsidRPr="00167A1B" w:rsidRDefault="00882C69" w:rsidP="0047194C">
            <w:pPr>
              <w:spacing w:after="0"/>
              <w:jc w:val="center"/>
              <w:rPr>
                <w:sz w:val="18"/>
                <w:szCs w:val="18"/>
              </w:rPr>
            </w:pPr>
            <w:r w:rsidRPr="00167A1B">
              <w:rPr>
                <w:sz w:val="18"/>
                <w:szCs w:val="18"/>
              </w:rPr>
              <w:t>0</w:t>
            </w:r>
          </w:p>
        </w:tc>
        <w:tc>
          <w:tcPr>
            <w:tcW w:w="1153" w:type="dxa"/>
            <w:shd w:val="clear" w:color="auto" w:fill="FAE1DC" w:themeFill="accent1" w:themeFillTint="33"/>
            <w:vAlign w:val="center"/>
          </w:tcPr>
          <w:p w14:paraId="11ABDC97" w14:textId="77777777" w:rsidR="00882C69" w:rsidRPr="00167A1B" w:rsidRDefault="00882C69" w:rsidP="0047194C">
            <w:pPr>
              <w:spacing w:after="0"/>
              <w:jc w:val="center"/>
              <w:rPr>
                <w:sz w:val="18"/>
                <w:szCs w:val="18"/>
              </w:rPr>
            </w:pPr>
            <w:r w:rsidRPr="00167A1B">
              <w:rPr>
                <w:sz w:val="18"/>
                <w:szCs w:val="18"/>
              </w:rPr>
              <w:t>0/-</w:t>
            </w:r>
          </w:p>
        </w:tc>
        <w:tc>
          <w:tcPr>
            <w:tcW w:w="1153" w:type="dxa"/>
            <w:shd w:val="clear" w:color="auto" w:fill="9BEFD3" w:themeFill="accent4" w:themeFillTint="66"/>
            <w:vAlign w:val="center"/>
          </w:tcPr>
          <w:p w14:paraId="093A3FA9"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9BEFD3" w:themeFill="accent4" w:themeFillTint="66"/>
            <w:vAlign w:val="center"/>
          </w:tcPr>
          <w:p w14:paraId="1AA8EFB8" w14:textId="77777777" w:rsidR="00882C69" w:rsidRPr="00167A1B" w:rsidRDefault="00882C69" w:rsidP="0047194C">
            <w:pPr>
              <w:spacing w:after="0"/>
              <w:jc w:val="center"/>
              <w:rPr>
                <w:sz w:val="18"/>
                <w:szCs w:val="18"/>
              </w:rPr>
            </w:pPr>
            <w:r w:rsidRPr="00167A1B">
              <w:rPr>
                <w:sz w:val="18"/>
                <w:szCs w:val="18"/>
              </w:rPr>
              <w:t>+</w:t>
            </w:r>
          </w:p>
        </w:tc>
        <w:tc>
          <w:tcPr>
            <w:tcW w:w="1154" w:type="dxa"/>
            <w:shd w:val="clear" w:color="auto" w:fill="9BEFD3" w:themeFill="accent4" w:themeFillTint="66"/>
            <w:vAlign w:val="center"/>
          </w:tcPr>
          <w:p w14:paraId="5E011798" w14:textId="77777777" w:rsidR="00882C69" w:rsidRPr="00167A1B" w:rsidRDefault="00882C69" w:rsidP="0047194C">
            <w:pPr>
              <w:spacing w:after="0"/>
              <w:jc w:val="center"/>
              <w:rPr>
                <w:sz w:val="18"/>
                <w:szCs w:val="18"/>
              </w:rPr>
            </w:pPr>
            <w:r w:rsidRPr="00167A1B">
              <w:rPr>
                <w:sz w:val="18"/>
                <w:szCs w:val="18"/>
              </w:rPr>
              <w:t>+</w:t>
            </w:r>
          </w:p>
        </w:tc>
      </w:tr>
      <w:tr w:rsidR="00882C69" w:rsidRPr="00167A1B" w14:paraId="5C6231D3" w14:textId="77777777" w:rsidTr="0047194C">
        <w:trPr>
          <w:trHeight w:val="414"/>
        </w:trPr>
        <w:tc>
          <w:tcPr>
            <w:tcW w:w="988" w:type="dxa"/>
            <w:vMerge w:val="restart"/>
          </w:tcPr>
          <w:p w14:paraId="0A3D74C6" w14:textId="77777777" w:rsidR="00882C69" w:rsidRPr="00167A1B" w:rsidRDefault="00882C69" w:rsidP="0047194C">
            <w:pPr>
              <w:spacing w:after="0"/>
              <w:jc w:val="left"/>
              <w:rPr>
                <w:b/>
                <w:bCs/>
                <w:sz w:val="18"/>
                <w:szCs w:val="18"/>
              </w:rPr>
            </w:pPr>
            <w:r w:rsidRPr="00167A1B">
              <w:rPr>
                <w:b/>
                <w:bCs/>
                <w:sz w:val="18"/>
                <w:szCs w:val="18"/>
              </w:rPr>
              <w:t>Economic</w:t>
            </w:r>
          </w:p>
        </w:tc>
        <w:tc>
          <w:tcPr>
            <w:tcW w:w="2313" w:type="dxa"/>
            <w:vAlign w:val="center"/>
          </w:tcPr>
          <w:p w14:paraId="72B595AF" w14:textId="77777777" w:rsidR="00882C69" w:rsidRPr="00167A1B" w:rsidRDefault="00882C69" w:rsidP="0047194C">
            <w:pPr>
              <w:spacing w:after="0"/>
              <w:jc w:val="left"/>
              <w:rPr>
                <w:sz w:val="18"/>
                <w:szCs w:val="18"/>
              </w:rPr>
            </w:pPr>
            <w:r w:rsidRPr="00167A1B">
              <w:rPr>
                <w:sz w:val="18"/>
                <w:szCs w:val="18"/>
              </w:rPr>
              <w:t xml:space="preserve">Cost to consumers </w:t>
            </w:r>
          </w:p>
        </w:tc>
        <w:tc>
          <w:tcPr>
            <w:tcW w:w="1153" w:type="dxa"/>
            <w:shd w:val="clear" w:color="auto" w:fill="69E7BD" w:themeFill="accent4" w:themeFillTint="99"/>
            <w:vAlign w:val="center"/>
          </w:tcPr>
          <w:p w14:paraId="3B3C5EE6"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69E7BD" w:themeFill="accent4" w:themeFillTint="99"/>
            <w:vAlign w:val="center"/>
          </w:tcPr>
          <w:p w14:paraId="16116F01"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69E7BD" w:themeFill="accent4" w:themeFillTint="99"/>
            <w:vAlign w:val="center"/>
          </w:tcPr>
          <w:p w14:paraId="35DC3DD9"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auto"/>
            <w:vAlign w:val="center"/>
          </w:tcPr>
          <w:p w14:paraId="5D3D886B" w14:textId="77777777" w:rsidR="00882C69" w:rsidRPr="00167A1B" w:rsidRDefault="00882C69" w:rsidP="0047194C">
            <w:pPr>
              <w:spacing w:after="0"/>
              <w:jc w:val="center"/>
              <w:rPr>
                <w:sz w:val="18"/>
                <w:szCs w:val="18"/>
              </w:rPr>
            </w:pPr>
            <w:r w:rsidRPr="00167A1B">
              <w:rPr>
                <w:sz w:val="18"/>
                <w:szCs w:val="18"/>
              </w:rPr>
              <w:t>0</w:t>
            </w:r>
          </w:p>
        </w:tc>
        <w:tc>
          <w:tcPr>
            <w:tcW w:w="1154" w:type="dxa"/>
            <w:shd w:val="clear" w:color="auto" w:fill="9BEFD3" w:themeFill="accent4" w:themeFillTint="66"/>
            <w:vAlign w:val="center"/>
          </w:tcPr>
          <w:p w14:paraId="1CA761DE" w14:textId="77777777" w:rsidR="00882C69" w:rsidRPr="00167A1B" w:rsidRDefault="00882C69" w:rsidP="0047194C">
            <w:pPr>
              <w:spacing w:after="0"/>
              <w:jc w:val="center"/>
              <w:rPr>
                <w:sz w:val="18"/>
                <w:szCs w:val="18"/>
              </w:rPr>
            </w:pPr>
            <w:r w:rsidRPr="00167A1B">
              <w:rPr>
                <w:sz w:val="18"/>
                <w:szCs w:val="18"/>
              </w:rPr>
              <w:t>+</w:t>
            </w:r>
          </w:p>
        </w:tc>
      </w:tr>
      <w:tr w:rsidR="00882C69" w:rsidRPr="00167A1B" w14:paraId="0CC9AE73" w14:textId="77777777" w:rsidTr="0047194C">
        <w:trPr>
          <w:trHeight w:val="414"/>
        </w:trPr>
        <w:tc>
          <w:tcPr>
            <w:tcW w:w="988" w:type="dxa"/>
            <w:vMerge/>
          </w:tcPr>
          <w:p w14:paraId="3E1E63FD" w14:textId="77777777" w:rsidR="00882C69" w:rsidRPr="00167A1B" w:rsidRDefault="00882C69" w:rsidP="0047194C">
            <w:pPr>
              <w:spacing w:after="0"/>
              <w:jc w:val="left"/>
              <w:rPr>
                <w:b/>
                <w:bCs/>
                <w:sz w:val="18"/>
                <w:szCs w:val="18"/>
              </w:rPr>
            </w:pPr>
          </w:p>
        </w:tc>
        <w:tc>
          <w:tcPr>
            <w:tcW w:w="2313" w:type="dxa"/>
            <w:vAlign w:val="center"/>
          </w:tcPr>
          <w:p w14:paraId="2EEEAFD0" w14:textId="52BED172" w:rsidR="00882C69" w:rsidRPr="00167A1B" w:rsidRDefault="00882C69" w:rsidP="0047194C">
            <w:pPr>
              <w:spacing w:after="0"/>
              <w:jc w:val="left"/>
              <w:rPr>
                <w:sz w:val="18"/>
                <w:szCs w:val="18"/>
              </w:rPr>
            </w:pPr>
            <w:r w:rsidRPr="00167A1B">
              <w:rPr>
                <w:sz w:val="18"/>
                <w:szCs w:val="18"/>
              </w:rPr>
              <w:t xml:space="preserve">Gross profit of manufacturers of chargers </w:t>
            </w:r>
          </w:p>
        </w:tc>
        <w:tc>
          <w:tcPr>
            <w:tcW w:w="1153" w:type="dxa"/>
            <w:shd w:val="clear" w:color="auto" w:fill="F0A697" w:themeFill="accent1" w:themeFillTint="99"/>
            <w:vAlign w:val="center"/>
          </w:tcPr>
          <w:p w14:paraId="15DB7C4E"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F0A697" w:themeFill="accent1" w:themeFillTint="99"/>
            <w:vAlign w:val="center"/>
          </w:tcPr>
          <w:p w14:paraId="203C8997"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E76C53" w:themeFill="accent1"/>
            <w:vAlign w:val="center"/>
          </w:tcPr>
          <w:p w14:paraId="4D7723BF"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F0A697" w:themeFill="accent1" w:themeFillTint="99"/>
            <w:vAlign w:val="center"/>
          </w:tcPr>
          <w:p w14:paraId="6EA33192" w14:textId="77777777" w:rsidR="00882C69" w:rsidRPr="00167A1B" w:rsidRDefault="00882C69" w:rsidP="0047194C">
            <w:pPr>
              <w:spacing w:after="0"/>
              <w:jc w:val="center"/>
              <w:rPr>
                <w:sz w:val="18"/>
                <w:szCs w:val="18"/>
              </w:rPr>
            </w:pPr>
            <w:r w:rsidRPr="00167A1B">
              <w:rPr>
                <w:sz w:val="18"/>
                <w:szCs w:val="18"/>
              </w:rPr>
              <w:t>-/--</w:t>
            </w:r>
          </w:p>
        </w:tc>
        <w:tc>
          <w:tcPr>
            <w:tcW w:w="1154" w:type="dxa"/>
            <w:shd w:val="clear" w:color="auto" w:fill="F0A697" w:themeFill="accent1" w:themeFillTint="99"/>
            <w:vAlign w:val="center"/>
          </w:tcPr>
          <w:p w14:paraId="05B1B06B" w14:textId="77777777" w:rsidR="00882C69" w:rsidRPr="00167A1B" w:rsidRDefault="00882C69" w:rsidP="0047194C">
            <w:pPr>
              <w:spacing w:after="0"/>
              <w:jc w:val="center"/>
              <w:rPr>
                <w:sz w:val="18"/>
                <w:szCs w:val="18"/>
              </w:rPr>
            </w:pPr>
            <w:r w:rsidRPr="00167A1B">
              <w:rPr>
                <w:sz w:val="18"/>
                <w:szCs w:val="18"/>
              </w:rPr>
              <w:t>-/--</w:t>
            </w:r>
          </w:p>
        </w:tc>
      </w:tr>
      <w:tr w:rsidR="00882C69" w:rsidRPr="00167A1B" w14:paraId="5AF51663" w14:textId="77777777" w:rsidTr="0047194C">
        <w:trPr>
          <w:trHeight w:val="414"/>
        </w:trPr>
        <w:tc>
          <w:tcPr>
            <w:tcW w:w="988" w:type="dxa"/>
            <w:vMerge/>
          </w:tcPr>
          <w:p w14:paraId="30362062" w14:textId="77777777" w:rsidR="00882C69" w:rsidRPr="00167A1B" w:rsidRDefault="00882C69" w:rsidP="0047194C">
            <w:pPr>
              <w:spacing w:after="0"/>
              <w:jc w:val="left"/>
              <w:rPr>
                <w:b/>
                <w:bCs/>
                <w:sz w:val="18"/>
                <w:szCs w:val="18"/>
              </w:rPr>
            </w:pPr>
          </w:p>
        </w:tc>
        <w:tc>
          <w:tcPr>
            <w:tcW w:w="2313" w:type="dxa"/>
            <w:vAlign w:val="center"/>
          </w:tcPr>
          <w:p w14:paraId="278528B1" w14:textId="7D75D116" w:rsidR="00882C69" w:rsidRPr="00167A1B" w:rsidRDefault="00882C69" w:rsidP="0047194C">
            <w:pPr>
              <w:spacing w:after="0"/>
              <w:jc w:val="left"/>
              <w:rPr>
                <w:sz w:val="18"/>
                <w:szCs w:val="18"/>
              </w:rPr>
            </w:pPr>
            <w:r w:rsidRPr="00167A1B">
              <w:rPr>
                <w:sz w:val="18"/>
                <w:szCs w:val="18"/>
              </w:rPr>
              <w:t xml:space="preserve">Gross profit of distributors and retailers </w:t>
            </w:r>
          </w:p>
        </w:tc>
        <w:tc>
          <w:tcPr>
            <w:tcW w:w="1153" w:type="dxa"/>
            <w:shd w:val="clear" w:color="auto" w:fill="F0A697" w:themeFill="accent1" w:themeFillTint="99"/>
            <w:vAlign w:val="center"/>
          </w:tcPr>
          <w:p w14:paraId="3A76E704"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F0A697" w:themeFill="accent1" w:themeFillTint="99"/>
            <w:vAlign w:val="center"/>
          </w:tcPr>
          <w:p w14:paraId="7E8960B0"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9BEFD3" w:themeFill="accent4" w:themeFillTint="66"/>
            <w:vAlign w:val="center"/>
          </w:tcPr>
          <w:p w14:paraId="774F30C7"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69E7BD" w:themeFill="accent4" w:themeFillTint="99"/>
            <w:vAlign w:val="center"/>
          </w:tcPr>
          <w:p w14:paraId="340F316A" w14:textId="77777777" w:rsidR="00882C69" w:rsidRPr="00167A1B" w:rsidRDefault="00882C69" w:rsidP="0047194C">
            <w:pPr>
              <w:spacing w:after="0"/>
              <w:jc w:val="center"/>
              <w:rPr>
                <w:sz w:val="18"/>
                <w:szCs w:val="18"/>
              </w:rPr>
            </w:pPr>
            <w:r w:rsidRPr="00167A1B">
              <w:rPr>
                <w:sz w:val="18"/>
                <w:szCs w:val="18"/>
              </w:rPr>
              <w:t>+/++</w:t>
            </w:r>
          </w:p>
        </w:tc>
        <w:tc>
          <w:tcPr>
            <w:tcW w:w="1154" w:type="dxa"/>
            <w:shd w:val="clear" w:color="auto" w:fill="69E7BD" w:themeFill="accent4" w:themeFillTint="99"/>
            <w:vAlign w:val="center"/>
          </w:tcPr>
          <w:p w14:paraId="45E7715F" w14:textId="77777777" w:rsidR="00882C69" w:rsidRPr="00167A1B" w:rsidRDefault="00882C69" w:rsidP="0047194C">
            <w:pPr>
              <w:spacing w:after="0"/>
              <w:jc w:val="center"/>
              <w:rPr>
                <w:sz w:val="18"/>
                <w:szCs w:val="18"/>
              </w:rPr>
            </w:pPr>
            <w:r w:rsidRPr="00167A1B">
              <w:rPr>
                <w:sz w:val="18"/>
                <w:szCs w:val="18"/>
              </w:rPr>
              <w:t>+/++</w:t>
            </w:r>
          </w:p>
        </w:tc>
      </w:tr>
      <w:tr w:rsidR="00882C69" w:rsidRPr="00167A1B" w14:paraId="318CA501" w14:textId="77777777" w:rsidTr="0047194C">
        <w:trPr>
          <w:trHeight w:val="20"/>
        </w:trPr>
        <w:tc>
          <w:tcPr>
            <w:tcW w:w="988" w:type="dxa"/>
            <w:vMerge/>
          </w:tcPr>
          <w:p w14:paraId="0768BBBF" w14:textId="77777777" w:rsidR="00882C69" w:rsidRPr="00167A1B" w:rsidRDefault="00882C69" w:rsidP="0047194C">
            <w:pPr>
              <w:spacing w:after="0"/>
              <w:jc w:val="left"/>
              <w:rPr>
                <w:b/>
                <w:bCs/>
                <w:sz w:val="18"/>
                <w:szCs w:val="18"/>
              </w:rPr>
            </w:pPr>
          </w:p>
        </w:tc>
        <w:tc>
          <w:tcPr>
            <w:tcW w:w="2313" w:type="dxa"/>
            <w:vAlign w:val="center"/>
          </w:tcPr>
          <w:p w14:paraId="57F73174" w14:textId="77777777" w:rsidR="00882C69" w:rsidRPr="00167A1B" w:rsidRDefault="00882C69" w:rsidP="0047194C">
            <w:pPr>
              <w:spacing w:after="0"/>
              <w:jc w:val="left"/>
              <w:rPr>
                <w:sz w:val="18"/>
                <w:szCs w:val="18"/>
              </w:rPr>
            </w:pPr>
            <w:r w:rsidRPr="00167A1B">
              <w:rPr>
                <w:sz w:val="18"/>
                <w:szCs w:val="18"/>
              </w:rPr>
              <w:t>Innovation</w:t>
            </w:r>
          </w:p>
        </w:tc>
        <w:tc>
          <w:tcPr>
            <w:tcW w:w="1153" w:type="dxa"/>
            <w:shd w:val="clear" w:color="auto" w:fill="FAE1DC"/>
            <w:vAlign w:val="center"/>
          </w:tcPr>
          <w:p w14:paraId="41310948" w14:textId="77777777" w:rsidR="00882C69" w:rsidRPr="00167A1B" w:rsidRDefault="00882C69" w:rsidP="0047194C">
            <w:pPr>
              <w:spacing w:after="0"/>
              <w:jc w:val="center"/>
              <w:rPr>
                <w:sz w:val="18"/>
                <w:szCs w:val="18"/>
              </w:rPr>
            </w:pPr>
            <w:r w:rsidRPr="00167A1B">
              <w:rPr>
                <w:sz w:val="18"/>
                <w:szCs w:val="18"/>
              </w:rPr>
              <w:t>0/-</w:t>
            </w:r>
          </w:p>
        </w:tc>
        <w:tc>
          <w:tcPr>
            <w:tcW w:w="1153" w:type="dxa"/>
            <w:shd w:val="clear" w:color="auto" w:fill="E76C53"/>
            <w:vAlign w:val="center"/>
          </w:tcPr>
          <w:p w14:paraId="113DD657"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FAE1DC"/>
            <w:vAlign w:val="center"/>
          </w:tcPr>
          <w:p w14:paraId="0C549084" w14:textId="77777777" w:rsidR="00882C69" w:rsidRPr="00167A1B" w:rsidRDefault="00882C69" w:rsidP="0047194C">
            <w:pPr>
              <w:spacing w:after="0"/>
              <w:jc w:val="center"/>
              <w:rPr>
                <w:sz w:val="18"/>
                <w:szCs w:val="18"/>
              </w:rPr>
            </w:pPr>
            <w:r w:rsidRPr="00167A1B">
              <w:rPr>
                <w:sz w:val="18"/>
                <w:szCs w:val="18"/>
              </w:rPr>
              <w:t>0/-</w:t>
            </w:r>
          </w:p>
        </w:tc>
        <w:tc>
          <w:tcPr>
            <w:tcW w:w="1153" w:type="dxa"/>
            <w:shd w:val="clear" w:color="auto" w:fill="auto"/>
            <w:vAlign w:val="center"/>
          </w:tcPr>
          <w:p w14:paraId="2338C151" w14:textId="77777777" w:rsidR="00882C69" w:rsidRPr="00167A1B" w:rsidRDefault="00882C69" w:rsidP="0047194C">
            <w:pPr>
              <w:spacing w:after="0"/>
              <w:jc w:val="center"/>
              <w:rPr>
                <w:sz w:val="18"/>
                <w:szCs w:val="18"/>
              </w:rPr>
            </w:pPr>
            <w:r w:rsidRPr="00167A1B">
              <w:rPr>
                <w:sz w:val="18"/>
                <w:szCs w:val="18"/>
              </w:rPr>
              <w:t>0</w:t>
            </w:r>
          </w:p>
        </w:tc>
        <w:tc>
          <w:tcPr>
            <w:tcW w:w="1154" w:type="dxa"/>
            <w:shd w:val="clear" w:color="auto" w:fill="FAE1DC"/>
            <w:vAlign w:val="center"/>
          </w:tcPr>
          <w:p w14:paraId="535CFE17" w14:textId="77777777" w:rsidR="00882C69" w:rsidRPr="00167A1B" w:rsidRDefault="00882C69" w:rsidP="0047194C">
            <w:pPr>
              <w:spacing w:after="0"/>
              <w:jc w:val="center"/>
              <w:rPr>
                <w:sz w:val="18"/>
                <w:szCs w:val="18"/>
              </w:rPr>
            </w:pPr>
            <w:r w:rsidRPr="00167A1B">
              <w:rPr>
                <w:sz w:val="18"/>
                <w:szCs w:val="18"/>
              </w:rPr>
              <w:t>0/-</w:t>
            </w:r>
          </w:p>
        </w:tc>
      </w:tr>
      <w:tr w:rsidR="00882C69" w:rsidRPr="00167A1B" w14:paraId="7744351F" w14:textId="77777777" w:rsidTr="0047194C">
        <w:trPr>
          <w:trHeight w:val="20"/>
        </w:trPr>
        <w:tc>
          <w:tcPr>
            <w:tcW w:w="988" w:type="dxa"/>
            <w:vMerge/>
          </w:tcPr>
          <w:p w14:paraId="7BA2D95F" w14:textId="77777777" w:rsidR="00882C69" w:rsidRPr="00167A1B" w:rsidRDefault="00882C69" w:rsidP="0047194C">
            <w:pPr>
              <w:spacing w:after="0"/>
              <w:jc w:val="left"/>
              <w:rPr>
                <w:b/>
                <w:bCs/>
                <w:sz w:val="18"/>
                <w:szCs w:val="18"/>
              </w:rPr>
            </w:pPr>
          </w:p>
        </w:tc>
        <w:tc>
          <w:tcPr>
            <w:tcW w:w="2313" w:type="dxa"/>
            <w:vAlign w:val="center"/>
          </w:tcPr>
          <w:p w14:paraId="317A12B0" w14:textId="77777777" w:rsidR="00882C69" w:rsidRPr="00167A1B" w:rsidRDefault="00882C69" w:rsidP="0047194C">
            <w:pPr>
              <w:spacing w:after="0"/>
              <w:jc w:val="left"/>
              <w:rPr>
                <w:sz w:val="18"/>
                <w:szCs w:val="18"/>
              </w:rPr>
            </w:pPr>
            <w:r w:rsidRPr="00167A1B">
              <w:rPr>
                <w:sz w:val="18"/>
                <w:szCs w:val="18"/>
              </w:rPr>
              <w:t>Other impacts on competitiveness</w:t>
            </w:r>
          </w:p>
        </w:tc>
        <w:tc>
          <w:tcPr>
            <w:tcW w:w="1153" w:type="dxa"/>
            <w:shd w:val="clear" w:color="auto" w:fill="F5C3B9"/>
            <w:vAlign w:val="center"/>
          </w:tcPr>
          <w:p w14:paraId="332BC979"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F0A697"/>
            <w:vAlign w:val="center"/>
          </w:tcPr>
          <w:p w14:paraId="31DCF123"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F5C3B9"/>
            <w:vAlign w:val="center"/>
          </w:tcPr>
          <w:p w14:paraId="041B9ED0"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auto"/>
            <w:vAlign w:val="center"/>
          </w:tcPr>
          <w:p w14:paraId="32A855E6" w14:textId="77777777" w:rsidR="00882C69" w:rsidRPr="00167A1B" w:rsidRDefault="00882C69" w:rsidP="0047194C">
            <w:pPr>
              <w:spacing w:after="0"/>
              <w:jc w:val="center"/>
              <w:rPr>
                <w:sz w:val="18"/>
                <w:szCs w:val="18"/>
              </w:rPr>
            </w:pPr>
            <w:r w:rsidRPr="00167A1B">
              <w:rPr>
                <w:sz w:val="18"/>
                <w:szCs w:val="18"/>
              </w:rPr>
              <w:t>0</w:t>
            </w:r>
          </w:p>
        </w:tc>
        <w:tc>
          <w:tcPr>
            <w:tcW w:w="1154" w:type="dxa"/>
            <w:shd w:val="clear" w:color="auto" w:fill="F5C3B9"/>
            <w:vAlign w:val="center"/>
          </w:tcPr>
          <w:p w14:paraId="7EF42534" w14:textId="77777777" w:rsidR="00882C69" w:rsidRPr="00167A1B" w:rsidRDefault="00882C69" w:rsidP="0047194C">
            <w:pPr>
              <w:spacing w:after="0"/>
              <w:jc w:val="center"/>
              <w:rPr>
                <w:sz w:val="18"/>
                <w:szCs w:val="18"/>
              </w:rPr>
            </w:pPr>
            <w:r w:rsidRPr="00167A1B">
              <w:rPr>
                <w:sz w:val="18"/>
                <w:szCs w:val="18"/>
              </w:rPr>
              <w:t>-</w:t>
            </w:r>
          </w:p>
        </w:tc>
      </w:tr>
      <w:tr w:rsidR="00882C69" w:rsidRPr="00167A1B" w14:paraId="06756E79" w14:textId="77777777" w:rsidTr="0047194C">
        <w:trPr>
          <w:trHeight w:val="20"/>
        </w:trPr>
        <w:tc>
          <w:tcPr>
            <w:tcW w:w="988" w:type="dxa"/>
            <w:vMerge/>
          </w:tcPr>
          <w:p w14:paraId="0EB6E292" w14:textId="77777777" w:rsidR="00882C69" w:rsidRPr="00167A1B" w:rsidRDefault="00882C69" w:rsidP="0047194C">
            <w:pPr>
              <w:spacing w:after="0"/>
              <w:jc w:val="left"/>
              <w:rPr>
                <w:b/>
                <w:bCs/>
                <w:sz w:val="18"/>
                <w:szCs w:val="18"/>
              </w:rPr>
            </w:pPr>
          </w:p>
        </w:tc>
        <w:tc>
          <w:tcPr>
            <w:tcW w:w="2313" w:type="dxa"/>
            <w:vAlign w:val="center"/>
          </w:tcPr>
          <w:p w14:paraId="191EBBB4" w14:textId="77777777" w:rsidR="00882C69" w:rsidRPr="00167A1B" w:rsidRDefault="00882C69" w:rsidP="0047194C">
            <w:pPr>
              <w:spacing w:after="0"/>
              <w:jc w:val="left"/>
              <w:rPr>
                <w:sz w:val="18"/>
                <w:szCs w:val="18"/>
              </w:rPr>
            </w:pPr>
            <w:r w:rsidRPr="00167A1B">
              <w:rPr>
                <w:sz w:val="18"/>
                <w:szCs w:val="18"/>
              </w:rPr>
              <w:t>Operating costs and conduct of business</w:t>
            </w:r>
          </w:p>
        </w:tc>
        <w:tc>
          <w:tcPr>
            <w:tcW w:w="1153" w:type="dxa"/>
            <w:shd w:val="clear" w:color="auto" w:fill="F5C3B9" w:themeFill="accent1" w:themeFillTint="66"/>
            <w:vAlign w:val="center"/>
          </w:tcPr>
          <w:p w14:paraId="4B13B8DD" w14:textId="781E227F" w:rsidR="00882C69" w:rsidRPr="00167A1B" w:rsidRDefault="00882C69" w:rsidP="0047194C">
            <w:pPr>
              <w:spacing w:after="0"/>
              <w:jc w:val="center"/>
              <w:rPr>
                <w:sz w:val="18"/>
                <w:szCs w:val="18"/>
              </w:rPr>
            </w:pPr>
            <w:r w:rsidRPr="00167A1B">
              <w:rPr>
                <w:sz w:val="18"/>
                <w:szCs w:val="18"/>
              </w:rPr>
              <w:t>-</w:t>
            </w:r>
          </w:p>
        </w:tc>
        <w:tc>
          <w:tcPr>
            <w:tcW w:w="1153" w:type="dxa"/>
            <w:shd w:val="clear" w:color="auto" w:fill="F0A697" w:themeFill="accent1" w:themeFillTint="99"/>
            <w:vAlign w:val="center"/>
          </w:tcPr>
          <w:p w14:paraId="4EA7D345"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F5C3B9" w:themeFill="accent1" w:themeFillTint="66"/>
            <w:vAlign w:val="center"/>
          </w:tcPr>
          <w:p w14:paraId="1760E7DE" w14:textId="371E6C61" w:rsidR="00882C69" w:rsidRPr="00167A1B" w:rsidRDefault="00882C69" w:rsidP="0047194C">
            <w:pPr>
              <w:spacing w:after="0"/>
              <w:jc w:val="center"/>
              <w:rPr>
                <w:sz w:val="18"/>
                <w:szCs w:val="18"/>
              </w:rPr>
            </w:pPr>
            <w:r w:rsidRPr="00167A1B">
              <w:rPr>
                <w:sz w:val="18"/>
                <w:szCs w:val="18"/>
              </w:rPr>
              <w:t>-</w:t>
            </w:r>
          </w:p>
        </w:tc>
        <w:tc>
          <w:tcPr>
            <w:tcW w:w="1153" w:type="dxa"/>
            <w:shd w:val="clear" w:color="auto" w:fill="F5C3B9"/>
            <w:vAlign w:val="center"/>
          </w:tcPr>
          <w:p w14:paraId="7BABF567" w14:textId="77777777" w:rsidR="00882C69" w:rsidRPr="00167A1B" w:rsidRDefault="00882C69" w:rsidP="0047194C">
            <w:pPr>
              <w:spacing w:after="0"/>
              <w:jc w:val="center"/>
              <w:rPr>
                <w:sz w:val="18"/>
                <w:szCs w:val="18"/>
              </w:rPr>
            </w:pPr>
            <w:r w:rsidRPr="00167A1B">
              <w:rPr>
                <w:sz w:val="18"/>
                <w:szCs w:val="18"/>
              </w:rPr>
              <w:t>-</w:t>
            </w:r>
          </w:p>
        </w:tc>
        <w:tc>
          <w:tcPr>
            <w:tcW w:w="1154" w:type="dxa"/>
            <w:shd w:val="clear" w:color="auto" w:fill="F0A697" w:themeFill="accent1" w:themeFillTint="99"/>
            <w:vAlign w:val="center"/>
          </w:tcPr>
          <w:p w14:paraId="0EF274BF" w14:textId="77777777" w:rsidR="00882C69" w:rsidRPr="00167A1B" w:rsidRDefault="00882C69" w:rsidP="0047194C">
            <w:pPr>
              <w:spacing w:after="0"/>
              <w:jc w:val="center"/>
              <w:rPr>
                <w:sz w:val="18"/>
                <w:szCs w:val="18"/>
              </w:rPr>
            </w:pPr>
            <w:r w:rsidRPr="00167A1B">
              <w:rPr>
                <w:sz w:val="18"/>
                <w:szCs w:val="18"/>
              </w:rPr>
              <w:t>-/--</w:t>
            </w:r>
          </w:p>
        </w:tc>
      </w:tr>
      <w:tr w:rsidR="00882C69" w:rsidRPr="00167A1B" w14:paraId="0765740F" w14:textId="77777777" w:rsidTr="0047194C">
        <w:trPr>
          <w:trHeight w:val="414"/>
        </w:trPr>
        <w:tc>
          <w:tcPr>
            <w:tcW w:w="988" w:type="dxa"/>
            <w:vMerge/>
          </w:tcPr>
          <w:p w14:paraId="621BDC71" w14:textId="77777777" w:rsidR="00882C69" w:rsidRPr="00167A1B" w:rsidRDefault="00882C69" w:rsidP="0047194C">
            <w:pPr>
              <w:spacing w:after="0"/>
              <w:jc w:val="left"/>
              <w:rPr>
                <w:b/>
                <w:bCs/>
                <w:sz w:val="18"/>
                <w:szCs w:val="18"/>
              </w:rPr>
            </w:pPr>
          </w:p>
        </w:tc>
        <w:tc>
          <w:tcPr>
            <w:tcW w:w="2313" w:type="dxa"/>
            <w:vAlign w:val="center"/>
          </w:tcPr>
          <w:p w14:paraId="61E4B5A3" w14:textId="77777777" w:rsidR="00882C69" w:rsidRPr="00167A1B" w:rsidRDefault="00882C69" w:rsidP="0047194C">
            <w:pPr>
              <w:spacing w:after="0"/>
              <w:jc w:val="left"/>
              <w:rPr>
                <w:sz w:val="18"/>
                <w:szCs w:val="18"/>
              </w:rPr>
            </w:pPr>
            <w:r w:rsidRPr="00167A1B">
              <w:rPr>
                <w:sz w:val="18"/>
                <w:szCs w:val="18"/>
              </w:rPr>
              <w:t>Costs to public authorities (EU)</w:t>
            </w:r>
          </w:p>
        </w:tc>
        <w:tc>
          <w:tcPr>
            <w:tcW w:w="1153" w:type="dxa"/>
            <w:shd w:val="clear" w:color="auto" w:fill="auto"/>
            <w:vAlign w:val="center"/>
          </w:tcPr>
          <w:p w14:paraId="1E191F36" w14:textId="77777777" w:rsidR="00882C69" w:rsidRPr="00167A1B" w:rsidRDefault="00882C69" w:rsidP="0047194C">
            <w:pPr>
              <w:spacing w:after="0"/>
              <w:jc w:val="center"/>
              <w:rPr>
                <w:sz w:val="18"/>
                <w:szCs w:val="18"/>
              </w:rPr>
            </w:pPr>
            <w:r w:rsidRPr="00167A1B">
              <w:rPr>
                <w:sz w:val="18"/>
                <w:szCs w:val="18"/>
              </w:rPr>
              <w:t>0</w:t>
            </w:r>
          </w:p>
        </w:tc>
        <w:tc>
          <w:tcPr>
            <w:tcW w:w="1153" w:type="dxa"/>
            <w:shd w:val="clear" w:color="auto" w:fill="auto"/>
            <w:vAlign w:val="center"/>
          </w:tcPr>
          <w:p w14:paraId="44CF0ACC" w14:textId="77777777" w:rsidR="00882C69" w:rsidRPr="00167A1B" w:rsidRDefault="00882C69" w:rsidP="0047194C">
            <w:pPr>
              <w:spacing w:after="0"/>
              <w:jc w:val="center"/>
              <w:rPr>
                <w:sz w:val="18"/>
                <w:szCs w:val="18"/>
              </w:rPr>
            </w:pPr>
            <w:r w:rsidRPr="00167A1B">
              <w:rPr>
                <w:sz w:val="18"/>
                <w:szCs w:val="18"/>
              </w:rPr>
              <w:t>0</w:t>
            </w:r>
          </w:p>
        </w:tc>
        <w:tc>
          <w:tcPr>
            <w:tcW w:w="1153" w:type="dxa"/>
            <w:shd w:val="clear" w:color="auto" w:fill="auto"/>
            <w:vAlign w:val="center"/>
          </w:tcPr>
          <w:p w14:paraId="55DE0614" w14:textId="77777777" w:rsidR="00882C69" w:rsidRPr="00167A1B" w:rsidRDefault="00882C69" w:rsidP="0047194C">
            <w:pPr>
              <w:spacing w:after="0"/>
              <w:jc w:val="center"/>
              <w:rPr>
                <w:sz w:val="18"/>
                <w:szCs w:val="18"/>
              </w:rPr>
            </w:pPr>
            <w:r w:rsidRPr="00167A1B">
              <w:rPr>
                <w:sz w:val="18"/>
                <w:szCs w:val="18"/>
              </w:rPr>
              <w:t>0</w:t>
            </w:r>
          </w:p>
        </w:tc>
        <w:tc>
          <w:tcPr>
            <w:tcW w:w="1153" w:type="dxa"/>
            <w:shd w:val="clear" w:color="auto" w:fill="auto"/>
            <w:vAlign w:val="center"/>
          </w:tcPr>
          <w:p w14:paraId="419C2287" w14:textId="77777777" w:rsidR="00882C69" w:rsidRPr="00167A1B" w:rsidRDefault="00882C69" w:rsidP="0047194C">
            <w:pPr>
              <w:spacing w:after="0"/>
              <w:jc w:val="center"/>
              <w:rPr>
                <w:sz w:val="18"/>
                <w:szCs w:val="18"/>
              </w:rPr>
            </w:pPr>
            <w:r w:rsidRPr="00167A1B">
              <w:rPr>
                <w:sz w:val="18"/>
                <w:szCs w:val="18"/>
              </w:rPr>
              <w:t>0</w:t>
            </w:r>
          </w:p>
        </w:tc>
        <w:tc>
          <w:tcPr>
            <w:tcW w:w="1154" w:type="dxa"/>
            <w:shd w:val="clear" w:color="auto" w:fill="auto"/>
            <w:vAlign w:val="center"/>
          </w:tcPr>
          <w:p w14:paraId="1DE57926" w14:textId="77777777" w:rsidR="00882C69" w:rsidRPr="00167A1B" w:rsidRDefault="00882C69" w:rsidP="0047194C">
            <w:pPr>
              <w:spacing w:after="0"/>
              <w:jc w:val="center"/>
              <w:rPr>
                <w:sz w:val="18"/>
                <w:szCs w:val="18"/>
              </w:rPr>
            </w:pPr>
            <w:r w:rsidRPr="00167A1B">
              <w:rPr>
                <w:sz w:val="18"/>
                <w:szCs w:val="18"/>
              </w:rPr>
              <w:t>0</w:t>
            </w:r>
          </w:p>
        </w:tc>
      </w:tr>
      <w:tr w:rsidR="00882C69" w:rsidRPr="00167A1B" w14:paraId="70D21628" w14:textId="77777777" w:rsidTr="00157B22">
        <w:trPr>
          <w:trHeight w:val="414"/>
        </w:trPr>
        <w:tc>
          <w:tcPr>
            <w:tcW w:w="988" w:type="dxa"/>
            <w:vMerge/>
          </w:tcPr>
          <w:p w14:paraId="5A222157" w14:textId="77777777" w:rsidR="00882C69" w:rsidRPr="00167A1B" w:rsidRDefault="00882C69" w:rsidP="0047194C">
            <w:pPr>
              <w:spacing w:after="0"/>
              <w:jc w:val="left"/>
              <w:rPr>
                <w:b/>
                <w:bCs/>
                <w:sz w:val="18"/>
                <w:szCs w:val="18"/>
              </w:rPr>
            </w:pPr>
          </w:p>
        </w:tc>
        <w:tc>
          <w:tcPr>
            <w:tcW w:w="2313" w:type="dxa"/>
            <w:vAlign w:val="center"/>
          </w:tcPr>
          <w:p w14:paraId="6A65E1CA" w14:textId="2530A406" w:rsidR="00882C69" w:rsidRPr="00167A1B" w:rsidRDefault="00882C69" w:rsidP="0047194C">
            <w:pPr>
              <w:spacing w:after="0"/>
              <w:jc w:val="left"/>
              <w:rPr>
                <w:sz w:val="18"/>
                <w:szCs w:val="18"/>
              </w:rPr>
            </w:pPr>
            <w:r w:rsidRPr="00167A1B">
              <w:rPr>
                <w:sz w:val="18"/>
                <w:szCs w:val="18"/>
              </w:rPr>
              <w:t>Impacts on SMEs (EU)</w:t>
            </w:r>
          </w:p>
        </w:tc>
        <w:tc>
          <w:tcPr>
            <w:tcW w:w="1153" w:type="dxa"/>
            <w:shd w:val="clear" w:color="auto" w:fill="FAE1DC"/>
            <w:vAlign w:val="center"/>
          </w:tcPr>
          <w:p w14:paraId="619404C2" w14:textId="77777777" w:rsidR="00882C69" w:rsidRPr="00167A1B" w:rsidRDefault="00882C69" w:rsidP="0047194C">
            <w:pPr>
              <w:spacing w:after="0"/>
              <w:jc w:val="center"/>
              <w:rPr>
                <w:sz w:val="18"/>
                <w:szCs w:val="18"/>
              </w:rPr>
            </w:pPr>
            <w:r w:rsidRPr="00167A1B">
              <w:rPr>
                <w:sz w:val="18"/>
                <w:szCs w:val="18"/>
              </w:rPr>
              <w:t>0/-</w:t>
            </w:r>
          </w:p>
        </w:tc>
        <w:tc>
          <w:tcPr>
            <w:tcW w:w="1153" w:type="dxa"/>
            <w:shd w:val="clear" w:color="auto" w:fill="FAE1DC"/>
            <w:vAlign w:val="center"/>
          </w:tcPr>
          <w:p w14:paraId="0687626B" w14:textId="77777777" w:rsidR="00882C69" w:rsidRPr="00167A1B" w:rsidRDefault="00882C69" w:rsidP="0047194C">
            <w:pPr>
              <w:spacing w:after="0"/>
              <w:jc w:val="center"/>
              <w:rPr>
                <w:sz w:val="18"/>
                <w:szCs w:val="18"/>
              </w:rPr>
            </w:pPr>
            <w:r w:rsidRPr="00167A1B">
              <w:rPr>
                <w:sz w:val="18"/>
                <w:szCs w:val="18"/>
              </w:rPr>
              <w:t>0/-</w:t>
            </w:r>
          </w:p>
        </w:tc>
        <w:tc>
          <w:tcPr>
            <w:tcW w:w="1153" w:type="dxa"/>
            <w:shd w:val="clear" w:color="auto" w:fill="FAE1DC"/>
            <w:vAlign w:val="center"/>
          </w:tcPr>
          <w:p w14:paraId="12D7517B" w14:textId="77777777" w:rsidR="00882C69" w:rsidRPr="00167A1B" w:rsidRDefault="00882C69" w:rsidP="0047194C">
            <w:pPr>
              <w:spacing w:after="0"/>
              <w:jc w:val="center"/>
              <w:rPr>
                <w:sz w:val="18"/>
                <w:szCs w:val="18"/>
              </w:rPr>
            </w:pPr>
            <w:r w:rsidRPr="00167A1B">
              <w:rPr>
                <w:sz w:val="18"/>
                <w:szCs w:val="18"/>
              </w:rPr>
              <w:t>0/-</w:t>
            </w:r>
          </w:p>
        </w:tc>
        <w:tc>
          <w:tcPr>
            <w:tcW w:w="1153" w:type="dxa"/>
            <w:shd w:val="clear" w:color="auto" w:fill="FAE1DC"/>
            <w:vAlign w:val="center"/>
          </w:tcPr>
          <w:p w14:paraId="695D8E68" w14:textId="77777777" w:rsidR="00882C69" w:rsidRPr="00167A1B" w:rsidRDefault="00882C69" w:rsidP="0047194C">
            <w:pPr>
              <w:spacing w:after="0"/>
              <w:jc w:val="center"/>
              <w:rPr>
                <w:sz w:val="18"/>
                <w:szCs w:val="18"/>
              </w:rPr>
            </w:pPr>
            <w:r w:rsidRPr="00167A1B">
              <w:rPr>
                <w:sz w:val="18"/>
                <w:szCs w:val="18"/>
              </w:rPr>
              <w:t>0/-</w:t>
            </w:r>
          </w:p>
        </w:tc>
        <w:tc>
          <w:tcPr>
            <w:tcW w:w="1154" w:type="dxa"/>
            <w:shd w:val="clear" w:color="auto" w:fill="FAE1DC"/>
            <w:vAlign w:val="center"/>
          </w:tcPr>
          <w:p w14:paraId="452D2ADC" w14:textId="77777777" w:rsidR="00882C69" w:rsidRPr="00167A1B" w:rsidRDefault="00882C69" w:rsidP="0047194C">
            <w:pPr>
              <w:spacing w:after="0"/>
              <w:jc w:val="center"/>
              <w:rPr>
                <w:sz w:val="18"/>
                <w:szCs w:val="18"/>
              </w:rPr>
            </w:pPr>
            <w:r w:rsidRPr="00167A1B">
              <w:rPr>
                <w:sz w:val="18"/>
                <w:szCs w:val="18"/>
              </w:rPr>
              <w:t>0/-</w:t>
            </w:r>
          </w:p>
        </w:tc>
      </w:tr>
      <w:tr w:rsidR="00882C69" w:rsidRPr="00167A1B" w14:paraId="3F9F7228" w14:textId="77777777" w:rsidTr="001D0B0A">
        <w:trPr>
          <w:trHeight w:val="414"/>
        </w:trPr>
        <w:tc>
          <w:tcPr>
            <w:tcW w:w="988" w:type="dxa"/>
            <w:vMerge w:val="restart"/>
          </w:tcPr>
          <w:p w14:paraId="46A8ED60" w14:textId="77777777" w:rsidR="00882C69" w:rsidRPr="00167A1B" w:rsidRDefault="00882C69" w:rsidP="0047194C">
            <w:pPr>
              <w:spacing w:after="0"/>
              <w:jc w:val="left"/>
              <w:rPr>
                <w:b/>
                <w:bCs/>
                <w:sz w:val="18"/>
                <w:szCs w:val="18"/>
              </w:rPr>
            </w:pPr>
            <w:r w:rsidRPr="00167A1B">
              <w:rPr>
                <w:b/>
                <w:bCs/>
                <w:sz w:val="18"/>
                <w:szCs w:val="18"/>
              </w:rPr>
              <w:t>Social</w:t>
            </w:r>
          </w:p>
        </w:tc>
        <w:tc>
          <w:tcPr>
            <w:tcW w:w="2313" w:type="dxa"/>
            <w:vAlign w:val="center"/>
          </w:tcPr>
          <w:p w14:paraId="59A744A1" w14:textId="77777777" w:rsidR="00882C69" w:rsidRPr="00167A1B" w:rsidRDefault="00882C69" w:rsidP="0047194C">
            <w:pPr>
              <w:spacing w:after="0"/>
              <w:jc w:val="left"/>
              <w:rPr>
                <w:sz w:val="18"/>
                <w:szCs w:val="18"/>
              </w:rPr>
            </w:pPr>
            <w:r w:rsidRPr="00167A1B">
              <w:rPr>
                <w:sz w:val="18"/>
                <w:szCs w:val="18"/>
              </w:rPr>
              <w:t>Consumer convenience</w:t>
            </w:r>
          </w:p>
        </w:tc>
        <w:tc>
          <w:tcPr>
            <w:tcW w:w="1153" w:type="dxa"/>
            <w:shd w:val="clear" w:color="auto" w:fill="9BEFD3" w:themeFill="accent4" w:themeFillTint="66"/>
            <w:vAlign w:val="center"/>
          </w:tcPr>
          <w:p w14:paraId="0100BCA5"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9BEFD3" w:themeFill="accent4" w:themeFillTint="66"/>
            <w:vAlign w:val="center"/>
          </w:tcPr>
          <w:p w14:paraId="1451A57D" w14:textId="77777777" w:rsidR="00882C69" w:rsidRPr="00167A1B" w:rsidRDefault="00882C69" w:rsidP="0047194C">
            <w:pPr>
              <w:spacing w:after="0"/>
              <w:jc w:val="center"/>
              <w:rPr>
                <w:sz w:val="18"/>
                <w:szCs w:val="18"/>
              </w:rPr>
            </w:pPr>
            <w:r w:rsidRPr="00167A1B">
              <w:rPr>
                <w:sz w:val="18"/>
                <w:szCs w:val="18"/>
              </w:rPr>
              <w:t>+</w:t>
            </w:r>
          </w:p>
        </w:tc>
        <w:tc>
          <w:tcPr>
            <w:tcW w:w="1153" w:type="dxa"/>
            <w:shd w:val="clear" w:color="auto" w:fill="F5C3B9" w:themeFill="accent1" w:themeFillTint="66"/>
            <w:vAlign w:val="center"/>
          </w:tcPr>
          <w:p w14:paraId="1B4671F3" w14:textId="639DEB73" w:rsidR="00882C69" w:rsidRPr="00167A1B" w:rsidRDefault="00882C69" w:rsidP="0047194C">
            <w:pPr>
              <w:spacing w:after="0"/>
              <w:jc w:val="center"/>
              <w:rPr>
                <w:sz w:val="18"/>
                <w:szCs w:val="18"/>
              </w:rPr>
            </w:pPr>
            <w:r w:rsidRPr="00167A1B">
              <w:rPr>
                <w:sz w:val="18"/>
                <w:szCs w:val="18"/>
              </w:rPr>
              <w:t>-</w:t>
            </w:r>
          </w:p>
        </w:tc>
        <w:tc>
          <w:tcPr>
            <w:tcW w:w="1153" w:type="dxa"/>
            <w:shd w:val="clear" w:color="auto" w:fill="F5C3B9" w:themeFill="accent1" w:themeFillTint="66"/>
            <w:vAlign w:val="center"/>
          </w:tcPr>
          <w:p w14:paraId="788E2578" w14:textId="3C5E803B" w:rsidR="00882C69" w:rsidRPr="00167A1B" w:rsidRDefault="00882C69" w:rsidP="0047194C">
            <w:pPr>
              <w:spacing w:after="0"/>
              <w:jc w:val="center"/>
              <w:rPr>
                <w:sz w:val="18"/>
                <w:szCs w:val="18"/>
              </w:rPr>
            </w:pPr>
            <w:r w:rsidRPr="00167A1B">
              <w:rPr>
                <w:sz w:val="18"/>
                <w:szCs w:val="18"/>
              </w:rPr>
              <w:t>-</w:t>
            </w:r>
          </w:p>
        </w:tc>
        <w:tc>
          <w:tcPr>
            <w:tcW w:w="1154" w:type="dxa"/>
            <w:shd w:val="clear" w:color="auto" w:fill="FAE1DC" w:themeFill="accent1" w:themeFillTint="33"/>
            <w:vAlign w:val="center"/>
          </w:tcPr>
          <w:p w14:paraId="004058E8" w14:textId="77777777" w:rsidR="00882C69" w:rsidRPr="00167A1B" w:rsidRDefault="00882C69" w:rsidP="0047194C">
            <w:pPr>
              <w:spacing w:after="0"/>
              <w:jc w:val="center"/>
              <w:rPr>
                <w:sz w:val="18"/>
                <w:szCs w:val="18"/>
              </w:rPr>
            </w:pPr>
            <w:r w:rsidRPr="00167A1B">
              <w:rPr>
                <w:sz w:val="18"/>
                <w:szCs w:val="18"/>
              </w:rPr>
              <w:t>0/-</w:t>
            </w:r>
          </w:p>
        </w:tc>
      </w:tr>
      <w:tr w:rsidR="00882C69" w:rsidRPr="00167A1B" w14:paraId="2B3A949F" w14:textId="77777777" w:rsidTr="001D0B0A">
        <w:trPr>
          <w:trHeight w:val="414"/>
        </w:trPr>
        <w:tc>
          <w:tcPr>
            <w:tcW w:w="988" w:type="dxa"/>
            <w:vMerge/>
          </w:tcPr>
          <w:p w14:paraId="62EB3302" w14:textId="77777777" w:rsidR="00882C69" w:rsidRPr="00167A1B" w:rsidRDefault="00882C69" w:rsidP="0047194C">
            <w:pPr>
              <w:spacing w:after="0"/>
              <w:jc w:val="left"/>
              <w:rPr>
                <w:sz w:val="18"/>
                <w:szCs w:val="18"/>
              </w:rPr>
            </w:pPr>
          </w:p>
        </w:tc>
        <w:tc>
          <w:tcPr>
            <w:tcW w:w="2313" w:type="dxa"/>
            <w:vAlign w:val="center"/>
          </w:tcPr>
          <w:p w14:paraId="7410D114" w14:textId="77777777" w:rsidR="00882C69" w:rsidRPr="00167A1B" w:rsidRDefault="00882C69" w:rsidP="0047194C">
            <w:pPr>
              <w:spacing w:after="0"/>
              <w:jc w:val="left"/>
              <w:rPr>
                <w:sz w:val="18"/>
                <w:szCs w:val="18"/>
              </w:rPr>
            </w:pPr>
            <w:r w:rsidRPr="00167A1B">
              <w:rPr>
                <w:sz w:val="18"/>
                <w:szCs w:val="18"/>
              </w:rPr>
              <w:t>Product safety &amp; illicit markets</w:t>
            </w:r>
          </w:p>
        </w:tc>
        <w:tc>
          <w:tcPr>
            <w:tcW w:w="1153" w:type="dxa"/>
            <w:shd w:val="clear" w:color="auto" w:fill="CDF7E9" w:themeFill="accent4" w:themeFillTint="33"/>
            <w:vAlign w:val="center"/>
          </w:tcPr>
          <w:p w14:paraId="4431E80C" w14:textId="77777777" w:rsidR="00882C69" w:rsidRPr="00167A1B" w:rsidRDefault="00882C69" w:rsidP="0047194C">
            <w:pPr>
              <w:spacing w:after="0"/>
              <w:jc w:val="center"/>
              <w:rPr>
                <w:sz w:val="18"/>
                <w:szCs w:val="18"/>
              </w:rPr>
            </w:pPr>
            <w:r w:rsidRPr="00167A1B">
              <w:rPr>
                <w:sz w:val="18"/>
                <w:szCs w:val="18"/>
              </w:rPr>
              <w:t>0/+</w:t>
            </w:r>
          </w:p>
        </w:tc>
        <w:tc>
          <w:tcPr>
            <w:tcW w:w="1153" w:type="dxa"/>
            <w:shd w:val="clear" w:color="auto" w:fill="CDF7E9" w:themeFill="accent4" w:themeFillTint="33"/>
            <w:vAlign w:val="center"/>
          </w:tcPr>
          <w:p w14:paraId="499FF0E5" w14:textId="77777777" w:rsidR="00882C69" w:rsidRPr="00167A1B" w:rsidRDefault="00882C69" w:rsidP="0047194C">
            <w:pPr>
              <w:spacing w:after="0"/>
              <w:jc w:val="center"/>
              <w:rPr>
                <w:sz w:val="18"/>
                <w:szCs w:val="18"/>
              </w:rPr>
            </w:pPr>
            <w:r w:rsidRPr="00167A1B">
              <w:rPr>
                <w:sz w:val="18"/>
                <w:szCs w:val="18"/>
              </w:rPr>
              <w:t>0/+</w:t>
            </w:r>
          </w:p>
        </w:tc>
        <w:tc>
          <w:tcPr>
            <w:tcW w:w="1153" w:type="dxa"/>
            <w:shd w:val="clear" w:color="auto" w:fill="F5C3B9" w:themeFill="accent1" w:themeFillTint="66"/>
            <w:vAlign w:val="center"/>
          </w:tcPr>
          <w:p w14:paraId="17E9678C" w14:textId="095EED20" w:rsidR="00882C69" w:rsidRPr="00167A1B" w:rsidRDefault="00AE6FC5" w:rsidP="0047194C">
            <w:pPr>
              <w:spacing w:after="0"/>
              <w:jc w:val="center"/>
              <w:rPr>
                <w:sz w:val="18"/>
                <w:szCs w:val="18"/>
              </w:rPr>
            </w:pPr>
            <w:r w:rsidRPr="00167A1B">
              <w:rPr>
                <w:sz w:val="18"/>
                <w:szCs w:val="18"/>
              </w:rPr>
              <w:t>-</w:t>
            </w:r>
          </w:p>
        </w:tc>
        <w:tc>
          <w:tcPr>
            <w:tcW w:w="1153" w:type="dxa"/>
            <w:shd w:val="clear" w:color="auto" w:fill="F5C3B9" w:themeFill="accent1" w:themeFillTint="66"/>
            <w:vAlign w:val="center"/>
          </w:tcPr>
          <w:p w14:paraId="70361DFA" w14:textId="19BBA2D1" w:rsidR="00882C69" w:rsidRPr="00167A1B" w:rsidRDefault="00AE6FC5" w:rsidP="0047194C">
            <w:pPr>
              <w:spacing w:after="0"/>
              <w:jc w:val="center"/>
              <w:rPr>
                <w:sz w:val="18"/>
                <w:szCs w:val="18"/>
              </w:rPr>
            </w:pPr>
            <w:r w:rsidRPr="00167A1B">
              <w:rPr>
                <w:sz w:val="18"/>
                <w:szCs w:val="18"/>
              </w:rPr>
              <w:t>-</w:t>
            </w:r>
          </w:p>
        </w:tc>
        <w:tc>
          <w:tcPr>
            <w:tcW w:w="1154" w:type="dxa"/>
            <w:shd w:val="clear" w:color="auto" w:fill="FAE1DC" w:themeFill="accent1" w:themeFillTint="33"/>
            <w:vAlign w:val="center"/>
          </w:tcPr>
          <w:p w14:paraId="672901E5" w14:textId="77777777" w:rsidR="00882C69" w:rsidRPr="00167A1B" w:rsidRDefault="00882C69" w:rsidP="0047194C">
            <w:pPr>
              <w:spacing w:after="0"/>
              <w:jc w:val="center"/>
              <w:rPr>
                <w:sz w:val="18"/>
                <w:szCs w:val="18"/>
              </w:rPr>
            </w:pPr>
            <w:r w:rsidRPr="00167A1B">
              <w:rPr>
                <w:sz w:val="18"/>
                <w:szCs w:val="18"/>
              </w:rPr>
              <w:t>0/-</w:t>
            </w:r>
          </w:p>
        </w:tc>
      </w:tr>
      <w:bookmarkEnd w:id="86"/>
    </w:tbl>
    <w:p w14:paraId="016456DB" w14:textId="77777777" w:rsidR="00882C69" w:rsidRPr="00167A1B" w:rsidRDefault="00882C69" w:rsidP="00882C69">
      <w:pPr>
        <w:pStyle w:val="BodyText1"/>
        <w:rPr>
          <w:noProof w:val="0"/>
        </w:rPr>
      </w:pPr>
    </w:p>
    <w:p w14:paraId="0164C0CA" w14:textId="77777777" w:rsidR="00882C69" w:rsidRPr="00167A1B" w:rsidRDefault="00882C69" w:rsidP="00882C69">
      <w:pPr>
        <w:pStyle w:val="Subtitle10"/>
        <w:rPr>
          <w:noProof w:val="0"/>
        </w:rPr>
      </w:pPr>
      <w:r w:rsidRPr="00167A1B">
        <w:rPr>
          <w:noProof w:val="0"/>
        </w:rPr>
        <w:t>Other portable electronic devices</w:t>
      </w:r>
    </w:p>
    <w:p w14:paraId="1144C5D3" w14:textId="77777777" w:rsidR="00882C69" w:rsidRPr="00167A1B" w:rsidRDefault="00882C69" w:rsidP="00882C69">
      <w:pPr>
        <w:pStyle w:val="BodyText1"/>
        <w:rPr>
          <w:noProof w:val="0"/>
        </w:rPr>
      </w:pPr>
      <w:r w:rsidRPr="00167A1B">
        <w:rPr>
          <w:noProof w:val="0"/>
        </w:rPr>
        <w:t xml:space="preserve">As discussed in chapter 6 of this report, </w:t>
      </w:r>
      <w:proofErr w:type="gramStart"/>
      <w:r w:rsidRPr="00167A1B">
        <w:rPr>
          <w:noProof w:val="0"/>
        </w:rPr>
        <w:t>all of</w:t>
      </w:r>
      <w:proofErr w:type="gramEnd"/>
      <w:r w:rsidRPr="00167A1B">
        <w:rPr>
          <w:noProof w:val="0"/>
        </w:rPr>
        <w:t xml:space="preserve"> the options could potentially also affect certain types of other portable electronic devices beyond mobile phones (in particular tablets, headphones and earbuds, hand-held video game consoles, portable speakers, e-readers, smartwatches and fitness trackers):</w:t>
      </w:r>
    </w:p>
    <w:p w14:paraId="1665F6B9" w14:textId="77777777" w:rsidR="00882C69" w:rsidRPr="00167A1B" w:rsidRDefault="00882C69" w:rsidP="00882C69">
      <w:pPr>
        <w:pStyle w:val="bullet1"/>
        <w:rPr>
          <w:noProof w:val="0"/>
        </w:rPr>
      </w:pPr>
      <w:r w:rsidRPr="00167A1B">
        <w:rPr>
          <w:b/>
          <w:bCs/>
          <w:noProof w:val="0"/>
        </w:rPr>
        <w:t>Indirectly</w:t>
      </w:r>
      <w:r w:rsidRPr="00167A1B">
        <w:rPr>
          <w:noProof w:val="0"/>
        </w:rPr>
        <w:t>, due to voluntary changes in manufacturer / vendor behaviour, shifts in consumer demand, or other relevant mechanisms that would “spill over” from mobile phones to the chargers of other devices (even though these would not be obliged to comply with the same rules or regulations).</w:t>
      </w:r>
    </w:p>
    <w:p w14:paraId="60B6D1D6" w14:textId="56114B67" w:rsidR="00882C69" w:rsidRPr="00167A1B" w:rsidRDefault="00882C69" w:rsidP="00882C69">
      <w:pPr>
        <w:pStyle w:val="bullet1"/>
        <w:rPr>
          <w:noProof w:val="0"/>
        </w:rPr>
      </w:pPr>
      <w:r w:rsidRPr="00167A1B">
        <w:rPr>
          <w:b/>
          <w:bCs/>
          <w:noProof w:val="0"/>
        </w:rPr>
        <w:t>Directly</w:t>
      </w:r>
      <w:r w:rsidRPr="00167A1B">
        <w:rPr>
          <w:noProof w:val="0"/>
        </w:rPr>
        <w:t>, if the scope of the initiative was broadened to also apply to certain other devices. Not all options (and hence packages) are equally well suited to all categories of devices considered in this study. In particular:</w:t>
      </w:r>
    </w:p>
    <w:p w14:paraId="609CF0E5" w14:textId="74EE0544" w:rsidR="00882C69" w:rsidRPr="00167A1B" w:rsidRDefault="00882C69" w:rsidP="00882C69">
      <w:pPr>
        <w:pStyle w:val="bullet1"/>
        <w:numPr>
          <w:ilvl w:val="1"/>
          <w:numId w:val="22"/>
        </w:numPr>
        <w:rPr>
          <w:noProof w:val="0"/>
        </w:rPr>
      </w:pPr>
      <w:r w:rsidRPr="00167A1B">
        <w:rPr>
          <w:noProof w:val="0"/>
        </w:rPr>
        <w:t>Making USB Type-C connectors mandatory (option 1) would not be appropriate for smartwatches and fitness trackers due to their specific form and uses.</w:t>
      </w:r>
    </w:p>
    <w:p w14:paraId="7FD263CB" w14:textId="05066064" w:rsidR="00882C69" w:rsidRPr="00167A1B" w:rsidRDefault="00882C69" w:rsidP="00882C69">
      <w:pPr>
        <w:pStyle w:val="bullet1"/>
        <w:numPr>
          <w:ilvl w:val="1"/>
          <w:numId w:val="22"/>
        </w:numPr>
        <w:rPr>
          <w:noProof w:val="0"/>
        </w:rPr>
      </w:pPr>
      <w:r w:rsidRPr="00167A1B">
        <w:rPr>
          <w:noProof w:val="0"/>
        </w:rPr>
        <w:t>Harmonising communication protocols (options 2 and 3) would be problematic for devices that routinely charge at low wattages (including earwear and e-readers), or for devices with removable batteries (mainly digital cameras), as there would be insufficient benefits to justify the costs.</w:t>
      </w:r>
    </w:p>
    <w:p w14:paraId="454B6472" w14:textId="75C9F4E8" w:rsidR="00882C69" w:rsidRPr="00167A1B" w:rsidRDefault="00882C69" w:rsidP="00882C69">
      <w:pPr>
        <w:pStyle w:val="bullet1"/>
        <w:numPr>
          <w:ilvl w:val="1"/>
          <w:numId w:val="22"/>
        </w:numPr>
        <w:rPr>
          <w:noProof w:val="0"/>
        </w:rPr>
      </w:pPr>
      <w:r w:rsidRPr="00167A1B">
        <w:rPr>
          <w:noProof w:val="0"/>
        </w:rPr>
        <w:t xml:space="preserve">Making unbundling of EPS mandatory (option 4.a) for devices where this is already the norm (in particular earwear) would be </w:t>
      </w:r>
      <w:proofErr w:type="gramStart"/>
      <w:r w:rsidRPr="00167A1B">
        <w:rPr>
          <w:noProof w:val="0"/>
        </w:rPr>
        <w:t xml:space="preserve">possible, </w:t>
      </w:r>
      <w:r w:rsidR="00223547" w:rsidRPr="00167A1B">
        <w:rPr>
          <w:noProof w:val="0"/>
        </w:rPr>
        <w:t>but</w:t>
      </w:r>
      <w:proofErr w:type="gramEnd"/>
      <w:r w:rsidR="00223547" w:rsidRPr="00167A1B">
        <w:rPr>
          <w:noProof w:val="0"/>
        </w:rPr>
        <w:t xml:space="preserve"> </w:t>
      </w:r>
      <w:r w:rsidRPr="00167A1B">
        <w:rPr>
          <w:noProof w:val="0"/>
        </w:rPr>
        <w:t>would not result in any positive or negative impacts.</w:t>
      </w:r>
    </w:p>
    <w:p w14:paraId="7859536F" w14:textId="25CFCC9E" w:rsidR="00882C69" w:rsidRPr="00167A1B" w:rsidRDefault="00882C69" w:rsidP="00882C69">
      <w:pPr>
        <w:pStyle w:val="bullet1"/>
        <w:numPr>
          <w:ilvl w:val="1"/>
          <w:numId w:val="22"/>
        </w:numPr>
        <w:rPr>
          <w:noProof w:val="0"/>
        </w:rPr>
      </w:pPr>
      <w:r w:rsidRPr="00167A1B">
        <w:rPr>
          <w:noProof w:val="0"/>
        </w:rPr>
        <w:t>Out of the seven groups of portable electronic devices that were considered as part of this study, the three for which all options appear applicable without giving rise to any significant concerns (other than the negative impacts that also apply to mobile phones) are tablets, hand-held video game consoles, and portable speakers.</w:t>
      </w:r>
      <w:r w:rsidR="007E0847" w:rsidRPr="00167A1B">
        <w:rPr>
          <w:noProof w:val="0"/>
        </w:rPr>
        <w:t xml:space="preserve"> </w:t>
      </w:r>
      <w:bookmarkStart w:id="87" w:name="_Hlk79072846"/>
      <w:r w:rsidR="007E0847" w:rsidRPr="00167A1B">
        <w:rPr>
          <w:noProof w:val="0"/>
        </w:rPr>
        <w:t>Hearing devices and digital cameras could also be included</w:t>
      </w:r>
      <w:r w:rsidR="00BB68BB" w:rsidRPr="00167A1B">
        <w:rPr>
          <w:noProof w:val="0"/>
        </w:rPr>
        <w:t xml:space="preserve"> in the future, if the market evolves towards fast charging solutions.</w:t>
      </w:r>
      <w:bookmarkEnd w:id="87"/>
      <w:r w:rsidR="007E0847" w:rsidRPr="00167A1B">
        <w:rPr>
          <w:noProof w:val="0"/>
        </w:rPr>
        <w:t xml:space="preserve"> </w:t>
      </w:r>
    </w:p>
    <w:p w14:paraId="3879B071" w14:textId="4C8A856C" w:rsidR="00882C69" w:rsidRPr="00167A1B" w:rsidRDefault="00882C69" w:rsidP="00882C69">
      <w:pPr>
        <w:pStyle w:val="bullet1"/>
        <w:numPr>
          <w:ilvl w:val="0"/>
          <w:numId w:val="0"/>
        </w:numPr>
        <w:rPr>
          <w:noProof w:val="0"/>
        </w:rPr>
      </w:pPr>
      <w:r w:rsidRPr="00167A1B">
        <w:rPr>
          <w:noProof w:val="0"/>
        </w:rPr>
        <w:lastRenderedPageBreak/>
        <w:t xml:space="preserve">Overall, these indirect as well as potential direct effects would amplify the positive as well as negative impacts of the initiative as outlined above. The key drivers of impact are very similar to those that apply to mobile phones and their chargers, albeit with certain nuances for specific options and device categories. As regards the scale of these additional impacts, this would be smaller than for mobile phones, based mainly on the simple fact that far fewer such devices are sold and used in the EU than mobile phones (for details see chapter 6). </w:t>
      </w:r>
    </w:p>
    <w:p w14:paraId="6025E93F" w14:textId="77777777" w:rsidR="00882C69" w:rsidRPr="00167A1B" w:rsidRDefault="00882C69" w:rsidP="00882C69">
      <w:pPr>
        <w:pStyle w:val="BodyText1"/>
        <w:rPr>
          <w:noProof w:val="0"/>
        </w:rPr>
      </w:pPr>
    </w:p>
    <w:p w14:paraId="29720861" w14:textId="77777777" w:rsidR="00882C69" w:rsidRPr="00167A1B" w:rsidRDefault="00882C69" w:rsidP="00882C69">
      <w:pPr>
        <w:pStyle w:val="Subtitle10"/>
        <w:rPr>
          <w:noProof w:val="0"/>
        </w:rPr>
      </w:pPr>
      <w:r w:rsidRPr="00167A1B">
        <w:rPr>
          <w:noProof w:val="0"/>
        </w:rPr>
        <w:t>Concluding remarks</w:t>
      </w:r>
    </w:p>
    <w:p w14:paraId="16B839B2" w14:textId="77777777" w:rsidR="00882C69" w:rsidRPr="00167A1B" w:rsidRDefault="00882C69" w:rsidP="00882C69">
      <w:pPr>
        <w:pStyle w:val="BodyText1"/>
        <w:rPr>
          <w:noProof w:val="0"/>
        </w:rPr>
      </w:pPr>
      <w:r w:rsidRPr="00167A1B">
        <w:rPr>
          <w:noProof w:val="0"/>
        </w:rPr>
        <w:t xml:space="preserve">Based on the analysis presented in this report, the only option for which the balance of benefits vs costs is relatively unambiguously positive is </w:t>
      </w:r>
      <w:r w:rsidRPr="00167A1B">
        <w:rPr>
          <w:b/>
          <w:bCs/>
          <w:noProof w:val="0"/>
        </w:rPr>
        <w:t>option 2</w:t>
      </w:r>
      <w:r w:rsidRPr="00167A1B">
        <w:rPr>
          <w:noProof w:val="0"/>
        </w:rPr>
        <w:t>. It provides modest benefits for consumers, as well as some very minor environmental benefits, with only very small cost implications for economic operators. Although, as discussed in detail previously, this option would only require phone manufacturers to make relatively small changes to their products (many of which are already fully compliant), and would not significantly enhance interoperability as such, it would nonetheless represent a step forward in terms of cementing the already existing, near universal interoperability of phones and chargers, as well as raising consumer awareness of this fact (if accompanied by effective flanking information requirements).</w:t>
      </w:r>
    </w:p>
    <w:p w14:paraId="348A2DF1" w14:textId="77777777" w:rsidR="00882C69" w:rsidRPr="00167A1B" w:rsidRDefault="00882C69" w:rsidP="00882C69">
      <w:pPr>
        <w:pStyle w:val="BodyText1"/>
        <w:rPr>
          <w:noProof w:val="0"/>
        </w:rPr>
      </w:pPr>
      <w:r w:rsidRPr="00167A1B">
        <w:rPr>
          <w:b/>
          <w:bCs/>
          <w:noProof w:val="0"/>
        </w:rPr>
        <w:t>Option 3</w:t>
      </w:r>
      <w:r w:rsidRPr="00167A1B">
        <w:rPr>
          <w:noProof w:val="0"/>
        </w:rPr>
        <w:t xml:space="preserve"> pursues a similar objective as option 2, but would be less effective overall, given that it would place more restrictions on proprietary fast charging solutions, and that it becomes less effective the more unbundling takes place (since it could only apply to “in the box” EPS). Nonetheless, the imminent publication of IEC 63002:2021 means this option is potentially worth exploring further in a broader context, as the basis for a possible future “universal EPS” initiative.</w:t>
      </w:r>
    </w:p>
    <w:p w14:paraId="34114CF2" w14:textId="2D3C6604" w:rsidR="00882C69" w:rsidRPr="00167A1B" w:rsidRDefault="001E7477" w:rsidP="00882C69">
      <w:pPr>
        <w:pStyle w:val="BodyText1"/>
        <w:rPr>
          <w:rFonts w:asciiTheme="minorHAnsi" w:hAnsiTheme="minorHAnsi" w:cstheme="minorHAnsi"/>
          <w:noProof w:val="0"/>
          <w:szCs w:val="22"/>
        </w:rPr>
      </w:pPr>
      <w:r w:rsidRPr="00167A1B">
        <w:rPr>
          <w:rFonts w:asciiTheme="minorHAnsi" w:hAnsiTheme="minorHAnsi" w:cstheme="minorHAnsi"/>
          <w:noProof w:val="0"/>
          <w:szCs w:val="22"/>
        </w:rPr>
        <w:t>Regarding</w:t>
      </w:r>
      <w:r w:rsidR="001D2501" w:rsidRPr="00167A1B">
        <w:rPr>
          <w:rFonts w:asciiTheme="minorHAnsi" w:hAnsiTheme="minorHAnsi" w:cstheme="minorHAnsi"/>
          <w:b/>
          <w:bCs/>
          <w:noProof w:val="0"/>
          <w:szCs w:val="22"/>
        </w:rPr>
        <w:t xml:space="preserve"> o</w:t>
      </w:r>
      <w:r w:rsidR="00882C69" w:rsidRPr="00167A1B">
        <w:rPr>
          <w:rFonts w:asciiTheme="minorHAnsi" w:hAnsiTheme="minorHAnsi" w:cstheme="minorHAnsi"/>
          <w:b/>
          <w:bCs/>
          <w:noProof w:val="0"/>
          <w:szCs w:val="22"/>
        </w:rPr>
        <w:t>ption 1</w:t>
      </w:r>
      <w:r w:rsidR="00882C69" w:rsidRPr="00167A1B">
        <w:rPr>
          <w:rFonts w:asciiTheme="minorHAnsi" w:hAnsiTheme="minorHAnsi" w:cstheme="minorHAnsi"/>
          <w:noProof w:val="0"/>
          <w:szCs w:val="22"/>
        </w:rPr>
        <w:t xml:space="preserve">, </w:t>
      </w:r>
      <w:r w:rsidR="001D2501" w:rsidRPr="00167A1B">
        <w:rPr>
          <w:rFonts w:asciiTheme="minorHAnsi" w:hAnsiTheme="minorHAnsi" w:cstheme="minorHAnsi"/>
          <w:noProof w:val="0"/>
          <w:szCs w:val="22"/>
        </w:rPr>
        <w:t>it is important to reiterate that, while option 2 would also imply the mandatory adoption of USB Type-C connectors at either the device or the EPS end (or both), option 1 would go beyond this by requiring USB Type-C connectors at the device end, and banning proprietary connectors entirely.</w:t>
      </w:r>
      <w:r w:rsidR="001D2501" w:rsidRPr="00167A1B">
        <w:rPr>
          <w:rStyle w:val="FootnoteReference"/>
          <w:rFonts w:cstheme="minorHAnsi"/>
          <w:noProof w:val="0"/>
          <w:sz w:val="22"/>
          <w:szCs w:val="22"/>
        </w:rPr>
        <w:footnoteReference w:id="163"/>
      </w:r>
      <w:r w:rsidR="001D2501" w:rsidRPr="00167A1B">
        <w:rPr>
          <w:rFonts w:asciiTheme="minorHAnsi" w:hAnsiTheme="minorHAnsi" w:cstheme="minorHAnsi"/>
          <w:noProof w:val="0"/>
          <w:szCs w:val="22"/>
        </w:rPr>
        <w:t xml:space="preserve"> A</w:t>
      </w:r>
      <w:r w:rsidR="00882C69" w:rsidRPr="00167A1B">
        <w:rPr>
          <w:rFonts w:asciiTheme="minorHAnsi" w:hAnsiTheme="minorHAnsi" w:cstheme="minorHAnsi"/>
          <w:noProof w:val="0"/>
          <w:szCs w:val="22"/>
        </w:rPr>
        <w:t>s already described in the first IA study</w:t>
      </w:r>
      <w:r w:rsidR="001D2501" w:rsidRPr="00167A1B">
        <w:rPr>
          <w:rFonts w:asciiTheme="minorHAnsi" w:hAnsiTheme="minorHAnsi" w:cstheme="minorHAnsi"/>
          <w:noProof w:val="0"/>
          <w:szCs w:val="22"/>
        </w:rPr>
        <w:t>, this</w:t>
      </w:r>
      <w:r w:rsidR="00882C69" w:rsidRPr="00167A1B">
        <w:rPr>
          <w:rFonts w:asciiTheme="minorHAnsi" w:hAnsiTheme="minorHAnsi" w:cstheme="minorHAnsi"/>
          <w:noProof w:val="0"/>
          <w:szCs w:val="22"/>
        </w:rPr>
        <w:t xml:space="preserve"> would </w:t>
      </w:r>
      <w:r w:rsidR="001D2501" w:rsidRPr="00167A1B">
        <w:rPr>
          <w:rFonts w:asciiTheme="minorHAnsi" w:hAnsiTheme="minorHAnsi" w:cstheme="minorHAnsi"/>
          <w:noProof w:val="0"/>
          <w:szCs w:val="22"/>
        </w:rPr>
        <w:t xml:space="preserve">generate both positive and negative impacts: it would </w:t>
      </w:r>
      <w:r w:rsidR="00882C69" w:rsidRPr="00167A1B">
        <w:rPr>
          <w:rFonts w:asciiTheme="minorHAnsi" w:hAnsiTheme="minorHAnsi" w:cstheme="minorHAnsi"/>
          <w:noProof w:val="0"/>
          <w:szCs w:val="22"/>
        </w:rPr>
        <w:t>imply minor benefits for consumer</w:t>
      </w:r>
      <w:r w:rsidR="001D2501" w:rsidRPr="00167A1B">
        <w:rPr>
          <w:rFonts w:asciiTheme="minorHAnsi" w:hAnsiTheme="minorHAnsi" w:cstheme="minorHAnsi"/>
          <w:noProof w:val="0"/>
          <w:szCs w:val="22"/>
        </w:rPr>
        <w:t>s</w:t>
      </w:r>
      <w:r w:rsidR="00882C69" w:rsidRPr="00167A1B">
        <w:rPr>
          <w:rFonts w:asciiTheme="minorHAnsi" w:hAnsiTheme="minorHAnsi" w:cstheme="minorHAnsi"/>
          <w:noProof w:val="0"/>
          <w:szCs w:val="22"/>
        </w:rPr>
        <w:t xml:space="preserve">, but at a non-negligible cost for manufacturers, including a possible constraining effect on future innovation. When considering the option in isolation (i.e. not in a package), it also delivers negative environmental impacts. </w:t>
      </w:r>
      <w:r w:rsidR="001D2501" w:rsidRPr="00167A1B">
        <w:rPr>
          <w:rFonts w:asciiTheme="minorHAnsi" w:hAnsiTheme="minorHAnsi" w:cstheme="minorHAnsi"/>
          <w:noProof w:val="0"/>
          <w:szCs w:val="22"/>
        </w:rPr>
        <w:t xml:space="preserve">However, </w:t>
      </w:r>
      <w:r w:rsidRPr="00167A1B">
        <w:rPr>
          <w:rFonts w:asciiTheme="minorHAnsi" w:hAnsiTheme="minorHAnsi" w:cstheme="minorHAnsi"/>
          <w:noProof w:val="0"/>
          <w:szCs w:val="22"/>
        </w:rPr>
        <w:t>when combined with unbundling, we expect there to be small synergy effects that would improve the environmental performance (see below).</w:t>
      </w:r>
      <w:r w:rsidR="004E3C50" w:rsidRPr="00167A1B">
        <w:rPr>
          <w:rFonts w:asciiTheme="minorHAnsi" w:hAnsiTheme="minorHAnsi" w:cstheme="minorHAnsi"/>
          <w:noProof w:val="0"/>
          <w:szCs w:val="22"/>
        </w:rPr>
        <w:t xml:space="preserve"> </w:t>
      </w:r>
    </w:p>
    <w:p w14:paraId="084B23ED" w14:textId="330F912D" w:rsidR="005648BE" w:rsidRPr="00167A1B" w:rsidRDefault="005648BE" w:rsidP="005648BE">
      <w:pPr>
        <w:pStyle w:val="BodyText1"/>
        <w:rPr>
          <w:noProof w:val="0"/>
        </w:rPr>
      </w:pPr>
      <w:r w:rsidRPr="00167A1B">
        <w:rPr>
          <w:noProof w:val="0"/>
        </w:rPr>
        <w:t xml:space="preserve">As regards the </w:t>
      </w:r>
      <w:r w:rsidRPr="00167A1B">
        <w:rPr>
          <w:b/>
          <w:bCs/>
          <w:noProof w:val="0"/>
        </w:rPr>
        <w:t>unbundling options</w:t>
      </w:r>
      <w:r w:rsidRPr="00167A1B">
        <w:rPr>
          <w:noProof w:val="0"/>
        </w:rPr>
        <w:t xml:space="preserve">, these imply very clear and obvious trade-offs – most importantly, significant environmental benefits vs a significant financial cost and loss of convenience for consumers. Whether the benefits outweigh and justify the costs is a political decision. Nonetheless, it is perhaps worth asking whether now </w:t>
      </w:r>
      <w:proofErr w:type="gramStart"/>
      <w:r w:rsidRPr="00167A1B">
        <w:rPr>
          <w:noProof w:val="0"/>
        </w:rPr>
        <w:t>is the ideal time</w:t>
      </w:r>
      <w:proofErr w:type="gramEnd"/>
      <w:r w:rsidRPr="00167A1B">
        <w:rPr>
          <w:noProof w:val="0"/>
        </w:rPr>
        <w:t xml:space="preserve"> to make unbundling mandatory, when significant parts of the market are already moving in this direction voluntarily, to some extent risking negative reactions from their customers. In the view of the study team, it could be argued that it might be more politically and practically expedient for the EU to observe the markets further, and consider regulating in due course, if unbundling does not progress as hoped, rather than step in now, and risk becoming the target of negative sentiment among consumers that would otherwise be directed at manufacturers.</w:t>
      </w:r>
    </w:p>
    <w:p w14:paraId="1DBB786C" w14:textId="792D5846" w:rsidR="00882C69" w:rsidRPr="00167A1B" w:rsidRDefault="00882C69" w:rsidP="00882C69">
      <w:pPr>
        <w:pStyle w:val="BodyText1"/>
        <w:rPr>
          <w:noProof w:val="0"/>
        </w:rPr>
      </w:pPr>
      <w:r w:rsidRPr="00167A1B">
        <w:rPr>
          <w:noProof w:val="0"/>
        </w:rPr>
        <w:t xml:space="preserve">As regards </w:t>
      </w:r>
      <w:r w:rsidRPr="00167A1B">
        <w:rPr>
          <w:b/>
          <w:bCs/>
          <w:noProof w:val="0"/>
        </w:rPr>
        <w:t>option 5</w:t>
      </w:r>
      <w:r w:rsidRPr="00167A1B">
        <w:rPr>
          <w:noProof w:val="0"/>
        </w:rPr>
        <w:t xml:space="preserve"> (the voluntary interoperability labelling scheme), this would have the potential to bring non-negligible benefits, either on its own or in combination with any of the other options. It therefore seems worth pursuing further, i.e. launching consultations with relevant stakeholders to further explore if and how such a scheme could be designed, launched, managed and monitored, and potentially carrying out market research to test its </w:t>
      </w:r>
      <w:r w:rsidRPr="00167A1B">
        <w:rPr>
          <w:noProof w:val="0"/>
        </w:rPr>
        <w:lastRenderedPageBreak/>
        <w:t xml:space="preserve">likely acceptance by consumers, and what design features could help maximise its effectiveness. </w:t>
      </w:r>
    </w:p>
    <w:p w14:paraId="3C07843A" w14:textId="1E33322C" w:rsidR="00882C69" w:rsidRPr="00167A1B" w:rsidRDefault="00882C69" w:rsidP="00882C69">
      <w:pPr>
        <w:pStyle w:val="BodyText1"/>
        <w:rPr>
          <w:noProof w:val="0"/>
        </w:rPr>
      </w:pPr>
      <w:r w:rsidRPr="00167A1B">
        <w:rPr>
          <w:noProof w:val="0"/>
        </w:rPr>
        <w:t xml:space="preserve">When considering the packages of options, </w:t>
      </w:r>
      <w:r w:rsidRPr="00167A1B">
        <w:rPr>
          <w:b/>
          <w:bCs/>
          <w:noProof w:val="0"/>
        </w:rPr>
        <w:t>package 5</w:t>
      </w:r>
      <w:r w:rsidRPr="00167A1B">
        <w:rPr>
          <w:noProof w:val="0"/>
        </w:rPr>
        <w:t xml:space="preserve"> would provide the best environmental results of all options and packages (except option 4.b), due to the expected synergy effects resulting in lower demand for standalone EPS as well as cables. It would result in minor savings for consumers, as well as additional benefits for distributors and retailers of chargers, at the expense of charger manufacturers and wholesalers, who would see their gross profits significantly reduced. </w:t>
      </w:r>
      <w:r w:rsidR="005648BE" w:rsidRPr="00167A1B">
        <w:rPr>
          <w:noProof w:val="0"/>
        </w:rPr>
        <w:t>Mobile phone manufacturers would face increased operating costs, in particular those that have invested in proprietary connectors as well as manufacturers of lower tier phones, and would have to re-design their products, packaging and/or business models (though this cost would be reduced if, as envisaged here, the new rules only apply to new models launched on the market after a given date, providing for an adequate transition period). Consumers would still be likely to be inconvenienced by this package, but the harmonisation elements it includes would alleviate the negative impact of unbundling to some extent.</w:t>
      </w:r>
    </w:p>
    <w:p w14:paraId="130E9A22" w14:textId="2D1883FF" w:rsidR="00827359" w:rsidRPr="00167A1B" w:rsidRDefault="00827359" w:rsidP="00827359">
      <w:pPr>
        <w:spacing w:after="0"/>
        <w:jc w:val="left"/>
      </w:pPr>
    </w:p>
    <w:p w14:paraId="55A3B1F2" w14:textId="77777777" w:rsidR="00E3005A" w:rsidRPr="00167A1B" w:rsidRDefault="00E3005A" w:rsidP="00630BCE">
      <w:pPr>
        <w:pStyle w:val="Title1"/>
        <w:numPr>
          <w:ilvl w:val="0"/>
          <w:numId w:val="0"/>
        </w:numPr>
        <w:outlineLvl w:val="0"/>
        <w:sectPr w:rsidR="00E3005A" w:rsidRPr="00167A1B" w:rsidSect="000A7C84">
          <w:pgSz w:w="11907" w:h="16839" w:code="9"/>
          <w:pgMar w:top="1418" w:right="1418" w:bottom="851" w:left="1418" w:header="142" w:footer="352" w:gutter="0"/>
          <w:cols w:space="720"/>
          <w:titlePg/>
          <w:docGrid w:linePitch="326"/>
        </w:sectPr>
      </w:pPr>
    </w:p>
    <w:p w14:paraId="09838938" w14:textId="79C22726" w:rsidR="00492D6B" w:rsidRPr="00167A1B" w:rsidRDefault="00BF0199" w:rsidP="00492D6B">
      <w:pPr>
        <w:pBdr>
          <w:top w:val="single" w:sz="4" w:space="6" w:color="auto"/>
          <w:left w:val="single" w:sz="4" w:space="6" w:color="auto"/>
          <w:bottom w:val="single" w:sz="4" w:space="6" w:color="auto"/>
          <w:right w:val="single" w:sz="4" w:space="6" w:color="auto"/>
        </w:pBdr>
        <w:jc w:val="center"/>
        <w:rPr>
          <w:rFonts w:ascii="Arial" w:hAnsi="Arial" w:cs="Arial"/>
          <w:b/>
          <w:snapToGrid w:val="0"/>
          <w:color w:val="000000"/>
          <w:szCs w:val="24"/>
        </w:rPr>
      </w:pPr>
      <w:bookmarkStart w:id="88" w:name="OLE_LINK1"/>
      <w:bookmarkStart w:id="89" w:name="OLE_LINK34"/>
      <w:r w:rsidRPr="00167A1B">
        <w:rPr>
          <w:rFonts w:ascii="Arial" w:hAnsi="Arial" w:cs="Arial"/>
          <w:b/>
          <w:szCs w:val="24"/>
        </w:rPr>
        <w:lastRenderedPageBreak/>
        <w:t>GETTING IN TOUCH WITH THE EU</w:t>
      </w:r>
    </w:p>
    <w:bookmarkEnd w:id="88"/>
    <w:bookmarkEnd w:id="89"/>
    <w:p w14:paraId="1633D5A1" w14:textId="77777777" w:rsidR="00BF0199" w:rsidRPr="00167A1B" w:rsidRDefault="00BF0199" w:rsidP="00BF0199">
      <w:pPr>
        <w:pBdr>
          <w:top w:val="single" w:sz="4" w:space="6" w:color="auto"/>
          <w:left w:val="single" w:sz="4" w:space="6" w:color="auto"/>
          <w:bottom w:val="single" w:sz="4" w:space="6" w:color="auto"/>
          <w:right w:val="single" w:sz="4" w:space="6" w:color="auto"/>
        </w:pBdr>
        <w:spacing w:before="120"/>
        <w:ind w:left="284" w:hanging="284"/>
        <w:jc w:val="left"/>
        <w:rPr>
          <w:rFonts w:ascii="Arial" w:hAnsi="Arial" w:cs="Arial"/>
          <w:b/>
          <w:color w:val="000000"/>
          <w:sz w:val="20"/>
        </w:rPr>
      </w:pPr>
      <w:r w:rsidRPr="00167A1B">
        <w:rPr>
          <w:rFonts w:ascii="Arial" w:hAnsi="Arial" w:cs="Arial"/>
          <w:b/>
          <w:color w:val="000000"/>
          <w:sz w:val="20"/>
        </w:rPr>
        <w:t>In person</w:t>
      </w:r>
    </w:p>
    <w:p w14:paraId="5D974260" w14:textId="77777777" w:rsidR="00BF0199" w:rsidRPr="00167A1B" w:rsidRDefault="00BF0199" w:rsidP="00BF0199">
      <w:pPr>
        <w:pBdr>
          <w:top w:val="single" w:sz="4" w:space="6" w:color="auto"/>
          <w:left w:val="single" w:sz="4" w:space="6" w:color="auto"/>
          <w:bottom w:val="single" w:sz="4" w:space="6" w:color="auto"/>
          <w:right w:val="single" w:sz="4" w:space="6" w:color="auto"/>
        </w:pBdr>
        <w:spacing w:before="120"/>
        <w:jc w:val="left"/>
        <w:rPr>
          <w:rFonts w:ascii="Arial" w:hAnsi="Arial" w:cs="Arial"/>
          <w:color w:val="000000"/>
          <w:sz w:val="20"/>
        </w:rPr>
      </w:pPr>
      <w:r w:rsidRPr="00167A1B">
        <w:rPr>
          <w:rFonts w:ascii="Arial" w:hAnsi="Arial" w:cs="Arial"/>
          <w:color w:val="000000"/>
          <w:sz w:val="20"/>
        </w:rPr>
        <w:t xml:space="preserve">All over the European Union there are hundreds of Europe Direct information centres. You can find the address of the centre nearest you at: </w:t>
      </w:r>
      <w:hyperlink r:id="rId56" w:history="1">
        <w:r w:rsidRPr="00167A1B">
          <w:rPr>
            <w:rStyle w:val="Hyperlink"/>
            <w:rFonts w:ascii="Arial" w:hAnsi="Arial" w:cs="Arial"/>
            <w:sz w:val="20"/>
          </w:rPr>
          <w:t>https://europa.eu/european-union/contact_en</w:t>
        </w:r>
      </w:hyperlink>
    </w:p>
    <w:p w14:paraId="0EDA4242" w14:textId="77777777" w:rsidR="00BF0199" w:rsidRPr="00167A1B" w:rsidRDefault="00BF0199" w:rsidP="00BF0199">
      <w:pPr>
        <w:pBdr>
          <w:top w:val="single" w:sz="4" w:space="6" w:color="auto"/>
          <w:left w:val="single" w:sz="4" w:space="6" w:color="auto"/>
          <w:bottom w:val="single" w:sz="4" w:space="6" w:color="auto"/>
          <w:right w:val="single" w:sz="4" w:space="6" w:color="auto"/>
        </w:pBdr>
        <w:spacing w:before="120"/>
        <w:ind w:left="284" w:hanging="284"/>
        <w:jc w:val="left"/>
        <w:rPr>
          <w:rFonts w:ascii="Arial" w:hAnsi="Arial" w:cs="Arial"/>
          <w:b/>
          <w:color w:val="000000"/>
          <w:sz w:val="20"/>
        </w:rPr>
      </w:pPr>
      <w:r w:rsidRPr="00167A1B">
        <w:rPr>
          <w:rFonts w:ascii="Arial" w:hAnsi="Arial" w:cs="Arial"/>
          <w:b/>
          <w:color w:val="000000"/>
          <w:sz w:val="20"/>
        </w:rPr>
        <w:t>On the phone or by email</w:t>
      </w:r>
    </w:p>
    <w:p w14:paraId="662C883C" w14:textId="77777777" w:rsidR="00BF0199" w:rsidRPr="00167A1B" w:rsidRDefault="00BF0199" w:rsidP="00BF0199">
      <w:pPr>
        <w:pBdr>
          <w:top w:val="single" w:sz="4" w:space="6" w:color="auto"/>
          <w:left w:val="single" w:sz="4" w:space="6" w:color="auto"/>
          <w:bottom w:val="single" w:sz="4" w:space="6" w:color="auto"/>
          <w:right w:val="single" w:sz="4" w:space="6" w:color="auto"/>
        </w:pBdr>
        <w:spacing w:before="120"/>
        <w:jc w:val="left"/>
        <w:rPr>
          <w:rFonts w:ascii="Arial" w:hAnsi="Arial" w:cs="Arial"/>
          <w:color w:val="000000"/>
          <w:sz w:val="20"/>
        </w:rPr>
      </w:pPr>
      <w:r w:rsidRPr="00167A1B">
        <w:rPr>
          <w:rFonts w:ascii="Arial" w:hAnsi="Arial" w:cs="Arial"/>
          <w:color w:val="000000"/>
          <w:sz w:val="20"/>
        </w:rPr>
        <w:t>Europe Direct is a service that answers your questions about the European Union. You can contact this service:</w:t>
      </w:r>
    </w:p>
    <w:p w14:paraId="557350B8" w14:textId="77777777" w:rsidR="00BF0199" w:rsidRPr="00167A1B" w:rsidRDefault="00BF0199" w:rsidP="00BF0199">
      <w:pPr>
        <w:pBdr>
          <w:top w:val="single" w:sz="4" w:space="6" w:color="auto"/>
          <w:left w:val="single" w:sz="4" w:space="6" w:color="auto"/>
          <w:bottom w:val="single" w:sz="4" w:space="6" w:color="auto"/>
          <w:right w:val="single" w:sz="4" w:space="6" w:color="auto"/>
        </w:pBdr>
        <w:spacing w:before="120"/>
        <w:jc w:val="left"/>
        <w:rPr>
          <w:rFonts w:ascii="Arial" w:hAnsi="Arial" w:cs="Arial"/>
          <w:color w:val="000000"/>
          <w:sz w:val="20"/>
        </w:rPr>
      </w:pPr>
      <w:r w:rsidRPr="00167A1B">
        <w:rPr>
          <w:rFonts w:ascii="Arial" w:hAnsi="Arial" w:cs="Arial"/>
          <w:color w:val="000000"/>
          <w:sz w:val="20"/>
        </w:rPr>
        <w:t>– by freephone: 00 800 6 7 8 9 10 11 (certain operators may charge for these calls),</w:t>
      </w:r>
    </w:p>
    <w:p w14:paraId="43EC8467" w14:textId="77777777" w:rsidR="00BF0199" w:rsidRPr="00167A1B" w:rsidRDefault="00BF0199" w:rsidP="00BF0199">
      <w:pPr>
        <w:pBdr>
          <w:top w:val="single" w:sz="4" w:space="6" w:color="auto"/>
          <w:left w:val="single" w:sz="4" w:space="6" w:color="auto"/>
          <w:bottom w:val="single" w:sz="4" w:space="6" w:color="auto"/>
          <w:right w:val="single" w:sz="4" w:space="6" w:color="auto"/>
        </w:pBdr>
        <w:spacing w:before="120"/>
        <w:jc w:val="left"/>
        <w:rPr>
          <w:rFonts w:ascii="Arial" w:hAnsi="Arial" w:cs="Arial"/>
          <w:color w:val="000000"/>
          <w:sz w:val="20"/>
        </w:rPr>
      </w:pPr>
      <w:r w:rsidRPr="00167A1B">
        <w:rPr>
          <w:rFonts w:ascii="Arial" w:hAnsi="Arial" w:cs="Arial"/>
          <w:color w:val="000000"/>
          <w:sz w:val="20"/>
        </w:rPr>
        <w:t>– at the following standard number: +32 2299969</w:t>
      </w:r>
      <w:r w:rsidR="002E6ECE" w:rsidRPr="00167A1B">
        <w:rPr>
          <w:rFonts w:ascii="Arial" w:hAnsi="Arial" w:cs="Arial"/>
          <w:color w:val="000000"/>
          <w:sz w:val="20"/>
        </w:rPr>
        <w:t xml:space="preserve">6, </w:t>
      </w:r>
      <w:r w:rsidRPr="00167A1B">
        <w:rPr>
          <w:rFonts w:ascii="Arial" w:hAnsi="Arial" w:cs="Arial"/>
          <w:color w:val="000000"/>
          <w:sz w:val="20"/>
        </w:rPr>
        <w:t xml:space="preserve">or </w:t>
      </w:r>
    </w:p>
    <w:p w14:paraId="63A029EC" w14:textId="77777777" w:rsidR="00BF0199" w:rsidRPr="00167A1B" w:rsidRDefault="00BF0199" w:rsidP="00BF0199">
      <w:pPr>
        <w:pBdr>
          <w:top w:val="single" w:sz="4" w:space="6" w:color="auto"/>
          <w:left w:val="single" w:sz="4" w:space="6" w:color="auto"/>
          <w:bottom w:val="single" w:sz="4" w:space="6" w:color="auto"/>
          <w:right w:val="single" w:sz="4" w:space="6" w:color="auto"/>
        </w:pBdr>
        <w:spacing w:before="120"/>
        <w:jc w:val="left"/>
        <w:rPr>
          <w:rFonts w:ascii="Arial" w:hAnsi="Arial" w:cs="Arial"/>
          <w:color w:val="000000"/>
          <w:sz w:val="20"/>
        </w:rPr>
      </w:pPr>
      <w:r w:rsidRPr="00167A1B">
        <w:rPr>
          <w:rFonts w:ascii="Arial" w:hAnsi="Arial" w:cs="Arial"/>
          <w:color w:val="000000"/>
          <w:sz w:val="20"/>
        </w:rPr>
        <w:t xml:space="preserve">– by email via: </w:t>
      </w:r>
      <w:hyperlink r:id="rId57" w:history="1">
        <w:r w:rsidRPr="00167A1B">
          <w:rPr>
            <w:rStyle w:val="Hyperlink"/>
            <w:rFonts w:ascii="Arial" w:hAnsi="Arial" w:cs="Arial"/>
            <w:sz w:val="20"/>
          </w:rPr>
          <w:t>https://europa.eu/european-union/contact_en</w:t>
        </w:r>
      </w:hyperlink>
    </w:p>
    <w:p w14:paraId="12754005" w14:textId="77777777" w:rsidR="007A2836" w:rsidRPr="00167A1B" w:rsidRDefault="007A2836" w:rsidP="00BF0199">
      <w:pPr>
        <w:pBdr>
          <w:top w:val="single" w:sz="4" w:space="6" w:color="auto"/>
          <w:left w:val="single" w:sz="4" w:space="6" w:color="auto"/>
          <w:bottom w:val="single" w:sz="4" w:space="6" w:color="auto"/>
          <w:right w:val="single" w:sz="4" w:space="6" w:color="auto"/>
        </w:pBdr>
        <w:spacing w:before="120"/>
        <w:ind w:left="284" w:hanging="284"/>
        <w:jc w:val="center"/>
        <w:rPr>
          <w:rFonts w:ascii="Arial" w:hAnsi="Arial" w:cs="Arial"/>
          <w:b/>
          <w:color w:val="000000"/>
          <w:sz w:val="20"/>
        </w:rPr>
      </w:pPr>
    </w:p>
    <w:p w14:paraId="3725A7E7" w14:textId="77777777" w:rsidR="00BF0199" w:rsidRPr="00167A1B" w:rsidRDefault="00BF0199" w:rsidP="007A2836">
      <w:pPr>
        <w:pBdr>
          <w:top w:val="single" w:sz="4" w:space="6" w:color="auto"/>
          <w:left w:val="single" w:sz="4" w:space="6" w:color="auto"/>
          <w:bottom w:val="single" w:sz="4" w:space="6" w:color="auto"/>
          <w:right w:val="single" w:sz="4" w:space="6" w:color="auto"/>
        </w:pBdr>
        <w:jc w:val="center"/>
        <w:rPr>
          <w:rFonts w:ascii="Arial" w:hAnsi="Arial" w:cs="Arial"/>
          <w:b/>
          <w:szCs w:val="24"/>
        </w:rPr>
      </w:pPr>
      <w:r w:rsidRPr="00167A1B">
        <w:rPr>
          <w:rFonts w:ascii="Arial" w:hAnsi="Arial" w:cs="Arial"/>
          <w:b/>
          <w:szCs w:val="24"/>
        </w:rPr>
        <w:t>FINDING INFORMATION ABOUT THE EU</w:t>
      </w:r>
    </w:p>
    <w:p w14:paraId="3AA72993" w14:textId="77777777" w:rsidR="00BF0199" w:rsidRPr="00167A1B" w:rsidRDefault="00BF0199" w:rsidP="00BF0199">
      <w:pPr>
        <w:pBdr>
          <w:top w:val="single" w:sz="4" w:space="6" w:color="auto"/>
          <w:left w:val="single" w:sz="4" w:space="6" w:color="auto"/>
          <w:bottom w:val="single" w:sz="4" w:space="6" w:color="auto"/>
          <w:right w:val="single" w:sz="4" w:space="6" w:color="auto"/>
        </w:pBdr>
        <w:spacing w:before="120"/>
        <w:ind w:left="284" w:hanging="284"/>
        <w:jc w:val="left"/>
        <w:rPr>
          <w:rFonts w:ascii="Arial" w:hAnsi="Arial" w:cs="Arial"/>
          <w:b/>
          <w:color w:val="000000"/>
          <w:sz w:val="20"/>
        </w:rPr>
      </w:pPr>
      <w:r w:rsidRPr="00167A1B">
        <w:rPr>
          <w:rFonts w:ascii="Arial" w:hAnsi="Arial" w:cs="Arial"/>
          <w:b/>
          <w:color w:val="000000"/>
          <w:sz w:val="20"/>
        </w:rPr>
        <w:t>Online</w:t>
      </w:r>
    </w:p>
    <w:p w14:paraId="39F2D261" w14:textId="77777777" w:rsidR="00BF0199" w:rsidRPr="00167A1B" w:rsidRDefault="00BF0199" w:rsidP="00BF0199">
      <w:pPr>
        <w:pBdr>
          <w:top w:val="single" w:sz="4" w:space="6" w:color="auto"/>
          <w:left w:val="single" w:sz="4" w:space="6" w:color="auto"/>
          <w:bottom w:val="single" w:sz="4" w:space="6" w:color="auto"/>
          <w:right w:val="single" w:sz="4" w:space="6" w:color="auto"/>
        </w:pBdr>
        <w:spacing w:before="120"/>
        <w:jc w:val="left"/>
        <w:rPr>
          <w:rFonts w:ascii="Arial" w:hAnsi="Arial" w:cs="Arial"/>
          <w:color w:val="000000"/>
          <w:sz w:val="20"/>
        </w:rPr>
      </w:pPr>
      <w:r w:rsidRPr="00167A1B">
        <w:rPr>
          <w:rFonts w:ascii="Arial" w:hAnsi="Arial" w:cs="Arial"/>
          <w:color w:val="000000"/>
          <w:sz w:val="20"/>
        </w:rPr>
        <w:t xml:space="preserve">Information about the European Union in all the official languages of the EU is available on the Europa website at: </w:t>
      </w:r>
      <w:hyperlink r:id="rId58" w:history="1">
        <w:r w:rsidRPr="00167A1B">
          <w:rPr>
            <w:rStyle w:val="Hyperlink"/>
            <w:rFonts w:ascii="Arial" w:hAnsi="Arial" w:cs="Arial"/>
            <w:sz w:val="20"/>
          </w:rPr>
          <w:t>https://europa.eu/european-union/index_en</w:t>
        </w:r>
      </w:hyperlink>
    </w:p>
    <w:p w14:paraId="337DB53F" w14:textId="77777777" w:rsidR="00BF0199" w:rsidRPr="00167A1B" w:rsidRDefault="00BF0199" w:rsidP="00BF0199">
      <w:pPr>
        <w:pBdr>
          <w:top w:val="single" w:sz="4" w:space="6" w:color="auto"/>
          <w:left w:val="single" w:sz="4" w:space="6" w:color="auto"/>
          <w:bottom w:val="single" w:sz="4" w:space="6" w:color="auto"/>
          <w:right w:val="single" w:sz="4" w:space="6" w:color="auto"/>
        </w:pBdr>
        <w:spacing w:before="120"/>
        <w:ind w:left="284" w:hanging="284"/>
        <w:jc w:val="left"/>
        <w:rPr>
          <w:rFonts w:ascii="Arial" w:hAnsi="Arial" w:cs="Arial"/>
          <w:b/>
          <w:color w:val="000000"/>
          <w:sz w:val="20"/>
        </w:rPr>
      </w:pPr>
      <w:r w:rsidRPr="00167A1B">
        <w:rPr>
          <w:rFonts w:ascii="Arial" w:hAnsi="Arial" w:cs="Arial"/>
          <w:b/>
          <w:color w:val="000000"/>
          <w:sz w:val="20"/>
        </w:rPr>
        <w:t>EU publications</w:t>
      </w:r>
      <w:r w:rsidRPr="00167A1B">
        <w:rPr>
          <w:rFonts w:ascii="Arial" w:hAnsi="Arial" w:cs="Arial"/>
          <w:b/>
          <w:color w:val="000000"/>
          <w:sz w:val="20"/>
        </w:rPr>
        <w:tab/>
      </w:r>
    </w:p>
    <w:p w14:paraId="789EFBD6" w14:textId="77777777" w:rsidR="00BF0199" w:rsidRPr="00167A1B" w:rsidRDefault="00BF0199" w:rsidP="00BF0199">
      <w:pPr>
        <w:pBdr>
          <w:top w:val="single" w:sz="4" w:space="6" w:color="auto"/>
          <w:left w:val="single" w:sz="4" w:space="6" w:color="auto"/>
          <w:bottom w:val="single" w:sz="4" w:space="6" w:color="auto"/>
          <w:right w:val="single" w:sz="4" w:space="6" w:color="auto"/>
        </w:pBdr>
        <w:spacing w:before="120"/>
        <w:jc w:val="left"/>
        <w:rPr>
          <w:rFonts w:ascii="Arial" w:hAnsi="Arial" w:cs="Arial"/>
          <w:color w:val="000000"/>
          <w:sz w:val="20"/>
        </w:rPr>
      </w:pPr>
      <w:r w:rsidRPr="00167A1B">
        <w:rPr>
          <w:rFonts w:ascii="Arial" w:hAnsi="Arial" w:cs="Arial"/>
          <w:color w:val="000000"/>
          <w:sz w:val="20"/>
        </w:rPr>
        <w:t xml:space="preserve">You can download or order free and priced EU publications </w:t>
      </w:r>
      <w:r w:rsidR="002E6ECE" w:rsidRPr="00167A1B">
        <w:rPr>
          <w:rFonts w:ascii="Arial" w:hAnsi="Arial" w:cs="Arial"/>
          <w:color w:val="000000"/>
          <w:sz w:val="20"/>
        </w:rPr>
        <w:t>from</w:t>
      </w:r>
      <w:r w:rsidRPr="00167A1B">
        <w:rPr>
          <w:rFonts w:ascii="Arial" w:hAnsi="Arial" w:cs="Arial"/>
          <w:color w:val="000000"/>
          <w:sz w:val="20"/>
        </w:rPr>
        <w:t xml:space="preserve">: </w:t>
      </w:r>
      <w:hyperlink r:id="rId59" w:history="1">
        <w:r w:rsidR="002E6ECE" w:rsidRPr="00167A1B">
          <w:rPr>
            <w:rStyle w:val="Hyperlink"/>
            <w:rFonts w:ascii="Arial" w:hAnsi="Arial" w:cs="Arial"/>
            <w:sz w:val="20"/>
          </w:rPr>
          <w:t>https://op.europa.eu/en/publications</w:t>
        </w:r>
      </w:hyperlink>
      <w:r w:rsidRPr="00167A1B">
        <w:rPr>
          <w:rFonts w:ascii="Arial" w:hAnsi="Arial" w:cs="Arial"/>
          <w:color w:val="000000"/>
          <w:sz w:val="20"/>
        </w:rPr>
        <w:t xml:space="preserve">. Multiple copies of free publications may be obtained by contacting Europe Direct or your local information centre (see </w:t>
      </w:r>
      <w:hyperlink r:id="rId60" w:history="1">
        <w:r w:rsidRPr="00167A1B">
          <w:rPr>
            <w:rStyle w:val="Hyperlink"/>
            <w:rFonts w:ascii="Arial" w:hAnsi="Arial" w:cs="Arial"/>
            <w:sz w:val="20"/>
          </w:rPr>
          <w:t>https://europa.eu/european-union/contact_en</w:t>
        </w:r>
      </w:hyperlink>
      <w:r w:rsidRPr="00167A1B">
        <w:rPr>
          <w:rFonts w:ascii="Arial" w:hAnsi="Arial" w:cs="Arial"/>
          <w:color w:val="000000"/>
          <w:sz w:val="20"/>
        </w:rPr>
        <w:t>).</w:t>
      </w:r>
    </w:p>
    <w:p w14:paraId="06304BAA" w14:textId="77777777" w:rsidR="00BF0199" w:rsidRPr="00167A1B" w:rsidRDefault="00BF0199" w:rsidP="00BF0199">
      <w:pPr>
        <w:pBdr>
          <w:top w:val="single" w:sz="4" w:space="6" w:color="auto"/>
          <w:left w:val="single" w:sz="4" w:space="6" w:color="auto"/>
          <w:bottom w:val="single" w:sz="4" w:space="6" w:color="auto"/>
          <w:right w:val="single" w:sz="4" w:space="6" w:color="auto"/>
        </w:pBdr>
        <w:spacing w:before="120"/>
        <w:ind w:left="284" w:hanging="284"/>
        <w:jc w:val="left"/>
        <w:rPr>
          <w:rFonts w:ascii="Arial" w:hAnsi="Arial" w:cs="Arial"/>
          <w:b/>
          <w:color w:val="000000"/>
          <w:sz w:val="20"/>
        </w:rPr>
      </w:pPr>
      <w:r w:rsidRPr="00167A1B">
        <w:rPr>
          <w:rFonts w:ascii="Arial" w:hAnsi="Arial" w:cs="Arial"/>
          <w:b/>
          <w:color w:val="000000"/>
          <w:sz w:val="20"/>
        </w:rPr>
        <w:t>EU law and related documents</w:t>
      </w:r>
    </w:p>
    <w:p w14:paraId="05D3633F" w14:textId="77777777" w:rsidR="00BF0199" w:rsidRPr="00167A1B" w:rsidRDefault="00BF0199" w:rsidP="00BF0199">
      <w:pPr>
        <w:pBdr>
          <w:top w:val="single" w:sz="4" w:space="6" w:color="auto"/>
          <w:left w:val="single" w:sz="4" w:space="6" w:color="auto"/>
          <w:bottom w:val="single" w:sz="4" w:space="6" w:color="auto"/>
          <w:right w:val="single" w:sz="4" w:space="6" w:color="auto"/>
        </w:pBdr>
        <w:spacing w:before="120"/>
        <w:jc w:val="left"/>
        <w:rPr>
          <w:rFonts w:ascii="Arial" w:hAnsi="Arial" w:cs="Arial"/>
          <w:color w:val="000000"/>
          <w:sz w:val="20"/>
        </w:rPr>
      </w:pPr>
      <w:r w:rsidRPr="00167A1B">
        <w:rPr>
          <w:rFonts w:ascii="Arial" w:hAnsi="Arial" w:cs="Arial"/>
          <w:color w:val="000000"/>
          <w:sz w:val="20"/>
        </w:rPr>
        <w:t xml:space="preserve">For access to legal information from the EU, including all EU law since 1952 in all the official language versions, go to EUR-Lex at: </w:t>
      </w:r>
      <w:hyperlink r:id="rId61" w:history="1">
        <w:r w:rsidRPr="00167A1B">
          <w:rPr>
            <w:rStyle w:val="Hyperlink"/>
            <w:rFonts w:ascii="Arial" w:hAnsi="Arial" w:cs="Arial"/>
            <w:sz w:val="20"/>
          </w:rPr>
          <w:t>http://eur-lex.europa.eu</w:t>
        </w:r>
      </w:hyperlink>
    </w:p>
    <w:p w14:paraId="19931AFE" w14:textId="77777777" w:rsidR="00BF0199" w:rsidRPr="00167A1B" w:rsidRDefault="00BF0199" w:rsidP="00BF0199">
      <w:pPr>
        <w:pBdr>
          <w:top w:val="single" w:sz="4" w:space="6" w:color="auto"/>
          <w:left w:val="single" w:sz="4" w:space="6" w:color="auto"/>
          <w:bottom w:val="single" w:sz="4" w:space="6" w:color="auto"/>
          <w:right w:val="single" w:sz="4" w:space="6" w:color="auto"/>
        </w:pBdr>
        <w:spacing w:before="120"/>
        <w:ind w:left="284" w:hanging="284"/>
        <w:jc w:val="left"/>
        <w:rPr>
          <w:rFonts w:ascii="Arial" w:hAnsi="Arial" w:cs="Arial"/>
          <w:b/>
          <w:color w:val="000000"/>
          <w:sz w:val="20"/>
        </w:rPr>
      </w:pPr>
      <w:r w:rsidRPr="00167A1B">
        <w:rPr>
          <w:rFonts w:ascii="Arial" w:hAnsi="Arial" w:cs="Arial"/>
          <w:b/>
          <w:color w:val="000000"/>
          <w:sz w:val="20"/>
        </w:rPr>
        <w:t>Open data from the EU</w:t>
      </w:r>
    </w:p>
    <w:p w14:paraId="3B7F311B" w14:textId="77777777" w:rsidR="00492D6B" w:rsidRPr="00167A1B" w:rsidRDefault="00BF0199" w:rsidP="00BF0199">
      <w:pPr>
        <w:pBdr>
          <w:top w:val="single" w:sz="4" w:space="6" w:color="auto"/>
          <w:left w:val="single" w:sz="4" w:space="6" w:color="auto"/>
          <w:bottom w:val="single" w:sz="4" w:space="6" w:color="auto"/>
          <w:right w:val="single" w:sz="4" w:space="6" w:color="auto"/>
        </w:pBdr>
        <w:spacing w:before="120"/>
        <w:jc w:val="left"/>
        <w:rPr>
          <w:rFonts w:ascii="Arial" w:hAnsi="Arial" w:cs="Arial"/>
          <w:color w:val="000000"/>
          <w:sz w:val="20"/>
        </w:rPr>
      </w:pPr>
      <w:r w:rsidRPr="00167A1B">
        <w:rPr>
          <w:rFonts w:ascii="Arial" w:hAnsi="Arial" w:cs="Arial"/>
          <w:color w:val="000000"/>
          <w:sz w:val="20"/>
        </w:rPr>
        <w:t>The EU Open Data Portal (</w:t>
      </w:r>
      <w:hyperlink r:id="rId62" w:history="1">
        <w:r w:rsidRPr="00167A1B">
          <w:rPr>
            <w:rStyle w:val="Hyperlink"/>
            <w:rFonts w:ascii="Arial" w:hAnsi="Arial" w:cs="Arial"/>
            <w:sz w:val="20"/>
          </w:rPr>
          <w:t>http://data.europa.eu/euodp/en</w:t>
        </w:r>
      </w:hyperlink>
      <w:r w:rsidRPr="00167A1B">
        <w:rPr>
          <w:rFonts w:ascii="Arial" w:hAnsi="Arial" w:cs="Arial"/>
          <w:color w:val="000000"/>
          <w:sz w:val="20"/>
        </w:rPr>
        <w:t>) provides access to datasets from the EU. Data can be downloaded and reused for free, for both commercial and non-commercial purposes.</w:t>
      </w:r>
    </w:p>
    <w:p w14:paraId="198BA071" w14:textId="77777777" w:rsidR="00213AE8" w:rsidRPr="00167A1B" w:rsidRDefault="00213AE8" w:rsidP="00267A5F">
      <w:pPr>
        <w:pStyle w:val="Heading"/>
        <w:rPr>
          <w:noProof w:val="0"/>
        </w:rPr>
        <w:sectPr w:rsidR="00213AE8" w:rsidRPr="00167A1B" w:rsidSect="00830D7E">
          <w:pgSz w:w="11907" w:h="16839" w:code="9"/>
          <w:pgMar w:top="2127" w:right="1418" w:bottom="737" w:left="1418" w:header="142" w:footer="352" w:gutter="0"/>
          <w:cols w:space="720"/>
          <w:titlePg/>
          <w:docGrid w:linePitch="326"/>
        </w:sectPr>
      </w:pPr>
    </w:p>
    <w:p w14:paraId="1C96DB68" w14:textId="77777777" w:rsidR="00213AE8" w:rsidRPr="00167A1B" w:rsidRDefault="000535B3" w:rsidP="00213AE8">
      <w:pPr>
        <w:ind w:right="28"/>
        <w:rPr>
          <w:rFonts w:ascii="Arial" w:hAnsi="Arial" w:cs="Arial"/>
          <w:sz w:val="18"/>
        </w:rPr>
      </w:pPr>
      <w:r w:rsidRPr="00167A1B">
        <w:rPr>
          <w:rFonts w:ascii="Arial" w:hAnsi="Arial" w:cs="Arial"/>
          <w:noProof/>
          <w:sz w:val="18"/>
          <w:lang w:eastAsia="en-GB"/>
        </w:rPr>
        <w:lastRenderedPageBreak/>
        <mc:AlternateContent>
          <mc:Choice Requires="wps">
            <w:drawing>
              <wp:anchor distT="0" distB="0" distL="114300" distR="114300" simplePos="0" relativeHeight="251622400" behindDoc="0" locked="0" layoutInCell="1" allowOverlap="1" wp14:anchorId="3F4B0552" wp14:editId="3C1803D7">
                <wp:simplePos x="0" y="0"/>
                <wp:positionH relativeFrom="margin">
                  <wp:posOffset>6758305</wp:posOffset>
                </wp:positionH>
                <wp:positionV relativeFrom="page">
                  <wp:posOffset>372745</wp:posOffset>
                </wp:positionV>
                <wp:extent cx="552450" cy="1229995"/>
                <wp:effectExtent l="0" t="1270" r="4445"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229995"/>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0BEEF" w14:textId="77777777" w:rsidR="008225D3" w:rsidRDefault="008225D3" w:rsidP="00213AE8">
                            <w:pPr>
                              <w:rPr>
                                <w:rFonts w:ascii="Arial" w:hAnsi="Arial"/>
                                <w:color w:val="FF0000"/>
                                <w:sz w:val="18"/>
                                <w:lang w:val="fr-BE"/>
                              </w:rPr>
                            </w:pPr>
                            <w:r w:rsidRPr="0053025E">
                              <w:rPr>
                                <w:rFonts w:ascii="Arial" w:hAnsi="Arial"/>
                                <w:color w:val="FF0000"/>
                                <w:sz w:val="18"/>
                                <w:lang w:val="fr-BE"/>
                              </w:rPr>
                              <w:t>[Catalogue number</w:t>
                            </w:r>
                            <w:r>
                              <w:rPr>
                                <w:rFonts w:ascii="Arial" w:hAnsi="Arial"/>
                                <w:color w:val="FF0000"/>
                                <w:sz w:val="18"/>
                                <w:lang w:val="fr-BE"/>
                              </w:rPr>
                              <w:t>]</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4B0552" id="_x0000_t202" coordsize="21600,21600" o:spt="202" path="m,l,21600r21600,l21600,xe">
                <v:stroke joinstyle="miter"/>
                <v:path gradientshapeok="t" o:connecttype="rect"/>
              </v:shapetype>
              <v:shape id="Text Box 2" o:spid="_x0000_s1026" type="#_x0000_t202" style="position:absolute;left:0;text-align:left;margin-left:532.15pt;margin-top:29.35pt;width:43.5pt;height:96.8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" filled="f" fillcolor="black" stroked="f">
                <v:textbox style="layout-flow:vertical">
                  <w:txbxContent>
                    <w:p w14:paraId="2DC0BEEF" w14:textId="77777777" w:rsidR="008225D3" w:rsidRDefault="008225D3" w:rsidP="00213AE8">
                      <w:pPr>
                        <w:rPr>
                          <w:rFonts w:ascii="Arial" w:hAnsi="Arial"/>
                          <w:color w:val="FF0000"/>
                          <w:sz w:val="18"/>
                          <w:lang w:val="fr-BE"/>
                        </w:rPr>
                      </w:pPr>
                      <w:r w:rsidRPr="0053025E">
                        <w:rPr>
                          <w:rFonts w:ascii="Arial" w:hAnsi="Arial"/>
                          <w:color w:val="FF0000"/>
                          <w:sz w:val="18"/>
                          <w:lang w:val="fr-BE"/>
                        </w:rPr>
                        <w:t>[Catalogue number</w:t>
                      </w:r>
                      <w:r>
                        <w:rPr>
                          <w:rFonts w:ascii="Arial" w:hAnsi="Arial"/>
                          <w:color w:val="FF0000"/>
                          <w:sz w:val="18"/>
                          <w:lang w:val="fr-BE"/>
                        </w:rPr>
                        <w:t>]</w:t>
                      </w:r>
                    </w:p>
                  </w:txbxContent>
                </v:textbox>
                <w10:wrap anchorx="margin" anchory="page"/>
              </v:shape>
            </w:pict>
          </mc:Fallback>
        </mc:AlternateContent>
      </w:r>
    </w:p>
    <w:p w14:paraId="626BDBC7" w14:textId="77777777" w:rsidR="00213AE8" w:rsidRPr="00167A1B" w:rsidRDefault="00213AE8" w:rsidP="00213AE8">
      <w:pPr>
        <w:ind w:right="28"/>
        <w:rPr>
          <w:rFonts w:ascii="Arial" w:hAnsi="Arial" w:cs="Arial"/>
          <w:sz w:val="18"/>
        </w:rPr>
      </w:pPr>
    </w:p>
    <w:p w14:paraId="5EDB4792" w14:textId="77777777" w:rsidR="00DA348E" w:rsidRPr="00167A1B" w:rsidRDefault="00DA348E" w:rsidP="00213AE8">
      <w:pPr>
        <w:ind w:right="28"/>
        <w:rPr>
          <w:rFonts w:ascii="Arial" w:hAnsi="Arial" w:cs="Arial"/>
          <w:sz w:val="18"/>
        </w:rPr>
      </w:pPr>
    </w:p>
    <w:p w14:paraId="1D55838F" w14:textId="77777777" w:rsidR="00DA348E" w:rsidRPr="00167A1B" w:rsidRDefault="00DA348E" w:rsidP="00213AE8">
      <w:pPr>
        <w:ind w:right="28"/>
        <w:rPr>
          <w:rFonts w:ascii="Arial" w:hAnsi="Arial" w:cs="Arial"/>
          <w:sz w:val="18"/>
        </w:rPr>
      </w:pPr>
    </w:p>
    <w:p w14:paraId="74A4BE6B" w14:textId="77777777" w:rsidR="00213AE8" w:rsidRPr="00167A1B" w:rsidRDefault="00213AE8" w:rsidP="00213AE8">
      <w:pPr>
        <w:ind w:right="28"/>
        <w:rPr>
          <w:rFonts w:ascii="Arial" w:hAnsi="Arial" w:cs="Arial"/>
          <w:sz w:val="18"/>
        </w:rPr>
      </w:pPr>
    </w:p>
    <w:p w14:paraId="6F29F4EC" w14:textId="77777777" w:rsidR="00213AE8" w:rsidRPr="00167A1B" w:rsidRDefault="00213AE8" w:rsidP="00213AE8">
      <w:pPr>
        <w:ind w:right="28"/>
        <w:rPr>
          <w:rFonts w:ascii="Arial" w:hAnsi="Arial" w:cs="Arial"/>
          <w:sz w:val="18"/>
        </w:rPr>
      </w:pPr>
    </w:p>
    <w:p w14:paraId="37A5EADC" w14:textId="77777777" w:rsidR="009B6318" w:rsidRPr="00167A1B" w:rsidRDefault="009B6318" w:rsidP="00213AE8">
      <w:pPr>
        <w:ind w:right="28"/>
        <w:rPr>
          <w:rFonts w:ascii="Arial" w:hAnsi="Arial" w:cs="Arial"/>
          <w:sz w:val="18"/>
        </w:rPr>
      </w:pPr>
    </w:p>
    <w:p w14:paraId="732FCDC4" w14:textId="77777777" w:rsidR="009B6318" w:rsidRPr="00167A1B" w:rsidRDefault="009B6318" w:rsidP="00213AE8">
      <w:pPr>
        <w:ind w:right="28"/>
        <w:rPr>
          <w:rFonts w:ascii="Arial" w:hAnsi="Arial" w:cs="Arial"/>
          <w:sz w:val="18"/>
        </w:rPr>
      </w:pPr>
    </w:p>
    <w:p w14:paraId="0BF5BBDC" w14:textId="77777777" w:rsidR="009B6318" w:rsidRPr="00167A1B" w:rsidRDefault="009B6318" w:rsidP="00213AE8">
      <w:pPr>
        <w:ind w:right="28"/>
        <w:rPr>
          <w:rFonts w:ascii="Arial" w:hAnsi="Arial" w:cs="Arial"/>
          <w:sz w:val="18"/>
        </w:rPr>
      </w:pPr>
    </w:p>
    <w:p w14:paraId="6D34B0E0" w14:textId="77777777" w:rsidR="00213AE8" w:rsidRPr="00167A1B" w:rsidRDefault="00213AE8" w:rsidP="00213AE8">
      <w:pPr>
        <w:ind w:right="28"/>
        <w:rPr>
          <w:rFonts w:ascii="Arial" w:hAnsi="Arial" w:cs="Arial"/>
          <w:sz w:val="18"/>
        </w:rPr>
      </w:pPr>
    </w:p>
    <w:p w14:paraId="197265EE" w14:textId="77777777" w:rsidR="00213AE8" w:rsidRPr="00167A1B" w:rsidRDefault="00213AE8" w:rsidP="00213AE8">
      <w:pPr>
        <w:ind w:right="28"/>
        <w:rPr>
          <w:rFonts w:ascii="Arial" w:hAnsi="Arial" w:cs="Arial"/>
          <w:sz w:val="18"/>
        </w:rPr>
      </w:pPr>
    </w:p>
    <w:p w14:paraId="54BD2C4F" w14:textId="77777777" w:rsidR="00213AE8" w:rsidRPr="00167A1B" w:rsidRDefault="00213AE8" w:rsidP="00213AE8">
      <w:pPr>
        <w:ind w:right="28"/>
        <w:rPr>
          <w:rFonts w:ascii="Arial" w:hAnsi="Arial" w:cs="Arial"/>
          <w:sz w:val="18"/>
        </w:rPr>
      </w:pPr>
    </w:p>
    <w:p w14:paraId="7859AC29" w14:textId="77777777" w:rsidR="00213AE8" w:rsidRPr="00167A1B" w:rsidRDefault="00213AE8" w:rsidP="00213AE8">
      <w:pPr>
        <w:ind w:right="28"/>
        <w:rPr>
          <w:rFonts w:ascii="Arial" w:hAnsi="Arial" w:cs="Arial"/>
          <w:sz w:val="18"/>
        </w:rPr>
      </w:pPr>
    </w:p>
    <w:p w14:paraId="232E9C74" w14:textId="77777777" w:rsidR="00A20FF6" w:rsidRPr="00167A1B" w:rsidRDefault="00A20FF6" w:rsidP="00213AE8">
      <w:pPr>
        <w:ind w:right="28"/>
        <w:rPr>
          <w:rFonts w:ascii="Arial" w:hAnsi="Arial" w:cs="Arial"/>
          <w:sz w:val="18"/>
        </w:rPr>
      </w:pPr>
    </w:p>
    <w:p w14:paraId="4E34D5D9" w14:textId="77777777" w:rsidR="00A20FF6" w:rsidRPr="00167A1B" w:rsidRDefault="00A20FF6" w:rsidP="00213AE8">
      <w:pPr>
        <w:ind w:right="28"/>
        <w:rPr>
          <w:rFonts w:ascii="Arial" w:hAnsi="Arial" w:cs="Arial"/>
          <w:sz w:val="18"/>
        </w:rPr>
      </w:pPr>
    </w:p>
    <w:p w14:paraId="5BFCB927" w14:textId="77777777" w:rsidR="00A20FF6" w:rsidRPr="00167A1B" w:rsidRDefault="00A20FF6" w:rsidP="00213AE8">
      <w:pPr>
        <w:ind w:right="28"/>
        <w:rPr>
          <w:rFonts w:ascii="Arial" w:hAnsi="Arial" w:cs="Arial"/>
          <w:sz w:val="18"/>
        </w:rPr>
      </w:pPr>
    </w:p>
    <w:p w14:paraId="0957E669" w14:textId="77777777" w:rsidR="00A20FF6" w:rsidRPr="00167A1B" w:rsidRDefault="00A20FF6" w:rsidP="00213AE8">
      <w:pPr>
        <w:ind w:right="28"/>
        <w:rPr>
          <w:rFonts w:ascii="Arial" w:hAnsi="Arial" w:cs="Arial"/>
          <w:sz w:val="18"/>
        </w:rPr>
      </w:pPr>
    </w:p>
    <w:p w14:paraId="0C2F0A70" w14:textId="77777777" w:rsidR="00605453" w:rsidRPr="00167A1B" w:rsidRDefault="00605453" w:rsidP="00213AE8">
      <w:pPr>
        <w:ind w:right="28"/>
        <w:rPr>
          <w:rFonts w:ascii="Arial" w:hAnsi="Arial" w:cs="Arial"/>
          <w:sz w:val="18"/>
        </w:rPr>
      </w:pPr>
    </w:p>
    <w:p w14:paraId="03B01853" w14:textId="77777777" w:rsidR="00605453" w:rsidRPr="00167A1B" w:rsidRDefault="00605453" w:rsidP="00213AE8">
      <w:pPr>
        <w:ind w:right="28"/>
        <w:rPr>
          <w:rFonts w:ascii="Arial" w:hAnsi="Arial" w:cs="Arial"/>
          <w:sz w:val="18"/>
        </w:rPr>
      </w:pPr>
    </w:p>
    <w:p w14:paraId="15A1CD05" w14:textId="77777777" w:rsidR="00213AE8" w:rsidRPr="00167A1B" w:rsidRDefault="00213AE8" w:rsidP="0030325A">
      <w:pPr>
        <w:ind w:right="-1"/>
        <w:rPr>
          <w:rFonts w:ascii="Arial" w:hAnsi="Arial" w:cs="Arial"/>
          <w:sz w:val="18"/>
        </w:rPr>
      </w:pPr>
    </w:p>
    <w:p w14:paraId="7B42FA60" w14:textId="77777777" w:rsidR="00E90838" w:rsidRPr="00167A1B" w:rsidRDefault="00213AE8" w:rsidP="009B6318">
      <w:pPr>
        <w:ind w:right="-1"/>
        <w:jc w:val="right"/>
        <w:rPr>
          <w:rFonts w:ascii="Arial" w:hAnsi="Arial" w:cs="Arial"/>
          <w:sz w:val="18"/>
        </w:rPr>
      </w:pPr>
      <w:r w:rsidRPr="00167A1B">
        <w:rPr>
          <w:rFonts w:ascii="Arial" w:hAnsi="Arial" w:cs="Arial"/>
          <w:sz w:val="18"/>
        </w:rPr>
        <w:t xml:space="preserve">                            </w:t>
      </w:r>
      <w:r w:rsidRPr="00167A1B">
        <w:rPr>
          <w:rFonts w:ascii="Arial" w:hAnsi="Arial" w:cs="Arial"/>
          <w:sz w:val="18"/>
        </w:rPr>
        <w:tab/>
      </w:r>
      <w:r w:rsidRPr="00167A1B">
        <w:rPr>
          <w:rFonts w:ascii="Arial" w:hAnsi="Arial" w:cs="Arial"/>
          <w:sz w:val="18"/>
        </w:rPr>
        <w:tab/>
      </w:r>
      <w:r w:rsidRPr="00167A1B">
        <w:rPr>
          <w:rFonts w:ascii="Arial" w:hAnsi="Arial" w:cs="Arial"/>
          <w:sz w:val="18"/>
        </w:rPr>
        <w:tab/>
        <w:t xml:space="preserve">   </w:t>
      </w:r>
      <w:r w:rsidR="0030325A" w:rsidRPr="00167A1B">
        <w:rPr>
          <w:rFonts w:ascii="Arial" w:hAnsi="Arial" w:cs="Arial"/>
          <w:sz w:val="18"/>
        </w:rPr>
        <w:t xml:space="preserve">                            </w:t>
      </w:r>
    </w:p>
    <w:p w14:paraId="538C329B" w14:textId="77777777" w:rsidR="00E90838" w:rsidRPr="00167A1B" w:rsidRDefault="00E90838" w:rsidP="00F158A3">
      <w:pPr>
        <w:spacing w:after="960"/>
        <w:jc w:val="right"/>
        <w:rPr>
          <w:rFonts w:ascii="Arial" w:hAnsi="Arial" w:cs="Arial"/>
          <w:sz w:val="28"/>
          <w:szCs w:val="28"/>
        </w:rPr>
      </w:pPr>
    </w:p>
    <w:p w14:paraId="447E365B" w14:textId="77777777" w:rsidR="00623ED0" w:rsidRPr="00167A1B" w:rsidRDefault="00623ED0" w:rsidP="00E90838">
      <w:pPr>
        <w:ind w:right="-1"/>
        <w:jc w:val="right"/>
        <w:rPr>
          <w:rFonts w:ascii="Arial" w:hAnsi="Arial" w:cs="Arial"/>
          <w:sz w:val="16"/>
          <w:szCs w:val="16"/>
        </w:rPr>
      </w:pPr>
      <w:bookmarkStart w:id="90" w:name="Prix1"/>
      <w:bookmarkEnd w:id="90"/>
    </w:p>
    <w:p w14:paraId="38F816ED" w14:textId="77777777" w:rsidR="00623ED0" w:rsidRPr="00167A1B" w:rsidRDefault="00623ED0" w:rsidP="00E90838">
      <w:pPr>
        <w:ind w:right="-1"/>
        <w:jc w:val="right"/>
        <w:rPr>
          <w:rFonts w:ascii="Arial" w:hAnsi="Arial" w:cs="Arial"/>
          <w:sz w:val="16"/>
          <w:szCs w:val="16"/>
        </w:rPr>
      </w:pPr>
    </w:p>
    <w:p w14:paraId="20946215" w14:textId="77777777" w:rsidR="00492D6B" w:rsidRPr="00167A1B" w:rsidRDefault="00492D6B" w:rsidP="00492D6B">
      <w:pPr>
        <w:ind w:right="-1"/>
        <w:rPr>
          <w:rFonts w:ascii="Arial" w:hAnsi="Arial" w:cs="Arial"/>
          <w:sz w:val="16"/>
          <w:szCs w:val="16"/>
        </w:rPr>
      </w:pPr>
    </w:p>
    <w:sectPr w:rsidR="00492D6B" w:rsidRPr="00167A1B" w:rsidSect="00FA209D">
      <w:headerReference w:type="first" r:id="rId63"/>
      <w:footerReference w:type="first" r:id="rId64"/>
      <w:pgSz w:w="11907" w:h="16839" w:code="9"/>
      <w:pgMar w:top="2136" w:right="1418" w:bottom="737" w:left="1418" w:header="567" w:footer="662"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0F9C25" w14:textId="77777777" w:rsidR="008225D3" w:rsidRDefault="008225D3">
      <w:r>
        <w:separator/>
      </w:r>
    </w:p>
  </w:endnote>
  <w:endnote w:type="continuationSeparator" w:id="0">
    <w:p w14:paraId="3C4E3084" w14:textId="77777777" w:rsidR="008225D3" w:rsidRDefault="008225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Tms Rmn">
    <w:panose1 w:val="02020603040505020304"/>
    <w:charset w:val="4D"/>
    <w:family w:val="roman"/>
    <w:notTrueType/>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Frutiger LT Com 45 Light">
    <w:altName w:val="Corbel Light"/>
    <w:charset w:val="00"/>
    <w:family w:val="swiss"/>
    <w:pitch w:val="variable"/>
    <w:sig w:usb0="800000AF" w:usb1="5000204A" w:usb2="00000000" w:usb3="00000000" w:csb0="0000009B" w:csb1="00000000"/>
  </w:font>
  <w:font w:name="TimesNewRomanPS-BoldMT">
    <w:altName w:val="Times New Roman"/>
    <w:panose1 w:val="00000000000000000000"/>
    <w:charset w:val="00"/>
    <w:family w:val="roman"/>
    <w:notTrueType/>
    <w:pitch w:val="default"/>
  </w:font>
  <w:font w:name="CIDFont+F2">
    <w:altName w:val="Yu Gothic"/>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4859770"/>
      <w:docPartObj>
        <w:docPartGallery w:val="Page Numbers (Bottom of Page)"/>
        <w:docPartUnique/>
      </w:docPartObj>
    </w:sdtPr>
    <w:sdtEndPr>
      <w:rPr>
        <w:noProof/>
      </w:rPr>
    </w:sdtEndPr>
    <w:sdtContent>
      <w:p w14:paraId="7CD4DE3E" w14:textId="52A34D0E" w:rsidR="008225D3" w:rsidRDefault="008225D3">
        <w:pPr>
          <w:pStyle w:val="Footer"/>
          <w:jc w:val="center"/>
        </w:pPr>
        <w:r>
          <w:fldChar w:fldCharType="begin"/>
        </w:r>
        <w:r>
          <w:instrText xml:space="preserve"> PAGE   \* MERGEFORMAT </w:instrText>
        </w:r>
        <w:r>
          <w:fldChar w:fldCharType="separate"/>
        </w:r>
        <w:r>
          <w:rPr>
            <w:noProof/>
          </w:rPr>
          <w:t>140</w:t>
        </w:r>
        <w:r>
          <w:rPr>
            <w:noProof/>
          </w:rPr>
          <w:fldChar w:fldCharType="end"/>
        </w:r>
      </w:p>
    </w:sdtContent>
  </w:sdt>
  <w:p w14:paraId="0D5EEC88" w14:textId="77777777" w:rsidR="008225D3" w:rsidRDefault="008225D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7A96E9" w14:textId="77777777" w:rsidR="008225D3" w:rsidRPr="00907A40" w:rsidRDefault="008225D3" w:rsidP="00CF0228">
    <w:pPr>
      <w:spacing w:after="0"/>
      <w:jc w:val="center"/>
      <w:rPr>
        <w:rFonts w:ascii="Arial" w:hAnsi="Arial" w:cs="Arial"/>
        <w:sz w:val="18"/>
      </w:rPr>
    </w:pPr>
    <w:r w:rsidRPr="00907A40">
      <w:rPr>
        <w:rFonts w:ascii="Arial" w:hAnsi="Arial" w:cs="Arial"/>
        <w:sz w:val="18"/>
      </w:rPr>
      <w:t xml:space="preserve">Directorate-General for </w:t>
    </w:r>
    <w:r w:rsidRPr="00907A40">
      <w:rPr>
        <w:rFonts w:ascii="Arial" w:hAnsi="Arial" w:cs="Arial"/>
        <w:color w:val="FF0000"/>
        <w:sz w:val="18"/>
      </w:rPr>
      <w:t xml:space="preserve">[Name of the Directorate-General] </w:t>
    </w:r>
  </w:p>
  <w:p w14:paraId="1BFC1DC5" w14:textId="77777777" w:rsidR="008225D3" w:rsidRPr="00907A40" w:rsidRDefault="008225D3" w:rsidP="00CF0228">
    <w:pPr>
      <w:spacing w:after="0"/>
      <w:jc w:val="center"/>
      <w:rPr>
        <w:rFonts w:ascii="Arial" w:hAnsi="Arial" w:cs="Arial"/>
        <w:sz w:val="18"/>
      </w:rPr>
    </w:pPr>
    <w:r w:rsidRPr="00907A40">
      <w:rPr>
        <w:rFonts w:ascii="Arial" w:hAnsi="Arial" w:cs="Arial"/>
        <w:color w:val="FF0000"/>
        <w:sz w:val="18"/>
      </w:rPr>
      <w:t xml:space="preserve">[Name of the Programme/Activity]  </w:t>
    </w:r>
  </w:p>
  <w:p w14:paraId="320EE017" w14:textId="77777777" w:rsidR="008225D3" w:rsidRPr="00907A40" w:rsidRDefault="008225D3">
    <w:pPr>
      <w:pStyle w:val="Footer"/>
      <w:rPr>
        <w:rFonts w:cs="Arial"/>
      </w:rPr>
    </w:pPr>
    <w:r w:rsidRPr="00907A40">
      <w:rPr>
        <w:rFonts w:cs="Arial"/>
      </w:rPr>
      <w:t>20</w:t>
    </w:r>
    <w:r w:rsidRPr="00E31C83">
      <w:rPr>
        <w:rFonts w:cs="Arial"/>
        <w:color w:val="FF0000"/>
      </w:rPr>
      <w:t>20</w:t>
    </w:r>
    <w:r w:rsidRPr="00907A40">
      <w:rPr>
        <w:rFonts w:cs="Arial"/>
      </w:rPr>
      <w:tab/>
    </w:r>
    <w:r w:rsidRPr="00907A40">
      <w:rPr>
        <w:rFonts w:cs="Arial"/>
      </w:rPr>
      <w:tab/>
    </w:r>
    <w:r w:rsidRPr="00907A40">
      <w:rPr>
        <w:rFonts w:cs="Arial"/>
      </w:rPr>
      <w:tab/>
    </w:r>
    <w:r w:rsidRPr="00907A40">
      <w:rPr>
        <w:rFonts w:cs="Arial"/>
      </w:rPr>
      <w:tab/>
    </w:r>
    <w:r w:rsidRPr="00907A40">
      <w:rPr>
        <w:rFonts w:cs="Arial"/>
      </w:rPr>
      <w:tab/>
    </w:r>
    <w:r w:rsidRPr="00907A40">
      <w:rPr>
        <w:rFonts w:cs="Arial"/>
      </w:rPr>
      <w:tab/>
    </w:r>
    <w:r w:rsidRPr="00907A40">
      <w:rPr>
        <w:rFonts w:cs="Arial"/>
      </w:rPr>
      <w:tab/>
    </w:r>
    <w:r w:rsidRPr="00907A40">
      <w:rPr>
        <w:rFonts w:cs="Arial"/>
      </w:rPr>
      <w:tab/>
    </w:r>
    <w:r w:rsidRPr="00907A40">
      <w:rPr>
        <w:rFonts w:cs="Arial"/>
      </w:rPr>
      <w:tab/>
      <w:t xml:space="preserve">EUR </w:t>
    </w:r>
    <w:r w:rsidRPr="00907A40">
      <w:rPr>
        <w:rFonts w:cs="Arial"/>
        <w:color w:val="FF0000"/>
        <w:sz w:val="18"/>
      </w:rPr>
      <w:t xml:space="preserve">[number] </w:t>
    </w:r>
    <w:r w:rsidRPr="00907A40">
      <w:rPr>
        <w:rFonts w:cs="Arial"/>
        <w:sz w:val="18"/>
      </w:rPr>
      <w:t>EN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4A4164" w14:textId="77777777" w:rsidR="008225D3" w:rsidRPr="004B7BC7" w:rsidRDefault="008225D3" w:rsidP="00EA375A">
    <w:pPr>
      <w:pStyle w:val="FooterDate"/>
      <w:ind w:right="-1"/>
      <w:rPr>
        <w:rFonts w:cs="Arial"/>
        <w:sz w:val="18"/>
        <w:szCs w:val="18"/>
      </w:rPr>
    </w:pPr>
    <w:r>
      <w:rPr>
        <w:noProof/>
        <w:sz w:val="18"/>
        <w:szCs w:val="18"/>
        <w:lang w:val="en-GB" w:eastAsia="en-GB"/>
      </w:rPr>
      <mc:AlternateContent>
        <mc:Choice Requires="wps">
          <w:drawing>
            <wp:anchor distT="0" distB="0" distL="114300" distR="114300" simplePos="0" relativeHeight="251679744" behindDoc="0" locked="0" layoutInCell="1" allowOverlap="1" wp14:anchorId="4EB9A165" wp14:editId="427178EE">
              <wp:simplePos x="0" y="0"/>
              <wp:positionH relativeFrom="margin">
                <wp:align>center</wp:align>
              </wp:positionH>
              <wp:positionV relativeFrom="margin">
                <wp:posOffset>8155305</wp:posOffset>
              </wp:positionV>
              <wp:extent cx="842645" cy="288290"/>
              <wp:effectExtent l="0" t="0" r="0" b="0"/>
              <wp:wrapSquare wrapText="bothSides"/>
              <wp:docPr id="11"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645" cy="288290"/>
                      </a:xfrm>
                      <a:prstGeom prst="rect">
                        <a:avLst/>
                      </a:prstGeom>
                      <a:solidFill>
                        <a:srgbClr val="0023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7E24DEF3" id="Rectangle 79" o:spid="_x0000_s1026" style="position:absolute;margin-left:0;margin-top:642.15pt;width:66.35pt;height:22.7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" fillcolor="#002395" stroked="f">
              <w10:wrap type="square" anchorx="margin" anchory="margin"/>
            </v:rect>
          </w:pict>
        </mc:Fallback>
      </mc:AlternateContent>
    </w:r>
    <w:r>
      <w:rPr>
        <w:noProof/>
        <w:sz w:val="18"/>
        <w:szCs w:val="18"/>
        <w:lang w:val="en-GB" w:eastAsia="en-GB"/>
      </w:rPr>
      <mc:AlternateContent>
        <mc:Choice Requires="wps">
          <w:drawing>
            <wp:anchor distT="0" distB="0" distL="114300" distR="114300" simplePos="0" relativeHeight="251649024" behindDoc="0" locked="0" layoutInCell="1" allowOverlap="1" wp14:anchorId="1639291E" wp14:editId="29EB1188">
              <wp:simplePos x="0" y="0"/>
              <wp:positionH relativeFrom="column">
                <wp:posOffset>4281170</wp:posOffset>
              </wp:positionH>
              <wp:positionV relativeFrom="margin">
                <wp:posOffset>9475470</wp:posOffset>
              </wp:positionV>
              <wp:extent cx="1438275" cy="561975"/>
              <wp:effectExtent l="4445" t="0" r="0" b="1905"/>
              <wp:wrapNone/>
              <wp:docPr id="10"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561975"/>
                      </a:xfrm>
                      <a:prstGeom prst="rect">
                        <a:avLst/>
                      </a:prstGeom>
                      <a:noFill/>
                      <a:ln>
                        <a:noFill/>
                      </a:ln>
                      <a:extLst>
                        <a:ext uri="{909E8E84-426E-40DD-AFC4-6F175D3DCCD1}">
                          <a14:hiddenFill xmlns:a14="http://schemas.microsoft.com/office/drawing/2010/main">
                            <a:solidFill>
                              <a:srgbClr val="002395"/>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5D576" w14:textId="77777777" w:rsidR="008225D3" w:rsidRPr="00696241" w:rsidRDefault="008225D3" w:rsidP="00A92E21">
                          <w:pPr>
                            <w:pStyle w:val="FooterDate"/>
                            <w:ind w:right="-1"/>
                            <w:jc w:val="right"/>
                            <w:rPr>
                              <w:rFonts w:cs="Arial"/>
                              <w:szCs w:val="16"/>
                            </w:rPr>
                          </w:pPr>
                          <w:r w:rsidRPr="00696241">
                            <w:rPr>
                              <w:rFonts w:cs="Arial"/>
                              <w:szCs w:val="16"/>
                            </w:rPr>
                            <w:t xml:space="preserve">EUR </w:t>
                          </w:r>
                          <w:r w:rsidRPr="00696241">
                            <w:rPr>
                              <w:rFonts w:cs="Arial"/>
                              <w:color w:val="FF0000"/>
                              <w:szCs w:val="16"/>
                            </w:rPr>
                            <w:t xml:space="preserve">[number] </w:t>
                          </w:r>
                          <w:r w:rsidRPr="00696241">
                            <w:rPr>
                              <w:rFonts w:cs="Arial"/>
                              <w:szCs w:val="16"/>
                            </w:rPr>
                            <w:t>EN</w:t>
                          </w:r>
                        </w:p>
                        <w:p w14:paraId="57FAF325" w14:textId="77777777" w:rsidR="008225D3" w:rsidRDefault="008225D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39291E" id="_x0000_t202" coordsize="21600,21600" o:spt="202" path="m,l,21600r21600,l21600,xe">
              <v:stroke joinstyle="miter"/>
              <v:path gradientshapeok="t" o:connecttype="rect"/>
            </v:shapetype>
            <v:shape id="Text Box 75" o:spid="_x0000_s1027" type="#_x0000_t202" style="position:absolute;margin-left:337.1pt;margin-top:746.1pt;width:113.25pt;height:44.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" filled="f" fillcolor="#002395" stroked="f">
              <v:textbox inset="0,0,0,0">
                <w:txbxContent>
                  <w:p w14:paraId="3FA5D576" w14:textId="77777777" w:rsidR="008225D3" w:rsidRPr="00696241" w:rsidRDefault="008225D3" w:rsidP="00A92E21">
                    <w:pPr>
                      <w:pStyle w:val="FooterDate"/>
                      <w:ind w:right="-1"/>
                      <w:jc w:val="right"/>
                      <w:rPr>
                        <w:rFonts w:cs="Arial"/>
                        <w:szCs w:val="16"/>
                      </w:rPr>
                    </w:pPr>
                    <w:r w:rsidRPr="00696241">
                      <w:rPr>
                        <w:rFonts w:cs="Arial"/>
                        <w:szCs w:val="16"/>
                      </w:rPr>
                      <w:t xml:space="preserve">EUR </w:t>
                    </w:r>
                    <w:r w:rsidRPr="00696241">
                      <w:rPr>
                        <w:rFonts w:cs="Arial"/>
                        <w:color w:val="FF0000"/>
                        <w:szCs w:val="16"/>
                      </w:rPr>
                      <w:t xml:space="preserve">[number] </w:t>
                    </w:r>
                    <w:r w:rsidRPr="00696241">
                      <w:rPr>
                        <w:rFonts w:cs="Arial"/>
                        <w:szCs w:val="16"/>
                      </w:rPr>
                      <w:t>EN</w:t>
                    </w:r>
                  </w:p>
                  <w:p w14:paraId="57FAF325" w14:textId="77777777" w:rsidR="008225D3" w:rsidRDefault="008225D3"/>
                </w:txbxContent>
              </v:textbox>
              <w10:wrap anchory="margin"/>
            </v:shape>
          </w:pict>
        </mc:Fallback>
      </mc:AlternateContent>
    </w:r>
    <w:r w:rsidRPr="004B7BC7">
      <w:rPr>
        <w:rFonts w:ascii="Arial" w:hAnsi="Arial" w:cs="Arial"/>
        <w:i/>
        <w:color w:val="FFFFFF" w:themeColor="background1"/>
        <w:sz w:val="18"/>
        <w:szCs w:val="18"/>
      </w:rPr>
      <w:t>Economisti Associati, Ipsos, Trinomics, Fraunhofer, Yeny Vazquez</w:t>
    </w:r>
  </w:p>
  <w:p w14:paraId="7EBB4E99" w14:textId="6135B33D" w:rsidR="008225D3" w:rsidRPr="00064230" w:rsidRDefault="008225D3" w:rsidP="00EA375A">
    <w:pPr>
      <w:pStyle w:val="FooterDate"/>
      <w:ind w:right="-1"/>
      <w:rPr>
        <w:rFonts w:ascii="Arial" w:hAnsi="Arial" w:cs="Arial"/>
        <w:color w:val="FFFFFF" w:themeColor="background1"/>
        <w:sz w:val="18"/>
        <w:szCs w:val="18"/>
      </w:rPr>
    </w:pPr>
    <w:r>
      <w:rPr>
        <w:rFonts w:ascii="Arial" w:hAnsi="Arial" w:cs="Arial"/>
        <w:color w:val="FFFFFF" w:themeColor="background1"/>
        <w:sz w:val="18"/>
        <w:szCs w:val="18"/>
      </w:rPr>
      <w:t>June 2021</w:t>
    </w:r>
  </w:p>
  <w:p w14:paraId="72C34967" w14:textId="77777777" w:rsidR="008225D3" w:rsidRPr="001D2A51" w:rsidRDefault="008225D3" w:rsidP="00EA375A">
    <w:pPr>
      <w:pStyle w:val="FooterDate"/>
      <w:ind w:right="-1"/>
      <w:rPr>
        <w:rFonts w:cs="Arial"/>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A2A7C3" w14:textId="77777777" w:rsidR="008225D3" w:rsidRPr="006B26AA" w:rsidRDefault="008225D3" w:rsidP="006B26AA">
    <w:pPr>
      <w:pStyle w:val="Footer"/>
      <w:rPr>
        <w:szCs w:val="1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7B89CB" w14:textId="77777777" w:rsidR="008225D3" w:rsidRDefault="008225D3"/>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AED5CC" w14:textId="77777777" w:rsidR="008225D3" w:rsidRDefault="008225D3"/>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5176619"/>
      <w:docPartObj>
        <w:docPartGallery w:val="Page Numbers (Bottom of Page)"/>
        <w:docPartUnique/>
      </w:docPartObj>
    </w:sdtPr>
    <w:sdtEndPr>
      <w:rPr>
        <w:noProof/>
      </w:rPr>
    </w:sdtEndPr>
    <w:sdtContent>
      <w:p w14:paraId="31E9DE0E" w14:textId="6CAD1857" w:rsidR="008225D3" w:rsidRDefault="008225D3" w:rsidP="00A74792">
        <w:pPr>
          <w:pStyle w:val="Footer"/>
          <w:ind w:right="-1"/>
          <w:jc w:val="center"/>
        </w:pPr>
        <w:r>
          <w:fldChar w:fldCharType="begin"/>
        </w:r>
        <w:r>
          <w:instrText xml:space="preserve"> PAGE   \* MERGEFORMAT </w:instrText>
        </w:r>
        <w:r>
          <w:fldChar w:fldCharType="separate"/>
        </w:r>
        <w:r>
          <w:rPr>
            <w:noProof/>
          </w:rPr>
          <w:t>139</w:t>
        </w:r>
        <w:r>
          <w:rPr>
            <w:noProof/>
          </w:rPr>
          <w:fldChar w:fldCharType="end"/>
        </w:r>
      </w:p>
    </w:sdtContent>
  </w:sdt>
  <w:p w14:paraId="73F885AA" w14:textId="77777777" w:rsidR="008225D3" w:rsidRDefault="008225D3">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423673" w14:textId="77777777" w:rsidR="008225D3" w:rsidRPr="00FA209D" w:rsidRDefault="008225D3" w:rsidP="00FA209D">
    <w:pPr>
      <w:spacing w:after="0"/>
      <w:ind w:left="7088" w:right="-1"/>
      <w:rPr>
        <w:rFonts w:ascii="Verdana" w:hAnsi="Verdana"/>
        <w:color w:val="FF0000"/>
        <w:sz w:val="16"/>
        <w:szCs w:val="16"/>
      </w:rPr>
    </w:pPr>
    <w:r w:rsidRPr="00285C62">
      <w:rPr>
        <w:rFonts w:ascii="Verdana" w:hAnsi="Verdana"/>
        <w:noProof/>
        <w:sz w:val="16"/>
        <w:szCs w:val="16"/>
        <w:lang w:eastAsia="en-GB"/>
      </w:rPr>
      <w:drawing>
        <wp:anchor distT="0" distB="0" distL="114300" distR="114300" simplePos="0" relativeHeight="251625472" behindDoc="0" locked="0" layoutInCell="1" allowOverlap="1" wp14:anchorId="7E00050C" wp14:editId="61CEA1C2">
          <wp:simplePos x="0" y="0"/>
          <wp:positionH relativeFrom="column">
            <wp:posOffset>0</wp:posOffset>
          </wp:positionH>
          <wp:positionV relativeFrom="margin">
            <wp:posOffset>8270875</wp:posOffset>
          </wp:positionV>
          <wp:extent cx="1550089" cy="800100"/>
          <wp:effectExtent l="0" t="0" r="0" b="0"/>
          <wp:wrapNone/>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550089"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1E70">
      <w:rPr>
        <w:rFonts w:ascii="Verdana" w:hAnsi="Verdana"/>
        <w:sz w:val="16"/>
        <w:szCs w:val="16"/>
      </w:rPr>
      <w:t xml:space="preserve"> </w:t>
    </w:r>
    <w:r>
      <w:rPr>
        <w:rFonts w:ascii="Verdana" w:hAnsi="Verdana"/>
        <w:sz w:val="16"/>
        <w:szCs w:val="16"/>
      </w:rPr>
      <w:tab/>
    </w:r>
    <w:r>
      <w:rPr>
        <w:rFonts w:ascii="Verdana" w:hAnsi="Verdana"/>
        <w:sz w:val="16"/>
        <w:szCs w:val="16"/>
      </w:rPr>
      <w:tab/>
    </w:r>
    <w:r>
      <w:rPr>
        <w:rFonts w:ascii="Verdana" w:hAnsi="Verdana"/>
        <w:sz w:val="16"/>
        <w:szCs w:val="16"/>
      </w:rPr>
      <w:tab/>
    </w:r>
    <w:r>
      <w:rPr>
        <w:rFonts w:ascii="Verdana" w:hAnsi="Verdana"/>
        <w:sz w:val="16"/>
        <w:szCs w:val="16"/>
      </w:rPr>
      <w:br/>
    </w:r>
    <w:r w:rsidRPr="00354791">
      <w:rPr>
        <w:rFonts w:ascii="Verdana" w:hAnsi="Verdana"/>
        <w:sz w:val="16"/>
        <w:szCs w:val="16"/>
      </w:rPr>
      <w:t>ISBN</w:t>
    </w:r>
    <w:r>
      <w:rPr>
        <w:rFonts w:ascii="Verdana" w:hAnsi="Verdana"/>
        <w:sz w:val="16"/>
        <w:szCs w:val="16"/>
      </w:rPr>
      <w:t xml:space="preserve"> </w:t>
    </w:r>
    <w:r w:rsidRPr="001358AF">
      <w:rPr>
        <w:rFonts w:ascii="Verdana" w:hAnsi="Verdana"/>
        <w:color w:val="FF0000"/>
        <w:sz w:val="16"/>
        <w:szCs w:val="16"/>
      </w:rPr>
      <w:t>[number]</w:t>
    </w:r>
  </w:p>
  <w:p w14:paraId="032FA862" w14:textId="77777777" w:rsidR="008225D3" w:rsidRPr="00971E70" w:rsidRDefault="008225D3" w:rsidP="00971E70">
    <w:pPr>
      <w:ind w:right="-1"/>
      <w:rPr>
        <w:rFonts w:ascii="Verdana" w:hAnsi="Verdana"/>
        <w:sz w:val="16"/>
        <w:szCs w:val="16"/>
      </w:rPr>
    </w:pPr>
  </w:p>
  <w:p w14:paraId="565B5978" w14:textId="77777777" w:rsidR="008225D3" w:rsidRPr="006B26AA" w:rsidRDefault="008225D3" w:rsidP="006B26AA">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EDCF78" w14:textId="77777777" w:rsidR="008225D3" w:rsidRDefault="008225D3">
      <w:r>
        <w:separator/>
      </w:r>
    </w:p>
  </w:footnote>
  <w:footnote w:type="continuationSeparator" w:id="0">
    <w:p w14:paraId="5D625D07" w14:textId="77777777" w:rsidR="008225D3" w:rsidRDefault="008225D3">
      <w:r>
        <w:continuationSeparator/>
      </w:r>
    </w:p>
  </w:footnote>
  <w:footnote w:id="1">
    <w:p w14:paraId="04C0DA07" w14:textId="203A4DAE" w:rsidR="008225D3" w:rsidRPr="00A37355" w:rsidRDefault="008225D3" w:rsidP="00A37355">
      <w:pPr>
        <w:pStyle w:val="FootnoteText"/>
        <w:spacing w:after="60"/>
        <w:jc w:val="left"/>
        <w:rPr>
          <w:rFonts w:ascii="Arial" w:hAnsi="Arial" w:cs="Arial"/>
          <w:szCs w:val="16"/>
        </w:rPr>
      </w:pPr>
      <w:r>
        <w:rPr>
          <w:rStyle w:val="FootnoteReference"/>
        </w:rPr>
        <w:footnoteRef/>
      </w:r>
      <w:r>
        <w:t xml:space="preserve"> </w:t>
      </w:r>
      <w:r w:rsidRPr="00D64690">
        <w:rPr>
          <w:rFonts w:ascii="Arial" w:hAnsi="Arial" w:cs="Arial"/>
          <w:szCs w:val="16"/>
        </w:rPr>
        <w:t xml:space="preserve">Ipsos, Trinomics, Fraunhofer and Economisti Associati (on behalf of the European Commission): Impact Assessment Study on Common Chargers of Portable Devices, December 2019. URL: </w:t>
      </w:r>
      <w:hyperlink r:id="rId1" w:history="1">
        <w:r w:rsidRPr="00D64690">
          <w:rPr>
            <w:rStyle w:val="Hyperlink"/>
            <w:rFonts w:ascii="Arial" w:hAnsi="Arial" w:cs="Arial"/>
            <w:szCs w:val="16"/>
          </w:rPr>
          <w:t>https://op.europa.eu/en/publication-detail/-/publication/c6fadfea-4641-11ea-b81b-01aa75ed71a1/language-en/format-PDF/source-172887101</w:t>
        </w:r>
      </w:hyperlink>
    </w:p>
  </w:footnote>
  <w:footnote w:id="2">
    <w:p w14:paraId="08577DEE"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It should be noted that exploratory work on a genuinely “universal” EPS is currently ongoing within the context of the Ecodesign and Energy Labelling Working Plan 2020-2024; it would not be appropriate to duplicate or anticipate the results of this here.</w:t>
      </w:r>
    </w:p>
  </w:footnote>
  <w:footnote w:id="3">
    <w:p w14:paraId="469C4D08" w14:textId="0E3103C2" w:rsidR="008225D3" w:rsidRPr="00562E0A" w:rsidRDefault="008225D3" w:rsidP="00A37355">
      <w:pPr>
        <w:pStyle w:val="FootnoteText"/>
        <w:spacing w:after="60"/>
        <w:jc w:val="left"/>
        <w:rPr>
          <w:rFonts w:ascii="Arial" w:hAnsi="Arial"/>
          <w:szCs w:val="16"/>
        </w:rPr>
      </w:pPr>
      <w:r w:rsidRPr="00562E0A">
        <w:rPr>
          <w:rStyle w:val="FootnoteReference"/>
          <w:rFonts w:ascii="Arial" w:hAnsi="Arial" w:cs="Arial"/>
          <w:szCs w:val="16"/>
        </w:rPr>
        <w:footnoteRef/>
      </w:r>
      <w:r w:rsidRPr="00562E0A">
        <w:rPr>
          <w:rStyle w:val="FootnoteReference"/>
          <w:rFonts w:ascii="Arial" w:hAnsi="Arial" w:cs="Arial"/>
          <w:szCs w:val="16"/>
        </w:rPr>
        <w:t xml:space="preserve"> </w:t>
      </w:r>
      <w:r w:rsidRPr="00562E0A">
        <w:rPr>
          <w:rStyle w:val="FootnoteReference"/>
          <w:rFonts w:ascii="Arial" w:hAnsi="Arial" w:cs="Arial"/>
          <w:szCs w:val="16"/>
          <w:vertAlign w:val="baseline"/>
        </w:rPr>
        <w:t xml:space="preserve">As discussed in greater detail in </w:t>
      </w:r>
      <w:r>
        <w:rPr>
          <w:rFonts w:ascii="Arial" w:hAnsi="Arial" w:cs="Arial"/>
          <w:szCs w:val="16"/>
        </w:rPr>
        <w:t xml:space="preserve">chapter 5.2 of this report, as well as in </w:t>
      </w:r>
      <w:r w:rsidRPr="00562E0A">
        <w:rPr>
          <w:rStyle w:val="FootnoteReference"/>
          <w:rFonts w:ascii="Arial" w:hAnsi="Arial" w:cs="Arial"/>
          <w:szCs w:val="16"/>
          <w:vertAlign w:val="baseline"/>
        </w:rPr>
        <w:t>the first IA study (see footnote 1), this is because option 1 would rule out the adoption of any new “game-changing” connector technology, thereby reducing the incentives for firms to invest in research and development to seek to gain a competitive advantage, which in turn also risks reducing the pace of “incremental” innovation as regards future generations of “common” (USB) connectors.</w:t>
      </w:r>
    </w:p>
  </w:footnote>
  <w:footnote w:id="4">
    <w:p w14:paraId="19297C29" w14:textId="54AD2143" w:rsidR="008225D3" w:rsidRDefault="008225D3" w:rsidP="001E7477">
      <w:pPr>
        <w:pStyle w:val="FootnoteText"/>
      </w:pPr>
      <w:r>
        <w:rPr>
          <w:rStyle w:val="FootnoteReference"/>
        </w:rPr>
        <w:footnoteRef/>
      </w:r>
      <w:r>
        <w:t xml:space="preserve"> In other words, under option 2, Apple’s current practice of providing cables with a USB Type-C connector on one end and a Lightning connector at the other could continue, whereas under option 1, all manufacturers would be obliged to switch to USB Type-C receptacles in their phones and matching cables. </w:t>
      </w:r>
    </w:p>
  </w:footnote>
  <w:footnote w:id="5">
    <w:p w14:paraId="2E4AB6D5" w14:textId="26AAE2D3" w:rsidR="008225D3" w:rsidRPr="00D64690" w:rsidRDefault="008225D3" w:rsidP="00A37355">
      <w:pPr>
        <w:pStyle w:val="Footerapproval"/>
        <w:spacing w:after="60"/>
        <w:rPr>
          <w:rFonts w:ascii="Arial" w:hAnsi="Arial" w:cs="Arial"/>
          <w:color w:val="000000" w:themeColor="text1"/>
          <w:sz w:val="16"/>
          <w:szCs w:val="16"/>
          <w:lang w:val="en-GB"/>
        </w:rPr>
      </w:pPr>
      <w:r w:rsidRPr="00D64690">
        <w:rPr>
          <w:rStyle w:val="FootnoteReference"/>
          <w:rFonts w:ascii="Arial" w:hAnsi="Arial" w:cs="Arial"/>
          <w:color w:val="000000" w:themeColor="text1"/>
          <w:szCs w:val="16"/>
          <w:lang w:val="en-GB"/>
        </w:rPr>
        <w:footnoteRef/>
      </w:r>
      <w:r w:rsidRPr="00D64690">
        <w:rPr>
          <w:rFonts w:ascii="Arial" w:hAnsi="Arial" w:cs="Arial"/>
          <w:color w:val="000000" w:themeColor="text1"/>
          <w:sz w:val="16"/>
          <w:szCs w:val="16"/>
          <w:lang w:val="en-GB"/>
        </w:rPr>
        <w:t xml:space="preserve"> For more information on the Commission’s campaign, as well as the text of the 2009 MoU, see: </w:t>
      </w:r>
      <w:hyperlink r:id="rId2" w:history="1">
        <w:r w:rsidRPr="00C8181D">
          <w:rPr>
            <w:rStyle w:val="Hyperlink"/>
            <w:rFonts w:ascii="Arial" w:hAnsi="Arial" w:cs="Arial"/>
            <w:sz w:val="16"/>
            <w:szCs w:val="16"/>
            <w:lang w:val="en-GB"/>
          </w:rPr>
          <w:t>https://ec.europa.eu/growth/sectors/electrical-engineering/red-directive/common-charger_en</w:t>
        </w:r>
      </w:hyperlink>
      <w:r>
        <w:rPr>
          <w:rFonts w:ascii="Arial" w:hAnsi="Arial" w:cs="Arial"/>
          <w:color w:val="000000" w:themeColor="text1"/>
          <w:sz w:val="16"/>
          <w:szCs w:val="16"/>
          <w:lang w:val="en-GB"/>
        </w:rPr>
        <w:t xml:space="preserve"> </w:t>
      </w:r>
    </w:p>
  </w:footnote>
  <w:footnote w:id="6">
    <w:p w14:paraId="0354D8A9" w14:textId="77777777" w:rsidR="008225D3" w:rsidRPr="00D64690" w:rsidRDefault="008225D3" w:rsidP="00A37355">
      <w:pPr>
        <w:pStyle w:val="Footerapproval"/>
        <w:spacing w:after="60"/>
        <w:rPr>
          <w:rFonts w:ascii="Arial" w:hAnsi="Arial" w:cs="Arial"/>
          <w:color w:val="000000" w:themeColor="text1"/>
          <w:sz w:val="16"/>
          <w:szCs w:val="16"/>
          <w:lang w:val="en-GB"/>
        </w:rPr>
      </w:pPr>
      <w:r w:rsidRPr="00D64690">
        <w:rPr>
          <w:rStyle w:val="FootnoteReference"/>
          <w:rFonts w:ascii="Arial" w:hAnsi="Arial" w:cs="Arial"/>
          <w:color w:val="000000" w:themeColor="text1"/>
          <w:szCs w:val="16"/>
          <w:lang w:val="en-GB"/>
        </w:rPr>
        <w:footnoteRef/>
      </w:r>
      <w:r w:rsidRPr="00D64690">
        <w:rPr>
          <w:rFonts w:ascii="Arial" w:hAnsi="Arial" w:cs="Arial"/>
          <w:color w:val="000000" w:themeColor="text1"/>
          <w:sz w:val="16"/>
          <w:szCs w:val="16"/>
          <w:lang w:val="en-GB"/>
        </w:rPr>
        <w:t xml:space="preserve"> The MoU was originally signed by 10 companies, and four other companies signed it later. Original signatories: Motorola, LGE, Samsung, RIM, Nokia, Sony Ericsson, NEC, Apple, Qualcomm and Texas Instruments. Subsequent signatories: Emblaze Mobile, Huawei Technologies, TCT Mobile and Atmel.</w:t>
      </w:r>
    </w:p>
  </w:footnote>
  <w:footnote w:id="7">
    <w:p w14:paraId="69087640" w14:textId="77777777" w:rsidR="008225D3" w:rsidRPr="00D64690" w:rsidRDefault="008225D3" w:rsidP="00A37355">
      <w:pPr>
        <w:pStyle w:val="Footerapproval"/>
        <w:spacing w:after="60"/>
        <w:rPr>
          <w:rFonts w:ascii="Arial" w:hAnsi="Arial" w:cs="Arial"/>
          <w:color w:val="000000" w:themeColor="text1"/>
          <w:sz w:val="16"/>
          <w:szCs w:val="16"/>
          <w:lang w:val="en-GB"/>
        </w:rPr>
      </w:pPr>
      <w:r w:rsidRPr="00D64690">
        <w:rPr>
          <w:rStyle w:val="FootnoteReference"/>
          <w:rFonts w:ascii="Arial" w:hAnsi="Arial" w:cs="Arial"/>
          <w:color w:val="000000" w:themeColor="text1"/>
          <w:szCs w:val="16"/>
          <w:lang w:val="en-GB"/>
        </w:rPr>
        <w:footnoteRef/>
      </w:r>
      <w:r w:rsidRPr="00D64690">
        <w:rPr>
          <w:rFonts w:ascii="Arial" w:hAnsi="Arial" w:cs="Arial"/>
          <w:color w:val="000000" w:themeColor="text1"/>
          <w:sz w:val="16"/>
          <w:szCs w:val="16"/>
          <w:lang w:val="en-GB"/>
        </w:rPr>
        <w:t xml:space="preserve"> RPA (2014): Study on the Impact of the MoU on Harmonisation of Chargers for Mobile Telephones and to Assess Possible Future Options </w:t>
      </w:r>
    </w:p>
  </w:footnote>
  <w:footnote w:id="8">
    <w:p w14:paraId="04AD7190" w14:textId="6AD6F0E6" w:rsidR="008225D3" w:rsidRPr="00D64690" w:rsidRDefault="008225D3" w:rsidP="00A37355">
      <w:pPr>
        <w:pStyle w:val="Footerapproval"/>
        <w:spacing w:after="60"/>
        <w:rPr>
          <w:rFonts w:ascii="Arial" w:hAnsi="Arial" w:cs="Arial"/>
          <w:color w:val="000000" w:themeColor="text1"/>
          <w:sz w:val="16"/>
          <w:szCs w:val="16"/>
          <w:lang w:val="en-GB"/>
        </w:rPr>
      </w:pPr>
      <w:r w:rsidRPr="00D64690">
        <w:rPr>
          <w:rFonts w:ascii="Arial" w:hAnsi="Arial" w:cs="Arial"/>
          <w:color w:val="000000" w:themeColor="text1"/>
          <w:sz w:val="16"/>
          <w:szCs w:val="16"/>
          <w:vertAlign w:val="superscript"/>
          <w:lang w:val="en-GB"/>
        </w:rPr>
        <w:footnoteRef/>
      </w:r>
      <w:r w:rsidRPr="00D64690">
        <w:rPr>
          <w:rFonts w:ascii="Arial" w:hAnsi="Arial" w:cs="Arial"/>
          <w:color w:val="000000" w:themeColor="text1"/>
          <w:sz w:val="16"/>
          <w:szCs w:val="16"/>
          <w:lang w:val="en-GB"/>
        </w:rPr>
        <w:t xml:space="preserve"> Memorandum of Understanding on the future common charging solution for smartphones, 20 March 2018, available at URL: </w:t>
      </w:r>
      <w:hyperlink r:id="rId3" w:history="1">
        <w:r w:rsidRPr="00D64690">
          <w:rPr>
            <w:rStyle w:val="Hyperlink"/>
            <w:rFonts w:ascii="Arial" w:hAnsi="Arial" w:cs="Arial"/>
            <w:color w:val="000000" w:themeColor="text1"/>
            <w:sz w:val="16"/>
            <w:szCs w:val="16"/>
            <w:lang w:val="en-GB"/>
          </w:rPr>
          <w:t>https://www.digitaleurope.org/resources/memorandum-of-understanding-on-the-future-common-charging-solution-for-smartphones/</w:t>
        </w:r>
      </w:hyperlink>
      <w:r w:rsidRPr="00D64690">
        <w:rPr>
          <w:rFonts w:ascii="Arial" w:hAnsi="Arial" w:cs="Arial"/>
          <w:color w:val="000000" w:themeColor="text1"/>
          <w:sz w:val="16"/>
          <w:szCs w:val="16"/>
          <w:lang w:val="en-GB"/>
        </w:rPr>
        <w:t xml:space="preserve"> </w:t>
      </w:r>
    </w:p>
  </w:footnote>
  <w:footnote w:id="9">
    <w:p w14:paraId="0CEA528B" w14:textId="77777777" w:rsidR="008225D3" w:rsidRPr="00D64690" w:rsidRDefault="008225D3" w:rsidP="00A37355">
      <w:pPr>
        <w:pStyle w:val="Footerapproval"/>
        <w:spacing w:after="60"/>
        <w:rPr>
          <w:rFonts w:ascii="Arial" w:hAnsi="Arial" w:cs="Arial"/>
          <w:color w:val="000000" w:themeColor="text1"/>
          <w:sz w:val="16"/>
          <w:szCs w:val="16"/>
          <w:lang w:val="en-GB"/>
        </w:rPr>
      </w:pPr>
      <w:r w:rsidRPr="00D64690">
        <w:rPr>
          <w:rStyle w:val="FootnoteReference"/>
          <w:rFonts w:ascii="Arial" w:hAnsi="Arial" w:cs="Arial"/>
          <w:color w:val="000000" w:themeColor="text1"/>
          <w:szCs w:val="16"/>
          <w:lang w:val="en-GB"/>
        </w:rPr>
        <w:footnoteRef/>
      </w:r>
      <w:r w:rsidRPr="00D64690">
        <w:rPr>
          <w:rStyle w:val="FootnoteReference"/>
          <w:rFonts w:ascii="Arial" w:hAnsi="Arial" w:cs="Arial"/>
          <w:color w:val="000000" w:themeColor="text1"/>
          <w:szCs w:val="16"/>
          <w:lang w:val="en-GB"/>
        </w:rPr>
        <w:t xml:space="preserve"> </w:t>
      </w:r>
      <w:r w:rsidRPr="00D64690">
        <w:rPr>
          <w:rStyle w:val="FootnoteReference"/>
          <w:rFonts w:ascii="Arial" w:hAnsi="Arial" w:cs="Arial"/>
          <w:color w:val="000000" w:themeColor="text1"/>
          <w:szCs w:val="16"/>
          <w:vertAlign w:val="baseline"/>
          <w:lang w:val="en-GB"/>
        </w:rPr>
        <w:t>Letter to Commissioner Elżbieta Bieńkowska RE: Common charger for mobile radio equipment. Brussels, 5 October 2018. Ref. Ares(2018)5123708</w:t>
      </w:r>
    </w:p>
  </w:footnote>
  <w:footnote w:id="10">
    <w:p w14:paraId="146D5EF0"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Ipsos, Trinomics, Fraunhofer and Economisti Associati (on behalf of the European Commission): Impact Assessment Study on Common Chargers of Portable Devices, December 2019. URL: </w:t>
      </w:r>
      <w:hyperlink r:id="rId4" w:history="1">
        <w:r w:rsidRPr="00D64690">
          <w:rPr>
            <w:rStyle w:val="Hyperlink"/>
            <w:rFonts w:ascii="Arial" w:hAnsi="Arial" w:cs="Arial"/>
            <w:szCs w:val="16"/>
          </w:rPr>
          <w:t>https://op.europa.eu/en/publication-detail/-/publication/c6fadfea-4641-11ea-b81b-01aa75ed71a1/language-en/format-PDF/source-172887101</w:t>
        </w:r>
      </w:hyperlink>
    </w:p>
  </w:footnote>
  <w:footnote w:id="11">
    <w:p w14:paraId="42DFD8C1"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w:t>
      </w:r>
      <w:r w:rsidRPr="00D64690">
        <w:rPr>
          <w:rFonts w:ascii="Arial" w:hAnsi="Arial" w:cs="Arial"/>
          <w:szCs w:val="16"/>
          <w:shd w:val="clear" w:color="auto" w:fill="FFFFFF"/>
        </w:rPr>
        <w:t>European Parliament resolution of 30 January 2020 on a common charger for mobile radio equipment (</w:t>
      </w:r>
      <w:hyperlink r:id="rId5" w:history="1">
        <w:r w:rsidRPr="00D64690">
          <w:rPr>
            <w:rStyle w:val="Hyperlink"/>
            <w:rFonts w:ascii="Arial" w:eastAsiaTheme="majorEastAsia" w:hAnsi="Arial" w:cs="Arial"/>
            <w:color w:val="000000" w:themeColor="text1"/>
            <w:szCs w:val="16"/>
          </w:rPr>
          <w:t>2019/2983(RSP)</w:t>
        </w:r>
      </w:hyperlink>
      <w:r w:rsidRPr="00D64690">
        <w:rPr>
          <w:rFonts w:ascii="Arial" w:hAnsi="Arial" w:cs="Arial"/>
          <w:szCs w:val="16"/>
          <w:shd w:val="clear" w:color="auto" w:fill="FFFFFF"/>
        </w:rPr>
        <w:t>)</w:t>
      </w:r>
    </w:p>
  </w:footnote>
  <w:footnote w:id="12">
    <w:p w14:paraId="208B4D77"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Adjusted </w:t>
      </w:r>
      <w:r w:rsidRPr="00D64690">
        <w:rPr>
          <w:rFonts w:ascii="Arial" w:hAnsi="Arial" w:cs="Arial"/>
          <w:szCs w:val="16"/>
          <w:shd w:val="clear" w:color="auto" w:fill="FFFFFF"/>
        </w:rPr>
        <w:t xml:space="preserve">Commission Work Programme 2020. </w:t>
      </w:r>
      <w:r w:rsidRPr="00D64690">
        <w:rPr>
          <w:rFonts w:ascii="Arial" w:hAnsi="Arial" w:cs="Arial"/>
          <w:szCs w:val="16"/>
        </w:rPr>
        <w:t>COM(2020) 440 final</w:t>
      </w:r>
    </w:p>
  </w:footnote>
  <w:footnote w:id="13">
    <w:p w14:paraId="5D9F04EC"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https://ec.europa.eu/info/law/law-making-process/planning-and-proposing-law/better-regulation-why-and-how/better-regulation-guidelines-and-toolbox_en</w:t>
      </w:r>
    </w:p>
  </w:footnote>
  <w:footnote w:id="14">
    <w:p w14:paraId="7B9D0F30" w14:textId="4FABE11B"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More information on types of connectors can be found in Annex B, pages 17-18</w:t>
      </w:r>
    </w:p>
  </w:footnote>
  <w:footnote w:id="15">
    <w:p w14:paraId="439F9441" w14:textId="7B78B2E2"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More information on the interoperability of EPS and different types of battery charging protocols can be found in Annex B, pages 5-16</w:t>
      </w:r>
    </w:p>
  </w:footnote>
  <w:footnote w:id="16">
    <w:p w14:paraId="2600318C" w14:textId="2E60CFA1"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Source: Consumer survey</w:t>
      </w:r>
    </w:p>
  </w:footnote>
  <w:footnote w:id="17">
    <w:p w14:paraId="29DB3C3E"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Impact assessment study on common chargers of portable devices, pages 6-8, available at: </w:t>
      </w:r>
      <w:hyperlink r:id="rId6" w:history="1">
        <w:r w:rsidRPr="00D64690">
          <w:rPr>
            <w:rStyle w:val="Hyperlink"/>
            <w:rFonts w:ascii="Arial" w:hAnsi="Arial" w:cs="Arial"/>
            <w:szCs w:val="16"/>
          </w:rPr>
          <w:t>https://op.europa.eu/en/publication-detail/-/publication/c6fadfea-4641-11ea-b81b-01aa75ed71a1</w:t>
        </w:r>
      </w:hyperlink>
      <w:r w:rsidRPr="00D64690">
        <w:rPr>
          <w:rFonts w:ascii="Arial" w:hAnsi="Arial" w:cs="Arial"/>
          <w:szCs w:val="16"/>
        </w:rPr>
        <w:t>, last accessed 23 March 2021.</w:t>
      </w:r>
    </w:p>
  </w:footnote>
  <w:footnote w:id="18">
    <w:p w14:paraId="5AA2E87E" w14:textId="77777777" w:rsidR="008225D3" w:rsidRPr="0000305C" w:rsidRDefault="008225D3" w:rsidP="00A37355">
      <w:pPr>
        <w:pStyle w:val="FootnoteText"/>
        <w:spacing w:after="60"/>
        <w:jc w:val="left"/>
        <w:rPr>
          <w:rFonts w:ascii="Arial" w:hAnsi="Arial" w:cs="Arial"/>
          <w:szCs w:val="16"/>
          <w:lang w:val="fr-BE"/>
        </w:rPr>
      </w:pPr>
      <w:r w:rsidRPr="00D64690">
        <w:rPr>
          <w:rStyle w:val="FootnoteReference"/>
          <w:rFonts w:ascii="Arial" w:hAnsi="Arial" w:cs="Arial"/>
          <w:szCs w:val="16"/>
        </w:rPr>
        <w:footnoteRef/>
      </w:r>
      <w:r w:rsidRPr="0000305C">
        <w:rPr>
          <w:rFonts w:ascii="Arial" w:hAnsi="Arial" w:cs="Arial"/>
          <w:szCs w:val="16"/>
          <w:lang w:val="fr-BE"/>
        </w:rPr>
        <w:t xml:space="preserve"> Directive 2014/53/EU (Radio Equipment Directive)</w:t>
      </w:r>
    </w:p>
  </w:footnote>
  <w:footnote w:id="19">
    <w:p w14:paraId="36BE1F09"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Impact assessment study on common chargers of portable devices, page 7, available at: </w:t>
      </w:r>
      <w:hyperlink r:id="rId7" w:history="1">
        <w:r w:rsidRPr="00D64690">
          <w:rPr>
            <w:rStyle w:val="Hyperlink"/>
            <w:rFonts w:ascii="Arial" w:hAnsi="Arial" w:cs="Arial"/>
            <w:szCs w:val="16"/>
          </w:rPr>
          <w:t>https://op.europa.eu/en/publication-detail/-/publication/c6fadfea-4641-11ea-b81b-01aa75ed71a1</w:t>
        </w:r>
      </w:hyperlink>
      <w:r w:rsidRPr="00D64690">
        <w:rPr>
          <w:rFonts w:ascii="Arial" w:hAnsi="Arial" w:cs="Arial"/>
          <w:szCs w:val="16"/>
        </w:rPr>
        <w:t>, last accessed 23 March 2021.</w:t>
      </w:r>
    </w:p>
  </w:footnote>
  <w:footnote w:id="20">
    <w:p w14:paraId="36B98060"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Impact assessment study on common chargers of portable devices, page 6, available at: </w:t>
      </w:r>
      <w:hyperlink r:id="rId8" w:history="1">
        <w:r w:rsidRPr="00D64690">
          <w:rPr>
            <w:rStyle w:val="Hyperlink"/>
            <w:rFonts w:ascii="Arial" w:hAnsi="Arial" w:cs="Arial"/>
            <w:szCs w:val="16"/>
          </w:rPr>
          <w:t>https://op.europa.eu/en/publication-detail/-/publication/c6fadfea-4641-11ea-b81b-01aa75ed71a1</w:t>
        </w:r>
      </w:hyperlink>
      <w:r w:rsidRPr="00D64690">
        <w:rPr>
          <w:rFonts w:ascii="Arial" w:hAnsi="Arial" w:cs="Arial"/>
          <w:szCs w:val="16"/>
        </w:rPr>
        <w:t>, last accessed 23 March 2021.</w:t>
      </w:r>
    </w:p>
  </w:footnote>
  <w:footnote w:id="21">
    <w:p w14:paraId="057EB021"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This assessment is based on information provided by interviewees and the study team’s own judgement.</w:t>
      </w:r>
    </w:p>
  </w:footnote>
  <w:footnote w:id="22">
    <w:p w14:paraId="68379FE0"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The USB-IF is a non-profit industry group. It defines itself as “the support organization and forum for the advancement and adoption of USB technology as defined in the USB specifications”.  </w:t>
      </w:r>
    </w:p>
  </w:footnote>
  <w:footnote w:id="23">
    <w:p w14:paraId="38FD55ED"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IEC 62680-1-1 was first published in 2015; IEC 62680-1-2 and IEC 62680-1-3 were first published in 2016.</w:t>
      </w:r>
    </w:p>
  </w:footnote>
  <w:footnote w:id="24">
    <w:p w14:paraId="69D6411B"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It has been reported that Huawei SuperCharge achieves up to 96% of energy efficiency during the charge, whereas USB PD reaches up to 80% of energy efficiency.</w:t>
      </w:r>
    </w:p>
  </w:footnote>
  <w:footnote w:id="25">
    <w:p w14:paraId="5B8CAB1C" w14:textId="77777777" w:rsidR="008225D3" w:rsidRPr="00D64690" w:rsidRDefault="008225D3" w:rsidP="00A37355">
      <w:pPr>
        <w:pStyle w:val="FootnoteText"/>
        <w:spacing w:after="60"/>
        <w:jc w:val="left"/>
        <w:rPr>
          <w:rFonts w:ascii="Arial" w:hAnsi="Arial" w:cs="Arial"/>
          <w:szCs w:val="16"/>
          <w:lang w:val="fr-BE"/>
        </w:rPr>
      </w:pPr>
      <w:r w:rsidRPr="00D64690">
        <w:rPr>
          <w:rStyle w:val="FootnoteReference"/>
          <w:rFonts w:ascii="Arial" w:hAnsi="Arial" w:cs="Arial"/>
          <w:szCs w:val="16"/>
        </w:rPr>
        <w:footnoteRef/>
      </w:r>
      <w:r w:rsidRPr="00D64690">
        <w:rPr>
          <w:rFonts w:ascii="Arial" w:hAnsi="Arial" w:cs="Arial"/>
          <w:szCs w:val="16"/>
          <w:lang w:val="fr-BE"/>
        </w:rPr>
        <w:t xml:space="preserve"> </w:t>
      </w:r>
      <w:proofErr w:type="gramStart"/>
      <w:r w:rsidRPr="00D64690">
        <w:rPr>
          <w:rFonts w:ascii="Arial" w:hAnsi="Arial" w:cs="Arial"/>
          <w:szCs w:val="16"/>
          <w:lang w:val="fr-BE"/>
        </w:rPr>
        <w:t>Source:</w:t>
      </w:r>
      <w:proofErr w:type="gramEnd"/>
      <w:r w:rsidRPr="00D64690">
        <w:rPr>
          <w:rFonts w:ascii="Arial" w:hAnsi="Arial" w:cs="Arial"/>
          <w:szCs w:val="16"/>
          <w:lang w:val="fr-BE"/>
        </w:rPr>
        <w:t xml:space="preserve"> </w:t>
      </w:r>
      <w:hyperlink r:id="rId9" w:history="1">
        <w:r w:rsidRPr="00D64690">
          <w:rPr>
            <w:rStyle w:val="Hyperlink"/>
            <w:rFonts w:ascii="Arial" w:hAnsi="Arial" w:cs="Arial"/>
            <w:szCs w:val="16"/>
            <w:lang w:val="fr-BE"/>
          </w:rPr>
          <w:t>https://www.androidauthority.com/fastest-charging-phones-1013806/</w:t>
        </w:r>
      </w:hyperlink>
      <w:r w:rsidRPr="00D64690">
        <w:rPr>
          <w:rFonts w:ascii="Arial" w:hAnsi="Arial" w:cs="Arial"/>
          <w:szCs w:val="16"/>
          <w:lang w:val="fr-BE"/>
        </w:rPr>
        <w:t xml:space="preserve"> </w:t>
      </w:r>
    </w:p>
  </w:footnote>
  <w:footnote w:id="26">
    <w:p w14:paraId="3E8D2624" w14:textId="77777777" w:rsidR="008225D3" w:rsidRPr="00D64690" w:rsidRDefault="008225D3" w:rsidP="00A37355">
      <w:pPr>
        <w:pStyle w:val="FootnoteText"/>
        <w:spacing w:after="60"/>
        <w:jc w:val="left"/>
        <w:rPr>
          <w:rFonts w:ascii="Arial" w:hAnsi="Arial" w:cs="Arial"/>
          <w:szCs w:val="16"/>
          <w:lang w:val="fr-BE"/>
        </w:rPr>
      </w:pPr>
      <w:r w:rsidRPr="00D64690">
        <w:rPr>
          <w:rStyle w:val="FootnoteReference"/>
          <w:rFonts w:ascii="Arial" w:hAnsi="Arial" w:cs="Arial"/>
          <w:szCs w:val="16"/>
        </w:rPr>
        <w:footnoteRef/>
      </w:r>
      <w:r w:rsidRPr="00D64690">
        <w:rPr>
          <w:rFonts w:ascii="Arial" w:hAnsi="Arial" w:cs="Arial"/>
          <w:szCs w:val="16"/>
          <w:lang w:val="fr-BE"/>
        </w:rPr>
        <w:t xml:space="preserve"> Sources: </w:t>
      </w:r>
      <w:hyperlink r:id="rId10" w:history="1">
        <w:r w:rsidRPr="00D64690">
          <w:rPr>
            <w:rStyle w:val="Hyperlink"/>
            <w:rFonts w:ascii="Arial" w:hAnsi="Arial" w:cs="Arial"/>
            <w:szCs w:val="16"/>
            <w:lang w:val="fr-BE"/>
          </w:rPr>
          <w:t>https://www.phonearena.com/news/Phones-fast-charging-speeds-comparison_id125026</w:t>
        </w:r>
      </w:hyperlink>
      <w:r w:rsidRPr="00D64690">
        <w:rPr>
          <w:rFonts w:ascii="Arial" w:hAnsi="Arial" w:cs="Arial"/>
          <w:szCs w:val="16"/>
          <w:lang w:val="fr-BE"/>
        </w:rPr>
        <w:t xml:space="preserve">; </w:t>
      </w:r>
      <w:hyperlink r:id="rId11" w:history="1">
        <w:r w:rsidRPr="00D64690">
          <w:rPr>
            <w:rStyle w:val="Hyperlink"/>
            <w:rFonts w:ascii="Arial" w:hAnsi="Arial" w:cs="Arial"/>
            <w:szCs w:val="16"/>
            <w:lang w:val="fr-BE"/>
          </w:rPr>
          <w:t>https://www.phonearena.com/news/apple-iphone-12-pro-magsafe-vs-20w-vs-18w-vs-5w-charging-speeds_id128110</w:t>
        </w:r>
      </w:hyperlink>
      <w:r w:rsidRPr="00D64690">
        <w:rPr>
          <w:rFonts w:ascii="Arial" w:hAnsi="Arial" w:cs="Arial"/>
          <w:szCs w:val="16"/>
          <w:lang w:val="fr-BE"/>
        </w:rPr>
        <w:t>; https://www.gsmarena.com/apple_iphone_se_2020-review-2108p3.php</w:t>
      </w:r>
    </w:p>
  </w:footnote>
  <w:footnote w:id="27">
    <w:p w14:paraId="47FD0C2B" w14:textId="77777777" w:rsidR="008225D3" w:rsidRPr="00D64690" w:rsidRDefault="008225D3" w:rsidP="00A37355">
      <w:pPr>
        <w:pStyle w:val="FootnoteText"/>
        <w:spacing w:after="60"/>
        <w:jc w:val="left"/>
        <w:rPr>
          <w:rFonts w:ascii="Arial" w:hAnsi="Arial" w:cs="Arial"/>
          <w:szCs w:val="16"/>
          <w:lang w:val="fr-BE"/>
        </w:rPr>
      </w:pPr>
      <w:r w:rsidRPr="00D64690">
        <w:rPr>
          <w:rStyle w:val="FootnoteReference"/>
          <w:rFonts w:ascii="Arial" w:hAnsi="Arial" w:cs="Arial"/>
          <w:szCs w:val="16"/>
        </w:rPr>
        <w:footnoteRef/>
      </w:r>
      <w:r w:rsidRPr="00D64690">
        <w:rPr>
          <w:rFonts w:ascii="Arial" w:hAnsi="Arial" w:cs="Arial"/>
          <w:szCs w:val="16"/>
          <w:lang w:val="fr-BE"/>
        </w:rPr>
        <w:t xml:space="preserve"> https://www.phonearena.com/news/Phones-fast-charging-speeds-comparison_id125026</w:t>
      </w:r>
    </w:p>
  </w:footnote>
  <w:footnote w:id="28">
    <w:p w14:paraId="51C8A656"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Charging times depend on multiple factors (e.g. battery capacity, EPS and cable used, room temperature…). This data should be interpreted with caution. </w:t>
      </w:r>
    </w:p>
  </w:footnote>
  <w:footnote w:id="29">
    <w:p w14:paraId="19A20D7B"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Only one small manufacturer (Fairphone) offered consumers the option of buying phones without chargers</w:t>
      </w:r>
    </w:p>
  </w:footnote>
  <w:footnote w:id="30">
    <w:p w14:paraId="78EBF229"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Apple (2020), Apple introduces iPhone 12 Pro and iPhone 12 Pro Max with 5G, available at: </w:t>
      </w:r>
      <w:hyperlink r:id="rId12" w:history="1">
        <w:r w:rsidRPr="00D64690">
          <w:rPr>
            <w:rStyle w:val="Hyperlink"/>
            <w:rFonts w:ascii="Arial" w:hAnsi="Arial" w:cs="Arial"/>
            <w:szCs w:val="16"/>
          </w:rPr>
          <w:t>https://www.apple.com/newsroom/2020/10/apple-introduces-iphone-12-pro-and-iphone-12-pro-max-with-5g/</w:t>
        </w:r>
      </w:hyperlink>
      <w:r w:rsidRPr="00D64690">
        <w:rPr>
          <w:rFonts w:ascii="Arial" w:hAnsi="Arial" w:cs="Arial"/>
          <w:szCs w:val="16"/>
        </w:rPr>
        <w:t>, last accessed 23 March 2021.</w:t>
      </w:r>
    </w:p>
  </w:footnote>
  <w:footnote w:id="31">
    <w:p w14:paraId="0EB5FDDE"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Samsung (2021), Why isn’t Samsung including earphones and a charger plug in the box?, available at: </w:t>
      </w:r>
      <w:hyperlink r:id="rId13" w:history="1">
        <w:r w:rsidRPr="00D64690">
          <w:rPr>
            <w:rStyle w:val="Hyperlink"/>
            <w:rFonts w:ascii="Arial" w:hAnsi="Arial" w:cs="Arial"/>
            <w:szCs w:val="16"/>
          </w:rPr>
          <w:t>https://www.samsung.com/uk/support/mobile-devices/why-does-samsung-not-include-a-charger-in-the-box/</w:t>
        </w:r>
      </w:hyperlink>
      <w:r w:rsidRPr="00D64690">
        <w:rPr>
          <w:rFonts w:ascii="Arial" w:hAnsi="Arial" w:cs="Arial"/>
          <w:szCs w:val="16"/>
        </w:rPr>
        <w:t>, last accessed 23 March 2021.</w:t>
      </w:r>
    </w:p>
  </w:footnote>
  <w:footnote w:id="32">
    <w:p w14:paraId="76D8E192"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Nokia (2021) Keeping our phones in your hands longer, available at: </w:t>
      </w:r>
      <w:hyperlink r:id="rId14" w:history="1">
        <w:r w:rsidRPr="00D64690">
          <w:rPr>
            <w:rStyle w:val="Hyperlink"/>
            <w:rFonts w:ascii="Arial" w:hAnsi="Arial" w:cs="Arial"/>
            <w:szCs w:val="16"/>
          </w:rPr>
          <w:t>https://www.nokia.com/phones/en_gb/promise</w:t>
        </w:r>
      </w:hyperlink>
      <w:r w:rsidRPr="00D64690">
        <w:rPr>
          <w:rFonts w:ascii="Arial" w:hAnsi="Arial" w:cs="Arial"/>
          <w:szCs w:val="16"/>
        </w:rPr>
        <w:t>, last accessed 14 April 2021.</w:t>
      </w:r>
    </w:p>
  </w:footnote>
  <w:footnote w:id="33">
    <w:p w14:paraId="1F4D35FA" w14:textId="20C10176"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Nokia (2021) Press Release: New Nokia X-series brings extended warranty, security and software updates to Europe, 6 April 2021. In it, HMD announced that: “The wall charger and headphones have been removed from the sales box, helping to tackle the 12,000 tonnes of e-waste generated by mobile phone chargers in the EU. If needed, wall chargers can be purchased from </w:t>
      </w:r>
      <w:hyperlink r:id="rId15" w:history="1">
        <w:r w:rsidRPr="00D64690">
          <w:rPr>
            <w:rFonts w:ascii="Arial" w:hAnsi="Arial" w:cs="Arial"/>
            <w:szCs w:val="16"/>
          </w:rPr>
          <w:t>Nokia.com</w:t>
        </w:r>
      </w:hyperlink>
      <w:r w:rsidRPr="00D64690">
        <w:rPr>
          <w:rFonts w:ascii="Arial" w:hAnsi="Arial" w:cs="Arial"/>
          <w:szCs w:val="16"/>
        </w:rPr>
        <w:t xml:space="preserve">. The money raised will be donated to </w:t>
      </w:r>
      <w:hyperlink r:id="rId16" w:history="1">
        <w:r w:rsidRPr="00D64690">
          <w:rPr>
            <w:rFonts w:ascii="Arial" w:hAnsi="Arial" w:cs="Arial"/>
            <w:szCs w:val="16"/>
          </w:rPr>
          <w:t>CLEAR RIVERS</w:t>
        </w:r>
      </w:hyperlink>
      <w:r w:rsidRPr="00D64690">
        <w:rPr>
          <w:rFonts w:ascii="Arial" w:hAnsi="Arial" w:cs="Arial"/>
          <w:szCs w:val="16"/>
        </w:rPr>
        <w:t>, a charity that works to clear plastic waste out of International waterways.”</w:t>
      </w:r>
    </w:p>
  </w:footnote>
  <w:footnote w:id="34">
    <w:p w14:paraId="444A9DD1" w14:textId="19AE9FBB"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For more information on the mapping of devices conducted, see Annex H. </w:t>
      </w:r>
    </w:p>
  </w:footnote>
  <w:footnote w:id="35">
    <w:p w14:paraId="79529985" w14:textId="77777777" w:rsidR="008225D3" w:rsidRPr="00D64690" w:rsidRDefault="008225D3" w:rsidP="00A37355">
      <w:pPr>
        <w:pStyle w:val="FootnoteText"/>
        <w:spacing w:after="60"/>
        <w:jc w:val="left"/>
        <w:rPr>
          <w:rFonts w:ascii="Arial" w:hAnsi="Arial" w:cs="Arial"/>
          <w:szCs w:val="16"/>
          <w:lang w:val="fr-BE"/>
        </w:rPr>
      </w:pPr>
      <w:r w:rsidRPr="00D64690">
        <w:rPr>
          <w:rStyle w:val="FootnoteReference"/>
          <w:rFonts w:ascii="Arial" w:hAnsi="Arial" w:cs="Arial"/>
          <w:szCs w:val="16"/>
        </w:rPr>
        <w:footnoteRef/>
      </w:r>
      <w:r w:rsidRPr="00D64690">
        <w:rPr>
          <w:rFonts w:ascii="Arial" w:hAnsi="Arial" w:cs="Arial"/>
          <w:szCs w:val="16"/>
          <w:lang w:val="fr-BE"/>
        </w:rPr>
        <w:t xml:space="preserve"> </w:t>
      </w:r>
      <w:proofErr w:type="gramStart"/>
      <w:r w:rsidRPr="00D64690">
        <w:rPr>
          <w:rFonts w:ascii="Arial" w:hAnsi="Arial" w:cs="Arial"/>
          <w:szCs w:val="16"/>
          <w:lang w:val="fr-BE"/>
        </w:rPr>
        <w:t>Source:</w:t>
      </w:r>
      <w:proofErr w:type="gramEnd"/>
      <w:r w:rsidRPr="00D64690">
        <w:rPr>
          <w:rFonts w:ascii="Arial" w:hAnsi="Arial" w:cs="Arial"/>
          <w:szCs w:val="16"/>
          <w:lang w:val="fr-BE"/>
        </w:rPr>
        <w:t xml:space="preserve"> </w:t>
      </w:r>
      <w:hyperlink r:id="rId17" w:history="1">
        <w:r w:rsidRPr="00D64690">
          <w:rPr>
            <w:rStyle w:val="Hyperlink"/>
            <w:rFonts w:ascii="Arial" w:hAnsi="Arial" w:cs="Arial"/>
            <w:szCs w:val="16"/>
            <w:lang w:val="fr-BE"/>
          </w:rPr>
          <w:t>https://www.procon.sp.gov.br/procon-sp-multa-apple/</w:t>
        </w:r>
      </w:hyperlink>
      <w:r w:rsidRPr="00D64690">
        <w:rPr>
          <w:rFonts w:ascii="Arial" w:hAnsi="Arial" w:cs="Arial"/>
          <w:szCs w:val="16"/>
          <w:lang w:val="fr-BE"/>
        </w:rPr>
        <w:t xml:space="preserve"> </w:t>
      </w:r>
    </w:p>
  </w:footnote>
  <w:footnote w:id="36">
    <w:p w14:paraId="70D86A57"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RPA (2014), Study on the impact of the MoU on harmonisation of chargers for mobile telephones and to assess possible future options, available at: </w:t>
      </w:r>
      <w:hyperlink r:id="rId18" w:history="1">
        <w:r w:rsidRPr="00D64690">
          <w:rPr>
            <w:rStyle w:val="Hyperlink"/>
            <w:rFonts w:ascii="Arial" w:hAnsi="Arial" w:cs="Arial"/>
            <w:szCs w:val="16"/>
          </w:rPr>
          <w:t>https://op.europa.eu/en/publication-detail/-/publication/4b3e4ea8-4f44-4687-96e4-cd3264407c5b</w:t>
        </w:r>
      </w:hyperlink>
      <w:r w:rsidRPr="00D64690">
        <w:rPr>
          <w:rFonts w:ascii="Arial" w:hAnsi="Arial" w:cs="Arial"/>
          <w:szCs w:val="16"/>
        </w:rPr>
        <w:t>, last accessed 14 April 2021.</w:t>
      </w:r>
    </w:p>
  </w:footnote>
  <w:footnote w:id="37">
    <w:p w14:paraId="39748284"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w:t>
      </w:r>
      <w:r w:rsidRPr="00D64690">
        <w:rPr>
          <w:rFonts w:ascii="Arial" w:hAnsi="Arial" w:cs="Arial"/>
          <w:i/>
          <w:iCs/>
          <w:szCs w:val="16"/>
        </w:rPr>
        <w:t>Ibid</w:t>
      </w:r>
      <w:r w:rsidRPr="00D64690">
        <w:rPr>
          <w:rFonts w:ascii="Arial" w:hAnsi="Arial" w:cs="Arial"/>
          <w:szCs w:val="16"/>
        </w:rPr>
        <w:t>., page 51.</w:t>
      </w:r>
    </w:p>
  </w:footnote>
  <w:footnote w:id="38">
    <w:p w14:paraId="45BFE5FB"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European Commission (2020), Commission Staff Working Document Counterfeit and Piracy Watch List SWD(2020) 360 final, page 35, available at: </w:t>
      </w:r>
      <w:hyperlink r:id="rId19" w:history="1">
        <w:r w:rsidRPr="00D64690">
          <w:rPr>
            <w:rStyle w:val="Hyperlink"/>
            <w:rFonts w:ascii="Arial" w:hAnsi="Arial" w:cs="Arial"/>
            <w:szCs w:val="16"/>
          </w:rPr>
          <w:t>https://trade.ec.europa.eu/doclib/docs/2020/december/tradoc_159183.pdf</w:t>
        </w:r>
      </w:hyperlink>
      <w:r w:rsidRPr="00D64690">
        <w:rPr>
          <w:rFonts w:ascii="Arial" w:hAnsi="Arial" w:cs="Arial"/>
          <w:szCs w:val="16"/>
        </w:rPr>
        <w:t>, last accessed 14 April 2021.</w:t>
      </w:r>
    </w:p>
  </w:footnote>
  <w:footnote w:id="39">
    <w:p w14:paraId="6DE6BAD4"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RAPEX is the EU rapid alert system for dangerous non-food products. The analysis included alerts for products with serious risks or other risks. The dataset was searched based on the keywords “USB charger” (the terms under which the relevant alerts are commonly logged by Member States’ authorities) from 1 January 2014 to 31 March 2021. The sample was further refined by retaining only alerts that referred to standalone chargers (EPS and/or cable) or to the USB charging assembly of electronic devices. Alerts submitted by the United Kingdom until 31 January 2021 are included in the sample. Power banks and non-USB chargers are not included in the sample. The data is not statistically significant as it is affected by selection bias (e.g. reporting may differ across Member States).</w:t>
      </w:r>
    </w:p>
  </w:footnote>
  <w:footnote w:id="40">
    <w:p w14:paraId="479A3F64"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European Commission (2020), Commission Staff Working Document Counterfeit and Piracy Watch List SWD(2020) 360 final, page 35, available at: </w:t>
      </w:r>
      <w:hyperlink r:id="rId20" w:history="1">
        <w:r w:rsidRPr="00D64690">
          <w:rPr>
            <w:rStyle w:val="Hyperlink"/>
            <w:rFonts w:ascii="Arial" w:hAnsi="Arial" w:cs="Arial"/>
            <w:szCs w:val="16"/>
          </w:rPr>
          <w:t>https://trade.ec.europa.eu/doclib/docs/2020/december/tradoc_159183.pdf</w:t>
        </w:r>
      </w:hyperlink>
      <w:r w:rsidRPr="00D64690">
        <w:rPr>
          <w:rFonts w:ascii="Arial" w:hAnsi="Arial" w:cs="Arial"/>
          <w:szCs w:val="16"/>
        </w:rPr>
        <w:t>, last accessed 14 April 2021.</w:t>
      </w:r>
    </w:p>
  </w:footnote>
  <w:footnote w:id="41">
    <w:p w14:paraId="037EBA38"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European Union Intellectual Property Office and Europol (2019), Intellectual Property Crime Threat Assessment 2019, page 3, available at: </w:t>
      </w:r>
      <w:hyperlink r:id="rId21" w:history="1">
        <w:r w:rsidRPr="00D64690">
          <w:rPr>
            <w:rStyle w:val="Hyperlink"/>
            <w:rFonts w:ascii="Arial" w:hAnsi="Arial" w:cs="Arial"/>
            <w:szCs w:val="16"/>
          </w:rPr>
          <w:t>https://euipo.europa.eu/tunnel-web/secure/webdav/guest/document_library/observatory/documents/reports/2019_IP_Crime_Threat_Assessment_Report/2019_IP_Crime_Threat_Assessment_Report_Exec_Sum_EN.pdf</w:t>
        </w:r>
      </w:hyperlink>
      <w:r w:rsidRPr="00D64690">
        <w:rPr>
          <w:rFonts w:ascii="Arial" w:hAnsi="Arial" w:cs="Arial"/>
          <w:szCs w:val="16"/>
        </w:rPr>
        <w:t>, last accessed 14 April 2021.</w:t>
      </w:r>
    </w:p>
  </w:footnote>
  <w:footnote w:id="42">
    <w:p w14:paraId="2FBAB67C"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Electrical Safety First, Counterfeit and imitation Apple chargers 98% Safety Test Failure Rate, available at: </w:t>
      </w:r>
      <w:hyperlink r:id="rId22" w:history="1">
        <w:r w:rsidRPr="00D64690">
          <w:rPr>
            <w:rStyle w:val="Hyperlink"/>
            <w:rFonts w:ascii="Arial" w:hAnsi="Arial" w:cs="Arial"/>
            <w:szCs w:val="16"/>
          </w:rPr>
          <w:t>https://www.electricalsafetyfirst.org.uk/media/1119/counterfeit-and-imitation-apple-chargers.pdf</w:t>
        </w:r>
      </w:hyperlink>
      <w:r w:rsidRPr="00D64690">
        <w:rPr>
          <w:rFonts w:ascii="Arial" w:hAnsi="Arial" w:cs="Arial"/>
          <w:szCs w:val="16"/>
        </w:rPr>
        <w:t>, last accessed 14 April 2021.</w:t>
      </w:r>
    </w:p>
  </w:footnote>
  <w:footnote w:id="43">
    <w:p w14:paraId="28F7791B"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Only five case was found where the product did not have the risk of electric shock or causing a fire. The risk associated with these five products was environmental, due to the presence of lead (five cases), cadmium (two cases) and chlorinated paraffins (one case) in excess of the regulatory limits.</w:t>
      </w:r>
    </w:p>
  </w:footnote>
  <w:footnote w:id="44">
    <w:p w14:paraId="38EDD448"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Source: Preview of standard IEC 63002 provided by IEC to Ipsos for internal use only.</w:t>
      </w:r>
    </w:p>
  </w:footnote>
  <w:footnote w:id="45">
    <w:p w14:paraId="16F58EF9"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Lightning connectors are compatible with this standard.</w:t>
      </w:r>
    </w:p>
  </w:footnote>
  <w:footnote w:id="46">
    <w:p w14:paraId="657A9E80"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Estimation based on market data provided by IDC, triangulated with the mapping of mobile phones conducted by the study team</w:t>
      </w:r>
    </w:p>
  </w:footnote>
  <w:footnote w:id="47">
    <w:p w14:paraId="23659DAD"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It should be noted that some Apple and Samsung phones are USB PD enabled, but were sold along with a standard EPS in 2019. This is why the share of phones that are USB PD enabled is higher than the share of USB PD EPS sold along with phones.</w:t>
      </w:r>
    </w:p>
  </w:footnote>
  <w:footnote w:id="48">
    <w:p w14:paraId="51D517DB"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There are some exceptions. For instance, Google Pixel 4 cannot be charged with Huawei cables, according to tests conducted by Android Authority, Source: </w:t>
      </w:r>
      <w:hyperlink r:id="rId23" w:history="1">
        <w:r w:rsidRPr="00D64690">
          <w:rPr>
            <w:rStyle w:val="Hyperlink"/>
            <w:rFonts w:ascii="Arial" w:hAnsi="Arial" w:cs="Arial"/>
            <w:szCs w:val="16"/>
          </w:rPr>
          <w:t>https://infogram.com/2020-usb-fast-charging-tests-1h8n6mdkqjxm6xo</w:t>
        </w:r>
      </w:hyperlink>
      <w:r w:rsidRPr="00D64690">
        <w:rPr>
          <w:rFonts w:ascii="Arial" w:hAnsi="Arial" w:cs="Arial"/>
          <w:szCs w:val="16"/>
        </w:rPr>
        <w:t xml:space="preserve"> </w:t>
      </w:r>
    </w:p>
  </w:footnote>
  <w:footnote w:id="49">
    <w:p w14:paraId="770111A2"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To use USB PD, the cable must be USB Type C compliant and support up to 3A or 5A.</w:t>
      </w:r>
    </w:p>
  </w:footnote>
  <w:footnote w:id="50">
    <w:p w14:paraId="7F0E7553"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Projection made by the study team based on market data provided by IDC and interviews with mobile phone manufacturers.</w:t>
      </w:r>
    </w:p>
  </w:footnote>
  <w:footnote w:id="51">
    <w:p w14:paraId="68B7EC8F" w14:textId="08790EF6"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For more information on the ‘rebound effect’ of standalone sales of EPS in the baseline, see Annex G.</w:t>
      </w:r>
    </w:p>
  </w:footnote>
  <w:footnote w:id="52">
    <w:p w14:paraId="72FB0A14"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Estimation made by the study team based on market data provided by IDC.</w:t>
      </w:r>
    </w:p>
  </w:footnote>
  <w:footnote w:id="53">
    <w:p w14:paraId="50E1BF55" w14:textId="016F309E"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Google Pixel phones cannot be charged with Huawei cables, according to the tests conducted by Android Authority.</w:t>
      </w:r>
    </w:p>
  </w:footnote>
  <w:footnote w:id="54">
    <w:p w14:paraId="23BEA331"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The problem was experienced once or twice by 14% of respondents. 14% reported that the problem occurred a few times, for 10% it occurred on numerous occasions, almost daily for 9%. 53% of participants experienced no problems of this nature. </w:t>
      </w:r>
    </w:p>
  </w:footnote>
  <w:footnote w:id="55">
    <w:p w14:paraId="63876770"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19% experienced this issue once or twice, 15% on a few occasions, 3% on numerous occasions and less than 1% almost daily. 63% did not face problems relative to interoperability of other chargers.</w:t>
      </w:r>
    </w:p>
  </w:footnote>
  <w:footnote w:id="56">
    <w:p w14:paraId="5C982F51"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The problem occurred once or twice for 14% of respondents, a few times for 20%, 10% of respondents on numerous occasions and 5% nearly daily. Half of those participating reported no experience of problems occurring.</w:t>
      </w:r>
    </w:p>
  </w:footnote>
  <w:footnote w:id="57">
    <w:p w14:paraId="555C2B63"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The problem occurred had occurred once or twice for 15% of respondents, a few times for 13%, on numerous occasions for 7%, and almost every day for 4%.</w:t>
      </w:r>
    </w:p>
  </w:footnote>
  <w:footnote w:id="58">
    <w:p w14:paraId="4BF9638F"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The problem occurred once or twice for 17% of consumers, on a few occasions for 20%, on numerous occasions for 12%, and for 5% almost on a daily basis.</w:t>
      </w:r>
    </w:p>
  </w:footnote>
  <w:footnote w:id="59">
    <w:p w14:paraId="396D42AF"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i/>
          <w:iCs/>
          <w:szCs w:val="16"/>
        </w:rPr>
        <w:footnoteRef/>
      </w:r>
      <w:r w:rsidRPr="00D64690">
        <w:rPr>
          <w:rFonts w:ascii="Arial" w:hAnsi="Arial" w:cs="Arial"/>
          <w:i/>
          <w:iCs/>
          <w:szCs w:val="16"/>
        </w:rPr>
        <w:t xml:space="preserve"> </w:t>
      </w:r>
      <w:r w:rsidRPr="00D64690">
        <w:rPr>
          <w:rFonts w:ascii="Arial" w:hAnsi="Arial" w:cs="Arial"/>
          <w:szCs w:val="16"/>
        </w:rPr>
        <w:t>First IA study, page 55.</w:t>
      </w:r>
    </w:p>
  </w:footnote>
  <w:footnote w:id="60">
    <w:p w14:paraId="2FA41655"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w:t>
      </w:r>
      <w:r w:rsidRPr="00D64690">
        <w:rPr>
          <w:rFonts w:ascii="Arial" w:hAnsi="Arial" w:cs="Arial"/>
          <w:i/>
          <w:iCs/>
          <w:szCs w:val="16"/>
        </w:rPr>
        <w:t>Ibid.</w:t>
      </w:r>
      <w:r w:rsidRPr="00D64690">
        <w:rPr>
          <w:rFonts w:ascii="Arial" w:hAnsi="Arial" w:cs="Arial"/>
          <w:szCs w:val="16"/>
        </w:rPr>
        <w:t>, page 55.</w:t>
      </w:r>
    </w:p>
  </w:footnote>
  <w:footnote w:id="61">
    <w:p w14:paraId="44F97DCA"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In France, manufacturers are obliged to </w:t>
      </w:r>
      <w:r w:rsidRPr="00D64690">
        <w:rPr>
          <w:rFonts w:ascii="Arial" w:hAnsi="Arial" w:cs="Arial"/>
          <w:b/>
          <w:bCs/>
          <w:szCs w:val="16"/>
        </w:rPr>
        <w:t>bundle</w:t>
      </w:r>
      <w:r w:rsidRPr="00D64690">
        <w:rPr>
          <w:rFonts w:ascii="Arial" w:hAnsi="Arial" w:cs="Arial"/>
          <w:szCs w:val="16"/>
        </w:rPr>
        <w:t xml:space="preserve"> headphones to mobile phones for safety reasons</w:t>
      </w:r>
    </w:p>
  </w:footnote>
  <w:footnote w:id="62">
    <w:p w14:paraId="32812EB0"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In view of the critical importance of this variable for any intervention that involves unbundling, we have carried out sensitivity analysis, to test how variations in the assumptions would affect the results. For details see Annex G.</w:t>
      </w:r>
    </w:p>
  </w:footnote>
  <w:footnote w:id="63">
    <w:p w14:paraId="64E104E5"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Specifically, USB PD 2.0 or higher. It should be noted that USB PD 3.0 requires USB Type-C cables and connectors (at both ends), as the latest specification has deprecated USB Type-A and Type-B. However, for USB PD 2.0, USB Type-A connectors can still be used, meaning that this option as defined here would not imply that all EPS would have to use USB Type-C receptacles.</w:t>
      </w:r>
    </w:p>
  </w:footnote>
  <w:footnote w:id="64">
    <w:p w14:paraId="2785A1F4"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It may be worth considering whether a standardisation mandate should be issued (to a standardisation body such as CEN-CENELEC or ITU) to limit the compliance verification to the ‘essential requirements’ needed to ensure interoperability, rather than full compliance with USB Type-C and USB PD (which, in order to be eligible for USB-IF certification, rules out the presence of proprietary “add-ons”).</w:t>
      </w:r>
    </w:p>
  </w:footnote>
  <w:footnote w:id="65">
    <w:p w14:paraId="4CA2E289"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Programmable Power Supply (PPS), which uses dynamic voltage increments, would be optional, not mandatory.</w:t>
      </w:r>
    </w:p>
  </w:footnote>
  <w:footnote w:id="66">
    <w:p w14:paraId="1FD973E5"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European Commission (2020) Draft report. Preparatory study for the Ecodesign and Energy Labelling Working Plan 2020-2024 (Task 3, preliminary analysis of product groups and horizontal initiatives) Retrieved from: https://www.ecodesignworkingplan20-24.eu/documents</w:t>
      </w:r>
    </w:p>
  </w:footnote>
  <w:footnote w:id="67">
    <w:p w14:paraId="743FCEA9"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For example, as of 18 January 2021, customers purchasing an iPhone 12 from the Apple online shop in Spain (</w:t>
      </w:r>
      <w:hyperlink r:id="rId24" w:history="1">
        <w:r w:rsidRPr="00D64690">
          <w:rPr>
            <w:rStyle w:val="Hyperlink"/>
            <w:rFonts w:ascii="Arial" w:hAnsi="Arial" w:cs="Arial"/>
            <w:szCs w:val="16"/>
          </w:rPr>
          <w:t>https://www.apple.com/es/shop/buy-iphone/iphone-12</w:t>
        </w:r>
      </w:hyperlink>
      <w:r w:rsidRPr="00D64690">
        <w:rPr>
          <w:rFonts w:ascii="Arial" w:hAnsi="Arial" w:cs="Arial"/>
          <w:szCs w:val="16"/>
        </w:rPr>
        <w:t>) were offered a 20W USB-C EPS as an optional accessory for €25. Similarly, customers pre-ordering a Galaxy S21 from the Samsung online shop in Spain (</w:t>
      </w:r>
      <w:hyperlink r:id="rId25" w:history="1">
        <w:r w:rsidRPr="00D64690">
          <w:rPr>
            <w:rStyle w:val="Hyperlink"/>
            <w:rFonts w:ascii="Arial" w:hAnsi="Arial" w:cs="Arial"/>
            <w:szCs w:val="16"/>
          </w:rPr>
          <w:t>https://www.samsung.com/es/smartphones/galaxy-s21-5g/buy/</w:t>
        </w:r>
      </w:hyperlink>
      <w:r w:rsidRPr="00D64690">
        <w:rPr>
          <w:rFonts w:ascii="Arial" w:hAnsi="Arial" w:cs="Arial"/>
          <w:szCs w:val="16"/>
        </w:rPr>
        <w:t>) were offered a 25W USB-C EPS for €24.90. During interviews, both Apple and Samsung reported they had reduced the price of these EPS as part of their recent unbundled launches.</w:t>
      </w:r>
    </w:p>
  </w:footnote>
  <w:footnote w:id="68">
    <w:p w14:paraId="4EE82B9F"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The only exception is Fairphone, which has been selling mobiles without any accessories for years, albeit on a very small scale. For details see </w:t>
      </w:r>
      <w:hyperlink r:id="rId26" w:history="1">
        <w:r w:rsidRPr="00D64690">
          <w:rPr>
            <w:rStyle w:val="Hyperlink"/>
            <w:rFonts w:ascii="Arial" w:hAnsi="Arial" w:cs="Arial"/>
            <w:szCs w:val="16"/>
          </w:rPr>
          <w:t>https://www.fairphone.com/en/</w:t>
        </w:r>
      </w:hyperlink>
      <w:r w:rsidRPr="00D64690">
        <w:rPr>
          <w:rFonts w:ascii="Arial" w:hAnsi="Arial" w:cs="Arial"/>
          <w:szCs w:val="16"/>
        </w:rPr>
        <w:t xml:space="preserve">. </w:t>
      </w:r>
    </w:p>
  </w:footnote>
  <w:footnote w:id="69">
    <w:p w14:paraId="3BDE40EA"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USB Implementers Forum, Inc. is a non-profit corporation founded by the group of companies that developed the Universal Serial Bus specification. The USB-IF was formed to provide a support organization and forum for the advancement and adoption of USB technology. The USB-IF has a “core” membership of seven “Promoter members” who sit on its Board of Directors (Apple, HP, Intel, Microsoft, Renesas, STMicroelectronics, and Texas Instruments), as well hundreds of “Contributor members”.</w:t>
      </w:r>
    </w:p>
  </w:footnote>
  <w:footnote w:id="70">
    <w:p w14:paraId="586D15CA"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The USB specification defines the product design targets at the level of interfaces and mechanisms. To complement the specification and enable measurement of compliance in real products, the USB-IF has instituted a Compliance Program that provides reasonable measures of acceptability. The Compliance Program uses multiple test specifications along with a Test ID (TID) to track and define the test criteria used to evaluate a product. Products that pass this level of acceptability are considered USB-IF certified and are added to the Integrator's List and have the right to license the USB-IF Logos. For further details see: URL: </w:t>
      </w:r>
      <w:hyperlink r:id="rId27" w:history="1">
        <w:r w:rsidRPr="00D64690">
          <w:rPr>
            <w:rStyle w:val="Hyperlink"/>
            <w:rFonts w:ascii="Arial" w:hAnsi="Arial" w:cs="Arial"/>
            <w:szCs w:val="16"/>
          </w:rPr>
          <w:t>https://www.usb.org/compliance</w:t>
        </w:r>
      </w:hyperlink>
      <w:r w:rsidRPr="00D64690">
        <w:rPr>
          <w:rFonts w:ascii="Arial" w:hAnsi="Arial" w:cs="Arial"/>
          <w:szCs w:val="16"/>
        </w:rPr>
        <w:t xml:space="preserve"> </w:t>
      </w:r>
    </w:p>
  </w:footnote>
  <w:footnote w:id="71">
    <w:p w14:paraId="6BE9DCD8"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Based on IDC (2021); the combined 2019 European market share of Huawei and Xiaomi mobile phones was 27%.</w:t>
      </w:r>
    </w:p>
  </w:footnote>
  <w:footnote w:id="72">
    <w:p w14:paraId="31F89730"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Ipsos (2019), p. 58</w:t>
      </w:r>
    </w:p>
  </w:footnote>
  <w:footnote w:id="73">
    <w:p w14:paraId="04631C21" w14:textId="08868B53" w:rsidR="008225D3" w:rsidRPr="00D64690" w:rsidRDefault="008225D3" w:rsidP="00A37355">
      <w:pPr>
        <w:pStyle w:val="FootnoteText"/>
        <w:spacing w:after="60"/>
        <w:jc w:val="left"/>
        <w:rPr>
          <w:rFonts w:ascii="Arial" w:hAnsi="Arial" w:cs="Arial"/>
          <w:szCs w:val="16"/>
        </w:rPr>
      </w:pPr>
      <w:r w:rsidRPr="00C458FF">
        <w:rPr>
          <w:rStyle w:val="FootnoteReference"/>
          <w:rFonts w:ascii="Arial" w:hAnsi="Arial" w:cs="Arial"/>
          <w:szCs w:val="16"/>
        </w:rPr>
        <w:footnoteRef/>
      </w:r>
      <w:r w:rsidRPr="00C458FF">
        <w:rPr>
          <w:rFonts w:ascii="Arial" w:hAnsi="Arial" w:cs="Arial"/>
          <w:szCs w:val="16"/>
        </w:rPr>
        <w:t xml:space="preserve"> Fraunhofer IZM (for the European Commission, 2021): Assessment of the Status of Wireless Charging Technologies used for Mobile Phones and Similar Electronic Equipment and next expected Main Technological Developments</w:t>
      </w:r>
    </w:p>
  </w:footnote>
  <w:footnote w:id="74">
    <w:p w14:paraId="5796E45E"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European Commission (2020) Draft report. Preparatory study for the Ecodesign and Energy Labelling Working Plan 2020-2024 (Task 3, preliminary analysis of product groups and horizontal initiatives) Retrieved from: https://www.ecodesignworkingplan20-24.eu/documents</w:t>
      </w:r>
    </w:p>
  </w:footnote>
  <w:footnote w:id="75">
    <w:p w14:paraId="52C3E062"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According to a recent JRC study, the accessories (charger and headset) only account for around 2% of a mobile phone’s carbon footprint. European Commission (2020): JRC Technical Report –Guidance for the Assessment of Material Efficiency: Application to Smartphones, p. 109. URL: </w:t>
      </w:r>
      <w:hyperlink r:id="rId28" w:history="1">
        <w:r w:rsidRPr="00D64690">
          <w:rPr>
            <w:rStyle w:val="Hyperlink"/>
            <w:rFonts w:ascii="Arial" w:hAnsi="Arial" w:cs="Arial"/>
            <w:szCs w:val="16"/>
          </w:rPr>
          <w:t>https://ec.europa.eu/jrc/en/publication/guidance-assessment-material-efficiency-application-smartphones</w:t>
        </w:r>
      </w:hyperlink>
      <w:r w:rsidRPr="00D64690">
        <w:rPr>
          <w:rFonts w:ascii="Arial" w:hAnsi="Arial" w:cs="Arial"/>
          <w:szCs w:val="16"/>
        </w:rPr>
        <w:t xml:space="preserve"> </w:t>
      </w:r>
    </w:p>
  </w:footnote>
  <w:footnote w:id="76">
    <w:p w14:paraId="3F840191"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w:t>
      </w:r>
      <w:r w:rsidRPr="00D64690">
        <w:rPr>
          <w:rFonts w:ascii="Arial" w:eastAsia="CIDFont+F2" w:hAnsi="Arial" w:cs="Arial"/>
          <w:szCs w:val="16"/>
        </w:rPr>
        <w:t>The absolute direct energy consumption of mobile phones per device and year of use</w:t>
      </w:r>
      <w:r w:rsidRPr="00D64690">
        <w:rPr>
          <w:rFonts w:ascii="Arial" w:hAnsi="Arial" w:cs="Arial"/>
          <w:szCs w:val="16"/>
        </w:rPr>
        <w:t xml:space="preserve"> </w:t>
      </w:r>
      <w:r w:rsidRPr="00D64690">
        <w:rPr>
          <w:rFonts w:ascii="Arial" w:eastAsia="CIDFont+F2" w:hAnsi="Arial" w:cs="Arial"/>
          <w:szCs w:val="16"/>
        </w:rPr>
        <w:t xml:space="preserve">is only in the range of roughly 6 to 16 kWh/a, according to </w:t>
      </w:r>
      <w:r w:rsidRPr="00D64690">
        <w:rPr>
          <w:rFonts w:ascii="Arial" w:hAnsi="Arial" w:cs="Arial"/>
          <w:szCs w:val="16"/>
        </w:rPr>
        <w:t>Fraunhofer for the European Commission (2020): Ecodesign preparatory study on mobile phones, smartphones and tablets. Draft Task 7 Report, p. 25</w:t>
      </w:r>
    </w:p>
  </w:footnote>
  <w:footnote w:id="77">
    <w:p w14:paraId="463CFC14"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Ibid.</w:t>
      </w:r>
    </w:p>
  </w:footnote>
  <w:footnote w:id="78">
    <w:p w14:paraId="2C9F7464"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European Commission (2020): Inception Impact Assessment on the Environmental impact of mobile phones and tablets. URL: </w:t>
      </w:r>
      <w:hyperlink r:id="rId29" w:history="1">
        <w:r w:rsidRPr="00D64690">
          <w:rPr>
            <w:rStyle w:val="Hyperlink"/>
            <w:rFonts w:ascii="Arial" w:hAnsi="Arial" w:cs="Arial"/>
            <w:szCs w:val="16"/>
          </w:rPr>
          <w:t>https://ec.europa.eu/info/law/better-regulation/have-your-say/initiatives/12798-Environmental-impact-of-mobile-phones-and-tablets-Energy-Labelling</w:t>
        </w:r>
      </w:hyperlink>
      <w:r w:rsidRPr="00D64690">
        <w:rPr>
          <w:rFonts w:ascii="Arial" w:hAnsi="Arial" w:cs="Arial"/>
          <w:szCs w:val="16"/>
        </w:rPr>
        <w:t xml:space="preserve"> </w:t>
      </w:r>
    </w:p>
  </w:footnote>
  <w:footnote w:id="79">
    <w:p w14:paraId="7C40F418"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A potentially relevant example is provided by the recent revision of the methodology for calculating the energy efficiency of screen displays (See URL: </w:t>
      </w:r>
      <w:hyperlink r:id="rId30" w:history="1">
        <w:r w:rsidRPr="00D64690">
          <w:rPr>
            <w:rStyle w:val="Hyperlink"/>
            <w:rFonts w:ascii="Arial" w:hAnsi="Arial" w:cs="Arial"/>
            <w:szCs w:val="16"/>
          </w:rPr>
          <w:t>https://www.eceee.org/static/media/uploads/site-2/ecodesign/products/televisions/tv-energylabelling-mars2019.pdf</w:t>
        </w:r>
      </w:hyperlink>
      <w:r w:rsidRPr="00D64690">
        <w:rPr>
          <w:rFonts w:ascii="Arial" w:hAnsi="Arial" w:cs="Arial"/>
          <w:szCs w:val="16"/>
        </w:rPr>
        <w:t>). This provides that if a (necessary) external EPS was not supplied with the display, the product could be assessed without the EPS (and its consequent energy losses), and the label would indicate the unbundling. However, this approach would almost certainly not work for mobile phones given their low power consumption, the relatively high charging efficiency of wired chargers, and the proposal to base the efficiency ratings on battery endurance (which is obviously unaffected by the presence or absence of an EPS in the box). As far as we can see, this only leaves one option – namely an ‘artificial’ bonus for chargeless phones, so that, for example, a phone that would normally earn a “C” rating based on its battery endurance (in accordance with the approach proposed by the Ecodesign preparatory study) would be ‘bumped up’ to a “B” if it was marketed without an EPS (or alternatively, phones that include an EPS could be penalized with a lower rating). This could provide an incentive for unbundling – although it would need to be considered if this would be sufficiently significant to be effective in practice.</w:t>
      </w:r>
    </w:p>
  </w:footnote>
  <w:footnote w:id="80">
    <w:p w14:paraId="2DD851CE" w14:textId="77777777" w:rsidR="008225D3" w:rsidRPr="00D64690" w:rsidRDefault="008225D3" w:rsidP="00A37355">
      <w:pPr>
        <w:pStyle w:val="FootnoteText"/>
        <w:spacing w:after="60"/>
        <w:jc w:val="left"/>
        <w:rPr>
          <w:rFonts w:ascii="Arial" w:hAnsi="Arial" w:cs="Arial"/>
          <w:szCs w:val="16"/>
          <w:lang w:val="en-US"/>
        </w:rPr>
      </w:pPr>
      <w:r w:rsidRPr="00D64690">
        <w:rPr>
          <w:rStyle w:val="FootnoteReference"/>
          <w:rFonts w:ascii="Arial" w:hAnsi="Arial" w:cs="Arial"/>
          <w:szCs w:val="16"/>
        </w:rPr>
        <w:footnoteRef/>
      </w:r>
      <w:r w:rsidRPr="00D64690">
        <w:rPr>
          <w:rFonts w:ascii="Arial" w:hAnsi="Arial" w:cs="Arial"/>
          <w:szCs w:val="16"/>
          <w:lang w:val="en-US"/>
        </w:rPr>
        <w:t xml:space="preserve"> Based on the 5.3V 2A Mobile Phone Charger Reference Design developed by TexasInstruments.DOE-6 standard requirement. See complete list of features: https://www.ti.com/tool/PMP4432</w:t>
      </w:r>
    </w:p>
  </w:footnote>
  <w:footnote w:id="81">
    <w:p w14:paraId="5EC71A36" w14:textId="77777777" w:rsidR="008225D3" w:rsidRPr="00D64690" w:rsidRDefault="008225D3" w:rsidP="00A37355">
      <w:pPr>
        <w:pStyle w:val="04ABodyText"/>
        <w:spacing w:before="0" w:after="60" w:line="240" w:lineRule="auto"/>
        <w:rPr>
          <w:color w:val="000000"/>
          <w:sz w:val="16"/>
          <w:szCs w:val="16"/>
          <w:lang w:val="en-US"/>
        </w:rPr>
      </w:pPr>
      <w:r w:rsidRPr="00D64690">
        <w:rPr>
          <w:rStyle w:val="FootnoteReference"/>
          <w:rFonts w:ascii="Arial" w:hAnsi="Arial"/>
          <w:szCs w:val="16"/>
        </w:rPr>
        <w:footnoteRef/>
      </w:r>
      <w:r w:rsidRPr="00D64690">
        <w:rPr>
          <w:sz w:val="16"/>
          <w:szCs w:val="16"/>
        </w:rPr>
        <w:t xml:space="preserve"> Based on the 5.3V 2A Mobile Phone Charger Reference Design by Texas Instruments. https://www.ti.com/tool/PMP4432</w:t>
      </w:r>
    </w:p>
  </w:footnote>
  <w:footnote w:id="82">
    <w:p w14:paraId="1745634F" w14:textId="77777777" w:rsidR="008225D3" w:rsidRPr="00D64690" w:rsidRDefault="008225D3" w:rsidP="00A37355">
      <w:pPr>
        <w:pStyle w:val="FootnoteText"/>
        <w:spacing w:after="60"/>
        <w:jc w:val="left"/>
        <w:rPr>
          <w:rFonts w:ascii="Arial" w:hAnsi="Arial" w:cs="Arial"/>
          <w:szCs w:val="16"/>
          <w:lang w:val="en-US"/>
        </w:rPr>
      </w:pPr>
      <w:r w:rsidRPr="00D64690">
        <w:rPr>
          <w:rStyle w:val="FootnoteReference"/>
          <w:rFonts w:ascii="Arial" w:hAnsi="Arial" w:cs="Arial"/>
          <w:szCs w:val="16"/>
        </w:rPr>
        <w:footnoteRef/>
      </w:r>
      <w:r w:rsidRPr="00D64690">
        <w:rPr>
          <w:rFonts w:ascii="Arial" w:hAnsi="Arial" w:cs="Arial"/>
          <w:szCs w:val="16"/>
          <w:lang w:val="en-US"/>
        </w:rPr>
        <w:t xml:space="preserve"> Key studies used as sources for this estimation, are Balde et al (UNITAR) (2020) In-depth review of the WEEE collection rates and targets in the EU-28, Norway, Switzerland and Iceland; and Balde et al (UNITAR) (2020) The Dutch WEEE flows 2020, what happened between 2010 and 2018?</w:t>
      </w:r>
    </w:p>
  </w:footnote>
  <w:footnote w:id="83">
    <w:p w14:paraId="5BFF916F" w14:textId="77777777" w:rsidR="008225D3" w:rsidRPr="00D64690" w:rsidRDefault="008225D3" w:rsidP="00A37355">
      <w:pPr>
        <w:pStyle w:val="FootnoteText"/>
        <w:spacing w:after="60"/>
        <w:jc w:val="left"/>
        <w:rPr>
          <w:rFonts w:ascii="Arial" w:hAnsi="Arial" w:cs="Arial"/>
          <w:szCs w:val="16"/>
          <w:lang w:val="en-US"/>
        </w:rPr>
      </w:pPr>
      <w:r w:rsidRPr="00D64690">
        <w:rPr>
          <w:rStyle w:val="FootnoteReference"/>
          <w:rFonts w:ascii="Arial" w:hAnsi="Arial" w:cs="Arial"/>
          <w:szCs w:val="16"/>
        </w:rPr>
        <w:footnoteRef/>
      </w:r>
      <w:r w:rsidRPr="00D64690">
        <w:rPr>
          <w:rFonts w:ascii="Arial" w:hAnsi="Arial" w:cs="Arial"/>
          <w:szCs w:val="16"/>
          <w:lang w:val="en-US"/>
        </w:rPr>
        <w:t>SustainablySMART (2019) Regulation of Common Chargers for Smartphones and other Compatible Devices: Screening Life Cycle Assessment. Policy Brief No. 2.</w:t>
      </w:r>
    </w:p>
  </w:footnote>
  <w:footnote w:id="84">
    <w:p w14:paraId="767B30F4" w14:textId="77777777" w:rsidR="008225D3" w:rsidRPr="00D64690" w:rsidRDefault="008225D3" w:rsidP="00A37355">
      <w:pPr>
        <w:pStyle w:val="FootnoteText"/>
        <w:spacing w:after="60"/>
        <w:jc w:val="left"/>
        <w:rPr>
          <w:rFonts w:ascii="Arial" w:hAnsi="Arial" w:cs="Arial"/>
          <w:szCs w:val="16"/>
          <w:lang w:val="en-US"/>
        </w:rPr>
      </w:pPr>
      <w:r w:rsidRPr="00D64690">
        <w:rPr>
          <w:rStyle w:val="FootnoteReference"/>
          <w:rFonts w:ascii="Arial" w:hAnsi="Arial" w:cs="Arial"/>
          <w:szCs w:val="16"/>
        </w:rPr>
        <w:footnoteRef/>
      </w:r>
      <w:r w:rsidRPr="00D64690">
        <w:rPr>
          <w:rFonts w:ascii="Arial" w:hAnsi="Arial" w:cs="Arial"/>
          <w:szCs w:val="16"/>
          <w:lang w:val="en-US"/>
        </w:rPr>
        <w:t>Ercan, M. (2013), Global Warming Potential of a Smartphone Using Life Cycle Assessment Methodology; Charles River Associates (2015) Harmonising chargers for mobile telephones Impact assessment of options to achieve the harmonisation of chargers for mobile phones</w:t>
      </w:r>
    </w:p>
  </w:footnote>
  <w:footnote w:id="85">
    <w:p w14:paraId="6F11F47A" w14:textId="77777777" w:rsidR="008225D3" w:rsidRPr="00D64690" w:rsidRDefault="008225D3" w:rsidP="00A37355">
      <w:pPr>
        <w:pStyle w:val="FootnoteText"/>
        <w:spacing w:after="60"/>
        <w:jc w:val="left"/>
        <w:rPr>
          <w:rFonts w:ascii="Arial" w:hAnsi="Arial" w:cs="Arial"/>
          <w:szCs w:val="16"/>
          <w:lang w:val="en-US"/>
        </w:rPr>
      </w:pPr>
      <w:r w:rsidRPr="00D64690">
        <w:rPr>
          <w:rStyle w:val="FootnoteReference"/>
          <w:rFonts w:ascii="Arial" w:hAnsi="Arial" w:cs="Arial"/>
          <w:szCs w:val="16"/>
        </w:rPr>
        <w:footnoteRef/>
      </w:r>
      <w:r w:rsidRPr="00D64690">
        <w:rPr>
          <w:rFonts w:ascii="Arial" w:hAnsi="Arial" w:cs="Arial"/>
          <w:szCs w:val="16"/>
          <w:lang w:val="en-US"/>
        </w:rPr>
        <w:t xml:space="preserve"> Regarding the end-of-life (EoL) emissions, Task 5 notes a positive GWP based on high recycling rates (of packaging material) and high rates of devices being reused.  For this study, we favoured a conservative approach and, therefore, did not consider the value suggested by Task 5 for the EoL phase. Nonetheless, given that the contribution of the EoL phase to the overall emissions is very small compared to the other phases (&lt;1%), it does not have a major influence on the overall results.</w:t>
      </w:r>
    </w:p>
  </w:footnote>
  <w:footnote w:id="86">
    <w:p w14:paraId="1EDCE5A2" w14:textId="77777777" w:rsidR="008225D3" w:rsidRPr="00D64690" w:rsidRDefault="008225D3" w:rsidP="00A37355">
      <w:pPr>
        <w:pStyle w:val="FootnoteText"/>
        <w:spacing w:after="60"/>
        <w:jc w:val="left"/>
        <w:rPr>
          <w:rFonts w:ascii="Arial" w:hAnsi="Arial" w:cs="Arial"/>
          <w:szCs w:val="16"/>
          <w:lang w:val="en-US"/>
        </w:rPr>
      </w:pPr>
      <w:r w:rsidRPr="00D64690">
        <w:rPr>
          <w:rStyle w:val="FootnoteReference"/>
          <w:rFonts w:ascii="Arial" w:hAnsi="Arial" w:cs="Arial"/>
          <w:szCs w:val="16"/>
        </w:rPr>
        <w:footnoteRef/>
      </w:r>
      <w:r w:rsidRPr="00D64690">
        <w:rPr>
          <w:rFonts w:ascii="Arial" w:hAnsi="Arial" w:cs="Arial"/>
          <w:szCs w:val="16"/>
          <w:lang w:val="en-US"/>
        </w:rPr>
        <w:t xml:space="preserve"> Based on SustainablySMART (2019) Regulation of Common Chargers for Smartphones and other Compatible Devices: Screening Life Cycle Assessment. Policy Brief No. 2; Ercan, M. (2013), Global Warming Potential of a Smartphone Using Life Cycle Assessment Methodology; Charles River Associates (2015) Harmonising chargers for mobile telephones Impact assessment of options to achieve the harmonisation of chargers for mobile phones; Schischke, K et al (2021) Eco-design preparatory study on mobile phones, smartphones and tablets- Task 5.</w:t>
      </w:r>
    </w:p>
  </w:footnote>
  <w:footnote w:id="87">
    <w:p w14:paraId="1B622E54" w14:textId="5B7925E2" w:rsidR="008225D3" w:rsidRPr="00D64690" w:rsidRDefault="008225D3" w:rsidP="00A37355">
      <w:pPr>
        <w:pStyle w:val="FootnoteText"/>
        <w:spacing w:after="60"/>
        <w:jc w:val="left"/>
        <w:rPr>
          <w:rFonts w:ascii="Arial" w:hAnsi="Arial" w:cs="Arial"/>
          <w:szCs w:val="16"/>
          <w:lang w:val="en-US"/>
        </w:rPr>
      </w:pPr>
      <w:r w:rsidRPr="00D64690">
        <w:rPr>
          <w:rStyle w:val="FootnoteReference"/>
          <w:rFonts w:ascii="Arial" w:hAnsi="Arial" w:cs="Arial"/>
          <w:szCs w:val="16"/>
        </w:rPr>
        <w:footnoteRef/>
      </w:r>
      <w:r w:rsidRPr="00D64690">
        <w:rPr>
          <w:rFonts w:ascii="Arial" w:hAnsi="Arial" w:cs="Arial"/>
          <w:szCs w:val="16"/>
        </w:rPr>
        <w:t xml:space="preserve"> GHG emissions per unit of EPS</w:t>
      </w:r>
      <w:r w:rsidRPr="00D64690">
        <w:rPr>
          <w:rFonts w:ascii="Arial" w:hAnsi="Arial" w:cs="Arial"/>
          <w:szCs w:val="16"/>
          <w:lang w:val="en-US"/>
        </w:rPr>
        <w:t xml:space="preserve">&gt;27W will slightly decrease between 2020-2030 </w:t>
      </w:r>
      <w:proofErr w:type="gramStart"/>
      <w:r w:rsidRPr="00D64690">
        <w:rPr>
          <w:rFonts w:ascii="Arial" w:hAnsi="Arial" w:cs="Arial"/>
          <w:szCs w:val="16"/>
          <w:lang w:val="en-US"/>
        </w:rPr>
        <w:t>as a consequence of</w:t>
      </w:r>
      <w:proofErr w:type="gramEnd"/>
      <w:r w:rsidRPr="00D64690">
        <w:rPr>
          <w:rFonts w:ascii="Arial" w:hAnsi="Arial" w:cs="Arial"/>
          <w:szCs w:val="16"/>
          <w:lang w:val="en-US"/>
        </w:rPr>
        <w:t xml:space="preserve"> the modelled decrease in weight for </w:t>
      </w:r>
      <w:r w:rsidRPr="00D64690">
        <w:rPr>
          <w:rFonts w:ascii="Arial" w:hAnsi="Arial" w:cs="Arial"/>
          <w:szCs w:val="16"/>
        </w:rPr>
        <w:t>EPS</w:t>
      </w:r>
      <w:r w:rsidRPr="00D64690">
        <w:rPr>
          <w:rFonts w:ascii="Arial" w:hAnsi="Arial" w:cs="Arial"/>
          <w:szCs w:val="16"/>
          <w:lang w:val="en-US"/>
        </w:rPr>
        <w:t xml:space="preserve">&gt;27W (See section 4.1.1 Material use). </w:t>
      </w:r>
    </w:p>
  </w:footnote>
  <w:footnote w:id="88">
    <w:p w14:paraId="06DCB0DA" w14:textId="36CE1C0A"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w:t>
      </w:r>
      <w:bookmarkStart w:id="38" w:name="_Hlk71561216"/>
      <w:r w:rsidRPr="00D64690">
        <w:rPr>
          <w:rFonts w:ascii="Arial" w:hAnsi="Arial" w:cs="Arial"/>
          <w:szCs w:val="16"/>
        </w:rPr>
        <w:t xml:space="preserve">We have identified 33 SMEs or medium-size companies based in the EU that would be directly affected by the initiative: </w:t>
      </w:r>
    </w:p>
    <w:p w14:paraId="11DC2BC1" w14:textId="458FC6D1" w:rsidR="008225D3" w:rsidRPr="00D64690" w:rsidRDefault="008225D3" w:rsidP="00A37355">
      <w:pPr>
        <w:pStyle w:val="FootnoteText"/>
        <w:numPr>
          <w:ilvl w:val="0"/>
          <w:numId w:val="44"/>
        </w:numPr>
        <w:spacing w:after="60"/>
        <w:jc w:val="left"/>
        <w:rPr>
          <w:rFonts w:ascii="Arial" w:hAnsi="Arial" w:cs="Arial"/>
          <w:szCs w:val="16"/>
        </w:rPr>
      </w:pPr>
      <w:r w:rsidRPr="00D64690">
        <w:rPr>
          <w:rFonts w:ascii="Arial" w:hAnsi="Arial" w:cs="Arial"/>
          <w:szCs w:val="16"/>
        </w:rPr>
        <w:t>Manufacturers of mobile phones: Allview (RO), Ano-Phone (DE), Brondi (IT), CPA Halo (CZ), Doro (SE), Emporia (AT), Evolveo (CZ), Fairphone (NL), GSMK Cryptophone (DE), Handheld (SE), Jolla (FI), Just5 (LV), MLS (HR), Mobiwire (FR), mPTech (PL), NGM (IT), Wiko Mobile (FR).</w:t>
      </w:r>
    </w:p>
    <w:p w14:paraId="4A9E5BEB" w14:textId="0CFBCE14" w:rsidR="008225D3" w:rsidRPr="00D64690" w:rsidRDefault="008225D3" w:rsidP="00A37355">
      <w:pPr>
        <w:pStyle w:val="FootnoteText"/>
        <w:numPr>
          <w:ilvl w:val="0"/>
          <w:numId w:val="44"/>
        </w:numPr>
        <w:spacing w:after="60"/>
        <w:jc w:val="left"/>
        <w:rPr>
          <w:rFonts w:ascii="Arial" w:hAnsi="Arial" w:cs="Arial"/>
          <w:szCs w:val="16"/>
        </w:rPr>
      </w:pPr>
      <w:r w:rsidRPr="00D64690">
        <w:rPr>
          <w:rFonts w:ascii="Arial" w:hAnsi="Arial" w:cs="Arial"/>
          <w:szCs w:val="16"/>
        </w:rPr>
        <w:t>Manufacturers of charging solutions: Cellularline (IT), Hama (DE)</w:t>
      </w:r>
    </w:p>
    <w:p w14:paraId="7709C570" w14:textId="6F5040B2" w:rsidR="008225D3" w:rsidRPr="00D64690" w:rsidRDefault="008225D3" w:rsidP="00A37355">
      <w:pPr>
        <w:pStyle w:val="FootnoteText"/>
        <w:numPr>
          <w:ilvl w:val="0"/>
          <w:numId w:val="44"/>
        </w:numPr>
        <w:spacing w:after="60"/>
        <w:jc w:val="left"/>
        <w:rPr>
          <w:rFonts w:ascii="Arial" w:hAnsi="Arial" w:cs="Arial"/>
          <w:szCs w:val="16"/>
        </w:rPr>
      </w:pPr>
      <w:r w:rsidRPr="00D64690">
        <w:rPr>
          <w:rFonts w:ascii="Arial" w:hAnsi="Arial" w:cs="Arial"/>
          <w:szCs w:val="16"/>
        </w:rPr>
        <w:t>Manufacturers of other devices: Archos (Tablets, FR), Obermax (Tablets, PL)</w:t>
      </w:r>
      <w:bookmarkEnd w:id="38"/>
      <w:r w:rsidRPr="00D64690">
        <w:rPr>
          <w:rFonts w:ascii="Arial" w:hAnsi="Arial" w:cs="Arial"/>
          <w:szCs w:val="16"/>
        </w:rPr>
        <w:t>, Booken (e-readers, France), Hasselblad (cameras, SE), Jabra (hearables, DK), Leica (cameras, DE), Medion (cameras, DE), Obermax (Tablets, PL), Phase One (cameras, DK), Philips (portable speakers, NL), Polar (fitness trackers, FI), Praktica (cameras, DE), Sennheiser (hearables, DE), Urbanista (portable speakers, SE).</w:t>
      </w:r>
    </w:p>
  </w:footnote>
  <w:footnote w:id="89">
    <w:p w14:paraId="60FDDA3C"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The costs classified as administrative burden in the first IA have been reclassified as operating costs, as they refer to compliance with standards.</w:t>
      </w:r>
    </w:p>
  </w:footnote>
  <w:footnote w:id="90">
    <w:p w14:paraId="05AA2C8E" w14:textId="77777777" w:rsidR="008225D3" w:rsidRPr="00D64690" w:rsidRDefault="008225D3" w:rsidP="00A37355">
      <w:pPr>
        <w:spacing w:after="60"/>
        <w:jc w:val="left"/>
        <w:rPr>
          <w:rFonts w:ascii="Arial" w:hAnsi="Arial" w:cs="Arial"/>
          <w:sz w:val="16"/>
          <w:szCs w:val="16"/>
        </w:rPr>
      </w:pPr>
      <w:r w:rsidRPr="00D64690">
        <w:rPr>
          <w:rStyle w:val="FootnoteReference"/>
          <w:rFonts w:ascii="Arial" w:hAnsi="Arial" w:cs="Arial"/>
          <w:szCs w:val="16"/>
        </w:rPr>
        <w:footnoteRef/>
      </w:r>
      <w:r w:rsidRPr="00D64690">
        <w:rPr>
          <w:rFonts w:ascii="Arial" w:hAnsi="Arial" w:cs="Arial"/>
          <w:sz w:val="16"/>
          <w:szCs w:val="16"/>
        </w:rPr>
        <w:t xml:space="preserve"> As of 18 January 2021, customers purchasing an iPhone 12 from the Apple online shop in Spain (</w:t>
      </w:r>
      <w:hyperlink r:id="rId31" w:tgtFrame="_blank" w:tooltip="https://www.apple.com/es/shop/buy-iphone/iphone-12" w:history="1">
        <w:r w:rsidRPr="00D64690">
          <w:rPr>
            <w:rStyle w:val="Hyperlink"/>
            <w:rFonts w:ascii="Arial" w:hAnsi="Arial" w:cs="Arial"/>
            <w:color w:val="6888C9"/>
            <w:sz w:val="16"/>
            <w:szCs w:val="16"/>
          </w:rPr>
          <w:t>https://www.apple.com/es/shop/buy-iphone/iphone-12</w:t>
        </w:r>
      </w:hyperlink>
      <w:r w:rsidRPr="00D64690">
        <w:rPr>
          <w:rFonts w:ascii="Arial" w:hAnsi="Arial" w:cs="Arial"/>
          <w:sz w:val="16"/>
          <w:szCs w:val="16"/>
        </w:rPr>
        <w:t>) were offered a 20W USB-C EPS as an optional accessory for €25. Similarly, customers pre-ordering a Galaxy S21 from the Samsung online shop in Spain (</w:t>
      </w:r>
      <w:hyperlink r:id="rId32" w:tgtFrame="_blank" w:tooltip="https://www.samsung.com/es/smartphones/galaxy-s21-5g/buy/" w:history="1">
        <w:r w:rsidRPr="00D64690">
          <w:rPr>
            <w:rStyle w:val="Hyperlink"/>
            <w:rFonts w:ascii="Arial" w:hAnsi="Arial" w:cs="Arial"/>
            <w:color w:val="6888C9"/>
            <w:sz w:val="16"/>
            <w:szCs w:val="16"/>
          </w:rPr>
          <w:t>https://www.samsung.com/es/smartphones/galaxy-s21-5g/buy/</w:t>
        </w:r>
      </w:hyperlink>
      <w:r w:rsidRPr="00D64690">
        <w:rPr>
          <w:rFonts w:ascii="Arial" w:hAnsi="Arial" w:cs="Arial"/>
          <w:sz w:val="16"/>
          <w:szCs w:val="16"/>
        </w:rPr>
        <w:t>) were offered a 25W USB-C EPS for €24.90. During interviews, both Apple and Samsung reported they had reduced the price of these EPS as part of their recent unbundled launches.</w:t>
      </w:r>
    </w:p>
  </w:footnote>
  <w:footnote w:id="91">
    <w:p w14:paraId="6C7C079E"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This standard does not exist. It is included here merely as an illustration of hypothetical future standards.</w:t>
      </w:r>
    </w:p>
  </w:footnote>
  <w:footnote w:id="92">
    <w:p w14:paraId="1CE62EA9" w14:textId="48B3EC5C"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A study commissioned by the industry calculated the loss of consumer welfare from a 3-year delay in the introduction of a charging solution innovation, attributing 18% of the phone value to the innovation in the charging technology. Source: Copenhagen Economics (2019) United in diversity, page 42, available at: </w:t>
      </w:r>
      <w:hyperlink r:id="rId33" w:history="1">
        <w:r w:rsidRPr="00D64690">
          <w:rPr>
            <w:rStyle w:val="Hyperlink"/>
            <w:rFonts w:ascii="Arial" w:hAnsi="Arial" w:cs="Arial"/>
            <w:szCs w:val="16"/>
          </w:rPr>
          <w:t>https://www.copenhageneconomics.com/dyn/resources/Publication/publicationPDF/3/523/1579859102/united-in-diversity_copenhagen-economics.pdf</w:t>
        </w:r>
      </w:hyperlink>
      <w:r w:rsidRPr="00D64690">
        <w:rPr>
          <w:rFonts w:ascii="Arial" w:hAnsi="Arial" w:cs="Arial"/>
          <w:szCs w:val="16"/>
        </w:rPr>
        <w:t xml:space="preserve"> </w:t>
      </w:r>
    </w:p>
  </w:footnote>
  <w:footnote w:id="93">
    <w:p w14:paraId="0D540D8C" w14:textId="1CFD6600"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These impacts are also cited in a report commissioned by the industry: RPA (2019) Study on the Common Charger 2.0, page 38, available at: </w:t>
      </w:r>
      <w:hyperlink r:id="rId34" w:history="1">
        <w:r w:rsidRPr="00D64690">
          <w:rPr>
            <w:rStyle w:val="Hyperlink"/>
            <w:rFonts w:ascii="Arial" w:hAnsi="Arial" w:cs="Arial"/>
            <w:szCs w:val="16"/>
          </w:rPr>
          <w:t>https://www.digitaleurope.org/wp/wp-content/uploads/2019/12/RPA-Study-Common-Charger-2.0-final.pdf</w:t>
        </w:r>
      </w:hyperlink>
      <w:r w:rsidRPr="00D64690">
        <w:rPr>
          <w:rFonts w:ascii="Arial" w:hAnsi="Arial" w:cs="Arial"/>
          <w:szCs w:val="16"/>
        </w:rPr>
        <w:t xml:space="preserve"> </w:t>
      </w:r>
    </w:p>
  </w:footnote>
  <w:footnote w:id="94">
    <w:p w14:paraId="6D3D35E7" w14:textId="77777777" w:rsidR="008225D3" w:rsidRPr="00D64690" w:rsidRDefault="008225D3" w:rsidP="00A37355">
      <w:pPr>
        <w:pStyle w:val="Footerapproval"/>
        <w:spacing w:after="60"/>
        <w:rPr>
          <w:rFonts w:ascii="Arial" w:hAnsi="Arial" w:cs="Arial"/>
          <w:sz w:val="16"/>
          <w:szCs w:val="16"/>
          <w:lang w:val="en-GB"/>
        </w:rPr>
      </w:pPr>
      <w:r w:rsidRPr="00D64690">
        <w:rPr>
          <w:rStyle w:val="FootnoteReference"/>
          <w:rFonts w:ascii="Arial" w:hAnsi="Arial" w:cs="Arial"/>
          <w:szCs w:val="16"/>
          <w:lang w:val="en-GB"/>
        </w:rPr>
        <w:footnoteRef/>
      </w:r>
      <w:r w:rsidRPr="00D64690">
        <w:rPr>
          <w:rFonts w:ascii="Arial" w:hAnsi="Arial" w:cs="Arial"/>
          <w:sz w:val="16"/>
          <w:szCs w:val="16"/>
          <w:lang w:val="en-GB"/>
        </w:rPr>
        <w:t xml:space="preserve"> More information on conformity assessment is available at: </w:t>
      </w:r>
      <w:hyperlink r:id="rId35" w:history="1">
        <w:r w:rsidRPr="00D64690">
          <w:rPr>
            <w:rStyle w:val="Hyperlink"/>
            <w:rFonts w:ascii="Arial" w:hAnsi="Arial" w:cs="Arial"/>
            <w:sz w:val="16"/>
            <w:szCs w:val="16"/>
            <w:lang w:val="en-GB"/>
          </w:rPr>
          <w:t>https://ec.europa.eu/growth/single-market/goods/building-blocks/conformity-assessment_en</w:t>
        </w:r>
      </w:hyperlink>
      <w:r w:rsidRPr="00D64690">
        <w:rPr>
          <w:rFonts w:ascii="Arial" w:hAnsi="Arial" w:cs="Arial"/>
          <w:sz w:val="16"/>
          <w:szCs w:val="16"/>
          <w:lang w:val="en-GB"/>
        </w:rPr>
        <w:t xml:space="preserve"> </w:t>
      </w:r>
    </w:p>
  </w:footnote>
  <w:footnote w:id="95">
    <w:p w14:paraId="08B1ABAC"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Source: Structural Business Statistics (SBS), Annual detailed enterprise statistics for industry (NACE Rev. 2, B-E) [sbs_na_ind_r2]. Extracted on 8 March 2021 for NACE 2790 Manufacture of other electrical equipment.</w:t>
      </w:r>
    </w:p>
  </w:footnote>
  <w:footnote w:id="96">
    <w:p w14:paraId="3EDA9EF3" w14:textId="4F76E026"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This estimation is based on trade volumes from PRODCOM code 27904140</w:t>
      </w:r>
    </w:p>
  </w:footnote>
  <w:footnote w:id="97">
    <w:p w14:paraId="2313A912"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Chargers’ manufacturers turnover is estimated by multiplying the </w:t>
      </w:r>
      <w:proofErr w:type="gramStart"/>
      <w:r w:rsidRPr="00D64690">
        <w:rPr>
          <w:rFonts w:ascii="Arial" w:hAnsi="Arial" w:cs="Arial"/>
          <w:szCs w:val="16"/>
        </w:rPr>
        <w:t>amount</w:t>
      </w:r>
      <w:proofErr w:type="gramEnd"/>
      <w:r w:rsidRPr="00D64690">
        <w:rPr>
          <w:rFonts w:ascii="Arial" w:hAnsi="Arial" w:cs="Arial"/>
          <w:szCs w:val="16"/>
        </w:rPr>
        <w:t xml:space="preserve"> of chargers in the baseline that are produced in the EU (26% of standalone chargers, according to PROCOM data) by the wholesale price of chargers.</w:t>
      </w:r>
    </w:p>
  </w:footnote>
  <w:footnote w:id="98">
    <w:p w14:paraId="4449EB3C"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Source: Structural Business Statistics (SBS) Extract for NACE 2790 Manufacture of other electrical equipment.</w:t>
      </w:r>
    </w:p>
  </w:footnote>
  <w:footnote w:id="99">
    <w:p w14:paraId="25EBA2D9" w14:textId="77777777" w:rsidR="008225D3" w:rsidRPr="00D64690" w:rsidRDefault="008225D3" w:rsidP="00A37355">
      <w:pPr>
        <w:pStyle w:val="Footerapproval"/>
        <w:spacing w:after="60"/>
        <w:rPr>
          <w:rFonts w:ascii="Arial" w:hAnsi="Arial" w:cs="Arial"/>
          <w:sz w:val="16"/>
          <w:szCs w:val="16"/>
          <w:lang w:val="en-GB"/>
        </w:rPr>
      </w:pPr>
      <w:r w:rsidRPr="00D64690">
        <w:rPr>
          <w:rStyle w:val="FootnoteReference"/>
          <w:rFonts w:ascii="Arial" w:hAnsi="Arial" w:cs="Arial"/>
          <w:szCs w:val="16"/>
          <w:lang w:val="en-GB"/>
        </w:rPr>
        <w:footnoteRef/>
      </w:r>
      <w:r w:rsidRPr="00D64690">
        <w:rPr>
          <w:rFonts w:ascii="Arial" w:hAnsi="Arial" w:cs="Arial"/>
          <w:sz w:val="16"/>
          <w:szCs w:val="16"/>
          <w:lang w:val="en-GB"/>
        </w:rPr>
        <w:t xml:space="preserve"> The effects on the cost of chargers to consumers are analysed as part of the assessment of economic impacts.</w:t>
      </w:r>
    </w:p>
  </w:footnote>
  <w:footnote w:id="100">
    <w:p w14:paraId="1DCA0BAE" w14:textId="77777777" w:rsidR="008225D3" w:rsidRPr="00D64690" w:rsidRDefault="008225D3" w:rsidP="00A37355">
      <w:pPr>
        <w:pStyle w:val="bullet1"/>
        <w:numPr>
          <w:ilvl w:val="0"/>
          <w:numId w:val="0"/>
        </w:numPr>
        <w:spacing w:before="0" w:after="60"/>
        <w:jc w:val="left"/>
        <w:rPr>
          <w:rStyle w:val="FootnoteReference"/>
          <w:rFonts w:ascii="Arial" w:hAnsi="Arial" w:cs="Arial"/>
          <w:szCs w:val="16"/>
          <w:vertAlign w:val="baseline"/>
          <w:lang w:val="en-US"/>
        </w:rPr>
      </w:pPr>
      <w:r w:rsidRPr="00D64690">
        <w:rPr>
          <w:rStyle w:val="FootnoteReference"/>
          <w:rFonts w:ascii="Arial" w:hAnsi="Arial" w:cs="Arial"/>
          <w:szCs w:val="16"/>
        </w:rPr>
        <w:footnoteRef/>
      </w:r>
      <w:r w:rsidRPr="00D64690">
        <w:rPr>
          <w:rStyle w:val="FootnoteReference"/>
          <w:rFonts w:ascii="Arial" w:hAnsi="Arial" w:cs="Arial"/>
          <w:szCs w:val="16"/>
          <w:lang w:val="en-US"/>
        </w:rPr>
        <w:t xml:space="preserve"> </w:t>
      </w:r>
      <w:r w:rsidRPr="00D64690">
        <w:rPr>
          <w:rStyle w:val="FootnoteReference"/>
          <w:rFonts w:ascii="Arial" w:hAnsi="Arial" w:cs="Arial"/>
          <w:szCs w:val="16"/>
          <w:vertAlign w:val="baseline"/>
          <w:lang w:val="en-US"/>
        </w:rPr>
        <w:t>GHG emissions [tonnes] are calculated in the stock model as life-cycle emissions (cradle-to-grave) per charger component type, accounted in the year of sale. Emissions are calculated on the basis of component specific emission profiles multiplied by additions to the charger stock, as explained in section 4.1</w:t>
      </w:r>
      <w:r w:rsidRPr="00D64690">
        <w:rPr>
          <w:rFonts w:cs="Arial"/>
          <w:sz w:val="16"/>
          <w:szCs w:val="16"/>
          <w:lang w:val="en-US"/>
        </w:rPr>
        <w:t>.</w:t>
      </w:r>
    </w:p>
  </w:footnote>
  <w:footnote w:id="101">
    <w:p w14:paraId="6B2EC90E" w14:textId="77777777" w:rsidR="008225D3" w:rsidRPr="00D64690" w:rsidRDefault="008225D3" w:rsidP="00A37355">
      <w:pPr>
        <w:pStyle w:val="bullet1"/>
        <w:numPr>
          <w:ilvl w:val="0"/>
          <w:numId w:val="0"/>
        </w:numPr>
        <w:spacing w:before="0" w:after="60"/>
        <w:jc w:val="left"/>
        <w:rPr>
          <w:rStyle w:val="FootnoteReference"/>
          <w:rFonts w:ascii="Arial" w:hAnsi="Arial" w:cs="Arial"/>
          <w:szCs w:val="16"/>
          <w:vertAlign w:val="baseline"/>
          <w:lang w:val="en-US"/>
        </w:rPr>
      </w:pPr>
      <w:r w:rsidRPr="00D64690">
        <w:rPr>
          <w:rStyle w:val="FootnoteReference"/>
          <w:rFonts w:ascii="Arial" w:hAnsi="Arial" w:cs="Arial"/>
          <w:szCs w:val="16"/>
          <w:lang w:val="en-US"/>
        </w:rPr>
        <w:footnoteRef/>
      </w:r>
      <w:r w:rsidRPr="00D64690">
        <w:rPr>
          <w:rStyle w:val="FootnoteReference"/>
          <w:rFonts w:ascii="Arial" w:hAnsi="Arial" w:cs="Arial"/>
          <w:szCs w:val="16"/>
          <w:lang w:val="en-US"/>
        </w:rPr>
        <w:t xml:space="preserve"> </w:t>
      </w:r>
      <w:r w:rsidRPr="00D64690">
        <w:rPr>
          <w:rStyle w:val="FootnoteReference"/>
          <w:rFonts w:ascii="Arial" w:hAnsi="Arial" w:cs="Arial"/>
          <w:szCs w:val="16"/>
          <w:vertAlign w:val="baseline"/>
          <w:lang w:val="en-US"/>
        </w:rPr>
        <w:t xml:space="preserve">Material use [tonnes] are </w:t>
      </w:r>
      <w:r w:rsidRPr="00D64690">
        <w:rPr>
          <w:rStyle w:val="FootnoteReference"/>
          <w:rFonts w:ascii="Arial" w:hAnsi="Arial" w:cs="Arial"/>
          <w:szCs w:val="16"/>
          <w:vertAlign w:val="baseline"/>
        </w:rPr>
        <w:t>c</w:t>
      </w:r>
      <w:r w:rsidRPr="00D64690">
        <w:rPr>
          <w:rStyle w:val="FootnoteReference"/>
          <w:rFonts w:ascii="Arial" w:hAnsi="Arial" w:cs="Arial"/>
          <w:szCs w:val="16"/>
          <w:vertAlign w:val="baseline"/>
          <w:lang w:val="en-US"/>
        </w:rPr>
        <w:t>alculated in the stock model by multiplying additions to the charger stock by a profile of the materials used. The profiles vary per EPS and cable type (weight and material content), and over time, as explained in section 4.1</w:t>
      </w:r>
      <w:r w:rsidRPr="00D64690">
        <w:rPr>
          <w:rFonts w:cs="Arial"/>
          <w:sz w:val="16"/>
          <w:szCs w:val="16"/>
          <w:lang w:val="en-US"/>
        </w:rPr>
        <w:t>.</w:t>
      </w:r>
    </w:p>
  </w:footnote>
  <w:footnote w:id="102">
    <w:p w14:paraId="7CE41CC9" w14:textId="77777777" w:rsidR="008225D3" w:rsidRPr="00D64690" w:rsidRDefault="008225D3" w:rsidP="00A37355">
      <w:pPr>
        <w:pStyle w:val="bullet1"/>
        <w:numPr>
          <w:ilvl w:val="0"/>
          <w:numId w:val="0"/>
        </w:numPr>
        <w:spacing w:before="0" w:after="60"/>
        <w:jc w:val="left"/>
        <w:rPr>
          <w:rStyle w:val="FootnoteReference"/>
          <w:rFonts w:ascii="Arial" w:hAnsi="Arial" w:cs="Arial"/>
          <w:szCs w:val="16"/>
          <w:vertAlign w:val="baseline"/>
          <w:lang w:val="en-US"/>
        </w:rPr>
      </w:pPr>
      <w:r w:rsidRPr="00D64690">
        <w:rPr>
          <w:rStyle w:val="FootnoteReference"/>
          <w:rFonts w:ascii="Arial" w:hAnsi="Arial" w:cs="Arial"/>
          <w:szCs w:val="16"/>
          <w:lang w:val="en-US"/>
        </w:rPr>
        <w:footnoteRef/>
      </w:r>
      <w:r w:rsidRPr="00D64690">
        <w:rPr>
          <w:rStyle w:val="FootnoteReference"/>
          <w:rFonts w:ascii="Arial" w:hAnsi="Arial" w:cs="Arial"/>
          <w:szCs w:val="16"/>
          <w:vertAlign w:val="baseline"/>
          <w:lang w:val="en-US"/>
        </w:rPr>
        <w:t xml:space="preserve"> E-waste [tonnes] are calculated in the stock model as the weight of chargers disposed of each year. This is calculated by multiplying the number of units disposed by the material and weight composition of the charger component type. Sub-indicators on volumes of e-waste left untreated or recycled are also calculated, as explained in section 4.1</w:t>
      </w:r>
      <w:r w:rsidRPr="00D64690">
        <w:rPr>
          <w:rFonts w:cs="Arial"/>
          <w:sz w:val="16"/>
          <w:szCs w:val="16"/>
          <w:lang w:val="en-US"/>
        </w:rPr>
        <w:t>.</w:t>
      </w:r>
    </w:p>
    <w:p w14:paraId="56315137" w14:textId="77777777" w:rsidR="008225D3" w:rsidRPr="00D64690" w:rsidRDefault="008225D3" w:rsidP="00A37355">
      <w:pPr>
        <w:pStyle w:val="FootnoteText"/>
        <w:spacing w:after="60"/>
        <w:jc w:val="left"/>
        <w:rPr>
          <w:rFonts w:ascii="Arial" w:hAnsi="Arial" w:cs="Arial"/>
          <w:szCs w:val="16"/>
          <w:lang w:val="en-US"/>
        </w:rPr>
      </w:pPr>
    </w:p>
  </w:footnote>
  <w:footnote w:id="103">
    <w:p w14:paraId="3D05911C" w14:textId="6642A156" w:rsidR="008225D3" w:rsidRPr="00D64690" w:rsidRDefault="008225D3" w:rsidP="00A37355">
      <w:pPr>
        <w:pStyle w:val="FootnoteText"/>
        <w:spacing w:after="60"/>
        <w:jc w:val="left"/>
        <w:rPr>
          <w:rFonts w:ascii="Arial" w:hAnsi="Arial" w:cs="Arial"/>
          <w:szCs w:val="16"/>
          <w:lang w:val="en-US"/>
        </w:rPr>
      </w:pPr>
      <w:r w:rsidRPr="00D64690">
        <w:rPr>
          <w:rStyle w:val="FootnoteReference"/>
          <w:rFonts w:ascii="Arial" w:hAnsi="Arial" w:cs="Arial"/>
          <w:szCs w:val="16"/>
        </w:rPr>
        <w:footnoteRef/>
      </w:r>
      <w:r w:rsidRPr="00D64690">
        <w:rPr>
          <w:rFonts w:ascii="Arial" w:hAnsi="Arial" w:cs="Arial"/>
          <w:szCs w:val="16"/>
          <w:lang w:val="en-US"/>
        </w:rPr>
        <w:t xml:space="preserve"> </w:t>
      </w:r>
      <w:r w:rsidRPr="00D64690">
        <w:rPr>
          <w:rStyle w:val="FootnoteReference"/>
          <w:rFonts w:ascii="Arial" w:hAnsi="Arial" w:cs="Arial"/>
          <w:szCs w:val="16"/>
          <w:vertAlign w:val="baseline"/>
          <w:lang w:val="en-US"/>
        </w:rPr>
        <w:t>U</w:t>
      </w:r>
      <w:r w:rsidRPr="00D64690">
        <w:rPr>
          <w:rFonts w:ascii="Arial" w:hAnsi="Arial" w:cs="Arial"/>
          <w:szCs w:val="16"/>
          <w:lang w:val="en-US"/>
        </w:rPr>
        <w:t xml:space="preserve">ntreated </w:t>
      </w:r>
      <w:r w:rsidRPr="00D64690">
        <w:rPr>
          <w:rStyle w:val="FootnoteReference"/>
          <w:rFonts w:ascii="Arial" w:hAnsi="Arial" w:cs="Arial"/>
          <w:szCs w:val="16"/>
          <w:vertAlign w:val="baseline"/>
          <w:lang w:val="en-US"/>
        </w:rPr>
        <w:t>e</w:t>
      </w:r>
      <w:r w:rsidRPr="00D64690">
        <w:rPr>
          <w:rFonts w:ascii="Arial" w:hAnsi="Arial" w:cs="Arial"/>
          <w:szCs w:val="16"/>
          <w:lang w:val="en-US"/>
        </w:rPr>
        <w:t xml:space="preserve">-waste </w:t>
      </w:r>
      <w:r w:rsidRPr="00D64690">
        <w:rPr>
          <w:rStyle w:val="FootnoteReference"/>
          <w:rFonts w:ascii="Arial" w:hAnsi="Arial" w:cs="Arial"/>
          <w:szCs w:val="16"/>
          <w:vertAlign w:val="baseline"/>
          <w:lang w:val="en-US"/>
        </w:rPr>
        <w:t>[</w:t>
      </w:r>
      <w:proofErr w:type="spellStart"/>
      <w:r w:rsidRPr="00D64690">
        <w:rPr>
          <w:rStyle w:val="FootnoteReference"/>
          <w:rFonts w:ascii="Arial" w:hAnsi="Arial" w:cs="Arial"/>
          <w:szCs w:val="16"/>
          <w:vertAlign w:val="baseline"/>
          <w:lang w:val="en-US"/>
        </w:rPr>
        <w:t>tonnes</w:t>
      </w:r>
      <w:proofErr w:type="spellEnd"/>
      <w:r w:rsidRPr="00D64690">
        <w:rPr>
          <w:rStyle w:val="FootnoteReference"/>
          <w:rFonts w:ascii="Arial" w:hAnsi="Arial" w:cs="Arial"/>
          <w:szCs w:val="16"/>
          <w:vertAlign w:val="baseline"/>
          <w:lang w:val="en-US"/>
        </w:rPr>
        <w:t xml:space="preserve">] are calculated in the stock model </w:t>
      </w:r>
      <w:r w:rsidRPr="00D64690">
        <w:rPr>
          <w:rFonts w:ascii="Arial" w:hAnsi="Arial" w:cs="Arial"/>
          <w:szCs w:val="16"/>
          <w:lang w:val="en-US"/>
        </w:rPr>
        <w:t>based on the share of e-waste generated (</w:t>
      </w:r>
      <w:proofErr w:type="spellStart"/>
      <w:r w:rsidRPr="00D64690">
        <w:rPr>
          <w:rFonts w:ascii="Arial" w:hAnsi="Arial" w:cs="Arial"/>
          <w:szCs w:val="16"/>
          <w:lang w:val="en-US"/>
        </w:rPr>
        <w:t>tonnes</w:t>
      </w:r>
      <w:proofErr w:type="spellEnd"/>
      <w:r w:rsidRPr="00D64690">
        <w:rPr>
          <w:rFonts w:ascii="Arial" w:hAnsi="Arial" w:cs="Arial"/>
          <w:szCs w:val="16"/>
          <w:lang w:val="en-US"/>
        </w:rPr>
        <w:t xml:space="preserve">) that is untreated (incorrectly disposed), considering the values presented in </w:t>
      </w:r>
      <w:r w:rsidRPr="00D64690">
        <w:rPr>
          <w:rFonts w:ascii="Arial" w:hAnsi="Arial" w:cs="Arial"/>
          <w:szCs w:val="16"/>
          <w:highlight w:val="yellow"/>
        </w:rPr>
        <w:fldChar w:fldCharType="begin"/>
      </w:r>
      <w:r w:rsidRPr="00D64690">
        <w:rPr>
          <w:rFonts w:ascii="Arial" w:hAnsi="Arial" w:cs="Arial"/>
          <w:szCs w:val="16"/>
        </w:rPr>
        <w:instrText xml:space="preserve"> REF _Ref70088181 \h </w:instrText>
      </w:r>
      <w:r w:rsidRPr="00D64690">
        <w:rPr>
          <w:rFonts w:ascii="Arial" w:hAnsi="Arial" w:cs="Arial"/>
          <w:szCs w:val="16"/>
          <w:highlight w:val="yellow"/>
        </w:rPr>
        <w:instrText xml:space="preserve"> \* MERGEFORMAT </w:instrText>
      </w:r>
      <w:r w:rsidRPr="00D64690">
        <w:rPr>
          <w:rFonts w:ascii="Arial" w:hAnsi="Arial" w:cs="Arial"/>
          <w:szCs w:val="16"/>
          <w:highlight w:val="yellow"/>
        </w:rPr>
      </w:r>
      <w:r w:rsidRPr="00D64690">
        <w:rPr>
          <w:rFonts w:ascii="Arial" w:hAnsi="Arial" w:cs="Arial"/>
          <w:szCs w:val="16"/>
          <w:highlight w:val="yellow"/>
        </w:rPr>
        <w:fldChar w:fldCharType="separate"/>
      </w:r>
      <w:r w:rsidRPr="00D64690">
        <w:rPr>
          <w:rFonts w:ascii="Arial" w:hAnsi="Arial" w:cs="Arial"/>
          <w:szCs w:val="16"/>
        </w:rPr>
        <w:t>Table 4</w:t>
      </w:r>
      <w:r w:rsidRPr="00D64690">
        <w:rPr>
          <w:rFonts w:ascii="Arial" w:hAnsi="Arial" w:cs="Arial"/>
          <w:szCs w:val="16"/>
          <w:highlight w:val="yellow"/>
        </w:rPr>
        <w:fldChar w:fldCharType="end"/>
      </w:r>
      <w:r w:rsidRPr="00D64690">
        <w:rPr>
          <w:rFonts w:ascii="Arial" w:hAnsi="Arial" w:cs="Arial"/>
          <w:szCs w:val="16"/>
        </w:rPr>
        <w:t xml:space="preserve"> in section 4.1 </w:t>
      </w:r>
    </w:p>
  </w:footnote>
  <w:footnote w:id="104">
    <w:p w14:paraId="199CA8C1" w14:textId="4BA38518" w:rsidR="008225D3" w:rsidRPr="00D64690" w:rsidRDefault="008225D3" w:rsidP="00A37355">
      <w:pPr>
        <w:pStyle w:val="FootnoteText"/>
        <w:spacing w:after="60"/>
        <w:jc w:val="left"/>
        <w:rPr>
          <w:rFonts w:ascii="Arial" w:hAnsi="Arial" w:cs="Arial"/>
          <w:szCs w:val="16"/>
          <w:lang w:val="en-US"/>
        </w:rPr>
      </w:pPr>
      <w:r w:rsidRPr="00D64690">
        <w:rPr>
          <w:rStyle w:val="FootnoteReference"/>
          <w:rFonts w:ascii="Arial" w:hAnsi="Arial" w:cs="Arial"/>
          <w:szCs w:val="16"/>
        </w:rPr>
        <w:footnoteRef/>
      </w:r>
      <w:r w:rsidRPr="00D64690">
        <w:rPr>
          <w:rFonts w:ascii="Arial" w:hAnsi="Arial" w:cs="Arial"/>
          <w:szCs w:val="16"/>
          <w:lang w:val="en-US"/>
        </w:rPr>
        <w:t xml:space="preserve"> Recycled </w:t>
      </w:r>
      <w:r w:rsidRPr="00D64690">
        <w:rPr>
          <w:rStyle w:val="FootnoteReference"/>
          <w:rFonts w:ascii="Arial" w:hAnsi="Arial" w:cs="Arial"/>
          <w:szCs w:val="16"/>
          <w:vertAlign w:val="baseline"/>
          <w:lang w:val="en-US"/>
        </w:rPr>
        <w:t>e</w:t>
      </w:r>
      <w:r w:rsidRPr="00D64690">
        <w:rPr>
          <w:rFonts w:ascii="Arial" w:hAnsi="Arial" w:cs="Arial"/>
          <w:szCs w:val="16"/>
          <w:lang w:val="en-US"/>
        </w:rPr>
        <w:t xml:space="preserve">-waste </w:t>
      </w:r>
      <w:r w:rsidRPr="00D64690">
        <w:rPr>
          <w:rStyle w:val="FootnoteReference"/>
          <w:rFonts w:ascii="Arial" w:hAnsi="Arial" w:cs="Arial"/>
          <w:szCs w:val="16"/>
          <w:vertAlign w:val="baseline"/>
          <w:lang w:val="en-US"/>
        </w:rPr>
        <w:t>[</w:t>
      </w:r>
      <w:proofErr w:type="spellStart"/>
      <w:r w:rsidRPr="00D64690">
        <w:rPr>
          <w:rStyle w:val="FootnoteReference"/>
          <w:rFonts w:ascii="Arial" w:hAnsi="Arial" w:cs="Arial"/>
          <w:szCs w:val="16"/>
          <w:vertAlign w:val="baseline"/>
          <w:lang w:val="en-US"/>
        </w:rPr>
        <w:t>tonnes</w:t>
      </w:r>
      <w:proofErr w:type="spellEnd"/>
      <w:r w:rsidRPr="00D64690">
        <w:rPr>
          <w:rStyle w:val="FootnoteReference"/>
          <w:rFonts w:ascii="Arial" w:hAnsi="Arial" w:cs="Arial"/>
          <w:szCs w:val="16"/>
          <w:vertAlign w:val="baseline"/>
          <w:lang w:val="en-US"/>
        </w:rPr>
        <w:t>] are calculated in the stock mode</w:t>
      </w:r>
      <w:r w:rsidRPr="00D64690">
        <w:rPr>
          <w:rFonts w:ascii="Arial" w:hAnsi="Arial" w:cs="Arial"/>
          <w:szCs w:val="16"/>
          <w:lang w:val="en-US"/>
        </w:rPr>
        <w:t>l based on the share of e-waste generated (</w:t>
      </w:r>
      <w:proofErr w:type="spellStart"/>
      <w:r w:rsidRPr="00D64690">
        <w:rPr>
          <w:rFonts w:ascii="Arial" w:hAnsi="Arial" w:cs="Arial"/>
          <w:szCs w:val="16"/>
          <w:lang w:val="en-US"/>
        </w:rPr>
        <w:t>tonnes</w:t>
      </w:r>
      <w:proofErr w:type="spellEnd"/>
      <w:r w:rsidRPr="00D64690">
        <w:rPr>
          <w:rFonts w:ascii="Arial" w:hAnsi="Arial" w:cs="Arial"/>
          <w:szCs w:val="16"/>
          <w:lang w:val="en-US"/>
        </w:rPr>
        <w:t xml:space="preserve">) that is recycled, considering the values presented in </w:t>
      </w:r>
      <w:r w:rsidRPr="00D64690">
        <w:rPr>
          <w:rFonts w:ascii="Arial" w:hAnsi="Arial" w:cs="Arial"/>
          <w:szCs w:val="16"/>
          <w:highlight w:val="yellow"/>
        </w:rPr>
        <w:fldChar w:fldCharType="begin"/>
      </w:r>
      <w:r w:rsidRPr="00D64690">
        <w:rPr>
          <w:rFonts w:ascii="Arial" w:hAnsi="Arial" w:cs="Arial"/>
          <w:szCs w:val="16"/>
        </w:rPr>
        <w:instrText xml:space="preserve"> REF _Ref70088181 \h </w:instrText>
      </w:r>
      <w:r w:rsidRPr="00D64690">
        <w:rPr>
          <w:rFonts w:ascii="Arial" w:hAnsi="Arial" w:cs="Arial"/>
          <w:szCs w:val="16"/>
          <w:highlight w:val="yellow"/>
        </w:rPr>
        <w:instrText xml:space="preserve"> \* MERGEFORMAT </w:instrText>
      </w:r>
      <w:r w:rsidRPr="00D64690">
        <w:rPr>
          <w:rFonts w:ascii="Arial" w:hAnsi="Arial" w:cs="Arial"/>
          <w:szCs w:val="16"/>
          <w:highlight w:val="yellow"/>
        </w:rPr>
      </w:r>
      <w:r w:rsidRPr="00D64690">
        <w:rPr>
          <w:rFonts w:ascii="Arial" w:hAnsi="Arial" w:cs="Arial"/>
          <w:szCs w:val="16"/>
          <w:highlight w:val="yellow"/>
        </w:rPr>
        <w:fldChar w:fldCharType="separate"/>
      </w:r>
      <w:r w:rsidRPr="00D64690">
        <w:rPr>
          <w:rFonts w:ascii="Arial" w:hAnsi="Arial" w:cs="Arial"/>
          <w:szCs w:val="16"/>
        </w:rPr>
        <w:t>Table 4</w:t>
      </w:r>
      <w:r w:rsidRPr="00D64690">
        <w:rPr>
          <w:rFonts w:ascii="Arial" w:hAnsi="Arial" w:cs="Arial"/>
          <w:szCs w:val="16"/>
          <w:highlight w:val="yellow"/>
        </w:rPr>
        <w:fldChar w:fldCharType="end"/>
      </w:r>
      <w:r w:rsidRPr="00D64690">
        <w:rPr>
          <w:rFonts w:ascii="Arial" w:hAnsi="Arial" w:cs="Arial"/>
          <w:szCs w:val="16"/>
        </w:rPr>
        <w:t xml:space="preserve"> in section 4.1.</w:t>
      </w:r>
    </w:p>
  </w:footnote>
  <w:footnote w:id="105">
    <w:p w14:paraId="2A02B5D4" w14:textId="77777777" w:rsidR="008225D3" w:rsidRPr="00D64690" w:rsidRDefault="008225D3" w:rsidP="00A37355">
      <w:pPr>
        <w:pStyle w:val="FootnoteText"/>
        <w:spacing w:after="60"/>
        <w:jc w:val="left"/>
        <w:rPr>
          <w:rFonts w:ascii="Arial" w:hAnsi="Arial" w:cs="Arial"/>
          <w:szCs w:val="16"/>
          <w:lang w:val="en-US"/>
        </w:rPr>
      </w:pPr>
      <w:r w:rsidRPr="00D64690">
        <w:rPr>
          <w:rStyle w:val="FootnoteReference"/>
          <w:rFonts w:ascii="Arial" w:hAnsi="Arial" w:cs="Arial"/>
          <w:szCs w:val="16"/>
        </w:rPr>
        <w:footnoteRef/>
      </w:r>
      <w:r w:rsidRPr="00D64690">
        <w:rPr>
          <w:rFonts w:ascii="Arial" w:hAnsi="Arial" w:cs="Arial"/>
          <w:szCs w:val="16"/>
        </w:rPr>
        <w:t xml:space="preserve"> </w:t>
      </w:r>
      <w:r w:rsidRPr="00D64690">
        <w:rPr>
          <w:rFonts w:ascii="Arial" w:hAnsi="Arial" w:cs="Arial"/>
          <w:szCs w:val="16"/>
          <w:lang w:val="en-US"/>
        </w:rPr>
        <w:t>Based on Eurostat – Waste electrical and electronic equipment statistics. Waste collected from households for EU27. See: http://appsso.eurostat.ec.europa.eu/nui/show.do?dataset=env_waselee</w:t>
      </w:r>
    </w:p>
  </w:footnote>
  <w:footnote w:id="106">
    <w:p w14:paraId="0A8B7D78"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The results of the consumer survey show that, on average, Apple users bought 0.73 cables in the last 24 months, whereas the average for users of all brands was 0.51 cables.</w:t>
      </w:r>
    </w:p>
  </w:footnote>
  <w:footnote w:id="107">
    <w:p w14:paraId="67E020B6" w14:textId="0317DA50"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A reduction of 27% is applied to the share of the market of Apple (17.8%) to model this effect, which effectively reduces the 0.41 cables per person per year ratio to 0.39 (i.e. 4.8% reduction in sales compared to the baseline)</w:t>
      </w:r>
    </w:p>
  </w:footnote>
  <w:footnote w:id="108">
    <w:p w14:paraId="4898C396"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The list of top 200 Apple suppliers can be found here: </w:t>
      </w:r>
      <w:hyperlink r:id="rId36" w:history="1">
        <w:r w:rsidRPr="00D64690">
          <w:rPr>
            <w:rStyle w:val="Hyperlink"/>
            <w:rFonts w:ascii="Arial" w:hAnsi="Arial" w:cs="Arial"/>
            <w:szCs w:val="16"/>
          </w:rPr>
          <w:t>https://www.apple.com/supplier-responsibility/pdf/Apple-Supplier-List.pdf</w:t>
        </w:r>
      </w:hyperlink>
      <w:r w:rsidRPr="00D64690">
        <w:rPr>
          <w:rFonts w:ascii="Arial" w:hAnsi="Arial" w:cs="Arial"/>
          <w:szCs w:val="16"/>
        </w:rPr>
        <w:t xml:space="preserve"> (accessed on 22 April 2021) </w:t>
      </w:r>
    </w:p>
  </w:footnote>
  <w:footnote w:id="109">
    <w:p w14:paraId="544A6C1D" w14:textId="7A26F22B"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Source: Apple Inc. Annual Report 2020, available at: </w:t>
      </w:r>
      <w:hyperlink r:id="rId37" w:history="1">
        <w:r w:rsidRPr="00D64690">
          <w:rPr>
            <w:rStyle w:val="Hyperlink"/>
            <w:rFonts w:ascii="Arial" w:hAnsi="Arial" w:cs="Arial"/>
            <w:szCs w:val="16"/>
          </w:rPr>
          <w:t>https://s2.q4cdn.com/470004039/files/doc_financials/2020/ar/_10-K-2020-(As-Filed).pdf</w:t>
        </w:r>
      </w:hyperlink>
      <w:r w:rsidRPr="00D64690">
        <w:rPr>
          <w:rFonts w:ascii="Arial" w:hAnsi="Arial" w:cs="Arial"/>
          <w:szCs w:val="16"/>
        </w:rPr>
        <w:t xml:space="preserve"> (accessed on 11 May 2021)</w:t>
      </w:r>
    </w:p>
  </w:footnote>
  <w:footnote w:id="110">
    <w:p w14:paraId="45034091" w14:textId="221AB972"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Source: </w:t>
      </w:r>
      <w:hyperlink r:id="rId38" w:history="1">
        <w:r w:rsidRPr="00D64690">
          <w:rPr>
            <w:rStyle w:val="Hyperlink"/>
            <w:rFonts w:ascii="Arial" w:hAnsi="Arial" w:cs="Arial"/>
            <w:szCs w:val="16"/>
          </w:rPr>
          <w:t>https://www.apple.com/newsroom/2021/04/apple-commits-430-billion-in-us-investments-over-five-years/</w:t>
        </w:r>
      </w:hyperlink>
      <w:r w:rsidRPr="00D64690">
        <w:rPr>
          <w:rFonts w:ascii="Arial" w:hAnsi="Arial" w:cs="Arial"/>
          <w:szCs w:val="16"/>
        </w:rPr>
        <w:t xml:space="preserve"> (accessed on 11 May 2021)</w:t>
      </w:r>
    </w:p>
  </w:footnote>
  <w:footnote w:id="111">
    <w:p w14:paraId="285E5897" w14:textId="6E656A44"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Source: </w:t>
      </w:r>
      <w:hyperlink r:id="rId39" w:history="1">
        <w:r w:rsidRPr="00D64690">
          <w:rPr>
            <w:rStyle w:val="Hyperlink"/>
            <w:rFonts w:ascii="Arial" w:hAnsi="Arial" w:cs="Arial"/>
            <w:szCs w:val="16"/>
          </w:rPr>
          <w:t>https://www.apple.com/uk/newsroom/2021/03/apple-to-invest-over-1-billion-euros-in-germany-with-new-munich-campus/</w:t>
        </w:r>
      </w:hyperlink>
      <w:r w:rsidRPr="00D64690">
        <w:rPr>
          <w:rFonts w:ascii="Arial" w:hAnsi="Arial" w:cs="Arial"/>
          <w:szCs w:val="16"/>
        </w:rPr>
        <w:t xml:space="preserve"> (accessed on 11 May 2021)</w:t>
      </w:r>
    </w:p>
  </w:footnote>
  <w:footnote w:id="112">
    <w:p w14:paraId="08EE8FAA" w14:textId="0117793B"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In the consumer survey, 5% of those who bought a standalone charger did it for the purpose of fast charging capabilities. This effect is applied in the stock model through a 5% reduction in the ratio of people assumed to purchase an EPS (0.31 per person/per year in the baseline), which results in a 4% reduction of sales of standalone EPS by 2030.</w:t>
      </w:r>
    </w:p>
  </w:footnote>
  <w:footnote w:id="113">
    <w:p w14:paraId="0F1F7D84" w14:textId="1ECD4060"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It should be noted that this is a small source of competitive advantage in the EU market. The survey conducted for the first IA revealed that consumers give little importance to the charging speed when buying a new EPS. For more information, see a summary of the results of the conjoint experiment conducted in the first IA study in page 186 of the final report.</w:t>
      </w:r>
    </w:p>
  </w:footnote>
  <w:footnote w:id="114">
    <w:p w14:paraId="1543C9C8" w14:textId="4FFEDD7E"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It is estimated that for each phone sold unbundled, 0.39 standalone EPS are bought. For more detail, see Annex G.</w:t>
      </w:r>
    </w:p>
  </w:footnote>
  <w:footnote w:id="115">
    <w:p w14:paraId="4798F464" w14:textId="4F511CC4"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Huawei and Oppo manufacture their own SoC, however these companies are categorised as manufacturers of mobile phones.</w:t>
      </w:r>
    </w:p>
  </w:footnote>
  <w:footnote w:id="116">
    <w:p w14:paraId="64A0AC7C"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See, for instance, consumer associations’ reactions in Brazil: </w:t>
      </w:r>
      <w:hyperlink r:id="rId40" w:history="1">
        <w:r w:rsidRPr="00D64690">
          <w:rPr>
            <w:rStyle w:val="Hyperlink"/>
            <w:rFonts w:ascii="Arial" w:hAnsi="Arial" w:cs="Arial"/>
            <w:szCs w:val="16"/>
          </w:rPr>
          <w:t>https://www.engadget.com/apple-brazil-fine-over-iphone-12-charger-171754262.html?guce_referrer=aHR0cHM6Ly93d3cyLnNtYXJ0YnJpZWYuY29tLw&amp;guce_referrer_sig=AQAAAKqtc2BHHwiLs3rMY0SKCrmUkyx5Q1vX4mx1DGNftiwJJv7iVLEnTZ59Eu6HwrGBoIaj410Q9k615LK2llxO_GqNwtPQGS6_1sFpBnWmMjolioWopsEsPhtPadZBzpS0Enz9cXi_WimTevGO0jOFYsbS8L-tM8gpUXkqymqJ7KnW&amp;_guc_consent_skip=1616713903</w:t>
        </w:r>
      </w:hyperlink>
      <w:r w:rsidRPr="00D64690">
        <w:rPr>
          <w:rFonts w:ascii="Arial" w:hAnsi="Arial" w:cs="Arial"/>
          <w:szCs w:val="16"/>
        </w:rPr>
        <w:t xml:space="preserve"> </w:t>
      </w:r>
    </w:p>
  </w:footnote>
  <w:footnote w:id="117">
    <w:p w14:paraId="437818EE" w14:textId="448BFC44"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CSES, DG GROW, Panteia (2014) Evaluation of the internal market legislation for industrial products, Appendix C Case study for laptops, available at: </w:t>
      </w:r>
      <w:hyperlink r:id="rId41" w:history="1">
        <w:r w:rsidRPr="00D64690">
          <w:rPr>
            <w:rStyle w:val="Hyperlink"/>
            <w:rFonts w:ascii="Arial" w:hAnsi="Arial" w:cs="Arial"/>
            <w:szCs w:val="16"/>
          </w:rPr>
          <w:t>https://op.europa.eu/en/publication-detail/-/publication/4fe4ba23-68f6-439f-b982-5f56ef1b135d/language-en</w:t>
        </w:r>
      </w:hyperlink>
      <w:r w:rsidRPr="00D64690">
        <w:rPr>
          <w:rFonts w:ascii="Arial" w:hAnsi="Arial" w:cs="Arial"/>
          <w:szCs w:val="16"/>
        </w:rPr>
        <w:t xml:space="preserve"> (accessed on 7 June 2021)</w:t>
      </w:r>
    </w:p>
  </w:footnote>
  <w:footnote w:id="118">
    <w:p w14:paraId="4F007D8C" w14:textId="2BCDB4C0"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Source: Apple Annual Report 2020, available at: </w:t>
      </w:r>
      <w:hyperlink r:id="rId42" w:history="1">
        <w:r w:rsidRPr="00D64690">
          <w:rPr>
            <w:rStyle w:val="Hyperlink"/>
            <w:rFonts w:ascii="Arial" w:hAnsi="Arial" w:cs="Arial"/>
            <w:szCs w:val="16"/>
          </w:rPr>
          <w:t>https://s2.q4cdn.com/470004039/files/doc_financials/2020/ar/_10-K-2020-(As-Filed).pdf</w:t>
        </w:r>
      </w:hyperlink>
      <w:r w:rsidRPr="00D64690">
        <w:rPr>
          <w:rFonts w:ascii="Arial" w:hAnsi="Arial" w:cs="Arial"/>
          <w:szCs w:val="16"/>
        </w:rPr>
        <w:t xml:space="preserve"> (accessed on 11 May 2021)</w:t>
      </w:r>
    </w:p>
  </w:footnote>
  <w:footnote w:id="119">
    <w:p w14:paraId="469648B2" w14:textId="1D0610D6"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The RPA (2019) study commissioned by the industry noted the following: “If the regulatory intervention were to affect existing models and the lead time were not long enough for these products to phase out naturally and for manufacturers to introduce new products with USB-C connectors, a disruption with significant economic impacts can be expected, even in instances where the cessation of sales is relatively short […] It should also be noted that the curtailment of the sales of existing stocks of older products could result in losses for manufacturers and/or distributors since it is reasonable to expect that these products would have to be sold at a discount in other markets”. Study available at: </w:t>
      </w:r>
      <w:hyperlink r:id="rId43" w:history="1">
        <w:r w:rsidRPr="00D64690">
          <w:rPr>
            <w:rStyle w:val="Hyperlink"/>
            <w:rFonts w:ascii="Arial" w:hAnsi="Arial" w:cs="Arial"/>
            <w:szCs w:val="16"/>
          </w:rPr>
          <w:t>https://www.digitaleurope.org/wp/wp-content/uploads/2019/12/RPA-Study-Common-Charger-2.0-final.pdf</w:t>
        </w:r>
      </w:hyperlink>
      <w:r w:rsidRPr="00D64690">
        <w:rPr>
          <w:rFonts w:ascii="Arial" w:hAnsi="Arial" w:cs="Arial"/>
          <w:szCs w:val="16"/>
        </w:rPr>
        <w:t xml:space="preserve"> (page 39).</w:t>
      </w:r>
    </w:p>
  </w:footnote>
  <w:footnote w:id="120">
    <w:p w14:paraId="7B891BFE" w14:textId="24699238"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Estimation based on market data provided by IDC</w:t>
      </w:r>
    </w:p>
  </w:footnote>
  <w:footnote w:id="121">
    <w:p w14:paraId="37B5DD62" w14:textId="0B3190EE"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VVA (2018) Study for the introduction of an e-labelling scheme in Europe, available at:  </w:t>
      </w:r>
      <w:hyperlink r:id="rId44" w:history="1">
        <w:r w:rsidRPr="00D64690">
          <w:rPr>
            <w:rStyle w:val="Hyperlink"/>
            <w:rFonts w:ascii="Arial" w:hAnsi="Arial" w:cs="Arial"/>
            <w:szCs w:val="16"/>
          </w:rPr>
          <w:t>https://www.digitaleurope.org/wp/wp-content/uploads/2019/01/Study%20for%20the%20introduction%20of%20an%20e-labelling%20scheme%20in%20the%20EU%20-%20CBA%20-%20final%20report%2021062018.pdf</w:t>
        </w:r>
      </w:hyperlink>
      <w:r w:rsidRPr="00D64690">
        <w:rPr>
          <w:rFonts w:ascii="Arial" w:hAnsi="Arial" w:cs="Arial"/>
          <w:szCs w:val="16"/>
        </w:rPr>
        <w:t xml:space="preserve"> </w:t>
      </w:r>
    </w:p>
  </w:footnote>
  <w:footnote w:id="122">
    <w:p w14:paraId="44F47C16" w14:textId="7377C2A8"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Ipsos (2019), section 3.5</w:t>
      </w:r>
    </w:p>
  </w:footnote>
  <w:footnote w:id="123">
    <w:p w14:paraId="21685BA9" w14:textId="698ED826"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For a summary of how these sources of inconvenience relate to the survey responses, and how frequently they were experienced by consumers, please see Ipsos (2019), section 5.2.</w:t>
      </w:r>
    </w:p>
  </w:footnote>
  <w:footnote w:id="124">
    <w:p w14:paraId="16B5D137" w14:textId="572DEB85"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Ipsos (2020), p. 77-80</w:t>
      </w:r>
    </w:p>
  </w:footnote>
  <w:footnote w:id="125">
    <w:p w14:paraId="41594448" w14:textId="3B55BEDA"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This is equivalent to 6% of </w:t>
      </w:r>
      <w:r w:rsidRPr="00D64690">
        <w:rPr>
          <w:rFonts w:ascii="Arial" w:hAnsi="Arial" w:cs="Arial"/>
          <w:i/>
          <w:iCs/>
          <w:szCs w:val="16"/>
        </w:rPr>
        <w:t>all</w:t>
      </w:r>
      <w:r w:rsidRPr="00D64690">
        <w:rPr>
          <w:rFonts w:ascii="Arial" w:hAnsi="Arial" w:cs="Arial"/>
          <w:szCs w:val="16"/>
        </w:rPr>
        <w:t xml:space="preserve"> survey respondents. The proportion was much higher among younger consumers (8% of 18-34 year olds) than among older ones (4% of those aged 55 or older).</w:t>
      </w:r>
    </w:p>
  </w:footnote>
  <w:footnote w:id="126">
    <w:p w14:paraId="76787808" w14:textId="3CE0EDE3"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For further details see URL: </w:t>
      </w:r>
      <w:hyperlink r:id="rId45" w:history="1">
        <w:r w:rsidRPr="00D64690">
          <w:rPr>
            <w:rStyle w:val="Hyperlink"/>
            <w:rFonts w:ascii="Arial" w:hAnsi="Arial" w:cs="Arial"/>
            <w:szCs w:val="16"/>
          </w:rPr>
          <w:t>https://www.procon.sp.gov.br/procon-sp-multa-apple/</w:t>
        </w:r>
      </w:hyperlink>
      <w:r w:rsidRPr="00D64690">
        <w:rPr>
          <w:rFonts w:ascii="Arial" w:hAnsi="Arial" w:cs="Arial"/>
          <w:szCs w:val="16"/>
        </w:rPr>
        <w:t xml:space="preserve"> </w:t>
      </w:r>
    </w:p>
  </w:footnote>
  <w:footnote w:id="127">
    <w:p w14:paraId="3EF43B6A" w14:textId="0A4841C9"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For a, not necessarily comprehensive, view of all the logos currently being managed by the USB Implementers Forum, see URL: </w:t>
      </w:r>
      <w:hyperlink r:id="rId46" w:history="1">
        <w:r w:rsidRPr="00D64690">
          <w:rPr>
            <w:rStyle w:val="Hyperlink"/>
            <w:rFonts w:ascii="Arial" w:hAnsi="Arial" w:cs="Arial"/>
            <w:szCs w:val="16"/>
          </w:rPr>
          <w:t>https://www.usb.org/compliance</w:t>
        </w:r>
      </w:hyperlink>
      <w:r w:rsidRPr="00D64690">
        <w:rPr>
          <w:rFonts w:ascii="Arial" w:hAnsi="Arial" w:cs="Arial"/>
          <w:szCs w:val="16"/>
        </w:rPr>
        <w:t xml:space="preserve"> </w:t>
      </w:r>
    </w:p>
  </w:footnote>
  <w:footnote w:id="128">
    <w:p w14:paraId="1688B854"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The sample includes: 29 cameras (including action cameras), 10 handheld videogame consoles, 9 e-readers, 11 smartwatches / fitness trackers, 30 headphones/earbuds, 14 laptops, 15 radio-controlled toys, 2 smartglasses, 26 portable speakers, 45 tablets.</w:t>
      </w:r>
    </w:p>
  </w:footnote>
  <w:footnote w:id="129">
    <w:p w14:paraId="16143F11" w14:textId="414D2045"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For more information on the prioritisation exercise conducted, see Annex H.</w:t>
      </w:r>
    </w:p>
  </w:footnote>
  <w:footnote w:id="130">
    <w:p w14:paraId="21C42CC5"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Laptops and radio-controlled toys were also mapped and </w:t>
      </w:r>
      <w:proofErr w:type="gramStart"/>
      <w:r w:rsidRPr="00D64690">
        <w:rPr>
          <w:rFonts w:ascii="Arial" w:hAnsi="Arial" w:cs="Arial"/>
          <w:szCs w:val="16"/>
        </w:rPr>
        <w:t>analysed, and</w:t>
      </w:r>
      <w:proofErr w:type="gramEnd"/>
      <w:r w:rsidRPr="00D64690">
        <w:rPr>
          <w:rFonts w:ascii="Arial" w:hAnsi="Arial" w:cs="Arial"/>
          <w:szCs w:val="16"/>
        </w:rPr>
        <w:t xml:space="preserve"> excluded from further analysis. Laptops were excluded because they use significantly higher wattage than mobile phones, and therefore it would not be possible to extrapolate data and assumptions from smartphones to laptops (different impacts on safety and the environment). Radio-controlled toys were excluded because their charging characteristics also differ from mobile phones; they generally use lower current (0.1-1A vs 1-2A used in mobile phones) and, most importantly, use different types of batteries (Ni-MH / Ni-Cd, instead of Li-Ion or Li-Polymer used in mobile phones).</w:t>
      </w:r>
    </w:p>
  </w:footnote>
  <w:footnote w:id="131">
    <w:p w14:paraId="7DF640E1"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Data for Tablets and hearing devices was acquired from IDC; data for cameras has been retrieved from PRODCOM and CIPA.</w:t>
      </w:r>
    </w:p>
  </w:footnote>
  <w:footnote w:id="132">
    <w:p w14:paraId="6B23E43B" w14:textId="7777777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Estimates made by the study team, based upon triangulation of mapping of devices and IDC data for Tablets.</w:t>
      </w:r>
    </w:p>
  </w:footnote>
  <w:footnote w:id="133">
    <w:p w14:paraId="5AF7AC3C" w14:textId="48BD550B"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The proprietary external charger to charge removable batteries is not considered an EPS. This type of charger is significantly different to mobile phone EPS and therefore it is not possible to use the same assumptions in our estimations and the stock model. The unbundling of this type of chargers could be explored by the Commission, and it will be assessed qualitatively in the final report of this IA study.</w:t>
      </w:r>
    </w:p>
  </w:footnote>
  <w:footnote w:id="134">
    <w:p w14:paraId="6A975CED" w14:textId="64F1CC42"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Estimate made by the study team based upon triangulation of mapping of devices with IDC data for hearing devices. It should be noted that IDC only includes premium categories of hearing devices, as it only includes devices that are considered “smart”, i.e. include at least one of the following features: track health/fitness; modify audio beyond blanket noise cancellation; provide language translation; enable smart assistants. Non smart hearing devices normally use USB micro-B receptacles.</w:t>
      </w:r>
    </w:p>
  </w:footnote>
  <w:footnote w:id="135">
    <w:p w14:paraId="3316DC06" w14:textId="7DDCC7AA"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Based on the mapping of devices conducted by the study team (see Annex I)</w:t>
      </w:r>
    </w:p>
  </w:footnote>
  <w:footnote w:id="136">
    <w:p w14:paraId="1ABD306E" w14:textId="7D206AEE" w:rsidR="008225D3" w:rsidRDefault="008225D3" w:rsidP="00A37355">
      <w:pPr>
        <w:pStyle w:val="FootnoteText"/>
        <w:spacing w:after="60"/>
        <w:jc w:val="left"/>
      </w:pPr>
      <w:r>
        <w:rPr>
          <w:rStyle w:val="FootnoteReference"/>
        </w:rPr>
        <w:footnoteRef/>
      </w:r>
      <w:r>
        <w:t xml:space="preserve"> Source: </w:t>
      </w:r>
      <w:r w:rsidRPr="00DA0807">
        <w:t xml:space="preserve">IDC Quarterly Mobile Phone Tracker, </w:t>
      </w:r>
      <w:r w:rsidR="00750097">
        <w:t xml:space="preserve">Q3 2020 Final Historical, November </w:t>
      </w:r>
      <w:r w:rsidR="002A68E7">
        <w:t>5</w:t>
      </w:r>
      <w:bookmarkStart w:id="73" w:name="_GoBack"/>
      <w:bookmarkEnd w:id="73"/>
      <w:r w:rsidR="00750097">
        <w:t>, 2020</w:t>
      </w:r>
      <w:r>
        <w:t>. Original data provided by IDC did not include some EU countries. Our estimation has been weighted by population in order to include the EU MS for which IDC did not have data.</w:t>
      </w:r>
    </w:p>
  </w:footnote>
  <w:footnote w:id="137">
    <w:p w14:paraId="4A998AB4" w14:textId="77777777" w:rsidR="008225D3" w:rsidRDefault="008225D3" w:rsidP="00A37355">
      <w:pPr>
        <w:pStyle w:val="FootnoteText"/>
        <w:spacing w:after="60"/>
        <w:jc w:val="left"/>
      </w:pPr>
      <w:r>
        <w:rPr>
          <w:rStyle w:val="FootnoteReference"/>
        </w:rPr>
        <w:footnoteRef/>
      </w:r>
      <w:r>
        <w:t xml:space="preserve"> </w:t>
      </w:r>
      <w:r w:rsidRPr="00383A83">
        <w:t>Source: IDC Quarterly Personal Computing Device Tracker, Q3 2020 Final Historical, November 18, 2020</w:t>
      </w:r>
    </w:p>
  </w:footnote>
  <w:footnote w:id="138">
    <w:p w14:paraId="3DDF42A0" w14:textId="2D54B66F" w:rsidR="008225D3" w:rsidRDefault="008225D3" w:rsidP="00A37355">
      <w:pPr>
        <w:pStyle w:val="FootnoteText"/>
        <w:spacing w:after="60"/>
        <w:jc w:val="left"/>
      </w:pPr>
      <w:r>
        <w:rPr>
          <w:rStyle w:val="FootnoteReference"/>
        </w:rPr>
        <w:footnoteRef/>
      </w:r>
      <w:r>
        <w:t xml:space="preserve"> </w:t>
      </w:r>
      <w:r w:rsidRPr="00383A83">
        <w:t>Source: IDC Quarterly Wearable Device Tracker, Q3 2020 Final Historical Release, November 27, 2020</w:t>
      </w:r>
      <w:r w:rsidR="004079BA">
        <w:t xml:space="preserve">. </w:t>
      </w:r>
      <w:r w:rsidR="004079BA">
        <w:t>Original data provided by IDC did not include some EU countries. Our estimation has been weighted by population in order to include the EU MS for which IDC did not have data.</w:t>
      </w:r>
    </w:p>
  </w:footnote>
  <w:footnote w:id="139">
    <w:p w14:paraId="65FFD463" w14:textId="77777777" w:rsidR="008225D3" w:rsidRDefault="008225D3" w:rsidP="00A37355">
      <w:pPr>
        <w:pStyle w:val="FootnoteText"/>
        <w:spacing w:after="60"/>
        <w:jc w:val="left"/>
      </w:pPr>
      <w:r>
        <w:rPr>
          <w:rStyle w:val="FootnoteReference"/>
        </w:rPr>
        <w:footnoteRef/>
      </w:r>
      <w:r>
        <w:t xml:space="preserve"> </w:t>
      </w:r>
      <w:r w:rsidRPr="003D1D32">
        <w:t>Authors’ calculations based on CIPA (2021), Digital Cameras and Prodcom 26701300 - Digital cameras (PRODQNT + IMPQNT – EXPQNT).</w:t>
      </w:r>
    </w:p>
  </w:footnote>
  <w:footnote w:id="140">
    <w:p w14:paraId="0A91D3FF" w14:textId="77777777" w:rsidR="008225D3" w:rsidRPr="00F07F93" w:rsidRDefault="008225D3" w:rsidP="00A37355">
      <w:pPr>
        <w:pStyle w:val="FootnoteText"/>
        <w:spacing w:after="60"/>
        <w:jc w:val="left"/>
      </w:pPr>
      <w:r>
        <w:rPr>
          <w:rStyle w:val="FootnoteReference"/>
        </w:rPr>
        <w:footnoteRef/>
      </w:r>
      <w:r>
        <w:t xml:space="preserve"> Several assumptions have been made to obtain these figures. </w:t>
      </w:r>
      <w:r w:rsidRPr="00F07F93">
        <w:t xml:space="preserve">Comtrade code for videogame consoles </w:t>
      </w:r>
      <w:r w:rsidRPr="00AB6CEF">
        <w:t>(HS 950450) includes both portable and non-portable consoles</w:t>
      </w:r>
      <w:r>
        <w:t xml:space="preserve">. </w:t>
      </w:r>
      <w:r w:rsidRPr="00F07F93">
        <w:t>According to a report published by Goldstein Research</w:t>
      </w:r>
      <w:r>
        <w:t xml:space="preserve"> (</w:t>
      </w:r>
      <w:hyperlink r:id="rId47" w:history="1">
        <w:r w:rsidRPr="00C5324D">
          <w:rPr>
            <w:rStyle w:val="Hyperlink"/>
          </w:rPr>
          <w:t>https://www.goldsteinresearch.com/report/europe-gaming-console-market-share-analysis</w:t>
        </w:r>
      </w:hyperlink>
      <w:r>
        <w:t xml:space="preserve">), </w:t>
      </w:r>
      <w:r w:rsidRPr="00F07F93">
        <w:t>in 2016, 91% of revenue from videogame consoles came from TV gaming consoles.</w:t>
      </w:r>
      <w:r>
        <w:t xml:space="preserve"> We have assumed that </w:t>
      </w:r>
      <w:r w:rsidRPr="00F07F93">
        <w:t>9% of all imports of consoles are handheld</w:t>
      </w:r>
      <w:r>
        <w:t>. We have checked these figures against COMTRADE code “264060650 Video game consoles” for which data on production, imports and exports is available in monetary terms, but not in quantity. Assuming a price of 50 Euros per video game console, we obtained a similar market size (57 million consoles in 2019).</w:t>
      </w:r>
    </w:p>
  </w:footnote>
  <w:footnote w:id="141">
    <w:p w14:paraId="7E7C7B4D" w14:textId="77777777" w:rsidR="008225D3" w:rsidRDefault="008225D3" w:rsidP="00A37355">
      <w:pPr>
        <w:pStyle w:val="FootnoteText"/>
        <w:spacing w:after="60"/>
        <w:jc w:val="left"/>
      </w:pPr>
      <w:r>
        <w:rPr>
          <w:rStyle w:val="FootnoteReference"/>
        </w:rPr>
        <w:footnoteRef/>
      </w:r>
      <w:r>
        <w:t xml:space="preserve"> As Comtrade only provides monetary values for code “854370 </w:t>
      </w:r>
      <w:r w:rsidRPr="004B2284">
        <w:t>Electrical machines and apparatus; having individual functions, not specified or included elsewhere in this chapter, n.e.c. in heading no. 8543</w:t>
      </w:r>
      <w:r>
        <w:t>”, the figure was obtained by calculating an average price for e-readers sold on Amazon.fr in January 2021 and using an EUR/USD exchange rate of 1.22, which were then used to transform the Comtrade import values into units.</w:t>
      </w:r>
    </w:p>
  </w:footnote>
  <w:footnote w:id="142">
    <w:p w14:paraId="0053A6D8" w14:textId="77777777" w:rsidR="008225D3" w:rsidRDefault="008225D3" w:rsidP="00A37355">
      <w:pPr>
        <w:pStyle w:val="FootnoteText"/>
        <w:spacing w:after="60"/>
        <w:jc w:val="left"/>
      </w:pPr>
      <w:r>
        <w:rPr>
          <w:rStyle w:val="FootnoteReference"/>
        </w:rPr>
        <w:footnoteRef/>
      </w:r>
      <w:r>
        <w:t xml:space="preserve"> Share of portable speakers obtained by applying an assumption of 43% market share of ‘portable’ speakers (as opposed to ‘wired’ speakers). For further details on the methodology, please refer to Annex I.</w:t>
      </w:r>
    </w:p>
  </w:footnote>
  <w:footnote w:id="143">
    <w:p w14:paraId="09DA8B88" w14:textId="28FD1367"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For more information on the selection of devices, see section 6.1.</w:t>
      </w:r>
    </w:p>
  </w:footnote>
  <w:footnote w:id="144">
    <w:p w14:paraId="71DE60F3" w14:textId="77777777" w:rsidR="008225D3" w:rsidRPr="00D64690" w:rsidRDefault="008225D3" w:rsidP="00A37355">
      <w:pPr>
        <w:pStyle w:val="bullet1"/>
        <w:numPr>
          <w:ilvl w:val="0"/>
          <w:numId w:val="0"/>
        </w:numPr>
        <w:spacing w:before="0" w:after="60"/>
        <w:jc w:val="left"/>
        <w:rPr>
          <w:rStyle w:val="FootnoteReference"/>
          <w:rFonts w:ascii="Arial" w:hAnsi="Arial" w:cs="Arial"/>
          <w:szCs w:val="16"/>
          <w:vertAlign w:val="baseline"/>
          <w:lang w:val="en-US"/>
        </w:rPr>
      </w:pPr>
      <w:r w:rsidRPr="00D64690">
        <w:rPr>
          <w:rStyle w:val="FootnoteReference"/>
          <w:rFonts w:ascii="Arial" w:hAnsi="Arial" w:cs="Arial"/>
          <w:szCs w:val="16"/>
        </w:rPr>
        <w:footnoteRef/>
      </w:r>
      <w:r w:rsidRPr="00D64690">
        <w:rPr>
          <w:rStyle w:val="FootnoteReference"/>
          <w:rFonts w:ascii="Arial" w:hAnsi="Arial" w:cs="Arial"/>
          <w:szCs w:val="16"/>
          <w:lang w:val="en-US"/>
        </w:rPr>
        <w:t xml:space="preserve"> </w:t>
      </w:r>
      <w:r w:rsidRPr="00D64690">
        <w:rPr>
          <w:rStyle w:val="FootnoteReference"/>
          <w:rFonts w:ascii="Arial" w:hAnsi="Arial" w:cs="Arial"/>
          <w:szCs w:val="16"/>
          <w:vertAlign w:val="baseline"/>
          <w:lang w:val="en-US"/>
        </w:rPr>
        <w:t>GHG emissions [tonnes] are calculated in the stock model as life-cycle emissions (cradle-to-grave) per charger component type, accounted in the year of sale. Emissions are calculated on the basis of component specific emission profiles multiplied by additions to the charger stock, as explained in section 4.1</w:t>
      </w:r>
      <w:r w:rsidRPr="00D64690">
        <w:rPr>
          <w:rFonts w:cs="Arial"/>
          <w:sz w:val="16"/>
          <w:szCs w:val="16"/>
          <w:lang w:val="en-US"/>
        </w:rPr>
        <w:t>.</w:t>
      </w:r>
    </w:p>
  </w:footnote>
  <w:footnote w:id="145">
    <w:p w14:paraId="7B3A3C17" w14:textId="77777777" w:rsidR="008225D3" w:rsidRPr="00D64690" w:rsidRDefault="008225D3" w:rsidP="00A37355">
      <w:pPr>
        <w:pStyle w:val="bullet1"/>
        <w:numPr>
          <w:ilvl w:val="0"/>
          <w:numId w:val="0"/>
        </w:numPr>
        <w:spacing w:before="0" w:after="60"/>
        <w:jc w:val="left"/>
        <w:rPr>
          <w:rStyle w:val="FootnoteReference"/>
          <w:rFonts w:ascii="Arial" w:hAnsi="Arial" w:cs="Arial"/>
          <w:szCs w:val="16"/>
          <w:vertAlign w:val="baseline"/>
          <w:lang w:val="en-US"/>
        </w:rPr>
      </w:pPr>
      <w:r w:rsidRPr="00D64690">
        <w:rPr>
          <w:rStyle w:val="FootnoteReference"/>
          <w:rFonts w:ascii="Arial" w:hAnsi="Arial" w:cs="Arial"/>
          <w:szCs w:val="16"/>
          <w:lang w:val="en-US"/>
        </w:rPr>
        <w:footnoteRef/>
      </w:r>
      <w:r w:rsidRPr="00D64690">
        <w:rPr>
          <w:rStyle w:val="FootnoteReference"/>
          <w:rFonts w:ascii="Arial" w:hAnsi="Arial" w:cs="Arial"/>
          <w:szCs w:val="16"/>
          <w:lang w:val="en-US"/>
        </w:rPr>
        <w:t xml:space="preserve"> </w:t>
      </w:r>
      <w:r w:rsidRPr="00D64690">
        <w:rPr>
          <w:rStyle w:val="FootnoteReference"/>
          <w:rFonts w:ascii="Arial" w:hAnsi="Arial" w:cs="Arial"/>
          <w:szCs w:val="16"/>
          <w:vertAlign w:val="baseline"/>
          <w:lang w:val="en-US"/>
        </w:rPr>
        <w:t xml:space="preserve">Material use [tonnes] are </w:t>
      </w:r>
      <w:r w:rsidRPr="00D64690">
        <w:rPr>
          <w:rStyle w:val="FootnoteReference"/>
          <w:rFonts w:ascii="Arial" w:hAnsi="Arial" w:cs="Arial"/>
          <w:szCs w:val="16"/>
          <w:vertAlign w:val="baseline"/>
        </w:rPr>
        <w:t>c</w:t>
      </w:r>
      <w:r w:rsidRPr="00D64690">
        <w:rPr>
          <w:rStyle w:val="FootnoteReference"/>
          <w:rFonts w:ascii="Arial" w:hAnsi="Arial" w:cs="Arial"/>
          <w:szCs w:val="16"/>
          <w:vertAlign w:val="baseline"/>
          <w:lang w:val="en-US"/>
        </w:rPr>
        <w:t>alculated in the stock model by multiplying additions to the charger stock by a profile of the materials used. The profiles vary per EPS and cable type (weight and material content), and over time, as explained in section 4.1</w:t>
      </w:r>
      <w:r w:rsidRPr="00D64690">
        <w:rPr>
          <w:rFonts w:cs="Arial"/>
          <w:sz w:val="16"/>
          <w:szCs w:val="16"/>
          <w:lang w:val="en-US"/>
        </w:rPr>
        <w:t>.</w:t>
      </w:r>
    </w:p>
  </w:footnote>
  <w:footnote w:id="146">
    <w:p w14:paraId="638E4B62" w14:textId="60097697" w:rsidR="008225D3" w:rsidRPr="00D64690" w:rsidRDefault="008225D3" w:rsidP="00A37355">
      <w:pPr>
        <w:pStyle w:val="bullet1"/>
        <w:numPr>
          <w:ilvl w:val="0"/>
          <w:numId w:val="0"/>
        </w:numPr>
        <w:spacing w:before="0" w:after="60"/>
        <w:jc w:val="left"/>
        <w:rPr>
          <w:rFonts w:cs="Arial"/>
          <w:sz w:val="16"/>
          <w:szCs w:val="16"/>
          <w:lang w:val="en-US"/>
        </w:rPr>
      </w:pPr>
      <w:r w:rsidRPr="00D64690">
        <w:rPr>
          <w:rStyle w:val="FootnoteReference"/>
          <w:rFonts w:ascii="Arial" w:hAnsi="Arial" w:cs="Arial"/>
          <w:szCs w:val="16"/>
          <w:lang w:val="en-US"/>
        </w:rPr>
        <w:footnoteRef/>
      </w:r>
      <w:r w:rsidRPr="00D64690">
        <w:rPr>
          <w:rStyle w:val="FootnoteReference"/>
          <w:rFonts w:ascii="Arial" w:hAnsi="Arial" w:cs="Arial"/>
          <w:szCs w:val="16"/>
          <w:vertAlign w:val="baseline"/>
          <w:lang w:val="en-US"/>
        </w:rPr>
        <w:t xml:space="preserve"> E-waste [tonnes] are calculated in the stock model as the weight of chargers disposed of each year. This is calculated by multiplying the number of units disposed by the material and weight composition of the charger component type. Sub-indicators on volumes of e-waste left untreated or recycled are also calculated, as explained in section 4.1</w:t>
      </w:r>
      <w:r w:rsidRPr="00D64690">
        <w:rPr>
          <w:rFonts w:cs="Arial"/>
          <w:sz w:val="16"/>
          <w:szCs w:val="16"/>
          <w:lang w:val="en-US"/>
        </w:rPr>
        <w:t>.</w:t>
      </w:r>
    </w:p>
  </w:footnote>
  <w:footnote w:id="147">
    <w:p w14:paraId="64EEEAD5" w14:textId="4D95A5B7" w:rsidR="008225D3" w:rsidRPr="00D64690" w:rsidRDefault="008225D3" w:rsidP="00A37355">
      <w:pPr>
        <w:pStyle w:val="FootnoteText"/>
        <w:spacing w:after="60"/>
        <w:jc w:val="left"/>
        <w:rPr>
          <w:rFonts w:ascii="Arial" w:hAnsi="Arial" w:cs="Arial"/>
          <w:szCs w:val="16"/>
          <w:lang w:val="en-US"/>
        </w:rPr>
      </w:pPr>
      <w:r w:rsidRPr="00D64690">
        <w:rPr>
          <w:rStyle w:val="FootnoteReference"/>
          <w:rFonts w:ascii="Arial" w:hAnsi="Arial" w:cs="Arial"/>
          <w:szCs w:val="16"/>
        </w:rPr>
        <w:footnoteRef/>
      </w:r>
      <w:r w:rsidRPr="00D64690">
        <w:rPr>
          <w:rFonts w:ascii="Arial" w:hAnsi="Arial" w:cs="Arial"/>
          <w:szCs w:val="16"/>
          <w:lang w:val="en-US"/>
        </w:rPr>
        <w:t xml:space="preserve"> </w:t>
      </w:r>
      <w:r w:rsidRPr="00D64690">
        <w:rPr>
          <w:rStyle w:val="FootnoteReference"/>
          <w:rFonts w:ascii="Arial" w:hAnsi="Arial" w:cs="Arial"/>
          <w:szCs w:val="16"/>
          <w:vertAlign w:val="baseline"/>
          <w:lang w:val="en-US"/>
        </w:rPr>
        <w:t>U</w:t>
      </w:r>
      <w:r w:rsidRPr="00D64690">
        <w:rPr>
          <w:rFonts w:ascii="Arial" w:hAnsi="Arial" w:cs="Arial"/>
          <w:szCs w:val="16"/>
          <w:lang w:val="en-US"/>
        </w:rPr>
        <w:t xml:space="preserve">ntreated </w:t>
      </w:r>
      <w:r w:rsidRPr="00D64690">
        <w:rPr>
          <w:rStyle w:val="FootnoteReference"/>
          <w:rFonts w:ascii="Arial" w:hAnsi="Arial" w:cs="Arial"/>
          <w:szCs w:val="16"/>
          <w:vertAlign w:val="baseline"/>
          <w:lang w:val="en-US"/>
        </w:rPr>
        <w:t>e</w:t>
      </w:r>
      <w:r w:rsidRPr="00D64690">
        <w:rPr>
          <w:rFonts w:ascii="Arial" w:hAnsi="Arial" w:cs="Arial"/>
          <w:szCs w:val="16"/>
          <w:lang w:val="en-US"/>
        </w:rPr>
        <w:t xml:space="preserve">-waste </w:t>
      </w:r>
      <w:r w:rsidRPr="00D64690">
        <w:rPr>
          <w:rStyle w:val="FootnoteReference"/>
          <w:rFonts w:ascii="Arial" w:hAnsi="Arial" w:cs="Arial"/>
          <w:szCs w:val="16"/>
          <w:vertAlign w:val="baseline"/>
          <w:lang w:val="en-US"/>
        </w:rPr>
        <w:t>[</w:t>
      </w:r>
      <w:proofErr w:type="spellStart"/>
      <w:r w:rsidRPr="00D64690">
        <w:rPr>
          <w:rStyle w:val="FootnoteReference"/>
          <w:rFonts w:ascii="Arial" w:hAnsi="Arial" w:cs="Arial"/>
          <w:szCs w:val="16"/>
          <w:vertAlign w:val="baseline"/>
          <w:lang w:val="en-US"/>
        </w:rPr>
        <w:t>tonnes</w:t>
      </w:r>
      <w:proofErr w:type="spellEnd"/>
      <w:r w:rsidRPr="00D64690">
        <w:rPr>
          <w:rStyle w:val="FootnoteReference"/>
          <w:rFonts w:ascii="Arial" w:hAnsi="Arial" w:cs="Arial"/>
          <w:szCs w:val="16"/>
          <w:vertAlign w:val="baseline"/>
          <w:lang w:val="en-US"/>
        </w:rPr>
        <w:t xml:space="preserve">] are calculated in the stock model </w:t>
      </w:r>
      <w:r w:rsidRPr="00D64690">
        <w:rPr>
          <w:rFonts w:ascii="Arial" w:hAnsi="Arial" w:cs="Arial"/>
          <w:szCs w:val="16"/>
          <w:lang w:val="en-US"/>
        </w:rPr>
        <w:t>based on the share of e-waste generated (</w:t>
      </w:r>
      <w:proofErr w:type="spellStart"/>
      <w:r w:rsidRPr="00D64690">
        <w:rPr>
          <w:rFonts w:ascii="Arial" w:hAnsi="Arial" w:cs="Arial"/>
          <w:szCs w:val="16"/>
          <w:lang w:val="en-US"/>
        </w:rPr>
        <w:t>tonnes</w:t>
      </w:r>
      <w:proofErr w:type="spellEnd"/>
      <w:r w:rsidRPr="00D64690">
        <w:rPr>
          <w:rFonts w:ascii="Arial" w:hAnsi="Arial" w:cs="Arial"/>
          <w:szCs w:val="16"/>
          <w:lang w:val="en-US"/>
        </w:rPr>
        <w:t xml:space="preserve">) that is untreated (incorrectly disposed), considering the values presented in </w:t>
      </w:r>
      <w:r w:rsidRPr="00D64690">
        <w:rPr>
          <w:rFonts w:ascii="Arial" w:hAnsi="Arial" w:cs="Arial"/>
          <w:szCs w:val="16"/>
          <w:highlight w:val="yellow"/>
        </w:rPr>
        <w:fldChar w:fldCharType="begin"/>
      </w:r>
      <w:r w:rsidRPr="00D64690">
        <w:rPr>
          <w:rFonts w:ascii="Arial" w:hAnsi="Arial" w:cs="Arial"/>
          <w:szCs w:val="16"/>
        </w:rPr>
        <w:instrText xml:space="preserve"> REF _Ref70088181 \h </w:instrText>
      </w:r>
      <w:r w:rsidRPr="00D64690">
        <w:rPr>
          <w:rFonts w:ascii="Arial" w:hAnsi="Arial" w:cs="Arial"/>
          <w:szCs w:val="16"/>
          <w:highlight w:val="yellow"/>
        </w:rPr>
        <w:instrText xml:space="preserve"> \* MERGEFORMAT </w:instrText>
      </w:r>
      <w:r w:rsidRPr="00D64690">
        <w:rPr>
          <w:rFonts w:ascii="Arial" w:hAnsi="Arial" w:cs="Arial"/>
          <w:szCs w:val="16"/>
          <w:highlight w:val="yellow"/>
        </w:rPr>
      </w:r>
      <w:r w:rsidRPr="00D64690">
        <w:rPr>
          <w:rFonts w:ascii="Arial" w:hAnsi="Arial" w:cs="Arial"/>
          <w:szCs w:val="16"/>
          <w:highlight w:val="yellow"/>
        </w:rPr>
        <w:fldChar w:fldCharType="separate"/>
      </w:r>
      <w:r w:rsidRPr="00D64690">
        <w:rPr>
          <w:rFonts w:ascii="Arial" w:hAnsi="Arial" w:cs="Arial"/>
          <w:szCs w:val="16"/>
        </w:rPr>
        <w:t>Table 4</w:t>
      </w:r>
      <w:r w:rsidRPr="00D64690">
        <w:rPr>
          <w:rFonts w:ascii="Arial" w:hAnsi="Arial" w:cs="Arial"/>
          <w:szCs w:val="16"/>
          <w:highlight w:val="yellow"/>
        </w:rPr>
        <w:fldChar w:fldCharType="end"/>
      </w:r>
      <w:r w:rsidRPr="00D64690">
        <w:rPr>
          <w:rFonts w:ascii="Arial" w:hAnsi="Arial" w:cs="Arial"/>
          <w:szCs w:val="16"/>
        </w:rPr>
        <w:t xml:space="preserve"> in section 4.1 </w:t>
      </w:r>
    </w:p>
  </w:footnote>
  <w:footnote w:id="148">
    <w:p w14:paraId="3CB3CD5D" w14:textId="3A48635A" w:rsidR="008225D3" w:rsidRPr="00D64690" w:rsidRDefault="008225D3" w:rsidP="00A37355">
      <w:pPr>
        <w:pStyle w:val="FootnoteText"/>
        <w:spacing w:after="60"/>
        <w:jc w:val="left"/>
        <w:rPr>
          <w:rFonts w:ascii="Arial" w:hAnsi="Arial" w:cs="Arial"/>
          <w:szCs w:val="16"/>
          <w:lang w:val="en-US"/>
        </w:rPr>
      </w:pPr>
      <w:r w:rsidRPr="00D64690">
        <w:rPr>
          <w:rStyle w:val="FootnoteReference"/>
          <w:rFonts w:ascii="Arial" w:hAnsi="Arial" w:cs="Arial"/>
          <w:szCs w:val="16"/>
        </w:rPr>
        <w:footnoteRef/>
      </w:r>
      <w:r w:rsidRPr="00D64690">
        <w:rPr>
          <w:rFonts w:ascii="Arial" w:hAnsi="Arial" w:cs="Arial"/>
          <w:szCs w:val="16"/>
          <w:lang w:val="en-US"/>
        </w:rPr>
        <w:t xml:space="preserve"> Recycled </w:t>
      </w:r>
      <w:r w:rsidRPr="00D64690">
        <w:rPr>
          <w:rStyle w:val="FootnoteReference"/>
          <w:rFonts w:ascii="Arial" w:hAnsi="Arial" w:cs="Arial"/>
          <w:szCs w:val="16"/>
          <w:vertAlign w:val="baseline"/>
          <w:lang w:val="en-US"/>
        </w:rPr>
        <w:t>e</w:t>
      </w:r>
      <w:r w:rsidRPr="00D64690">
        <w:rPr>
          <w:rFonts w:ascii="Arial" w:hAnsi="Arial" w:cs="Arial"/>
          <w:szCs w:val="16"/>
          <w:lang w:val="en-US"/>
        </w:rPr>
        <w:t xml:space="preserve">-waste </w:t>
      </w:r>
      <w:r w:rsidRPr="00D64690">
        <w:rPr>
          <w:rStyle w:val="FootnoteReference"/>
          <w:rFonts w:ascii="Arial" w:hAnsi="Arial" w:cs="Arial"/>
          <w:szCs w:val="16"/>
          <w:vertAlign w:val="baseline"/>
          <w:lang w:val="en-US"/>
        </w:rPr>
        <w:t>[</w:t>
      </w:r>
      <w:proofErr w:type="spellStart"/>
      <w:r w:rsidRPr="00D64690">
        <w:rPr>
          <w:rStyle w:val="FootnoteReference"/>
          <w:rFonts w:ascii="Arial" w:hAnsi="Arial" w:cs="Arial"/>
          <w:szCs w:val="16"/>
          <w:vertAlign w:val="baseline"/>
          <w:lang w:val="en-US"/>
        </w:rPr>
        <w:t>tonnes</w:t>
      </w:r>
      <w:proofErr w:type="spellEnd"/>
      <w:r w:rsidRPr="00D64690">
        <w:rPr>
          <w:rStyle w:val="FootnoteReference"/>
          <w:rFonts w:ascii="Arial" w:hAnsi="Arial" w:cs="Arial"/>
          <w:szCs w:val="16"/>
          <w:vertAlign w:val="baseline"/>
          <w:lang w:val="en-US"/>
        </w:rPr>
        <w:t>] are calculated in the stock mode</w:t>
      </w:r>
      <w:r w:rsidRPr="00D64690">
        <w:rPr>
          <w:rFonts w:ascii="Arial" w:hAnsi="Arial" w:cs="Arial"/>
          <w:szCs w:val="16"/>
          <w:lang w:val="en-US"/>
        </w:rPr>
        <w:t>l based on the share of e-waste generated (</w:t>
      </w:r>
      <w:proofErr w:type="spellStart"/>
      <w:r w:rsidRPr="00D64690">
        <w:rPr>
          <w:rFonts w:ascii="Arial" w:hAnsi="Arial" w:cs="Arial"/>
          <w:szCs w:val="16"/>
          <w:lang w:val="en-US"/>
        </w:rPr>
        <w:t>tonnes</w:t>
      </w:r>
      <w:proofErr w:type="spellEnd"/>
      <w:r w:rsidRPr="00D64690">
        <w:rPr>
          <w:rFonts w:ascii="Arial" w:hAnsi="Arial" w:cs="Arial"/>
          <w:szCs w:val="16"/>
          <w:lang w:val="en-US"/>
        </w:rPr>
        <w:t xml:space="preserve">) that is recycled, considering the values presented in </w:t>
      </w:r>
      <w:r w:rsidRPr="00D64690">
        <w:rPr>
          <w:rFonts w:ascii="Arial" w:hAnsi="Arial" w:cs="Arial"/>
          <w:szCs w:val="16"/>
          <w:highlight w:val="yellow"/>
        </w:rPr>
        <w:fldChar w:fldCharType="begin"/>
      </w:r>
      <w:r w:rsidRPr="00D64690">
        <w:rPr>
          <w:rFonts w:ascii="Arial" w:hAnsi="Arial" w:cs="Arial"/>
          <w:szCs w:val="16"/>
        </w:rPr>
        <w:instrText xml:space="preserve"> REF _Ref70088181 \h </w:instrText>
      </w:r>
      <w:r w:rsidRPr="00D64690">
        <w:rPr>
          <w:rFonts w:ascii="Arial" w:hAnsi="Arial" w:cs="Arial"/>
          <w:szCs w:val="16"/>
          <w:highlight w:val="yellow"/>
        </w:rPr>
        <w:instrText xml:space="preserve"> \* MERGEFORMAT </w:instrText>
      </w:r>
      <w:r w:rsidRPr="00D64690">
        <w:rPr>
          <w:rFonts w:ascii="Arial" w:hAnsi="Arial" w:cs="Arial"/>
          <w:szCs w:val="16"/>
          <w:highlight w:val="yellow"/>
        </w:rPr>
      </w:r>
      <w:r w:rsidRPr="00D64690">
        <w:rPr>
          <w:rFonts w:ascii="Arial" w:hAnsi="Arial" w:cs="Arial"/>
          <w:szCs w:val="16"/>
          <w:highlight w:val="yellow"/>
        </w:rPr>
        <w:fldChar w:fldCharType="separate"/>
      </w:r>
      <w:r w:rsidRPr="00D64690">
        <w:rPr>
          <w:rFonts w:ascii="Arial" w:hAnsi="Arial" w:cs="Arial"/>
          <w:szCs w:val="16"/>
        </w:rPr>
        <w:t>Table 4</w:t>
      </w:r>
      <w:r w:rsidRPr="00D64690">
        <w:rPr>
          <w:rFonts w:ascii="Arial" w:hAnsi="Arial" w:cs="Arial"/>
          <w:szCs w:val="16"/>
          <w:highlight w:val="yellow"/>
        </w:rPr>
        <w:fldChar w:fldCharType="end"/>
      </w:r>
      <w:r w:rsidRPr="00D64690">
        <w:rPr>
          <w:rFonts w:ascii="Arial" w:hAnsi="Arial" w:cs="Arial"/>
          <w:szCs w:val="16"/>
        </w:rPr>
        <w:t xml:space="preserve"> in section 4.1.</w:t>
      </w:r>
    </w:p>
  </w:footnote>
  <w:footnote w:id="149">
    <w:p w14:paraId="79FC50DF" w14:textId="5FB31702"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The market of video-game consoles is </w:t>
      </w:r>
      <w:r w:rsidR="004F27EF">
        <w:rPr>
          <w:rFonts w:ascii="Arial" w:hAnsi="Arial" w:cs="Arial"/>
          <w:szCs w:val="16"/>
        </w:rPr>
        <w:t>9</w:t>
      </w:r>
      <w:r w:rsidRPr="00D64690">
        <w:rPr>
          <w:rFonts w:ascii="Arial" w:hAnsi="Arial" w:cs="Arial"/>
          <w:szCs w:val="16"/>
        </w:rPr>
        <w:t>% of the market of mobile phones. Five out of nine of the consoles mapped used USB micro-B connectors (i.e. almost half of the market assuming similar market shares across the devices analysed), which represents a bit over half of the market.</w:t>
      </w:r>
    </w:p>
  </w:footnote>
  <w:footnote w:id="150">
    <w:p w14:paraId="057225B0" w14:textId="658A6C8A"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Percentages have been calculated according to the size of the market of each device when sold bundled with EPS, in relation to number of chargers sold bundled with mobile phones and number of standalone chargers sold  (in the stock model, the number of EPS sold in the EU in 2020 is 210 million).</w:t>
      </w:r>
    </w:p>
  </w:footnote>
  <w:footnote w:id="151">
    <w:p w14:paraId="14160876" w14:textId="7009B32F" w:rsidR="008225D3" w:rsidRPr="00D64690" w:rsidRDefault="008225D3" w:rsidP="00A37355">
      <w:pPr>
        <w:pStyle w:val="FootnoteText"/>
        <w:spacing w:after="60"/>
        <w:jc w:val="left"/>
        <w:rPr>
          <w:rFonts w:ascii="Arial" w:hAnsi="Arial" w:cs="Arial"/>
          <w:szCs w:val="16"/>
        </w:rPr>
      </w:pPr>
      <w:r w:rsidRPr="00D64690">
        <w:rPr>
          <w:rStyle w:val="FootnoteReference"/>
          <w:rFonts w:ascii="Arial" w:hAnsi="Arial" w:cs="Arial"/>
          <w:szCs w:val="16"/>
        </w:rPr>
        <w:footnoteRef/>
      </w:r>
      <w:r w:rsidRPr="00D64690">
        <w:rPr>
          <w:rFonts w:ascii="Arial" w:hAnsi="Arial" w:cs="Arial"/>
          <w:szCs w:val="16"/>
        </w:rPr>
        <w:t xml:space="preserve"> Ibid. (see previous footnote).</w:t>
      </w:r>
    </w:p>
  </w:footnote>
  <w:footnote w:id="152">
    <w:p w14:paraId="0FDE9D27" w14:textId="77777777" w:rsidR="008225D3" w:rsidRPr="00D64690" w:rsidRDefault="008225D3" w:rsidP="00A37355">
      <w:pPr>
        <w:pStyle w:val="bullet1"/>
        <w:numPr>
          <w:ilvl w:val="0"/>
          <w:numId w:val="0"/>
        </w:numPr>
        <w:spacing w:before="0" w:after="60"/>
        <w:jc w:val="left"/>
        <w:rPr>
          <w:rStyle w:val="FootnoteReference"/>
          <w:rFonts w:ascii="Arial" w:hAnsi="Arial" w:cs="Arial"/>
          <w:szCs w:val="16"/>
          <w:vertAlign w:val="baseline"/>
          <w:lang w:val="en-US"/>
        </w:rPr>
      </w:pPr>
      <w:r w:rsidRPr="00D64690">
        <w:rPr>
          <w:rStyle w:val="FootnoteReference"/>
          <w:rFonts w:ascii="Arial" w:hAnsi="Arial" w:cs="Arial"/>
          <w:szCs w:val="16"/>
        </w:rPr>
        <w:footnoteRef/>
      </w:r>
      <w:r w:rsidRPr="00D64690">
        <w:rPr>
          <w:rStyle w:val="FootnoteReference"/>
          <w:rFonts w:ascii="Arial" w:hAnsi="Arial" w:cs="Arial"/>
          <w:szCs w:val="16"/>
          <w:lang w:val="en-US"/>
        </w:rPr>
        <w:t xml:space="preserve"> </w:t>
      </w:r>
      <w:r w:rsidRPr="00D64690">
        <w:rPr>
          <w:rStyle w:val="FootnoteReference"/>
          <w:rFonts w:ascii="Arial" w:hAnsi="Arial" w:cs="Arial"/>
          <w:szCs w:val="16"/>
          <w:vertAlign w:val="baseline"/>
          <w:lang w:val="en-US"/>
        </w:rPr>
        <w:t>GHG emissions [tonnes] are calculated in the stock model as life-cycle emissions (cradle-to-grave) per charger component type, accounted in the year of sale. Emissions are calculated on the basis of component specific emission profiles multiplied by additions to the charger stock, as explained in section 4.1</w:t>
      </w:r>
      <w:r w:rsidRPr="00D64690">
        <w:rPr>
          <w:rFonts w:cs="Arial"/>
          <w:sz w:val="16"/>
          <w:szCs w:val="16"/>
          <w:lang w:val="en-US"/>
        </w:rPr>
        <w:t>.</w:t>
      </w:r>
    </w:p>
  </w:footnote>
  <w:footnote w:id="153">
    <w:p w14:paraId="6A3F8E1F" w14:textId="77777777" w:rsidR="008225D3" w:rsidRPr="00D64690" w:rsidRDefault="008225D3" w:rsidP="00A37355">
      <w:pPr>
        <w:pStyle w:val="bullet1"/>
        <w:numPr>
          <w:ilvl w:val="0"/>
          <w:numId w:val="0"/>
        </w:numPr>
        <w:spacing w:before="0" w:after="60"/>
        <w:jc w:val="left"/>
        <w:rPr>
          <w:rStyle w:val="FootnoteReference"/>
          <w:rFonts w:ascii="Arial" w:hAnsi="Arial" w:cs="Arial"/>
          <w:szCs w:val="16"/>
          <w:vertAlign w:val="baseline"/>
          <w:lang w:val="en-US"/>
        </w:rPr>
      </w:pPr>
      <w:r w:rsidRPr="00D64690">
        <w:rPr>
          <w:rStyle w:val="FootnoteReference"/>
          <w:rFonts w:ascii="Arial" w:hAnsi="Arial" w:cs="Arial"/>
          <w:szCs w:val="16"/>
          <w:lang w:val="en-US"/>
        </w:rPr>
        <w:footnoteRef/>
      </w:r>
      <w:r w:rsidRPr="00D64690">
        <w:rPr>
          <w:rStyle w:val="FootnoteReference"/>
          <w:rFonts w:ascii="Arial" w:hAnsi="Arial" w:cs="Arial"/>
          <w:szCs w:val="16"/>
          <w:lang w:val="en-US"/>
        </w:rPr>
        <w:t xml:space="preserve"> </w:t>
      </w:r>
      <w:r w:rsidRPr="00D64690">
        <w:rPr>
          <w:rStyle w:val="FootnoteReference"/>
          <w:rFonts w:ascii="Arial" w:hAnsi="Arial" w:cs="Arial"/>
          <w:szCs w:val="16"/>
          <w:vertAlign w:val="baseline"/>
          <w:lang w:val="en-US"/>
        </w:rPr>
        <w:t xml:space="preserve">Material use [tonnes] are </w:t>
      </w:r>
      <w:r w:rsidRPr="00D64690">
        <w:rPr>
          <w:rStyle w:val="FootnoteReference"/>
          <w:rFonts w:ascii="Arial" w:hAnsi="Arial" w:cs="Arial"/>
          <w:szCs w:val="16"/>
          <w:vertAlign w:val="baseline"/>
        </w:rPr>
        <w:t>c</w:t>
      </w:r>
      <w:r w:rsidRPr="00D64690">
        <w:rPr>
          <w:rStyle w:val="FootnoteReference"/>
          <w:rFonts w:ascii="Arial" w:hAnsi="Arial" w:cs="Arial"/>
          <w:szCs w:val="16"/>
          <w:vertAlign w:val="baseline"/>
          <w:lang w:val="en-US"/>
        </w:rPr>
        <w:t>alculated in the stock model by multiplying additions to the charger stock by a profile of the materials used. The profiles vary per EPS and cable type (weight and material content), and over time, as explained in section 4.1</w:t>
      </w:r>
      <w:r w:rsidRPr="00D64690">
        <w:rPr>
          <w:rFonts w:cs="Arial"/>
          <w:sz w:val="16"/>
          <w:szCs w:val="16"/>
          <w:lang w:val="en-US"/>
        </w:rPr>
        <w:t>.</w:t>
      </w:r>
    </w:p>
  </w:footnote>
  <w:footnote w:id="154">
    <w:p w14:paraId="58AB16F0" w14:textId="5ABF45D0" w:rsidR="008225D3" w:rsidRPr="00D64690" w:rsidRDefault="008225D3" w:rsidP="00A37355">
      <w:pPr>
        <w:pStyle w:val="bullet1"/>
        <w:numPr>
          <w:ilvl w:val="0"/>
          <w:numId w:val="0"/>
        </w:numPr>
        <w:spacing w:before="0" w:after="60"/>
        <w:jc w:val="left"/>
        <w:rPr>
          <w:rFonts w:cs="Arial"/>
          <w:sz w:val="16"/>
          <w:szCs w:val="16"/>
          <w:lang w:val="en-US"/>
        </w:rPr>
      </w:pPr>
      <w:r w:rsidRPr="00D64690">
        <w:rPr>
          <w:rStyle w:val="FootnoteReference"/>
          <w:rFonts w:ascii="Arial" w:hAnsi="Arial" w:cs="Arial"/>
          <w:szCs w:val="16"/>
          <w:lang w:val="en-US"/>
        </w:rPr>
        <w:footnoteRef/>
      </w:r>
      <w:r w:rsidRPr="00D64690">
        <w:rPr>
          <w:rStyle w:val="FootnoteReference"/>
          <w:rFonts w:ascii="Arial" w:hAnsi="Arial" w:cs="Arial"/>
          <w:szCs w:val="16"/>
          <w:vertAlign w:val="baseline"/>
          <w:lang w:val="en-US"/>
        </w:rPr>
        <w:t xml:space="preserve"> E-waste [tonnes] are calculated in the stock model as the weight of chargers disposed of each year. This is calculated by multiplying the number of units disposed by the material and weight composition of the charger component type. Sub-indicators on volumes of e-waste left untreated or recycled are also calculated, as explained in section 4.1</w:t>
      </w:r>
      <w:r w:rsidRPr="00D64690">
        <w:rPr>
          <w:rFonts w:cs="Arial"/>
          <w:sz w:val="16"/>
          <w:szCs w:val="16"/>
          <w:lang w:val="en-US"/>
        </w:rPr>
        <w:t>.</w:t>
      </w:r>
    </w:p>
  </w:footnote>
  <w:footnote w:id="155">
    <w:p w14:paraId="369BC92F" w14:textId="752E8248" w:rsidR="008225D3" w:rsidRPr="00D64690" w:rsidRDefault="008225D3" w:rsidP="00A37355">
      <w:pPr>
        <w:pStyle w:val="FootnoteText"/>
        <w:spacing w:after="60"/>
        <w:jc w:val="left"/>
        <w:rPr>
          <w:rFonts w:ascii="Arial" w:hAnsi="Arial" w:cs="Arial"/>
          <w:szCs w:val="16"/>
          <w:lang w:val="en-US"/>
        </w:rPr>
      </w:pPr>
      <w:r w:rsidRPr="00D64690">
        <w:rPr>
          <w:rStyle w:val="FootnoteReference"/>
          <w:rFonts w:ascii="Arial" w:hAnsi="Arial" w:cs="Arial"/>
          <w:szCs w:val="16"/>
        </w:rPr>
        <w:footnoteRef/>
      </w:r>
      <w:r w:rsidRPr="00D64690">
        <w:rPr>
          <w:rFonts w:ascii="Arial" w:hAnsi="Arial" w:cs="Arial"/>
          <w:szCs w:val="16"/>
          <w:lang w:val="en-US"/>
        </w:rPr>
        <w:t xml:space="preserve"> </w:t>
      </w:r>
      <w:r w:rsidRPr="00D64690">
        <w:rPr>
          <w:rStyle w:val="FootnoteReference"/>
          <w:rFonts w:ascii="Arial" w:hAnsi="Arial" w:cs="Arial"/>
          <w:szCs w:val="16"/>
          <w:vertAlign w:val="baseline"/>
          <w:lang w:val="en-US"/>
        </w:rPr>
        <w:t>U</w:t>
      </w:r>
      <w:r w:rsidRPr="00D64690">
        <w:rPr>
          <w:rFonts w:ascii="Arial" w:hAnsi="Arial" w:cs="Arial"/>
          <w:szCs w:val="16"/>
          <w:lang w:val="en-US"/>
        </w:rPr>
        <w:t xml:space="preserve">ntreated </w:t>
      </w:r>
      <w:r w:rsidRPr="00D64690">
        <w:rPr>
          <w:rStyle w:val="FootnoteReference"/>
          <w:rFonts w:ascii="Arial" w:hAnsi="Arial" w:cs="Arial"/>
          <w:szCs w:val="16"/>
          <w:vertAlign w:val="baseline"/>
          <w:lang w:val="en-US"/>
        </w:rPr>
        <w:t>e</w:t>
      </w:r>
      <w:r w:rsidRPr="00D64690">
        <w:rPr>
          <w:rFonts w:ascii="Arial" w:hAnsi="Arial" w:cs="Arial"/>
          <w:szCs w:val="16"/>
          <w:lang w:val="en-US"/>
        </w:rPr>
        <w:t xml:space="preserve">-waste </w:t>
      </w:r>
      <w:r w:rsidRPr="00D64690">
        <w:rPr>
          <w:rStyle w:val="FootnoteReference"/>
          <w:rFonts w:ascii="Arial" w:hAnsi="Arial" w:cs="Arial"/>
          <w:szCs w:val="16"/>
          <w:vertAlign w:val="baseline"/>
          <w:lang w:val="en-US"/>
        </w:rPr>
        <w:t>[</w:t>
      </w:r>
      <w:proofErr w:type="spellStart"/>
      <w:r w:rsidRPr="00D64690">
        <w:rPr>
          <w:rStyle w:val="FootnoteReference"/>
          <w:rFonts w:ascii="Arial" w:hAnsi="Arial" w:cs="Arial"/>
          <w:szCs w:val="16"/>
          <w:vertAlign w:val="baseline"/>
          <w:lang w:val="en-US"/>
        </w:rPr>
        <w:t>tonnes</w:t>
      </w:r>
      <w:proofErr w:type="spellEnd"/>
      <w:r w:rsidRPr="00D64690">
        <w:rPr>
          <w:rStyle w:val="FootnoteReference"/>
          <w:rFonts w:ascii="Arial" w:hAnsi="Arial" w:cs="Arial"/>
          <w:szCs w:val="16"/>
          <w:vertAlign w:val="baseline"/>
          <w:lang w:val="en-US"/>
        </w:rPr>
        <w:t xml:space="preserve">] are calculated in the stock model </w:t>
      </w:r>
      <w:r w:rsidRPr="00D64690">
        <w:rPr>
          <w:rFonts w:ascii="Arial" w:hAnsi="Arial" w:cs="Arial"/>
          <w:szCs w:val="16"/>
          <w:lang w:val="en-US"/>
        </w:rPr>
        <w:t>based on the share of e-waste generated (</w:t>
      </w:r>
      <w:proofErr w:type="spellStart"/>
      <w:r w:rsidRPr="00D64690">
        <w:rPr>
          <w:rFonts w:ascii="Arial" w:hAnsi="Arial" w:cs="Arial"/>
          <w:szCs w:val="16"/>
          <w:lang w:val="en-US"/>
        </w:rPr>
        <w:t>tonnes</w:t>
      </w:r>
      <w:proofErr w:type="spellEnd"/>
      <w:r w:rsidRPr="00D64690">
        <w:rPr>
          <w:rFonts w:ascii="Arial" w:hAnsi="Arial" w:cs="Arial"/>
          <w:szCs w:val="16"/>
          <w:lang w:val="en-US"/>
        </w:rPr>
        <w:t xml:space="preserve">) that is untreated (incorrectly disposed), considering the values presented in </w:t>
      </w:r>
      <w:r w:rsidRPr="00D64690">
        <w:rPr>
          <w:rFonts w:ascii="Arial" w:hAnsi="Arial" w:cs="Arial"/>
          <w:szCs w:val="16"/>
          <w:highlight w:val="yellow"/>
        </w:rPr>
        <w:fldChar w:fldCharType="begin"/>
      </w:r>
      <w:r w:rsidRPr="00D64690">
        <w:rPr>
          <w:rFonts w:ascii="Arial" w:hAnsi="Arial" w:cs="Arial"/>
          <w:szCs w:val="16"/>
        </w:rPr>
        <w:instrText xml:space="preserve"> REF _Ref70088181 \h </w:instrText>
      </w:r>
      <w:r w:rsidRPr="00D64690">
        <w:rPr>
          <w:rFonts w:ascii="Arial" w:hAnsi="Arial" w:cs="Arial"/>
          <w:szCs w:val="16"/>
          <w:highlight w:val="yellow"/>
        </w:rPr>
        <w:instrText xml:space="preserve"> \* MERGEFORMAT </w:instrText>
      </w:r>
      <w:r w:rsidRPr="00D64690">
        <w:rPr>
          <w:rFonts w:ascii="Arial" w:hAnsi="Arial" w:cs="Arial"/>
          <w:szCs w:val="16"/>
          <w:highlight w:val="yellow"/>
        </w:rPr>
      </w:r>
      <w:r w:rsidRPr="00D64690">
        <w:rPr>
          <w:rFonts w:ascii="Arial" w:hAnsi="Arial" w:cs="Arial"/>
          <w:szCs w:val="16"/>
          <w:highlight w:val="yellow"/>
        </w:rPr>
        <w:fldChar w:fldCharType="separate"/>
      </w:r>
      <w:r w:rsidRPr="00D64690">
        <w:rPr>
          <w:rFonts w:ascii="Arial" w:hAnsi="Arial" w:cs="Arial"/>
          <w:szCs w:val="16"/>
        </w:rPr>
        <w:t>Table 4</w:t>
      </w:r>
      <w:r w:rsidRPr="00D64690">
        <w:rPr>
          <w:rFonts w:ascii="Arial" w:hAnsi="Arial" w:cs="Arial"/>
          <w:szCs w:val="16"/>
          <w:highlight w:val="yellow"/>
        </w:rPr>
        <w:fldChar w:fldCharType="end"/>
      </w:r>
      <w:r w:rsidRPr="00D64690">
        <w:rPr>
          <w:rFonts w:ascii="Arial" w:hAnsi="Arial" w:cs="Arial"/>
          <w:szCs w:val="16"/>
        </w:rPr>
        <w:t xml:space="preserve"> in section 4.1 </w:t>
      </w:r>
    </w:p>
  </w:footnote>
  <w:footnote w:id="156">
    <w:p w14:paraId="1181DB4E" w14:textId="6D49739A" w:rsidR="008225D3" w:rsidRPr="00D64690" w:rsidRDefault="008225D3" w:rsidP="00A37355">
      <w:pPr>
        <w:pStyle w:val="FootnoteText"/>
        <w:spacing w:after="60"/>
        <w:jc w:val="left"/>
        <w:rPr>
          <w:rFonts w:ascii="Arial" w:hAnsi="Arial" w:cs="Arial"/>
          <w:szCs w:val="16"/>
          <w:lang w:val="en-US"/>
        </w:rPr>
      </w:pPr>
      <w:r w:rsidRPr="00D64690">
        <w:rPr>
          <w:rStyle w:val="FootnoteReference"/>
          <w:rFonts w:ascii="Arial" w:hAnsi="Arial" w:cs="Arial"/>
          <w:szCs w:val="16"/>
        </w:rPr>
        <w:footnoteRef/>
      </w:r>
      <w:r w:rsidRPr="00D64690">
        <w:rPr>
          <w:rFonts w:ascii="Arial" w:hAnsi="Arial" w:cs="Arial"/>
          <w:szCs w:val="16"/>
          <w:lang w:val="en-US"/>
        </w:rPr>
        <w:t xml:space="preserve"> Recycled </w:t>
      </w:r>
      <w:r w:rsidRPr="00D64690">
        <w:rPr>
          <w:rStyle w:val="FootnoteReference"/>
          <w:rFonts w:ascii="Arial" w:hAnsi="Arial" w:cs="Arial"/>
          <w:szCs w:val="16"/>
          <w:vertAlign w:val="baseline"/>
          <w:lang w:val="en-US"/>
        </w:rPr>
        <w:t>e</w:t>
      </w:r>
      <w:r w:rsidRPr="00D64690">
        <w:rPr>
          <w:rFonts w:ascii="Arial" w:hAnsi="Arial" w:cs="Arial"/>
          <w:szCs w:val="16"/>
          <w:lang w:val="en-US"/>
        </w:rPr>
        <w:t xml:space="preserve">-waste </w:t>
      </w:r>
      <w:r w:rsidRPr="00D64690">
        <w:rPr>
          <w:rStyle w:val="FootnoteReference"/>
          <w:rFonts w:ascii="Arial" w:hAnsi="Arial" w:cs="Arial"/>
          <w:szCs w:val="16"/>
          <w:vertAlign w:val="baseline"/>
          <w:lang w:val="en-US"/>
        </w:rPr>
        <w:t>[</w:t>
      </w:r>
      <w:proofErr w:type="spellStart"/>
      <w:r w:rsidRPr="00D64690">
        <w:rPr>
          <w:rStyle w:val="FootnoteReference"/>
          <w:rFonts w:ascii="Arial" w:hAnsi="Arial" w:cs="Arial"/>
          <w:szCs w:val="16"/>
          <w:vertAlign w:val="baseline"/>
          <w:lang w:val="en-US"/>
        </w:rPr>
        <w:t>tonnes</w:t>
      </w:r>
      <w:proofErr w:type="spellEnd"/>
      <w:r w:rsidRPr="00D64690">
        <w:rPr>
          <w:rStyle w:val="FootnoteReference"/>
          <w:rFonts w:ascii="Arial" w:hAnsi="Arial" w:cs="Arial"/>
          <w:szCs w:val="16"/>
          <w:vertAlign w:val="baseline"/>
          <w:lang w:val="en-US"/>
        </w:rPr>
        <w:t>] are calculated in the stock mode</w:t>
      </w:r>
      <w:r w:rsidRPr="00D64690">
        <w:rPr>
          <w:rFonts w:ascii="Arial" w:hAnsi="Arial" w:cs="Arial"/>
          <w:szCs w:val="16"/>
          <w:lang w:val="en-US"/>
        </w:rPr>
        <w:t>l based on the share of e-waste generated (</w:t>
      </w:r>
      <w:proofErr w:type="spellStart"/>
      <w:r w:rsidRPr="00D64690">
        <w:rPr>
          <w:rFonts w:ascii="Arial" w:hAnsi="Arial" w:cs="Arial"/>
          <w:szCs w:val="16"/>
          <w:lang w:val="en-US"/>
        </w:rPr>
        <w:t>tonnes</w:t>
      </w:r>
      <w:proofErr w:type="spellEnd"/>
      <w:r w:rsidRPr="00D64690">
        <w:rPr>
          <w:rFonts w:ascii="Arial" w:hAnsi="Arial" w:cs="Arial"/>
          <w:szCs w:val="16"/>
          <w:lang w:val="en-US"/>
        </w:rPr>
        <w:t xml:space="preserve">) that is recycled, considering the values presented in </w:t>
      </w:r>
      <w:r w:rsidRPr="00D64690">
        <w:rPr>
          <w:rFonts w:ascii="Arial" w:hAnsi="Arial" w:cs="Arial"/>
          <w:szCs w:val="16"/>
          <w:highlight w:val="yellow"/>
        </w:rPr>
        <w:fldChar w:fldCharType="begin"/>
      </w:r>
      <w:r w:rsidRPr="00D64690">
        <w:rPr>
          <w:rFonts w:ascii="Arial" w:hAnsi="Arial" w:cs="Arial"/>
          <w:szCs w:val="16"/>
        </w:rPr>
        <w:instrText xml:space="preserve"> REF _Ref70088181 \h </w:instrText>
      </w:r>
      <w:r w:rsidRPr="00D64690">
        <w:rPr>
          <w:rFonts w:ascii="Arial" w:hAnsi="Arial" w:cs="Arial"/>
          <w:szCs w:val="16"/>
          <w:highlight w:val="yellow"/>
        </w:rPr>
        <w:instrText xml:space="preserve"> \* MERGEFORMAT </w:instrText>
      </w:r>
      <w:r w:rsidRPr="00D64690">
        <w:rPr>
          <w:rFonts w:ascii="Arial" w:hAnsi="Arial" w:cs="Arial"/>
          <w:szCs w:val="16"/>
          <w:highlight w:val="yellow"/>
        </w:rPr>
      </w:r>
      <w:r w:rsidRPr="00D64690">
        <w:rPr>
          <w:rFonts w:ascii="Arial" w:hAnsi="Arial" w:cs="Arial"/>
          <w:szCs w:val="16"/>
          <w:highlight w:val="yellow"/>
        </w:rPr>
        <w:fldChar w:fldCharType="separate"/>
      </w:r>
      <w:r w:rsidRPr="00D64690">
        <w:rPr>
          <w:rFonts w:ascii="Arial" w:hAnsi="Arial" w:cs="Arial"/>
          <w:szCs w:val="16"/>
        </w:rPr>
        <w:t>Table 4</w:t>
      </w:r>
      <w:r w:rsidRPr="00D64690">
        <w:rPr>
          <w:rFonts w:ascii="Arial" w:hAnsi="Arial" w:cs="Arial"/>
          <w:szCs w:val="16"/>
          <w:highlight w:val="yellow"/>
        </w:rPr>
        <w:fldChar w:fldCharType="end"/>
      </w:r>
      <w:r w:rsidRPr="00D64690">
        <w:rPr>
          <w:rFonts w:ascii="Arial" w:hAnsi="Arial" w:cs="Arial"/>
          <w:szCs w:val="16"/>
        </w:rPr>
        <w:t xml:space="preserve"> in section 4.1.</w:t>
      </w:r>
    </w:p>
  </w:footnote>
  <w:footnote w:id="157">
    <w:p w14:paraId="03F79717" w14:textId="77777777" w:rsidR="008225D3" w:rsidRPr="00D64690" w:rsidRDefault="008225D3" w:rsidP="00A37355">
      <w:pPr>
        <w:pStyle w:val="bullet1"/>
        <w:numPr>
          <w:ilvl w:val="0"/>
          <w:numId w:val="0"/>
        </w:numPr>
        <w:spacing w:before="0" w:after="60"/>
        <w:jc w:val="left"/>
        <w:rPr>
          <w:rStyle w:val="FootnoteReference"/>
          <w:rFonts w:ascii="Arial" w:hAnsi="Arial" w:cs="Arial"/>
          <w:szCs w:val="16"/>
          <w:vertAlign w:val="baseline"/>
          <w:lang w:val="en-US"/>
        </w:rPr>
      </w:pPr>
      <w:r w:rsidRPr="00D64690">
        <w:rPr>
          <w:rStyle w:val="FootnoteReference"/>
          <w:rFonts w:ascii="Arial" w:hAnsi="Arial" w:cs="Arial"/>
          <w:szCs w:val="16"/>
        </w:rPr>
        <w:footnoteRef/>
      </w:r>
      <w:r w:rsidRPr="00D64690">
        <w:rPr>
          <w:rStyle w:val="FootnoteReference"/>
          <w:rFonts w:ascii="Arial" w:hAnsi="Arial" w:cs="Arial"/>
          <w:szCs w:val="16"/>
          <w:lang w:val="en-US"/>
        </w:rPr>
        <w:t xml:space="preserve"> </w:t>
      </w:r>
      <w:r w:rsidRPr="00D64690">
        <w:rPr>
          <w:rStyle w:val="FootnoteReference"/>
          <w:rFonts w:ascii="Arial" w:hAnsi="Arial" w:cs="Arial"/>
          <w:szCs w:val="16"/>
          <w:vertAlign w:val="baseline"/>
          <w:lang w:val="en-US"/>
        </w:rPr>
        <w:t>GHG emissions [tonnes] are calculated in the stock model as life-cycle emissions (cradle-to-grave) per charger component type, accounted in the year of sale. Emissions are calculated on the basis of component specific emission profiles multiplied by additions to the charger stock, as explained in section 4.1</w:t>
      </w:r>
      <w:r w:rsidRPr="00D64690">
        <w:rPr>
          <w:rFonts w:cs="Arial"/>
          <w:sz w:val="16"/>
          <w:szCs w:val="16"/>
          <w:lang w:val="en-US"/>
        </w:rPr>
        <w:t>.</w:t>
      </w:r>
    </w:p>
  </w:footnote>
  <w:footnote w:id="158">
    <w:p w14:paraId="4C6BF5D1" w14:textId="77777777" w:rsidR="008225D3" w:rsidRPr="00D64690" w:rsidRDefault="008225D3" w:rsidP="00A37355">
      <w:pPr>
        <w:pStyle w:val="bullet1"/>
        <w:numPr>
          <w:ilvl w:val="0"/>
          <w:numId w:val="0"/>
        </w:numPr>
        <w:spacing w:before="0" w:after="60"/>
        <w:jc w:val="left"/>
        <w:rPr>
          <w:rStyle w:val="FootnoteReference"/>
          <w:rFonts w:ascii="Arial" w:hAnsi="Arial" w:cs="Arial"/>
          <w:szCs w:val="16"/>
          <w:vertAlign w:val="baseline"/>
          <w:lang w:val="en-US"/>
        </w:rPr>
      </w:pPr>
      <w:r w:rsidRPr="00D64690">
        <w:rPr>
          <w:rStyle w:val="FootnoteReference"/>
          <w:rFonts w:ascii="Arial" w:hAnsi="Arial" w:cs="Arial"/>
          <w:szCs w:val="16"/>
          <w:lang w:val="en-US"/>
        </w:rPr>
        <w:footnoteRef/>
      </w:r>
      <w:r w:rsidRPr="00D64690">
        <w:rPr>
          <w:rStyle w:val="FootnoteReference"/>
          <w:rFonts w:ascii="Arial" w:hAnsi="Arial" w:cs="Arial"/>
          <w:szCs w:val="16"/>
          <w:lang w:val="en-US"/>
        </w:rPr>
        <w:t xml:space="preserve"> </w:t>
      </w:r>
      <w:r w:rsidRPr="00D64690">
        <w:rPr>
          <w:rStyle w:val="FootnoteReference"/>
          <w:rFonts w:ascii="Arial" w:hAnsi="Arial" w:cs="Arial"/>
          <w:szCs w:val="16"/>
          <w:vertAlign w:val="baseline"/>
          <w:lang w:val="en-US"/>
        </w:rPr>
        <w:t xml:space="preserve">Material use [tonnes] are </w:t>
      </w:r>
      <w:r w:rsidRPr="00D64690">
        <w:rPr>
          <w:rStyle w:val="FootnoteReference"/>
          <w:rFonts w:ascii="Arial" w:hAnsi="Arial" w:cs="Arial"/>
          <w:szCs w:val="16"/>
          <w:vertAlign w:val="baseline"/>
        </w:rPr>
        <w:t>c</w:t>
      </w:r>
      <w:r w:rsidRPr="00D64690">
        <w:rPr>
          <w:rStyle w:val="FootnoteReference"/>
          <w:rFonts w:ascii="Arial" w:hAnsi="Arial" w:cs="Arial"/>
          <w:szCs w:val="16"/>
          <w:vertAlign w:val="baseline"/>
          <w:lang w:val="en-US"/>
        </w:rPr>
        <w:t>alculated in the stock model by multiplying additions to the charger stock by a profile of the materials used. The profiles vary per EPS and cable type (weight and material content), and over time, as explained in section 4.1</w:t>
      </w:r>
      <w:r w:rsidRPr="00D64690">
        <w:rPr>
          <w:rFonts w:cs="Arial"/>
          <w:sz w:val="16"/>
          <w:szCs w:val="16"/>
          <w:lang w:val="en-US"/>
        </w:rPr>
        <w:t>.</w:t>
      </w:r>
    </w:p>
  </w:footnote>
  <w:footnote w:id="159">
    <w:p w14:paraId="64C2300F" w14:textId="77777777" w:rsidR="008225D3" w:rsidRPr="00D64690" w:rsidRDefault="008225D3" w:rsidP="00A37355">
      <w:pPr>
        <w:pStyle w:val="bullet1"/>
        <w:numPr>
          <w:ilvl w:val="0"/>
          <w:numId w:val="0"/>
        </w:numPr>
        <w:spacing w:before="0" w:after="60"/>
        <w:jc w:val="left"/>
        <w:rPr>
          <w:rStyle w:val="FootnoteReference"/>
          <w:rFonts w:ascii="Arial" w:hAnsi="Arial" w:cs="Arial"/>
          <w:szCs w:val="16"/>
          <w:vertAlign w:val="baseline"/>
          <w:lang w:val="en-US"/>
        </w:rPr>
      </w:pPr>
      <w:r w:rsidRPr="00D64690">
        <w:rPr>
          <w:rStyle w:val="FootnoteReference"/>
          <w:rFonts w:ascii="Arial" w:hAnsi="Arial" w:cs="Arial"/>
          <w:szCs w:val="16"/>
          <w:lang w:val="en-US"/>
        </w:rPr>
        <w:footnoteRef/>
      </w:r>
      <w:r w:rsidRPr="00D64690">
        <w:rPr>
          <w:rStyle w:val="FootnoteReference"/>
          <w:rFonts w:ascii="Arial" w:hAnsi="Arial" w:cs="Arial"/>
          <w:szCs w:val="16"/>
          <w:vertAlign w:val="baseline"/>
          <w:lang w:val="en-US"/>
        </w:rPr>
        <w:t xml:space="preserve"> E-waste [tonnes] are calculated in the stock model as the weight of chargers disposed of each year. This is calculated by multiplying the number of units disposed by the material and weight composition of the charger component type. Sub-indicators on volumes of e-waste left untreated or recycled are also calculated, as explained in section 4.1</w:t>
      </w:r>
      <w:r w:rsidRPr="00D64690">
        <w:rPr>
          <w:rFonts w:cs="Arial"/>
          <w:sz w:val="16"/>
          <w:szCs w:val="16"/>
          <w:lang w:val="en-US"/>
        </w:rPr>
        <w:t>.</w:t>
      </w:r>
    </w:p>
    <w:p w14:paraId="08BAA730" w14:textId="77777777" w:rsidR="008225D3" w:rsidRPr="00D64690" w:rsidRDefault="008225D3" w:rsidP="00A37355">
      <w:pPr>
        <w:pStyle w:val="FootnoteText"/>
        <w:spacing w:after="60"/>
        <w:jc w:val="left"/>
        <w:rPr>
          <w:rFonts w:ascii="Arial" w:hAnsi="Arial" w:cs="Arial"/>
          <w:szCs w:val="16"/>
          <w:lang w:val="en-US"/>
        </w:rPr>
      </w:pPr>
    </w:p>
  </w:footnote>
  <w:footnote w:id="160">
    <w:p w14:paraId="7BAC99F3" w14:textId="518C4B72" w:rsidR="008225D3" w:rsidRPr="00D64690" w:rsidRDefault="008225D3" w:rsidP="00A37355">
      <w:pPr>
        <w:pStyle w:val="FootnoteText"/>
        <w:spacing w:after="60"/>
        <w:jc w:val="left"/>
        <w:rPr>
          <w:rFonts w:ascii="Arial" w:hAnsi="Arial" w:cs="Arial"/>
          <w:szCs w:val="16"/>
          <w:lang w:val="en-US"/>
        </w:rPr>
      </w:pPr>
      <w:r w:rsidRPr="00D64690">
        <w:rPr>
          <w:rStyle w:val="FootnoteReference"/>
          <w:rFonts w:ascii="Arial" w:hAnsi="Arial" w:cs="Arial"/>
          <w:szCs w:val="16"/>
        </w:rPr>
        <w:footnoteRef/>
      </w:r>
      <w:r w:rsidRPr="00D64690">
        <w:rPr>
          <w:rFonts w:ascii="Arial" w:hAnsi="Arial" w:cs="Arial"/>
          <w:szCs w:val="16"/>
          <w:lang w:val="en-US"/>
        </w:rPr>
        <w:t xml:space="preserve"> </w:t>
      </w:r>
      <w:r w:rsidRPr="00D64690">
        <w:rPr>
          <w:rStyle w:val="FootnoteReference"/>
          <w:rFonts w:ascii="Arial" w:hAnsi="Arial" w:cs="Arial"/>
          <w:szCs w:val="16"/>
          <w:vertAlign w:val="baseline"/>
          <w:lang w:val="en-US"/>
        </w:rPr>
        <w:t>U</w:t>
      </w:r>
      <w:r w:rsidRPr="00D64690">
        <w:rPr>
          <w:rFonts w:ascii="Arial" w:hAnsi="Arial" w:cs="Arial"/>
          <w:szCs w:val="16"/>
          <w:lang w:val="en-US"/>
        </w:rPr>
        <w:t xml:space="preserve">ntreated </w:t>
      </w:r>
      <w:r w:rsidRPr="00D64690">
        <w:rPr>
          <w:rStyle w:val="FootnoteReference"/>
          <w:rFonts w:ascii="Arial" w:hAnsi="Arial" w:cs="Arial"/>
          <w:szCs w:val="16"/>
          <w:vertAlign w:val="baseline"/>
          <w:lang w:val="en-US"/>
        </w:rPr>
        <w:t>e</w:t>
      </w:r>
      <w:r w:rsidRPr="00D64690">
        <w:rPr>
          <w:rFonts w:ascii="Arial" w:hAnsi="Arial" w:cs="Arial"/>
          <w:szCs w:val="16"/>
          <w:lang w:val="en-US"/>
        </w:rPr>
        <w:t xml:space="preserve">-waste </w:t>
      </w:r>
      <w:r w:rsidRPr="00D64690">
        <w:rPr>
          <w:rStyle w:val="FootnoteReference"/>
          <w:rFonts w:ascii="Arial" w:hAnsi="Arial" w:cs="Arial"/>
          <w:szCs w:val="16"/>
          <w:vertAlign w:val="baseline"/>
          <w:lang w:val="en-US"/>
        </w:rPr>
        <w:t>[</w:t>
      </w:r>
      <w:proofErr w:type="spellStart"/>
      <w:r w:rsidRPr="00D64690">
        <w:rPr>
          <w:rStyle w:val="FootnoteReference"/>
          <w:rFonts w:ascii="Arial" w:hAnsi="Arial" w:cs="Arial"/>
          <w:szCs w:val="16"/>
          <w:vertAlign w:val="baseline"/>
          <w:lang w:val="en-US"/>
        </w:rPr>
        <w:t>tonnes</w:t>
      </w:r>
      <w:proofErr w:type="spellEnd"/>
      <w:r w:rsidRPr="00D64690">
        <w:rPr>
          <w:rStyle w:val="FootnoteReference"/>
          <w:rFonts w:ascii="Arial" w:hAnsi="Arial" w:cs="Arial"/>
          <w:szCs w:val="16"/>
          <w:vertAlign w:val="baseline"/>
          <w:lang w:val="en-US"/>
        </w:rPr>
        <w:t xml:space="preserve">] are calculated in the stock model </w:t>
      </w:r>
      <w:r w:rsidRPr="00D64690">
        <w:rPr>
          <w:rFonts w:ascii="Arial" w:hAnsi="Arial" w:cs="Arial"/>
          <w:szCs w:val="16"/>
          <w:lang w:val="en-US"/>
        </w:rPr>
        <w:t>based on the share of e-waste generated (</w:t>
      </w:r>
      <w:proofErr w:type="spellStart"/>
      <w:r w:rsidRPr="00D64690">
        <w:rPr>
          <w:rFonts w:ascii="Arial" w:hAnsi="Arial" w:cs="Arial"/>
          <w:szCs w:val="16"/>
          <w:lang w:val="en-US"/>
        </w:rPr>
        <w:t>tonnes</w:t>
      </w:r>
      <w:proofErr w:type="spellEnd"/>
      <w:r w:rsidRPr="00D64690">
        <w:rPr>
          <w:rFonts w:ascii="Arial" w:hAnsi="Arial" w:cs="Arial"/>
          <w:szCs w:val="16"/>
          <w:lang w:val="en-US"/>
        </w:rPr>
        <w:t xml:space="preserve">) that is untreated (incorrectly disposed), considering the values presented in </w:t>
      </w:r>
      <w:r w:rsidRPr="00D64690">
        <w:rPr>
          <w:rFonts w:ascii="Arial" w:hAnsi="Arial" w:cs="Arial"/>
          <w:szCs w:val="16"/>
          <w:highlight w:val="yellow"/>
        </w:rPr>
        <w:fldChar w:fldCharType="begin"/>
      </w:r>
      <w:r w:rsidRPr="00D64690">
        <w:rPr>
          <w:rFonts w:ascii="Arial" w:hAnsi="Arial" w:cs="Arial"/>
          <w:szCs w:val="16"/>
        </w:rPr>
        <w:instrText xml:space="preserve"> REF _Ref70088181 \h </w:instrText>
      </w:r>
      <w:r w:rsidRPr="00D64690">
        <w:rPr>
          <w:rFonts w:ascii="Arial" w:hAnsi="Arial" w:cs="Arial"/>
          <w:szCs w:val="16"/>
          <w:highlight w:val="yellow"/>
        </w:rPr>
        <w:instrText xml:space="preserve"> \* MERGEFORMAT </w:instrText>
      </w:r>
      <w:r w:rsidRPr="00D64690">
        <w:rPr>
          <w:rFonts w:ascii="Arial" w:hAnsi="Arial" w:cs="Arial"/>
          <w:szCs w:val="16"/>
          <w:highlight w:val="yellow"/>
        </w:rPr>
      </w:r>
      <w:r w:rsidRPr="00D64690">
        <w:rPr>
          <w:rFonts w:ascii="Arial" w:hAnsi="Arial" w:cs="Arial"/>
          <w:szCs w:val="16"/>
          <w:highlight w:val="yellow"/>
        </w:rPr>
        <w:fldChar w:fldCharType="separate"/>
      </w:r>
      <w:r w:rsidRPr="00D64690">
        <w:rPr>
          <w:rFonts w:ascii="Arial" w:hAnsi="Arial" w:cs="Arial"/>
          <w:szCs w:val="16"/>
        </w:rPr>
        <w:t>Table 4</w:t>
      </w:r>
      <w:r w:rsidRPr="00D64690">
        <w:rPr>
          <w:rFonts w:ascii="Arial" w:hAnsi="Arial" w:cs="Arial"/>
          <w:szCs w:val="16"/>
          <w:highlight w:val="yellow"/>
        </w:rPr>
        <w:fldChar w:fldCharType="end"/>
      </w:r>
      <w:r w:rsidRPr="00D64690">
        <w:rPr>
          <w:rFonts w:ascii="Arial" w:hAnsi="Arial" w:cs="Arial"/>
          <w:szCs w:val="16"/>
        </w:rPr>
        <w:t xml:space="preserve"> in section 4.1 </w:t>
      </w:r>
    </w:p>
  </w:footnote>
  <w:footnote w:id="161">
    <w:p w14:paraId="279B045A" w14:textId="2775F574" w:rsidR="008225D3" w:rsidRPr="00D64690" w:rsidRDefault="008225D3" w:rsidP="00A37355">
      <w:pPr>
        <w:pStyle w:val="FootnoteText"/>
        <w:spacing w:after="60"/>
        <w:jc w:val="left"/>
        <w:rPr>
          <w:rFonts w:ascii="Arial" w:hAnsi="Arial" w:cs="Arial"/>
          <w:szCs w:val="16"/>
          <w:lang w:val="en-US"/>
        </w:rPr>
      </w:pPr>
      <w:r w:rsidRPr="00D64690">
        <w:rPr>
          <w:rStyle w:val="FootnoteReference"/>
          <w:rFonts w:ascii="Arial" w:hAnsi="Arial" w:cs="Arial"/>
          <w:szCs w:val="16"/>
        </w:rPr>
        <w:footnoteRef/>
      </w:r>
      <w:r w:rsidRPr="00D64690">
        <w:rPr>
          <w:rFonts w:ascii="Arial" w:hAnsi="Arial" w:cs="Arial"/>
          <w:szCs w:val="16"/>
          <w:lang w:val="en-US"/>
        </w:rPr>
        <w:t xml:space="preserve"> Recycled </w:t>
      </w:r>
      <w:r w:rsidRPr="00D64690">
        <w:rPr>
          <w:rStyle w:val="FootnoteReference"/>
          <w:rFonts w:ascii="Arial" w:hAnsi="Arial" w:cs="Arial"/>
          <w:szCs w:val="16"/>
          <w:vertAlign w:val="baseline"/>
          <w:lang w:val="en-US"/>
        </w:rPr>
        <w:t>e</w:t>
      </w:r>
      <w:r w:rsidRPr="00D64690">
        <w:rPr>
          <w:rFonts w:ascii="Arial" w:hAnsi="Arial" w:cs="Arial"/>
          <w:szCs w:val="16"/>
          <w:lang w:val="en-US"/>
        </w:rPr>
        <w:t xml:space="preserve">-waste </w:t>
      </w:r>
      <w:r w:rsidRPr="00D64690">
        <w:rPr>
          <w:rStyle w:val="FootnoteReference"/>
          <w:rFonts w:ascii="Arial" w:hAnsi="Arial" w:cs="Arial"/>
          <w:szCs w:val="16"/>
          <w:vertAlign w:val="baseline"/>
          <w:lang w:val="en-US"/>
        </w:rPr>
        <w:t>[</w:t>
      </w:r>
      <w:proofErr w:type="spellStart"/>
      <w:r w:rsidRPr="00D64690">
        <w:rPr>
          <w:rStyle w:val="FootnoteReference"/>
          <w:rFonts w:ascii="Arial" w:hAnsi="Arial" w:cs="Arial"/>
          <w:szCs w:val="16"/>
          <w:vertAlign w:val="baseline"/>
          <w:lang w:val="en-US"/>
        </w:rPr>
        <w:t>tonnes</w:t>
      </w:r>
      <w:proofErr w:type="spellEnd"/>
      <w:r w:rsidRPr="00D64690">
        <w:rPr>
          <w:rStyle w:val="FootnoteReference"/>
          <w:rFonts w:ascii="Arial" w:hAnsi="Arial" w:cs="Arial"/>
          <w:szCs w:val="16"/>
          <w:vertAlign w:val="baseline"/>
          <w:lang w:val="en-US"/>
        </w:rPr>
        <w:t>] are calculated in the stock mode</w:t>
      </w:r>
      <w:r w:rsidRPr="00D64690">
        <w:rPr>
          <w:rFonts w:ascii="Arial" w:hAnsi="Arial" w:cs="Arial"/>
          <w:szCs w:val="16"/>
          <w:lang w:val="en-US"/>
        </w:rPr>
        <w:t>l based on the share of e-waste generated (</w:t>
      </w:r>
      <w:proofErr w:type="spellStart"/>
      <w:r w:rsidRPr="00D64690">
        <w:rPr>
          <w:rFonts w:ascii="Arial" w:hAnsi="Arial" w:cs="Arial"/>
          <w:szCs w:val="16"/>
          <w:lang w:val="en-US"/>
        </w:rPr>
        <w:t>tonnes</w:t>
      </w:r>
      <w:proofErr w:type="spellEnd"/>
      <w:r w:rsidRPr="00D64690">
        <w:rPr>
          <w:rFonts w:ascii="Arial" w:hAnsi="Arial" w:cs="Arial"/>
          <w:szCs w:val="16"/>
          <w:lang w:val="en-US"/>
        </w:rPr>
        <w:t xml:space="preserve">) that is recycled, considering the values presented in </w:t>
      </w:r>
      <w:r w:rsidRPr="00D64690">
        <w:rPr>
          <w:rFonts w:ascii="Arial" w:hAnsi="Arial" w:cs="Arial"/>
          <w:szCs w:val="16"/>
          <w:highlight w:val="yellow"/>
        </w:rPr>
        <w:fldChar w:fldCharType="begin"/>
      </w:r>
      <w:r w:rsidRPr="00D64690">
        <w:rPr>
          <w:rFonts w:ascii="Arial" w:hAnsi="Arial" w:cs="Arial"/>
          <w:szCs w:val="16"/>
        </w:rPr>
        <w:instrText xml:space="preserve"> REF _Ref70088181 \h </w:instrText>
      </w:r>
      <w:r w:rsidRPr="00D64690">
        <w:rPr>
          <w:rFonts w:ascii="Arial" w:hAnsi="Arial" w:cs="Arial"/>
          <w:szCs w:val="16"/>
          <w:highlight w:val="yellow"/>
        </w:rPr>
        <w:instrText xml:space="preserve"> \* MERGEFORMAT </w:instrText>
      </w:r>
      <w:r w:rsidRPr="00D64690">
        <w:rPr>
          <w:rFonts w:ascii="Arial" w:hAnsi="Arial" w:cs="Arial"/>
          <w:szCs w:val="16"/>
          <w:highlight w:val="yellow"/>
        </w:rPr>
      </w:r>
      <w:r w:rsidRPr="00D64690">
        <w:rPr>
          <w:rFonts w:ascii="Arial" w:hAnsi="Arial" w:cs="Arial"/>
          <w:szCs w:val="16"/>
          <w:highlight w:val="yellow"/>
        </w:rPr>
        <w:fldChar w:fldCharType="separate"/>
      </w:r>
      <w:r w:rsidRPr="00D64690">
        <w:rPr>
          <w:rFonts w:ascii="Arial" w:hAnsi="Arial" w:cs="Arial"/>
          <w:szCs w:val="16"/>
        </w:rPr>
        <w:t>Table 4</w:t>
      </w:r>
      <w:r w:rsidRPr="00D64690">
        <w:rPr>
          <w:rFonts w:ascii="Arial" w:hAnsi="Arial" w:cs="Arial"/>
          <w:szCs w:val="16"/>
          <w:highlight w:val="yellow"/>
        </w:rPr>
        <w:fldChar w:fldCharType="end"/>
      </w:r>
      <w:r w:rsidRPr="00D64690">
        <w:rPr>
          <w:rFonts w:ascii="Arial" w:hAnsi="Arial" w:cs="Arial"/>
          <w:szCs w:val="16"/>
        </w:rPr>
        <w:t xml:space="preserve"> in section 4.1.</w:t>
      </w:r>
    </w:p>
  </w:footnote>
  <w:footnote w:id="162">
    <w:p w14:paraId="4E23C6C2" w14:textId="1F15465A" w:rsidR="008225D3" w:rsidRDefault="008225D3" w:rsidP="00A37355">
      <w:pPr>
        <w:pStyle w:val="FootnoteText"/>
        <w:jc w:val="left"/>
      </w:pPr>
      <w:r>
        <w:rPr>
          <w:rStyle w:val="FootnoteReference"/>
        </w:rPr>
        <w:footnoteRef/>
      </w:r>
      <w:r>
        <w:t xml:space="preserve"> </w:t>
      </w:r>
      <w:r w:rsidRPr="00562E0A">
        <w:rPr>
          <w:rStyle w:val="FootnoteReference"/>
          <w:rFonts w:ascii="Arial" w:hAnsi="Arial" w:cs="Arial"/>
          <w:szCs w:val="16"/>
          <w:vertAlign w:val="baseline"/>
        </w:rPr>
        <w:t xml:space="preserve">As discussed in greater detail in </w:t>
      </w:r>
      <w:r>
        <w:rPr>
          <w:rFonts w:ascii="Arial" w:hAnsi="Arial" w:cs="Arial"/>
          <w:szCs w:val="16"/>
        </w:rPr>
        <w:t xml:space="preserve">chapter 5.2, as well as in </w:t>
      </w:r>
      <w:r w:rsidRPr="00562E0A">
        <w:rPr>
          <w:rStyle w:val="FootnoteReference"/>
          <w:rFonts w:ascii="Arial" w:hAnsi="Arial" w:cs="Arial"/>
          <w:szCs w:val="16"/>
          <w:vertAlign w:val="baseline"/>
        </w:rPr>
        <w:t>the first IA study, this is because option 1 would rule out the adoption of any new “game-changing” connector technology, thereby reducing the incentives for firms to invest in research and development to seek to gain a competitive advantage, which in turn also risks reducing the pace of “incremental” innovation as regards future generations of “common” (USB) connectors.</w:t>
      </w:r>
    </w:p>
  </w:footnote>
  <w:footnote w:id="163">
    <w:p w14:paraId="4B7037A5" w14:textId="78A54660" w:rsidR="008225D3" w:rsidRDefault="008225D3" w:rsidP="001D2501">
      <w:pPr>
        <w:pStyle w:val="FootnoteText"/>
      </w:pPr>
      <w:r>
        <w:rPr>
          <w:rStyle w:val="FootnoteReference"/>
        </w:rPr>
        <w:footnoteRef/>
      </w:r>
      <w:r>
        <w:t xml:space="preserve"> In other words, under option 2, Apple’s current practice of providing cables with a USB Type-C connector on one end and a Lightning connector at the other could continue, whereas under option 1, all manufacturers would be obliged to switch to USB Type-C receptacles in their phones and matching cables.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795" w:type="dxa"/>
      <w:tblBorders>
        <w:bottom w:val="single" w:sz="4" w:space="0" w:color="7F7F7F"/>
      </w:tblBorders>
      <w:tblLayout w:type="fixed"/>
      <w:tblCellMar>
        <w:left w:w="0" w:type="dxa"/>
        <w:right w:w="0" w:type="dxa"/>
      </w:tblCellMar>
      <w:tblLook w:val="0000" w:firstRow="0" w:lastRow="0" w:firstColumn="0" w:lastColumn="0" w:noHBand="0" w:noVBand="0"/>
    </w:tblPr>
    <w:tblGrid>
      <w:gridCol w:w="1117"/>
      <w:gridCol w:w="6532"/>
      <w:gridCol w:w="1146"/>
    </w:tblGrid>
    <w:tr w:rsidR="008225D3" w14:paraId="537186DD" w14:textId="77777777" w:rsidTr="00030154">
      <w:trPr>
        <w:trHeight w:val="1597"/>
      </w:trPr>
      <w:tc>
        <w:tcPr>
          <w:tcW w:w="1117" w:type="dxa"/>
        </w:tcPr>
        <w:p w14:paraId="459D4007" w14:textId="77777777" w:rsidR="008225D3" w:rsidRDefault="008225D3" w:rsidP="00ED7DE3">
          <w:pPr>
            <w:pStyle w:val="ZCom"/>
          </w:pPr>
          <w:r>
            <w:rPr>
              <w:b/>
              <w:sz w:val="36"/>
              <w:szCs w:val="36"/>
            </w:rPr>
            <w:br w:type="page"/>
          </w:r>
          <w:r>
            <w:rPr>
              <w:b/>
              <w:sz w:val="36"/>
              <w:szCs w:val="36"/>
            </w:rPr>
            <w:br w:type="page"/>
          </w:r>
          <w:r w:rsidRPr="00B9193E">
            <w:rPr>
              <w:rFonts w:ascii="Verdana" w:hAnsi="Verdana"/>
              <w:b/>
              <w:color w:val="333333"/>
              <w:sz w:val="36"/>
              <w:szCs w:val="36"/>
            </w:rPr>
            <w:br w:type="page"/>
          </w:r>
        </w:p>
      </w:tc>
      <w:tc>
        <w:tcPr>
          <w:tcW w:w="6532" w:type="dxa"/>
          <w:vAlign w:val="center"/>
        </w:tcPr>
        <w:p w14:paraId="3CAE30F3" w14:textId="77777777" w:rsidR="008225D3" w:rsidRDefault="008225D3" w:rsidP="007A4813">
          <w:pPr>
            <w:pStyle w:val="ZDGName"/>
            <w:jc w:val="center"/>
            <w:rPr>
              <w:rFonts w:ascii="Verdana" w:hAnsi="Verdana"/>
              <w:caps/>
              <w:sz w:val="18"/>
              <w:szCs w:val="18"/>
            </w:rPr>
          </w:pPr>
        </w:p>
        <w:p w14:paraId="01989D0B" w14:textId="77777777" w:rsidR="008225D3" w:rsidRPr="00DC39C7" w:rsidRDefault="008225D3" w:rsidP="007A4813">
          <w:pPr>
            <w:jc w:val="center"/>
            <w:rPr>
              <w:rFonts w:ascii="Verdana" w:hAnsi="Verdana"/>
              <w:b/>
              <w:sz w:val="18"/>
              <w:szCs w:val="18"/>
              <w:u w:val="single"/>
            </w:rPr>
          </w:pPr>
          <w:r>
            <w:rPr>
              <w:rFonts w:ascii="Verdana" w:hAnsi="Verdana"/>
              <w:b/>
              <w:color w:val="808080"/>
              <w:sz w:val="18"/>
              <w:szCs w:val="18"/>
            </w:rPr>
            <w:t xml:space="preserve">Title of the </w:t>
          </w:r>
          <w:r w:rsidRPr="002A726D">
            <w:rPr>
              <w:rStyle w:val="HeaderTitleChar"/>
            </w:rPr>
            <w:t>document</w:t>
          </w:r>
        </w:p>
      </w:tc>
      <w:tc>
        <w:tcPr>
          <w:tcW w:w="1146" w:type="dxa"/>
        </w:tcPr>
        <w:p w14:paraId="56CD5C67" w14:textId="77777777" w:rsidR="008225D3" w:rsidRDefault="008225D3" w:rsidP="00ED7DE3">
          <w:pPr>
            <w:pStyle w:val="ZCom"/>
          </w:pPr>
        </w:p>
        <w:p w14:paraId="1F5EB81C" w14:textId="77777777" w:rsidR="008225D3" w:rsidRDefault="008225D3" w:rsidP="00ED7DE3">
          <w:pPr>
            <w:pStyle w:val="ZDGName"/>
          </w:pPr>
        </w:p>
        <w:p w14:paraId="0FC9BD34" w14:textId="77777777" w:rsidR="008225D3" w:rsidRDefault="008225D3" w:rsidP="00ED7DE3">
          <w:pPr>
            <w:pStyle w:val="ZDGName"/>
          </w:pPr>
        </w:p>
        <w:p w14:paraId="496C1BC1" w14:textId="77777777" w:rsidR="008225D3" w:rsidRPr="007D46C5" w:rsidRDefault="008225D3" w:rsidP="00ED7DE3">
          <w:pPr>
            <w:pStyle w:val="ZDGName"/>
          </w:pPr>
        </w:p>
      </w:tc>
    </w:tr>
  </w:tbl>
  <w:p w14:paraId="454FBEA0" w14:textId="77777777" w:rsidR="008225D3" w:rsidRDefault="008225D3" w:rsidP="005931F7">
    <w:pPr>
      <w:pStyle w:val="Header"/>
      <w:tabs>
        <w:tab w:val="clear" w:pos="8306"/>
      </w:tabs>
      <w:ind w:right="-742"/>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D23283" w14:textId="77777777" w:rsidR="008225D3" w:rsidRPr="00F911B8" w:rsidRDefault="008225D3" w:rsidP="007A2836">
    <w:pPr>
      <w:pStyle w:val="Header"/>
      <w:jc w:val="center"/>
      <w:rPr>
        <w:rFonts w:asciiTheme="majorHAnsi" w:hAnsiTheme="majorHAnsi" w:cstheme="majorHAnsi"/>
        <w:color w:val="808080" w:themeColor="background1" w:themeShade="80"/>
        <w:sz w:val="20"/>
      </w:rPr>
    </w:pPr>
    <w:r w:rsidRPr="00B312AC">
      <w:rPr>
        <w:rFonts w:asciiTheme="majorHAnsi" w:hAnsiTheme="majorHAnsi" w:cstheme="majorHAnsi"/>
        <w:noProof/>
        <w:color w:val="0C4DA2" w:themeColor="text2"/>
        <w:sz w:val="20"/>
        <w:lang w:eastAsia="en-GB"/>
      </w:rPr>
      <mc:AlternateContent>
        <mc:Choice Requires="wps">
          <w:drawing>
            <wp:anchor distT="0" distB="0" distL="114300" distR="114300" simplePos="0" relativeHeight="251681792" behindDoc="0" locked="0" layoutInCell="1" allowOverlap="1" wp14:anchorId="720E4A21" wp14:editId="293EBBFE">
              <wp:simplePos x="0" y="0"/>
              <wp:positionH relativeFrom="column">
                <wp:posOffset>10111</wp:posOffset>
              </wp:positionH>
              <wp:positionV relativeFrom="margin">
                <wp:posOffset>-267384</wp:posOffset>
              </wp:positionV>
              <wp:extent cx="5556739" cy="0"/>
              <wp:effectExtent l="0" t="0" r="25400" b="19050"/>
              <wp:wrapNone/>
              <wp:docPr id="4" name="Straight Connector 4"/>
              <wp:cNvGraphicFramePr/>
              <a:graphic xmlns:a="http://schemas.openxmlformats.org/drawingml/2006/main">
                <a:graphicData uri="http://schemas.microsoft.com/office/word/2010/wordprocessingShape">
                  <wps:wsp>
                    <wps:cNvCnPr/>
                    <wps:spPr>
                      <a:xfrm>
                        <a:off x="0" y="0"/>
                        <a:ext cx="5556739" cy="0"/>
                      </a:xfrm>
                      <a:prstGeom prst="line">
                        <a:avLst/>
                      </a:prstGeom>
                      <a:ln>
                        <a:solidFill>
                          <a:srgbClr val="0C4DA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line w14:anchorId="52B30E00" id="Straight Connector 4" o:spid="_x0000_s1026"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margin;mso-width-percent:0;mso-width-relative:margin" from=".8pt,-21.05pt" to="438.3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" strokecolor="#0c4da2">
              <w10:wrap anchory="margin"/>
            </v:line>
          </w:pict>
        </mc:Fallback>
      </mc:AlternateContent>
    </w:r>
    <w:r w:rsidRPr="00F911B8">
      <w:rPr>
        <w:rFonts w:asciiTheme="majorHAnsi" w:hAnsiTheme="majorHAnsi" w:cstheme="majorHAnsi"/>
        <w:color w:val="0C4DA2" w:themeColor="text2"/>
        <w:sz w:val="20"/>
      </w:rPr>
      <w:t>Impact Assessment Study on Unbundling of Chargers</w:t>
    </w:r>
  </w:p>
  <w:p w14:paraId="34E8C400" w14:textId="77777777" w:rsidR="008225D3" w:rsidRDefault="008225D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EB69A1" w14:textId="77777777" w:rsidR="008225D3" w:rsidRPr="00F911B8" w:rsidRDefault="008225D3" w:rsidP="00E15F27">
    <w:pPr>
      <w:pStyle w:val="Header"/>
      <w:jc w:val="center"/>
      <w:rPr>
        <w:rFonts w:ascii="Arial" w:hAnsi="Arial" w:cs="Arial"/>
        <w:color w:val="808080" w:themeColor="background1" w:themeShade="80"/>
        <w:sz w:val="20"/>
      </w:rPr>
    </w:pPr>
    <w:r w:rsidRPr="0007024A">
      <w:rPr>
        <w:rFonts w:ascii="Arial" w:hAnsi="Arial" w:cs="Arial"/>
        <w:noProof/>
        <w:color w:val="0C4DA2" w:themeColor="text2"/>
        <w:sz w:val="20"/>
        <w:lang w:eastAsia="en-GB"/>
      </w:rPr>
      <mc:AlternateContent>
        <mc:Choice Requires="wps">
          <w:drawing>
            <wp:anchor distT="0" distB="0" distL="114300" distR="114300" simplePos="0" relativeHeight="251682816" behindDoc="0" locked="0" layoutInCell="1" allowOverlap="1" wp14:anchorId="66BEB73E" wp14:editId="3D88B9AA">
              <wp:simplePos x="0" y="0"/>
              <wp:positionH relativeFrom="column">
                <wp:posOffset>10111</wp:posOffset>
              </wp:positionH>
              <wp:positionV relativeFrom="margin">
                <wp:posOffset>-267384</wp:posOffset>
              </wp:positionV>
              <wp:extent cx="5556739" cy="0"/>
              <wp:effectExtent l="0" t="0" r="25400" b="19050"/>
              <wp:wrapNone/>
              <wp:docPr id="14" name="Straight Connector 14"/>
              <wp:cNvGraphicFramePr/>
              <a:graphic xmlns:a="http://schemas.openxmlformats.org/drawingml/2006/main">
                <a:graphicData uri="http://schemas.microsoft.com/office/word/2010/wordprocessingShape">
                  <wps:wsp>
                    <wps:cNvCnPr/>
                    <wps:spPr>
                      <a:xfrm>
                        <a:off x="0" y="0"/>
                        <a:ext cx="5556739" cy="0"/>
                      </a:xfrm>
                      <a:prstGeom prst="line">
                        <a:avLst/>
                      </a:prstGeom>
                      <a:ln>
                        <a:solidFill>
                          <a:srgbClr val="0C4DA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line w14:anchorId="0E55C916" id="Straight Connector 14"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margin;mso-width-percent:0;mso-width-relative:margin" from=".8pt,-21.05pt" to="438.3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" strokecolor="#0c4da2">
              <w10:wrap anchory="margin"/>
            </v:line>
          </w:pict>
        </mc:Fallback>
      </mc:AlternateContent>
    </w:r>
    <w:r w:rsidRPr="00F911B8">
      <w:rPr>
        <w:rFonts w:asciiTheme="majorHAnsi" w:hAnsiTheme="majorHAnsi" w:cstheme="majorHAnsi"/>
        <w:color w:val="0C4DA2" w:themeColor="text2"/>
        <w:sz w:val="20"/>
      </w:rPr>
      <w:t xml:space="preserve"> Impact Assessment Study on Unbundling of Chargers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086DC9" w14:textId="77777777" w:rsidR="008225D3" w:rsidRPr="00623ED0" w:rsidRDefault="008225D3" w:rsidP="00623ED0">
    <w:pPr>
      <w:pStyle w:val="Header"/>
      <w:tabs>
        <w:tab w:val="left" w:pos="7513"/>
      </w:tabs>
      <w:spacing w:after="0"/>
      <w:jc w:val="center"/>
      <w:rPr>
        <w:noProof/>
        <w:lang w:eastAsia="en-GB"/>
      </w:rPr>
    </w:pPr>
    <w:r>
      <w:rPr>
        <w:noProof/>
        <w:lang w:eastAsia="en-GB"/>
      </w:rPr>
      <w:drawing>
        <wp:anchor distT="0" distB="0" distL="114300" distR="114300" simplePos="0" relativeHeight="251624448" behindDoc="1" locked="0" layoutInCell="1" allowOverlap="1" wp14:anchorId="37F73136" wp14:editId="2127B6AA">
          <wp:simplePos x="0" y="0"/>
          <wp:positionH relativeFrom="margin">
            <wp:posOffset>-914285</wp:posOffset>
          </wp:positionH>
          <wp:positionV relativeFrom="margin">
            <wp:posOffset>15240</wp:posOffset>
          </wp:positionV>
          <wp:extent cx="7868188" cy="8188036"/>
          <wp:effectExtent l="0" t="0" r="0" b="3810"/>
          <wp:wrapNone/>
          <wp:docPr id="8" name="Picture 1" descr="Description: Description: Description: C:\Documents and Settings\lenain\Local Settings\Temporary Internet Files\Content.Word\griff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C:\Documents and Settings\lenain\Local Settings\Temporary Internet Files\Content.Word\griffe_2.jpg"/>
                  <pic:cNvPicPr>
                    <a:picLocks noChangeAspect="1" noChangeArrowheads="1"/>
                  </pic:cNvPicPr>
                </pic:nvPicPr>
                <pic:blipFill>
                  <a:blip r:embed="rId1"/>
                  <a:srcRect/>
                  <a:stretch>
                    <a:fillRect/>
                  </a:stretch>
                </pic:blipFill>
                <pic:spPr bwMode="auto">
                  <a:xfrm>
                    <a:off x="0" y="0"/>
                    <a:ext cx="7870190" cy="8190119"/>
                  </a:xfrm>
                  <a:prstGeom prst="rect">
                    <a:avLst/>
                  </a:prstGeom>
                  <a:noFill/>
                  <a:ln w="9525">
                    <a:noFill/>
                    <a:miter lim="800000"/>
                    <a:headEnd/>
                    <a:tailEnd/>
                  </a:ln>
                </pic:spPr>
              </pic:pic>
            </a:graphicData>
          </a:graphic>
          <wp14:sizeRelV relativeFrom="margin">
            <wp14:pctHeight>0</wp14:pctHeight>
          </wp14:sizeRelV>
        </wp:anchor>
      </w:drawing>
    </w:r>
    <w:r>
      <w:rPr>
        <w:noProof/>
        <w:lang w:eastAsia="en-GB"/>
      </w:rPr>
      <mc:AlternateContent>
        <mc:Choice Requires="wps">
          <w:drawing>
            <wp:anchor distT="0" distB="0" distL="114300" distR="114300" simplePos="0" relativeHeight="251673600" behindDoc="1" locked="0" layoutInCell="1" allowOverlap="1" wp14:anchorId="0B976DA1" wp14:editId="4B55731C">
              <wp:simplePos x="0" y="0"/>
              <wp:positionH relativeFrom="column">
                <wp:posOffset>-900430</wp:posOffset>
              </wp:positionH>
              <wp:positionV relativeFrom="margin">
                <wp:posOffset>-1358928</wp:posOffset>
              </wp:positionV>
              <wp:extent cx="7560310" cy="1370037"/>
              <wp:effectExtent l="0" t="0" r="2540" b="1905"/>
              <wp:wrapNone/>
              <wp:docPr id="2" name="Rectangle 2"/>
              <wp:cNvGraphicFramePr/>
              <a:graphic xmlns:a="http://schemas.openxmlformats.org/drawingml/2006/main">
                <a:graphicData uri="http://schemas.microsoft.com/office/word/2010/wordprocessingShape">
                  <wps:wsp>
                    <wps:cNvSpPr/>
                    <wps:spPr>
                      <a:xfrm>
                        <a:off x="0" y="0"/>
                        <a:ext cx="7560310" cy="1370037"/>
                      </a:xfrm>
                      <a:prstGeom prst="rect">
                        <a:avLst/>
                      </a:prstGeom>
                      <a:solidFill>
                        <a:srgbClr val="00449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rect w14:anchorId="68C47144" id="Rectangle 2" o:spid="_x0000_s1026" style="position:absolute;margin-left:-70.9pt;margin-top:-107pt;width:595.3pt;height:107.9pt;z-index:-251642880;visibility:visible;mso-wrap-style:square;mso-wrap-distance-left:9pt;mso-wrap-distance-top:0;mso-wrap-distance-right:9pt;mso-wrap-distance-bottom:0;mso-position-horizontal:absolute;mso-position-horizontal-relative:text;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" fillcolor="#004494" stroked="f" strokeweight="2pt">
              <w10:wrap anchory="margin"/>
            </v:rect>
          </w:pict>
        </mc:Fallback>
      </mc:AlternateContent>
    </w:r>
    <w:r>
      <w:rPr>
        <w:noProof/>
        <w:lang w:eastAsia="en-GB"/>
      </w:rPr>
      <mc:AlternateContent>
        <mc:Choice Requires="wps">
          <w:drawing>
            <wp:anchor distT="0" distB="0" distL="114300" distR="114300" simplePos="0" relativeHeight="251626496" behindDoc="0" locked="0" layoutInCell="1" allowOverlap="1" wp14:anchorId="282DC6CD" wp14:editId="7F3060D7">
              <wp:simplePos x="0" y="0"/>
              <wp:positionH relativeFrom="margin">
                <wp:posOffset>5830570</wp:posOffset>
              </wp:positionH>
              <wp:positionV relativeFrom="page">
                <wp:posOffset>138430</wp:posOffset>
              </wp:positionV>
              <wp:extent cx="622300" cy="1229360"/>
              <wp:effectExtent l="1270" t="0" r="0" b="3810"/>
              <wp:wrapNone/>
              <wp:docPr id="9"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300" cy="1229360"/>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3CB36" w14:textId="77777777" w:rsidR="008225D3" w:rsidRDefault="008225D3" w:rsidP="00367149">
                          <w:pPr>
                            <w:rPr>
                              <w:rFonts w:ascii="Arial" w:hAnsi="Arial" w:cs="Arial"/>
                              <w:color w:val="FFFFFF" w:themeColor="background1"/>
                              <w:sz w:val="16"/>
                              <w:lang w:val="fr-BE"/>
                            </w:rPr>
                          </w:pPr>
                          <w:r w:rsidRPr="00FB5FD5">
                            <w:rPr>
                              <w:rFonts w:ascii="Arial" w:hAnsi="Arial" w:cs="Arial"/>
                              <w:color w:val="FFFFFF" w:themeColor="background1"/>
                              <w:sz w:val="16"/>
                              <w:lang w:val="fr-BE"/>
                            </w:rPr>
                            <w:t>[Catalogue number]</w:t>
                          </w:r>
                        </w:p>
                        <w:p w14:paraId="5067ADAF" w14:textId="77777777" w:rsidR="008225D3" w:rsidRPr="00FB5FD5" w:rsidRDefault="008225D3" w:rsidP="00367149">
                          <w:pPr>
                            <w:rPr>
                              <w:rFonts w:ascii="Arial" w:hAnsi="Arial" w:cs="Arial"/>
                              <w:color w:val="FFFFFF" w:themeColor="background1"/>
                              <w:sz w:val="18"/>
                              <w:szCs w:val="18"/>
                              <w:lang w:val="fr-BE"/>
                            </w:rPr>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282DC6CD" id="_x0000_t202" coordsize="21600,21600" o:spt="202" path="m,l,21600r21600,l21600,xe">
              <v:stroke joinstyle="miter"/>
              <v:path gradientshapeok="t" o:connecttype="rect"/>
            </v:shapetype>
            <v:shape id="Text Box 72" o:spid="_x0000_s1028" type="#_x0000_t202" style="position:absolute;left:0;text-align:left;margin-left:459.1pt;margin-top:10.9pt;width:49pt;height:96.8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" filled="f" fillcolor="black" stroked="f">
              <v:textbox style="layout-flow:vertical" inset="0,0,0,0">
                <w:txbxContent>
                  <w:p w14:paraId="5613CB36" w14:textId="77777777" w:rsidR="00CA6261" w:rsidRDefault="00CA6261" w:rsidP="00367149">
                    <w:pPr>
                      <w:rPr>
                        <w:rFonts w:ascii="Arial" w:hAnsi="Arial" w:cs="Arial"/>
                        <w:color w:val="FFFFFF" w:themeColor="background1"/>
                        <w:sz w:val="16"/>
                        <w:lang w:val="fr-BE"/>
                      </w:rPr>
                    </w:pPr>
                    <w:r w:rsidRPr="00FB5FD5">
                      <w:rPr>
                        <w:rFonts w:ascii="Arial" w:hAnsi="Arial" w:cs="Arial"/>
                        <w:color w:val="FFFFFF" w:themeColor="background1"/>
                        <w:sz w:val="16"/>
                        <w:lang w:val="fr-BE"/>
                      </w:rPr>
                      <w:t>[Catalogue number]</w:t>
                    </w:r>
                  </w:p>
                  <w:p w14:paraId="5067ADAF" w14:textId="77777777" w:rsidR="00CA6261" w:rsidRPr="00FB5FD5" w:rsidRDefault="00CA6261" w:rsidP="00367149">
                    <w:pPr>
                      <w:rPr>
                        <w:rFonts w:ascii="Arial" w:hAnsi="Arial" w:cs="Arial"/>
                        <w:color w:val="FFFFFF" w:themeColor="background1"/>
                        <w:sz w:val="18"/>
                        <w:szCs w:val="18"/>
                        <w:lang w:val="fr-BE"/>
                      </w:rPr>
                    </w:pPr>
                  </w:p>
                </w:txbxContent>
              </v:textbox>
              <w10:wrap anchorx="margin"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2DE4AB" w14:textId="77777777" w:rsidR="008225D3" w:rsidRDefault="008225D3" w:rsidP="00830D7E">
    <w:pPr>
      <w:pStyle w:val="Header"/>
      <w:tabs>
        <w:tab w:val="clear" w:pos="4153"/>
        <w:tab w:val="center" w:pos="4536"/>
        <w:tab w:val="left" w:pos="7513"/>
      </w:tabs>
      <w:spacing w:after="0"/>
      <w:jc w:val="center"/>
    </w:pPr>
    <w:r>
      <w:rPr>
        <w:rFonts w:ascii="Arial" w:hAnsi="Arial" w:cs="Arial"/>
        <w:noProof/>
        <w:color w:val="333333"/>
        <w:sz w:val="20"/>
        <w:lang w:eastAsia="en-GB"/>
      </w:rPr>
      <w:drawing>
        <wp:anchor distT="0" distB="0" distL="114300" distR="114300" simplePos="0" relativeHeight="251652096" behindDoc="1" locked="0" layoutInCell="1" allowOverlap="1" wp14:anchorId="1F7ECBA4" wp14:editId="5E570EBE">
          <wp:simplePos x="0" y="0"/>
          <wp:positionH relativeFrom="column">
            <wp:posOffset>-890270</wp:posOffset>
          </wp:positionH>
          <wp:positionV relativeFrom="paragraph">
            <wp:posOffset>1131432</wp:posOffset>
          </wp:positionV>
          <wp:extent cx="7573010" cy="9340900"/>
          <wp:effectExtent l="0" t="0" r="889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ver.png"/>
                  <pic:cNvPicPr/>
                </pic:nvPicPr>
                <pic:blipFill rotWithShape="1">
                  <a:blip r:embed="rId1">
                    <a:extLst>
                      <a:ext uri="{28A0092B-C50C-407E-A947-70E740481C1C}">
                        <a14:useLocalDpi xmlns:a14="http://schemas.microsoft.com/office/drawing/2010/main" val="0"/>
                      </a:ext>
                    </a:extLst>
                  </a:blip>
                  <a:srcRect t="12804"/>
                  <a:stretch/>
                </pic:blipFill>
                <pic:spPr bwMode="auto">
                  <a:xfrm>
                    <a:off x="0" y="0"/>
                    <a:ext cx="7573010" cy="9340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333333"/>
        <w:sz w:val="20"/>
        <w:lang w:eastAsia="en-GB"/>
      </w:rPr>
      <w:drawing>
        <wp:anchor distT="0" distB="0" distL="114300" distR="114300" simplePos="0" relativeHeight="251659264" behindDoc="0" locked="0" layoutInCell="1" allowOverlap="1" wp14:anchorId="4CDD89C1" wp14:editId="69FA9F2E">
          <wp:simplePos x="0" y="0"/>
          <wp:positionH relativeFrom="column">
            <wp:posOffset>2051050</wp:posOffset>
          </wp:positionH>
          <wp:positionV relativeFrom="paragraph">
            <wp:posOffset>166370</wp:posOffset>
          </wp:positionV>
          <wp:extent cx="1960245" cy="1363980"/>
          <wp:effectExtent l="0" t="0" r="1905" b="762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OGO CE_Vertical_EN_quadri_HR.png"/>
                  <pic:cNvPicPr/>
                </pic:nvPicPr>
                <pic:blipFill>
                  <a:blip r:embed="rId2">
                    <a:extLst>
                      <a:ext uri="{28A0092B-C50C-407E-A947-70E740481C1C}">
                        <a14:useLocalDpi xmlns:a14="http://schemas.microsoft.com/office/drawing/2010/main" val="0"/>
                      </a:ext>
                    </a:extLst>
                  </a:blip>
                  <a:stretch>
                    <a:fillRect/>
                  </a:stretch>
                </pic:blipFill>
                <pic:spPr>
                  <a:xfrm>
                    <a:off x="0" y="0"/>
                    <a:ext cx="1960245" cy="136398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CDF04E" w14:textId="77777777" w:rsidR="008225D3" w:rsidRPr="00623ED0" w:rsidRDefault="008225D3" w:rsidP="00623ED0">
    <w:pPr>
      <w:pStyle w:val="Header"/>
      <w:tabs>
        <w:tab w:val="left" w:pos="7513"/>
      </w:tabs>
      <w:spacing w:after="0"/>
      <w:ind w:left="4153" w:hanging="4153"/>
      <w:jc w:val="center"/>
      <w:rPr>
        <w:lang w:val="fr-B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E69FA5" w14:textId="77777777" w:rsidR="008225D3" w:rsidRPr="00B62C21" w:rsidRDefault="008225D3" w:rsidP="00E15F27">
    <w:pPr>
      <w:pStyle w:val="Header"/>
      <w:jc w:val="center"/>
      <w:rPr>
        <w:rFonts w:ascii="Arial" w:hAnsi="Arial" w:cs="Arial"/>
        <w:color w:val="0C4DA2" w:themeColor="text2"/>
        <w:sz w:val="20"/>
        <w:lang w:val="fr-BE"/>
      </w:rPr>
    </w:pPr>
    <w:r w:rsidRPr="00B62C21">
      <w:rPr>
        <w:rFonts w:ascii="Arial" w:hAnsi="Arial" w:cs="Arial"/>
        <w:noProof/>
        <w:color w:val="0C4DA2" w:themeColor="text2"/>
        <w:sz w:val="20"/>
        <w:lang w:eastAsia="en-GB"/>
      </w:rPr>
      <mc:AlternateContent>
        <mc:Choice Requires="wps">
          <w:drawing>
            <wp:anchor distT="0" distB="0" distL="114300" distR="114300" simplePos="0" relativeHeight="251662336" behindDoc="0" locked="0" layoutInCell="1" allowOverlap="1" wp14:anchorId="3A0C59A3" wp14:editId="06D783C8">
              <wp:simplePos x="0" y="0"/>
              <wp:positionH relativeFrom="column">
                <wp:posOffset>-377917</wp:posOffset>
              </wp:positionH>
              <wp:positionV relativeFrom="paragraph">
                <wp:posOffset>280035</wp:posOffset>
              </wp:positionV>
              <wp:extent cx="6413863" cy="0"/>
              <wp:effectExtent l="0" t="0" r="25400" b="19050"/>
              <wp:wrapNone/>
              <wp:docPr id="17" name="Straight Connector 17"/>
              <wp:cNvGraphicFramePr/>
              <a:graphic xmlns:a="http://schemas.openxmlformats.org/drawingml/2006/main">
                <a:graphicData uri="http://schemas.microsoft.com/office/word/2010/wordprocessingShape">
                  <wps:wsp>
                    <wps:cNvCnPr/>
                    <wps:spPr>
                      <a:xfrm>
                        <a:off x="0" y="0"/>
                        <a:ext cx="6413863" cy="0"/>
                      </a:xfrm>
                      <a:prstGeom prst="line">
                        <a:avLst/>
                      </a:prstGeom>
                      <a:ln>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ex="http://schemas.microsoft.com/office/word/2018/wordml/cex">
          <w:pict>
            <v:line w14:anchorId="60382FD2" id="Straight Connector 17"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29.75pt,22.05pt" to="475.3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" strokecolor="#0c4da2 [3215]"/>
          </w:pict>
        </mc:Fallback>
      </mc:AlternateContent>
    </w:r>
    <w:r w:rsidRPr="00B62C21">
      <w:rPr>
        <w:rFonts w:ascii="Arial" w:hAnsi="Arial" w:cs="Arial"/>
        <w:color w:val="0C4DA2" w:themeColor="text2"/>
        <w:sz w:val="20"/>
        <w:lang w:val="fr-BE"/>
      </w:rPr>
      <w:t>EUROPEAN COMMISSION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5B9017" w14:textId="77777777" w:rsidR="008225D3" w:rsidRPr="007A2836" w:rsidRDefault="008225D3" w:rsidP="007A283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AD0525" w14:textId="36A3ADC4" w:rsidR="008225D3" w:rsidRPr="007B22CF" w:rsidRDefault="008225D3" w:rsidP="007B22C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E09451" w14:textId="77777777" w:rsidR="008225D3" w:rsidRPr="007A2836" w:rsidRDefault="008225D3" w:rsidP="007A2836">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6AD2B4" w14:textId="77777777" w:rsidR="008225D3" w:rsidRDefault="008225D3" w:rsidP="005931F7">
    <w:pPr>
      <w:pStyle w:val="Header"/>
      <w:tabs>
        <w:tab w:val="clear" w:pos="8306"/>
      </w:tabs>
      <w:ind w:right="-742"/>
    </w:pPr>
    <w:r>
      <w:rPr>
        <w:noProof/>
        <w:lang w:eastAsia="en-GB"/>
      </w:rPr>
      <w:drawing>
        <wp:anchor distT="0" distB="0" distL="114300" distR="114300" simplePos="0" relativeHeight="251651072" behindDoc="1" locked="0" layoutInCell="1" allowOverlap="1" wp14:anchorId="07A90848" wp14:editId="7AAF73B7">
          <wp:simplePos x="0" y="0"/>
          <wp:positionH relativeFrom="margin">
            <wp:posOffset>6654537</wp:posOffset>
          </wp:positionH>
          <wp:positionV relativeFrom="margin">
            <wp:posOffset>2622046</wp:posOffset>
          </wp:positionV>
          <wp:extent cx="7356672" cy="7425559"/>
          <wp:effectExtent l="19050" t="0" r="0" b="0"/>
          <wp:wrapNone/>
          <wp:docPr id="57" name="Picture 57" descr="Description: Description: Description: C:\Documents and Settings\lenain\Local Settings\Temporary Internet Files\Content.Word\griff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C:\Documents and Settings\lenain\Local Settings\Temporary Internet Files\Content.Word\griffe_2.jpg"/>
                  <pic:cNvPicPr>
                    <a:picLocks noChangeAspect="1" noChangeArrowheads="1"/>
                  </pic:cNvPicPr>
                </pic:nvPicPr>
                <pic:blipFill>
                  <a:blip r:embed="rId1"/>
                  <a:srcRect/>
                  <a:stretch>
                    <a:fillRect/>
                  </a:stretch>
                </pic:blipFill>
                <pic:spPr bwMode="auto">
                  <a:xfrm>
                    <a:off x="0" y="0"/>
                    <a:ext cx="7356672" cy="7425559"/>
                  </a:xfrm>
                  <a:prstGeom prst="rect">
                    <a:avLst/>
                  </a:prstGeom>
                  <a:noFill/>
                  <a:ln w="9525">
                    <a:noFill/>
                    <a:miter lim="800000"/>
                    <a:headEnd/>
                    <a:tailEnd/>
                  </a:ln>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6712D0" w14:textId="77777777" w:rsidR="008225D3" w:rsidRPr="00623ED0" w:rsidRDefault="008225D3" w:rsidP="00623ED0">
    <w:pPr>
      <w:pStyle w:val="Header"/>
      <w:tabs>
        <w:tab w:val="left" w:pos="7513"/>
      </w:tabs>
      <w:spacing w:after="0"/>
      <w:ind w:left="4153" w:hanging="4153"/>
      <w:jc w:val="center"/>
      <w:rPr>
        <w:lang w:val="fr-B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EA58E78E"/>
    <w:lvl w:ilvl="0">
      <w:start w:val="1"/>
      <w:numFmt w:val="decimal"/>
      <w:pStyle w:val="ListNumber5"/>
      <w:lvlText w:val="%1."/>
      <w:lvlJc w:val="left"/>
      <w:pPr>
        <w:tabs>
          <w:tab w:val="num" w:pos="1492"/>
        </w:tabs>
        <w:ind w:left="1492" w:hanging="360"/>
      </w:pPr>
    </w:lvl>
  </w:abstractNum>
  <w:abstractNum w:abstractNumId="1" w15:restartNumberingAfterBreak="0">
    <w:nsid w:val="FFFFFF80"/>
    <w:multiLevelType w:val="singleLevel"/>
    <w:tmpl w:val="E7A64A6A"/>
    <w:lvl w:ilvl="0">
      <w:start w:val="1"/>
      <w:numFmt w:val="bullet"/>
      <w:pStyle w:val="ListBullet5"/>
      <w:lvlText w:val=""/>
      <w:lvlJc w:val="left"/>
      <w:pPr>
        <w:tabs>
          <w:tab w:val="num" w:pos="1492"/>
        </w:tabs>
        <w:ind w:left="1492" w:hanging="360"/>
      </w:pPr>
      <w:rPr>
        <w:rFonts w:ascii="Symbol" w:hAnsi="Symbol" w:hint="default"/>
      </w:rPr>
    </w:lvl>
  </w:abstractNum>
  <w:abstractNum w:abstractNumId="2" w15:restartNumberingAfterBreak="0">
    <w:nsid w:val="05693EA7"/>
    <w:multiLevelType w:val="hybridMultilevel"/>
    <w:tmpl w:val="B958DCEA"/>
    <w:lvl w:ilvl="0" w:tplc="0809000F">
      <w:start w:val="1"/>
      <w:numFmt w:val="decimal"/>
      <w:lvlText w:val="%1."/>
      <w:lvlJc w:val="left"/>
      <w:pPr>
        <w:ind w:left="720" w:hanging="360"/>
      </w:pPr>
      <w:rPr>
        <w:rFonts w:hint="default"/>
        <w:b/>
        <w:i w:val="0"/>
        <w:color w:val="325BAA"/>
        <w:sz w:val="24"/>
      </w:rPr>
    </w:lvl>
    <w:lvl w:ilvl="1" w:tplc="D758FE2C">
      <w:start w:val="1"/>
      <w:numFmt w:val="bullet"/>
      <w:lvlText w:val="o"/>
      <w:lvlJc w:val="left"/>
      <w:pPr>
        <w:ind w:left="1440" w:hanging="360"/>
      </w:pPr>
      <w:rPr>
        <w:rFonts w:ascii="Courier New" w:hAnsi="Courier New" w:hint="default"/>
        <w:color w:val="0C4DA2" w:themeColor="text2"/>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15:restartNumberingAfterBreak="0">
    <w:nsid w:val="075208FB"/>
    <w:multiLevelType w:val="multilevel"/>
    <w:tmpl w:val="98381DF0"/>
    <w:styleLink w:val="JayeshNavinShahEasterEgg"/>
    <w:lvl w:ilvl="0">
      <w:start w:val="1"/>
      <w:numFmt w:val="none"/>
      <w:pStyle w:val="04ABodyText"/>
      <w:suff w:val="nothing"/>
      <w:lvlText w:val=""/>
      <w:lvlJc w:val="left"/>
      <w:pPr>
        <w:ind w:left="0" w:firstLine="0"/>
      </w:pPr>
      <w:rPr>
        <w:rFonts w:hint="default"/>
      </w:rPr>
    </w:lvl>
    <w:lvl w:ilvl="1">
      <w:start w:val="1"/>
      <w:numFmt w:val="bullet"/>
      <w:pStyle w:val="05ABullets1stlevel"/>
      <w:lvlText w:val="▪"/>
      <w:lvlJc w:val="left"/>
      <w:pPr>
        <w:ind w:left="567" w:hanging="283"/>
      </w:pPr>
      <w:rPr>
        <w:rFonts w:ascii="Arial" w:hAnsi="Arial" w:hint="default"/>
        <w:color w:val="000000" w:themeColor="text1"/>
      </w:rPr>
    </w:lvl>
    <w:lvl w:ilvl="2">
      <w:start w:val="1"/>
      <w:numFmt w:val="bullet"/>
      <w:pStyle w:val="05BBullets2ndlevel"/>
      <w:lvlText w:val="−"/>
      <w:lvlJc w:val="left"/>
      <w:pPr>
        <w:ind w:left="851" w:hanging="284"/>
      </w:pPr>
      <w:rPr>
        <w:rFonts w:ascii="Arial" w:hAnsi="Arial" w:hint="default"/>
        <w:color w:val="000000" w:themeColor="text1"/>
      </w:rPr>
    </w:lvl>
    <w:lvl w:ilvl="3">
      <w:start w:val="1"/>
      <w:numFmt w:val="bullet"/>
      <w:lvlRestart w:val="1"/>
      <w:pStyle w:val="05CBulletswithoutspacing1stlevel"/>
      <w:lvlText w:val="▪"/>
      <w:lvlJc w:val="left"/>
      <w:pPr>
        <w:ind w:left="567" w:hanging="283"/>
      </w:pPr>
      <w:rPr>
        <w:rFonts w:ascii="Arial" w:hAnsi="Arial" w:hint="default"/>
        <w:b w:val="0"/>
        <w:i w:val="0"/>
        <w:color w:val="000000" w:themeColor="text1"/>
      </w:rPr>
    </w:lvl>
    <w:lvl w:ilvl="4">
      <w:start w:val="1"/>
      <w:numFmt w:val="decimal"/>
      <w:lvlRestart w:val="1"/>
      <w:pStyle w:val="06ANumberedList1stlevel"/>
      <w:lvlText w:val="%5."/>
      <w:lvlJc w:val="left"/>
      <w:pPr>
        <w:ind w:left="567" w:hanging="283"/>
      </w:pPr>
      <w:rPr>
        <w:rFonts w:ascii="Arial" w:hAnsi="Arial" w:hint="default"/>
        <w:b/>
        <w:i w:val="0"/>
        <w:color w:val="000000" w:themeColor="text1"/>
      </w:rPr>
    </w:lvl>
    <w:lvl w:ilvl="5">
      <w:start w:val="1"/>
      <w:numFmt w:val="lowerLetter"/>
      <w:pStyle w:val="06BNumberedList2ndlevel"/>
      <w:lvlText w:val="%6."/>
      <w:lvlJc w:val="left"/>
      <w:pPr>
        <w:ind w:left="851" w:hanging="284"/>
      </w:pPr>
      <w:rPr>
        <w:rFonts w:ascii="Arial" w:hAnsi="Arial" w:hint="default"/>
        <w:b/>
        <w:i w:val="0"/>
        <w:color w:val="000000" w:themeColor="text1"/>
      </w:rPr>
    </w:lvl>
    <w:lvl w:ilvl="6">
      <w:start w:val="1"/>
      <w:numFmt w:val="decimal"/>
      <w:lvlRestart w:val="1"/>
      <w:pStyle w:val="06CNumberedListwithoutspacing1stlevel"/>
      <w:lvlText w:val="%7."/>
      <w:lvlJc w:val="left"/>
      <w:pPr>
        <w:ind w:left="567" w:hanging="283"/>
      </w:pPr>
      <w:rPr>
        <w:rFonts w:ascii="Arial" w:hAnsi="Arial" w:hint="default"/>
        <w:b/>
        <w:i w:val="0"/>
        <w:color w:val="000000" w:themeColor="text1"/>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87B1599"/>
    <w:multiLevelType w:val="multilevel"/>
    <w:tmpl w:val="A5B496B0"/>
    <w:styleLink w:val="JayeshNavinShahEasterEgg21"/>
    <w:lvl w:ilvl="0">
      <w:start w:val="1"/>
      <w:numFmt w:val="decimal"/>
      <w:pStyle w:val="01BMainHeadingNumberedTOC"/>
      <w:lvlText w:val="%1"/>
      <w:lvlJc w:val="left"/>
      <w:pPr>
        <w:ind w:left="567" w:hanging="567"/>
      </w:pPr>
      <w:rPr>
        <w:rFonts w:hint="default"/>
      </w:rPr>
    </w:lvl>
    <w:lvl w:ilvl="1">
      <w:start w:val="1"/>
      <w:numFmt w:val="decimal"/>
      <w:pStyle w:val="02BSubheadingNumbered1stlevelTOC"/>
      <w:lvlText w:val="%1.%2"/>
      <w:lvlJc w:val="left"/>
      <w:pPr>
        <w:ind w:left="567" w:hanging="567"/>
      </w:pPr>
      <w:rPr>
        <w:rFonts w:hint="default"/>
      </w:rPr>
    </w:lvl>
    <w:lvl w:ilvl="2">
      <w:start w:val="1"/>
      <w:numFmt w:val="decimal"/>
      <w:pStyle w:val="03BSubheadingNumbered2ndlevelNON-TOC"/>
      <w:lvlText w:val="%1.%2.%3"/>
      <w:lvlJc w:val="left"/>
      <w:pPr>
        <w:ind w:left="567" w:hanging="567"/>
      </w:pPr>
      <w:rPr>
        <w:rFonts w:hint="default"/>
      </w:rPr>
    </w:lvl>
    <w:lvl w:ilvl="3">
      <w:start w:val="1"/>
      <w:numFmt w:val="decimal"/>
      <w:lvlRestart w:val="1"/>
      <w:pStyle w:val="07BImageCaptionNumbered"/>
      <w:suff w:val="space"/>
      <w:lvlText w:val="Figure %1.%4:"/>
      <w:lvlJc w:val="left"/>
      <w:pPr>
        <w:ind w:left="567" w:hanging="567"/>
      </w:pPr>
      <w:rPr>
        <w:rFonts w:hint="default"/>
      </w:rPr>
    </w:lvl>
    <w:lvl w:ilvl="4">
      <w:start w:val="1"/>
      <w:numFmt w:val="decimal"/>
      <w:lvlRestart w:val="1"/>
      <w:pStyle w:val="07DTableCaptionNumbered"/>
      <w:suff w:val="space"/>
      <w:lvlText w:val="Table %1.%5:"/>
      <w:lvlJc w:val="left"/>
      <w:pPr>
        <w:ind w:left="567" w:hanging="567"/>
      </w:pPr>
      <w:rPr>
        <w:rFonts w:hint="default"/>
      </w:rPr>
    </w:lvl>
    <w:lvl w:ilvl="5">
      <w:start w:val="1"/>
      <w:numFmt w:val="lowerRoman"/>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left"/>
      <w:pPr>
        <w:ind w:left="567" w:hanging="567"/>
      </w:pPr>
      <w:rPr>
        <w:rFonts w:hint="default"/>
      </w:rPr>
    </w:lvl>
  </w:abstractNum>
  <w:abstractNum w:abstractNumId="5" w15:restartNumberingAfterBreak="0">
    <w:nsid w:val="0F724499"/>
    <w:multiLevelType w:val="hybridMultilevel"/>
    <w:tmpl w:val="31E2123C"/>
    <w:lvl w:ilvl="0" w:tplc="40126BF0">
      <w:start w:val="1"/>
      <w:numFmt w:val="bullet"/>
      <w:lvlText w:val=""/>
      <w:lvlJc w:val="left"/>
      <w:pPr>
        <w:ind w:left="720" w:hanging="360"/>
      </w:pPr>
      <w:rPr>
        <w:rFonts w:ascii="Symbol" w:hAnsi="Symbol" w:hint="default"/>
        <w:color w:val="0C4DA2" w:themeColor="text2"/>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6" w15:restartNumberingAfterBreak="0">
    <w:nsid w:val="1048426E"/>
    <w:multiLevelType w:val="hybridMultilevel"/>
    <w:tmpl w:val="F76EC6AC"/>
    <w:lvl w:ilvl="0" w:tplc="1DBAE22A">
      <w:start w:val="1"/>
      <w:numFmt w:val="bullet"/>
      <w:pStyle w:val="Bulletpoint1"/>
      <w:lvlText w:val=""/>
      <w:lvlJc w:val="left"/>
      <w:pPr>
        <w:ind w:left="717" w:hanging="360"/>
      </w:pPr>
      <w:rPr>
        <w:rFonts w:ascii="Symbol" w:hAnsi="Symbol" w:hint="default"/>
        <w:color w:val="00AEF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4A4F2C"/>
    <w:multiLevelType w:val="multilevel"/>
    <w:tmpl w:val="A5B496B0"/>
    <w:numStyleLink w:val="JayeshNavinShahEasterEgg21"/>
  </w:abstractNum>
  <w:abstractNum w:abstractNumId="8" w15:restartNumberingAfterBreak="0">
    <w:nsid w:val="1B1530A4"/>
    <w:multiLevelType w:val="multilevel"/>
    <w:tmpl w:val="8CE23BCC"/>
    <w:lvl w:ilvl="0">
      <w:start w:val="1"/>
      <w:numFmt w:val="decimal"/>
      <w:pStyle w:val="ListNumber2"/>
      <w:lvlText w:val="(%1)"/>
      <w:lvlJc w:val="left"/>
      <w:pPr>
        <w:tabs>
          <w:tab w:val="num" w:pos="1911"/>
        </w:tabs>
        <w:ind w:left="1911" w:hanging="709"/>
      </w:pPr>
    </w:lvl>
    <w:lvl w:ilvl="1">
      <w:start w:val="1"/>
      <w:numFmt w:val="lowerLetter"/>
      <w:pStyle w:val="ListNumber2Level2"/>
      <w:lvlText w:val="(%2)"/>
      <w:lvlJc w:val="left"/>
      <w:pPr>
        <w:tabs>
          <w:tab w:val="num" w:pos="2619"/>
        </w:tabs>
        <w:ind w:left="2619" w:hanging="708"/>
      </w:pPr>
    </w:lvl>
    <w:lvl w:ilvl="2">
      <w:start w:val="1"/>
      <w:numFmt w:val="bullet"/>
      <w:pStyle w:val="ListNumber2Level3"/>
      <w:lvlText w:val="–"/>
      <w:lvlJc w:val="left"/>
      <w:pPr>
        <w:tabs>
          <w:tab w:val="num" w:pos="3328"/>
        </w:tabs>
        <w:ind w:left="3328" w:hanging="709"/>
      </w:pPr>
      <w:rPr>
        <w:rFonts w:ascii="Times New Roman" w:hAnsi="Times New Roman"/>
      </w:rPr>
    </w:lvl>
    <w:lvl w:ilvl="3">
      <w:start w:val="1"/>
      <w:numFmt w:val="bullet"/>
      <w:pStyle w:val="ListNumber2Level4"/>
      <w:lvlText w:val=""/>
      <w:lvlJc w:val="left"/>
      <w:pPr>
        <w:tabs>
          <w:tab w:val="num" w:pos="4037"/>
        </w:tabs>
        <w:ind w:left="4037"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1F734306"/>
    <w:multiLevelType w:val="multilevel"/>
    <w:tmpl w:val="406E0E74"/>
    <w:lvl w:ilvl="0">
      <w:start w:val="1"/>
      <w:numFmt w:val="decimal"/>
      <w:pStyle w:val="Heading1"/>
      <w:lvlText w:val="%1."/>
      <w:lvlJc w:val="left"/>
      <w:pPr>
        <w:tabs>
          <w:tab w:val="num" w:pos="480"/>
        </w:tabs>
        <w:ind w:left="480" w:hanging="480"/>
      </w:pPr>
    </w:lvl>
    <w:lvl w:ilvl="1">
      <w:start w:val="1"/>
      <w:numFmt w:val="decimal"/>
      <w:pStyle w:val="Heading2"/>
      <w:lvlText w:val="%1.%2."/>
      <w:lvlJc w:val="left"/>
      <w:pPr>
        <w:tabs>
          <w:tab w:val="num" w:pos="1200"/>
        </w:tabs>
        <w:ind w:left="1200" w:hanging="720"/>
      </w:pPr>
    </w:lvl>
    <w:lvl w:ilvl="2">
      <w:start w:val="1"/>
      <w:numFmt w:val="decimal"/>
      <w:pStyle w:val="Heading3"/>
      <w:lvlText w:val="%1.%2.%3."/>
      <w:lvlJc w:val="left"/>
      <w:pPr>
        <w:tabs>
          <w:tab w:val="num" w:pos="1920"/>
        </w:tabs>
        <w:ind w:left="1920" w:hanging="720"/>
      </w:pPr>
    </w:lvl>
    <w:lvl w:ilvl="3">
      <w:start w:val="1"/>
      <w:numFmt w:val="decimal"/>
      <w:pStyle w:val="Heading4"/>
      <w:lvlText w:val="%1.%2.%3.%4."/>
      <w:lvlJc w:val="left"/>
      <w:pPr>
        <w:tabs>
          <w:tab w:val="num" w:pos="1920"/>
        </w:tabs>
        <w:ind w:left="1920" w:hanging="72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22D87756"/>
    <w:multiLevelType w:val="singleLevel"/>
    <w:tmpl w:val="E88CCB14"/>
    <w:lvl w:ilvl="0">
      <w:start w:val="1"/>
      <w:numFmt w:val="bullet"/>
      <w:pStyle w:val="Body"/>
      <w:lvlText w:val=""/>
      <w:lvlJc w:val="left"/>
      <w:pPr>
        <w:tabs>
          <w:tab w:val="num" w:pos="360"/>
        </w:tabs>
        <w:ind w:left="360" w:hanging="360"/>
      </w:pPr>
      <w:rPr>
        <w:rFonts w:ascii="Symbol" w:hAnsi="Symbol" w:hint="default"/>
      </w:rPr>
    </w:lvl>
  </w:abstractNum>
  <w:abstractNum w:abstractNumId="11" w15:restartNumberingAfterBreak="0">
    <w:nsid w:val="22DD3599"/>
    <w:multiLevelType w:val="multilevel"/>
    <w:tmpl w:val="4EAA5BA6"/>
    <w:lvl w:ilvl="0">
      <w:start w:val="1"/>
      <w:numFmt w:val="decimal"/>
      <w:pStyle w:val="ListNumber"/>
      <w:lvlText w:val="(%1)"/>
      <w:lvlJc w:val="left"/>
      <w:pPr>
        <w:tabs>
          <w:tab w:val="num" w:pos="709"/>
        </w:tabs>
        <w:ind w:left="709" w:hanging="709"/>
      </w:pPr>
    </w:lvl>
    <w:lvl w:ilvl="1">
      <w:start w:val="1"/>
      <w:numFmt w:val="lowerLetter"/>
      <w:pStyle w:val="ListNumberLevel2"/>
      <w:lvlText w:val="(%2)"/>
      <w:lvlJc w:val="left"/>
      <w:pPr>
        <w:tabs>
          <w:tab w:val="num" w:pos="1417"/>
        </w:tabs>
        <w:ind w:left="1417" w:hanging="708"/>
      </w:pPr>
    </w:lvl>
    <w:lvl w:ilvl="2">
      <w:start w:val="1"/>
      <w:numFmt w:val="bullet"/>
      <w:pStyle w:val="ListNumberLevel3"/>
      <w:lvlText w:val="–"/>
      <w:lvlJc w:val="left"/>
      <w:pPr>
        <w:tabs>
          <w:tab w:val="num" w:pos="2126"/>
        </w:tabs>
        <w:ind w:left="2126" w:hanging="709"/>
      </w:pPr>
      <w:rPr>
        <w:rFonts w:ascii="Times New Roman" w:hAnsi="Times New Roman"/>
      </w:rPr>
    </w:lvl>
    <w:lvl w:ilvl="3">
      <w:start w:val="1"/>
      <w:numFmt w:val="bullet"/>
      <w:pStyle w:val="ListNumberLevel4"/>
      <w:lvlText w:val=""/>
      <w:lvlJc w:val="left"/>
      <w:pPr>
        <w:tabs>
          <w:tab w:val="num" w:pos="2835"/>
        </w:tabs>
        <w:ind w:left="2835"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23773C3F"/>
    <w:multiLevelType w:val="hybridMultilevel"/>
    <w:tmpl w:val="1E54D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B3C60A0"/>
    <w:multiLevelType w:val="hybridMultilevel"/>
    <w:tmpl w:val="0E1E1BC0"/>
    <w:lvl w:ilvl="0" w:tplc="41BAE886">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B75631B"/>
    <w:multiLevelType w:val="singleLevel"/>
    <w:tmpl w:val="A4DC141A"/>
    <w:lvl w:ilvl="0">
      <w:start w:val="1"/>
      <w:numFmt w:val="bullet"/>
      <w:pStyle w:val="ListBullet1"/>
      <w:lvlText w:val=""/>
      <w:lvlJc w:val="left"/>
      <w:pPr>
        <w:tabs>
          <w:tab w:val="num" w:pos="765"/>
        </w:tabs>
        <w:ind w:left="765" w:hanging="283"/>
      </w:pPr>
      <w:rPr>
        <w:rFonts w:ascii="Symbol" w:hAnsi="Symbol"/>
      </w:rPr>
    </w:lvl>
  </w:abstractNum>
  <w:abstractNum w:abstractNumId="15" w15:restartNumberingAfterBreak="0">
    <w:nsid w:val="2CAB4527"/>
    <w:multiLevelType w:val="multilevel"/>
    <w:tmpl w:val="26C24C12"/>
    <w:lvl w:ilvl="0">
      <w:start w:val="1"/>
      <w:numFmt w:val="decimal"/>
      <w:pStyle w:val="ListNumber3"/>
      <w:lvlText w:val="(%1)"/>
      <w:lvlJc w:val="left"/>
      <w:pPr>
        <w:tabs>
          <w:tab w:val="num" w:pos="1911"/>
        </w:tabs>
        <w:ind w:left="1911" w:hanging="709"/>
      </w:pPr>
    </w:lvl>
    <w:lvl w:ilvl="1">
      <w:start w:val="1"/>
      <w:numFmt w:val="lowerLetter"/>
      <w:pStyle w:val="ListNumber3Level2"/>
      <w:lvlText w:val="(%2)"/>
      <w:lvlJc w:val="left"/>
      <w:pPr>
        <w:tabs>
          <w:tab w:val="num" w:pos="2619"/>
        </w:tabs>
        <w:ind w:left="2619" w:hanging="708"/>
      </w:pPr>
    </w:lvl>
    <w:lvl w:ilvl="2">
      <w:start w:val="1"/>
      <w:numFmt w:val="bullet"/>
      <w:pStyle w:val="ListNumber3Level3"/>
      <w:lvlText w:val="–"/>
      <w:lvlJc w:val="left"/>
      <w:pPr>
        <w:tabs>
          <w:tab w:val="num" w:pos="3328"/>
        </w:tabs>
        <w:ind w:left="3328" w:hanging="709"/>
      </w:pPr>
      <w:rPr>
        <w:rFonts w:ascii="Times New Roman" w:hAnsi="Times New Roman"/>
      </w:rPr>
    </w:lvl>
    <w:lvl w:ilvl="3">
      <w:start w:val="1"/>
      <w:numFmt w:val="bullet"/>
      <w:pStyle w:val="ListNumber3Level4"/>
      <w:lvlText w:val=""/>
      <w:lvlJc w:val="left"/>
      <w:pPr>
        <w:tabs>
          <w:tab w:val="num" w:pos="4037"/>
        </w:tabs>
        <w:ind w:left="4037"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2D473C12"/>
    <w:multiLevelType w:val="hybridMultilevel"/>
    <w:tmpl w:val="929E23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17A55F6"/>
    <w:multiLevelType w:val="hybridMultilevel"/>
    <w:tmpl w:val="C55878E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181508F"/>
    <w:multiLevelType w:val="hybridMultilevel"/>
    <w:tmpl w:val="6FCC7FE2"/>
    <w:lvl w:ilvl="0" w:tplc="789A4F26">
      <w:start w:val="1"/>
      <w:numFmt w:val="bullet"/>
      <w:pStyle w:val="bullet1"/>
      <w:lvlText w:val=""/>
      <w:lvlJc w:val="left"/>
      <w:pPr>
        <w:ind w:left="720" w:hanging="360"/>
      </w:pPr>
      <w:rPr>
        <w:rFonts w:ascii="Symbol" w:hAnsi="Symbol" w:hint="default"/>
        <w:b/>
        <w:i w:val="0"/>
        <w:color w:val="325BAA"/>
        <w:sz w:val="24"/>
      </w:rPr>
    </w:lvl>
    <w:lvl w:ilvl="1" w:tplc="D758FE2C">
      <w:start w:val="1"/>
      <w:numFmt w:val="bullet"/>
      <w:lvlText w:val="o"/>
      <w:lvlJc w:val="left"/>
      <w:pPr>
        <w:ind w:left="1440" w:hanging="360"/>
      </w:pPr>
      <w:rPr>
        <w:rFonts w:ascii="Courier New" w:hAnsi="Courier New" w:hint="default"/>
        <w:color w:val="0C4DA2" w:themeColor="text2"/>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9" w15:restartNumberingAfterBreak="0">
    <w:nsid w:val="34293F3F"/>
    <w:multiLevelType w:val="singleLevel"/>
    <w:tmpl w:val="B074E4EC"/>
    <w:lvl w:ilvl="0">
      <w:start w:val="1"/>
      <w:numFmt w:val="bullet"/>
      <w:pStyle w:val="ListDash"/>
      <w:lvlText w:val="–"/>
      <w:lvlJc w:val="left"/>
      <w:pPr>
        <w:tabs>
          <w:tab w:val="num" w:pos="283"/>
        </w:tabs>
        <w:ind w:left="283" w:hanging="283"/>
      </w:pPr>
      <w:rPr>
        <w:rFonts w:ascii="Times New Roman" w:hAnsi="Times New Roman"/>
      </w:rPr>
    </w:lvl>
  </w:abstractNum>
  <w:abstractNum w:abstractNumId="20" w15:restartNumberingAfterBreak="0">
    <w:nsid w:val="358B6119"/>
    <w:multiLevelType w:val="multilevel"/>
    <w:tmpl w:val="A8BA546C"/>
    <w:lvl w:ilvl="0">
      <w:start w:val="1"/>
      <w:numFmt w:val="decimal"/>
      <w:pStyle w:val="ListNumber1"/>
      <w:lvlText w:val="(%1)"/>
      <w:lvlJc w:val="left"/>
      <w:pPr>
        <w:tabs>
          <w:tab w:val="num" w:pos="1191"/>
        </w:tabs>
        <w:ind w:left="1191" w:hanging="709"/>
      </w:pPr>
    </w:lvl>
    <w:lvl w:ilvl="1">
      <w:start w:val="1"/>
      <w:numFmt w:val="lowerLetter"/>
      <w:pStyle w:val="ListNumber1Level2"/>
      <w:lvlText w:val="(%2)"/>
      <w:lvlJc w:val="left"/>
      <w:pPr>
        <w:tabs>
          <w:tab w:val="num" w:pos="1899"/>
        </w:tabs>
        <w:ind w:left="1899" w:hanging="708"/>
      </w:pPr>
    </w:lvl>
    <w:lvl w:ilvl="2">
      <w:start w:val="1"/>
      <w:numFmt w:val="bullet"/>
      <w:pStyle w:val="ListNumber1Level3"/>
      <w:lvlText w:val="–"/>
      <w:lvlJc w:val="left"/>
      <w:pPr>
        <w:tabs>
          <w:tab w:val="num" w:pos="2608"/>
        </w:tabs>
        <w:ind w:left="2608" w:hanging="709"/>
      </w:pPr>
      <w:rPr>
        <w:rFonts w:ascii="Times New Roman" w:hAnsi="Times New Roman"/>
      </w:rPr>
    </w:lvl>
    <w:lvl w:ilvl="3">
      <w:start w:val="1"/>
      <w:numFmt w:val="bullet"/>
      <w:pStyle w:val="ListNumber1Level4"/>
      <w:lvlText w:val=""/>
      <w:lvlJc w:val="left"/>
      <w:pPr>
        <w:tabs>
          <w:tab w:val="num" w:pos="3317"/>
        </w:tabs>
        <w:ind w:left="3317"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3AFA5813"/>
    <w:multiLevelType w:val="hybridMultilevel"/>
    <w:tmpl w:val="69E60E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AFB6DC8"/>
    <w:multiLevelType w:val="singleLevel"/>
    <w:tmpl w:val="D97CFDF8"/>
    <w:lvl w:ilvl="0">
      <w:start w:val="1"/>
      <w:numFmt w:val="bullet"/>
      <w:pStyle w:val="ListBullet2"/>
      <w:lvlText w:val=""/>
      <w:lvlJc w:val="left"/>
      <w:pPr>
        <w:tabs>
          <w:tab w:val="num" w:pos="1485"/>
        </w:tabs>
        <w:ind w:left="1485" w:hanging="283"/>
      </w:pPr>
      <w:rPr>
        <w:rFonts w:ascii="Symbol" w:hAnsi="Symbol"/>
      </w:rPr>
    </w:lvl>
  </w:abstractNum>
  <w:abstractNum w:abstractNumId="23" w15:restartNumberingAfterBreak="0">
    <w:nsid w:val="3B9F7691"/>
    <w:multiLevelType w:val="hybridMultilevel"/>
    <w:tmpl w:val="59569146"/>
    <w:lvl w:ilvl="0" w:tplc="C130E574">
      <w:start w:val="1"/>
      <w:numFmt w:val="bullet"/>
      <w:pStyle w:val="Bullets2"/>
      <w:lvlText w:val="-"/>
      <w:lvlJc w:val="left"/>
      <w:pPr>
        <w:ind w:left="1080" w:hanging="360"/>
      </w:pPr>
      <w:rPr>
        <w:rFonts w:ascii="Arial" w:eastAsia="Times New Roman" w:hAnsi="Arial" w:cs="Arial" w:hint="default"/>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24" w15:restartNumberingAfterBreak="0">
    <w:nsid w:val="3CF00E18"/>
    <w:multiLevelType w:val="singleLevel"/>
    <w:tmpl w:val="4E1A982C"/>
    <w:lvl w:ilvl="0">
      <w:start w:val="1"/>
      <w:numFmt w:val="bullet"/>
      <w:pStyle w:val="ListBullet"/>
      <w:lvlText w:val=""/>
      <w:lvlJc w:val="left"/>
      <w:pPr>
        <w:tabs>
          <w:tab w:val="num" w:pos="283"/>
        </w:tabs>
        <w:ind w:left="283" w:hanging="283"/>
      </w:pPr>
      <w:rPr>
        <w:rFonts w:ascii="Symbol" w:hAnsi="Symbol"/>
      </w:rPr>
    </w:lvl>
  </w:abstractNum>
  <w:abstractNum w:abstractNumId="25" w15:restartNumberingAfterBreak="0">
    <w:nsid w:val="3E527EE5"/>
    <w:multiLevelType w:val="hybridMultilevel"/>
    <w:tmpl w:val="B93231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EF57D02"/>
    <w:multiLevelType w:val="hybridMultilevel"/>
    <w:tmpl w:val="C55878E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4C3301D"/>
    <w:multiLevelType w:val="multilevel"/>
    <w:tmpl w:val="A59CD3FA"/>
    <w:lvl w:ilvl="0">
      <w:start w:val="1"/>
      <w:numFmt w:val="decimal"/>
      <w:pStyle w:val="Title1"/>
      <w:lvlText w:val="%1."/>
      <w:lvlJc w:val="left"/>
      <w:pPr>
        <w:ind w:left="1353" w:hanging="360"/>
      </w:pPr>
      <w:rPr>
        <w:rFonts w:hint="default"/>
      </w:rPr>
    </w:lvl>
    <w:lvl w:ilvl="1">
      <w:start w:val="1"/>
      <w:numFmt w:val="decimal"/>
      <w:pStyle w:val="Title2"/>
      <w:suff w:val="space"/>
      <w:lvlText w:val="%1.%2."/>
      <w:lvlJc w:val="left"/>
      <w:pPr>
        <w:ind w:left="1059" w:hanging="491"/>
      </w:pPr>
      <w:rPr>
        <w:rFonts w:ascii="Arial" w:hAnsi="Arial" w:hint="default"/>
        <w:b w:val="0"/>
        <w:i w:val="0"/>
        <w:color w:val="0C4DA2" w:themeColor="text2"/>
        <w:spacing w:val="0"/>
        <w:sz w:val="32"/>
        <w14:numSpacing w14:val="proportional"/>
      </w:rPr>
    </w:lvl>
    <w:lvl w:ilvl="2">
      <w:start w:val="1"/>
      <w:numFmt w:val="decimal"/>
      <w:pStyle w:val="title3"/>
      <w:suff w:val="space"/>
      <w:lvlText w:val="%1.%2.%3."/>
      <w:lvlJc w:val="left"/>
      <w:pPr>
        <w:ind w:left="1531" w:hanging="811"/>
      </w:pPr>
      <w:rPr>
        <w:rFonts w:ascii="Arial" w:hAnsi="Arial" w:hint="default"/>
        <w:b w:val="0"/>
        <w:i w:val="0"/>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46113D4F"/>
    <w:multiLevelType w:val="singleLevel"/>
    <w:tmpl w:val="A3323CB8"/>
    <w:lvl w:ilvl="0">
      <w:start w:val="1"/>
      <w:numFmt w:val="bullet"/>
      <w:pStyle w:val="ListDash3"/>
      <w:lvlText w:val="–"/>
      <w:lvlJc w:val="left"/>
      <w:pPr>
        <w:tabs>
          <w:tab w:val="num" w:pos="1485"/>
        </w:tabs>
        <w:ind w:left="1485" w:hanging="283"/>
      </w:pPr>
      <w:rPr>
        <w:rFonts w:ascii="Times New Roman" w:hAnsi="Times New Roman"/>
      </w:rPr>
    </w:lvl>
  </w:abstractNum>
  <w:abstractNum w:abstractNumId="29" w15:restartNumberingAfterBreak="0">
    <w:nsid w:val="4B467F62"/>
    <w:multiLevelType w:val="hybridMultilevel"/>
    <w:tmpl w:val="40D481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4B4A1CE1"/>
    <w:multiLevelType w:val="hybridMultilevel"/>
    <w:tmpl w:val="2EEA4DF0"/>
    <w:lvl w:ilvl="0" w:tplc="508EE518">
      <w:start w:val="1"/>
      <w:numFmt w:val="bullet"/>
      <w:pStyle w:val="BulletPoint2"/>
      <w:lvlText w:val=""/>
      <w:lvlJc w:val="left"/>
      <w:pPr>
        <w:ind w:left="1080" w:hanging="360"/>
      </w:pPr>
      <w:rPr>
        <w:rFonts w:ascii="Symbol" w:hAnsi="Symbol" w:hint="default"/>
        <w:color w:val="7F7F7F"/>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4D6F51AD"/>
    <w:multiLevelType w:val="hybridMultilevel"/>
    <w:tmpl w:val="3C8045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DA20667"/>
    <w:multiLevelType w:val="hybridMultilevel"/>
    <w:tmpl w:val="B5B204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E8D3084"/>
    <w:multiLevelType w:val="hybridMultilevel"/>
    <w:tmpl w:val="D8B4EFBA"/>
    <w:lvl w:ilvl="0" w:tplc="E83E1136">
      <w:start w:val="1"/>
      <w:numFmt w:val="decimal"/>
      <w:pStyle w:val="Title20"/>
      <w:lvlText w:val="%1.1"/>
      <w:lvlJc w:val="left"/>
      <w:pPr>
        <w:ind w:left="1202" w:hanging="360"/>
      </w:pPr>
      <w:rPr>
        <w:rFonts w:hint="default"/>
      </w:rPr>
    </w:lvl>
    <w:lvl w:ilvl="1" w:tplc="08130019" w:tentative="1">
      <w:start w:val="1"/>
      <w:numFmt w:val="lowerLetter"/>
      <w:lvlText w:val="%2."/>
      <w:lvlJc w:val="left"/>
      <w:pPr>
        <w:ind w:left="1922" w:hanging="360"/>
      </w:pPr>
    </w:lvl>
    <w:lvl w:ilvl="2" w:tplc="0813001B" w:tentative="1">
      <w:start w:val="1"/>
      <w:numFmt w:val="lowerRoman"/>
      <w:lvlText w:val="%3."/>
      <w:lvlJc w:val="right"/>
      <w:pPr>
        <w:ind w:left="2642" w:hanging="180"/>
      </w:pPr>
    </w:lvl>
    <w:lvl w:ilvl="3" w:tplc="0813000F" w:tentative="1">
      <w:start w:val="1"/>
      <w:numFmt w:val="decimal"/>
      <w:lvlText w:val="%4."/>
      <w:lvlJc w:val="left"/>
      <w:pPr>
        <w:ind w:left="3362" w:hanging="360"/>
      </w:pPr>
    </w:lvl>
    <w:lvl w:ilvl="4" w:tplc="08130019" w:tentative="1">
      <w:start w:val="1"/>
      <w:numFmt w:val="lowerLetter"/>
      <w:lvlText w:val="%5."/>
      <w:lvlJc w:val="left"/>
      <w:pPr>
        <w:ind w:left="4082" w:hanging="360"/>
      </w:pPr>
    </w:lvl>
    <w:lvl w:ilvl="5" w:tplc="0813001B" w:tentative="1">
      <w:start w:val="1"/>
      <w:numFmt w:val="lowerRoman"/>
      <w:lvlText w:val="%6."/>
      <w:lvlJc w:val="right"/>
      <w:pPr>
        <w:ind w:left="4802" w:hanging="180"/>
      </w:pPr>
    </w:lvl>
    <w:lvl w:ilvl="6" w:tplc="0813000F" w:tentative="1">
      <w:start w:val="1"/>
      <w:numFmt w:val="decimal"/>
      <w:lvlText w:val="%7."/>
      <w:lvlJc w:val="left"/>
      <w:pPr>
        <w:ind w:left="5522" w:hanging="360"/>
      </w:pPr>
    </w:lvl>
    <w:lvl w:ilvl="7" w:tplc="08130019" w:tentative="1">
      <w:start w:val="1"/>
      <w:numFmt w:val="lowerLetter"/>
      <w:lvlText w:val="%8."/>
      <w:lvlJc w:val="left"/>
      <w:pPr>
        <w:ind w:left="6242" w:hanging="360"/>
      </w:pPr>
    </w:lvl>
    <w:lvl w:ilvl="8" w:tplc="0813001B" w:tentative="1">
      <w:start w:val="1"/>
      <w:numFmt w:val="lowerRoman"/>
      <w:lvlText w:val="%9."/>
      <w:lvlJc w:val="right"/>
      <w:pPr>
        <w:ind w:left="6962" w:hanging="180"/>
      </w:pPr>
    </w:lvl>
  </w:abstractNum>
  <w:abstractNum w:abstractNumId="34" w15:restartNumberingAfterBreak="0">
    <w:nsid w:val="5127196C"/>
    <w:multiLevelType w:val="hybridMultilevel"/>
    <w:tmpl w:val="C55878E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4D10AB0"/>
    <w:multiLevelType w:val="singleLevel"/>
    <w:tmpl w:val="5B50620E"/>
    <w:lvl w:ilvl="0">
      <w:start w:val="1"/>
      <w:numFmt w:val="bullet"/>
      <w:pStyle w:val="ListDash4"/>
      <w:lvlText w:val="–"/>
      <w:lvlJc w:val="left"/>
      <w:pPr>
        <w:tabs>
          <w:tab w:val="num" w:pos="1485"/>
        </w:tabs>
        <w:ind w:left="1485" w:hanging="283"/>
      </w:pPr>
      <w:rPr>
        <w:rFonts w:ascii="Times New Roman" w:hAnsi="Times New Roman"/>
      </w:rPr>
    </w:lvl>
  </w:abstractNum>
  <w:abstractNum w:abstractNumId="36" w15:restartNumberingAfterBreak="0">
    <w:nsid w:val="5AC86DF6"/>
    <w:multiLevelType w:val="hybridMultilevel"/>
    <w:tmpl w:val="B874CBC2"/>
    <w:lvl w:ilvl="0" w:tplc="7DBE7000">
      <w:start w:val="1"/>
      <w:numFmt w:val="decimal"/>
      <w:pStyle w:val="Numberslist"/>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7" w15:restartNumberingAfterBreak="0">
    <w:nsid w:val="5B785960"/>
    <w:multiLevelType w:val="hybridMultilevel"/>
    <w:tmpl w:val="04883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E0D6286"/>
    <w:multiLevelType w:val="singleLevel"/>
    <w:tmpl w:val="B0567122"/>
    <w:lvl w:ilvl="0">
      <w:start w:val="1"/>
      <w:numFmt w:val="bullet"/>
      <w:pStyle w:val="ListDash2"/>
      <w:lvlText w:val="–"/>
      <w:lvlJc w:val="left"/>
      <w:pPr>
        <w:tabs>
          <w:tab w:val="num" w:pos="1485"/>
        </w:tabs>
        <w:ind w:left="1485" w:hanging="283"/>
      </w:pPr>
      <w:rPr>
        <w:rFonts w:ascii="Times New Roman" w:hAnsi="Times New Roman"/>
      </w:rPr>
    </w:lvl>
  </w:abstractNum>
  <w:abstractNum w:abstractNumId="39" w15:restartNumberingAfterBreak="0">
    <w:nsid w:val="6057433F"/>
    <w:multiLevelType w:val="singleLevel"/>
    <w:tmpl w:val="3D5ECD48"/>
    <w:lvl w:ilvl="0">
      <w:start w:val="1"/>
      <w:numFmt w:val="bullet"/>
      <w:pStyle w:val="ListDash1"/>
      <w:lvlText w:val="–"/>
      <w:lvlJc w:val="left"/>
      <w:pPr>
        <w:tabs>
          <w:tab w:val="num" w:pos="765"/>
        </w:tabs>
        <w:ind w:left="765" w:hanging="283"/>
      </w:pPr>
      <w:rPr>
        <w:rFonts w:ascii="Times New Roman" w:hAnsi="Times New Roman"/>
      </w:rPr>
    </w:lvl>
  </w:abstractNum>
  <w:abstractNum w:abstractNumId="40" w15:restartNumberingAfterBreak="0">
    <w:nsid w:val="620F2440"/>
    <w:multiLevelType w:val="singleLevel"/>
    <w:tmpl w:val="6860A420"/>
    <w:styleLink w:val="JayeshNavinShahEasterEgg6"/>
    <w:lvl w:ilvl="0">
      <w:start w:val="1"/>
      <w:numFmt w:val="bullet"/>
      <w:pStyle w:val="ListBullet3"/>
      <w:lvlText w:val=""/>
      <w:lvlJc w:val="left"/>
      <w:pPr>
        <w:tabs>
          <w:tab w:val="num" w:pos="1485"/>
        </w:tabs>
        <w:ind w:left="1485" w:hanging="283"/>
      </w:pPr>
      <w:rPr>
        <w:rFonts w:ascii="Symbol" w:hAnsi="Symbol"/>
      </w:rPr>
    </w:lvl>
  </w:abstractNum>
  <w:abstractNum w:abstractNumId="41" w15:restartNumberingAfterBreak="0">
    <w:nsid w:val="65540CB6"/>
    <w:multiLevelType w:val="hybridMultilevel"/>
    <w:tmpl w:val="84227C4A"/>
    <w:lvl w:ilvl="0" w:tplc="08090017">
      <w:start w:val="1"/>
      <w:numFmt w:val="lowerLetter"/>
      <w:lvlText w:val="%1)"/>
      <w:lvlJc w:val="left"/>
      <w:pPr>
        <w:ind w:left="720" w:hanging="360"/>
      </w:pPr>
      <w:rPr>
        <w:rFonts w:hint="default"/>
        <w:b/>
        <w:i w:val="0"/>
        <w:color w:val="325BAA"/>
        <w:sz w:val="24"/>
      </w:rPr>
    </w:lvl>
    <w:lvl w:ilvl="1" w:tplc="D758FE2C">
      <w:start w:val="1"/>
      <w:numFmt w:val="bullet"/>
      <w:lvlText w:val="o"/>
      <w:lvlJc w:val="left"/>
      <w:pPr>
        <w:ind w:left="1440" w:hanging="360"/>
      </w:pPr>
      <w:rPr>
        <w:rFonts w:ascii="Courier New" w:hAnsi="Courier New" w:hint="default"/>
        <w:color w:val="0C4DA2" w:themeColor="text2"/>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2" w15:restartNumberingAfterBreak="0">
    <w:nsid w:val="69F70679"/>
    <w:multiLevelType w:val="hybridMultilevel"/>
    <w:tmpl w:val="FAAC5E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D10584A"/>
    <w:multiLevelType w:val="hybridMultilevel"/>
    <w:tmpl w:val="C23E773A"/>
    <w:lvl w:ilvl="0" w:tplc="0576B8E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DF118C0"/>
    <w:multiLevelType w:val="singleLevel"/>
    <w:tmpl w:val="B90C8B88"/>
    <w:lvl w:ilvl="0">
      <w:start w:val="1"/>
      <w:numFmt w:val="bullet"/>
      <w:pStyle w:val="ListBullet4"/>
      <w:lvlText w:val=""/>
      <w:lvlJc w:val="left"/>
      <w:pPr>
        <w:tabs>
          <w:tab w:val="num" w:pos="1485"/>
        </w:tabs>
        <w:ind w:left="1485" w:hanging="283"/>
      </w:pPr>
      <w:rPr>
        <w:rFonts w:ascii="Symbol" w:hAnsi="Symbol"/>
      </w:rPr>
    </w:lvl>
  </w:abstractNum>
  <w:abstractNum w:abstractNumId="45" w15:restartNumberingAfterBreak="0">
    <w:nsid w:val="722304D7"/>
    <w:multiLevelType w:val="multilevel"/>
    <w:tmpl w:val="9DE2758E"/>
    <w:lvl w:ilvl="0">
      <w:start w:val="1"/>
      <w:numFmt w:val="decimal"/>
      <w:pStyle w:val="ListNumber4"/>
      <w:lvlText w:val="(%1)"/>
      <w:lvlJc w:val="left"/>
      <w:pPr>
        <w:tabs>
          <w:tab w:val="num" w:pos="1911"/>
        </w:tabs>
        <w:ind w:left="1911" w:hanging="709"/>
      </w:pPr>
    </w:lvl>
    <w:lvl w:ilvl="1">
      <w:start w:val="1"/>
      <w:numFmt w:val="lowerLetter"/>
      <w:pStyle w:val="ListNumber4Level2"/>
      <w:lvlText w:val="(%2)"/>
      <w:lvlJc w:val="left"/>
      <w:pPr>
        <w:tabs>
          <w:tab w:val="num" w:pos="2619"/>
        </w:tabs>
        <w:ind w:left="2619" w:hanging="708"/>
      </w:pPr>
    </w:lvl>
    <w:lvl w:ilvl="2">
      <w:start w:val="1"/>
      <w:numFmt w:val="bullet"/>
      <w:pStyle w:val="ListNumber4Level3"/>
      <w:lvlText w:val="–"/>
      <w:lvlJc w:val="left"/>
      <w:pPr>
        <w:tabs>
          <w:tab w:val="num" w:pos="3328"/>
        </w:tabs>
        <w:ind w:left="3328" w:hanging="709"/>
      </w:pPr>
      <w:rPr>
        <w:rFonts w:ascii="Times New Roman" w:hAnsi="Times New Roman"/>
      </w:rPr>
    </w:lvl>
    <w:lvl w:ilvl="3">
      <w:start w:val="1"/>
      <w:numFmt w:val="bullet"/>
      <w:pStyle w:val="ListNumber4Level4"/>
      <w:lvlText w:val=""/>
      <w:lvlJc w:val="left"/>
      <w:pPr>
        <w:tabs>
          <w:tab w:val="num" w:pos="4037"/>
        </w:tabs>
        <w:ind w:left="4037"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731702B0"/>
    <w:multiLevelType w:val="hybridMultilevel"/>
    <w:tmpl w:val="AF1C3B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53E1F08"/>
    <w:multiLevelType w:val="hybridMultilevel"/>
    <w:tmpl w:val="7A6E4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5FD2A02"/>
    <w:multiLevelType w:val="hybridMultilevel"/>
    <w:tmpl w:val="A45CF8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612647F"/>
    <w:multiLevelType w:val="multilevel"/>
    <w:tmpl w:val="98381DF0"/>
    <w:numStyleLink w:val="JayeshNavinShahEasterEgg"/>
  </w:abstractNum>
  <w:abstractNum w:abstractNumId="50" w15:restartNumberingAfterBreak="0">
    <w:nsid w:val="76A67F93"/>
    <w:multiLevelType w:val="hybridMultilevel"/>
    <w:tmpl w:val="13DE6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79156420"/>
    <w:multiLevelType w:val="multilevel"/>
    <w:tmpl w:val="40988988"/>
    <w:lvl w:ilvl="0">
      <w:start w:val="1"/>
      <w:numFmt w:val="none"/>
      <w:suff w:val="nothing"/>
      <w:lvlText w:val=""/>
      <w:lvlJc w:val="left"/>
      <w:pPr>
        <w:ind w:left="0" w:firstLine="0"/>
      </w:pPr>
      <w:rPr>
        <w:rFonts w:hint="default"/>
      </w:rPr>
    </w:lvl>
    <w:lvl w:ilvl="1">
      <w:start w:val="1"/>
      <w:numFmt w:val="bullet"/>
      <w:pStyle w:val="10CBoxedBullets1stlevel"/>
      <w:lvlText w:val="▪"/>
      <w:lvlJc w:val="left"/>
      <w:pPr>
        <w:ind w:left="284" w:hanging="284"/>
      </w:pPr>
      <w:rPr>
        <w:rFonts w:ascii="Segoe UI Light" w:hAnsi="Segoe UI Light" w:hint="default"/>
        <w:color w:val="FFFFFF" w:themeColor="background1"/>
      </w:rPr>
    </w:lvl>
    <w:lvl w:ilvl="2">
      <w:start w:val="1"/>
      <w:numFmt w:val="bullet"/>
      <w:pStyle w:val="10DBoxedBullets2ndlevel"/>
      <w:lvlText w:val="−"/>
      <w:lvlJc w:val="left"/>
      <w:pPr>
        <w:ind w:left="567" w:hanging="283"/>
      </w:pPr>
      <w:rPr>
        <w:rFonts w:ascii="Segoe UI Light" w:hAnsi="Segoe UI Light" w:hint="default"/>
        <w:color w:val="FFFFFF" w:themeColor="background1"/>
      </w:rPr>
    </w:lvl>
    <w:lvl w:ilvl="3">
      <w:start w:val="1"/>
      <w:numFmt w:val="bullet"/>
      <w:lvlText w:val=""/>
      <w:lvlJc w:val="left"/>
      <w:pPr>
        <w:ind w:left="852" w:firstLine="0"/>
      </w:pPr>
      <w:rPr>
        <w:rFonts w:ascii="Symbol" w:hAnsi="Symbol" w:hint="default"/>
      </w:rPr>
    </w:lvl>
    <w:lvl w:ilvl="4">
      <w:start w:val="1"/>
      <w:numFmt w:val="bullet"/>
      <w:lvlText w:val="o"/>
      <w:lvlJc w:val="left"/>
      <w:pPr>
        <w:ind w:left="1136" w:firstLine="0"/>
      </w:pPr>
      <w:rPr>
        <w:rFonts w:ascii="Courier New" w:hAnsi="Courier New" w:cs="Courier New" w:hint="default"/>
      </w:rPr>
    </w:lvl>
    <w:lvl w:ilvl="5">
      <w:start w:val="1"/>
      <w:numFmt w:val="bullet"/>
      <w:lvlText w:val=""/>
      <w:lvlJc w:val="left"/>
      <w:pPr>
        <w:ind w:left="1420" w:firstLine="0"/>
      </w:pPr>
      <w:rPr>
        <w:rFonts w:ascii="Wingdings" w:hAnsi="Wingdings" w:hint="default"/>
      </w:rPr>
    </w:lvl>
    <w:lvl w:ilvl="6">
      <w:start w:val="1"/>
      <w:numFmt w:val="bullet"/>
      <w:lvlText w:val=""/>
      <w:lvlJc w:val="left"/>
      <w:pPr>
        <w:ind w:left="1704" w:firstLine="0"/>
      </w:pPr>
      <w:rPr>
        <w:rFonts w:ascii="Symbol" w:hAnsi="Symbol" w:hint="default"/>
      </w:rPr>
    </w:lvl>
    <w:lvl w:ilvl="7">
      <w:start w:val="1"/>
      <w:numFmt w:val="bullet"/>
      <w:lvlText w:val="o"/>
      <w:lvlJc w:val="left"/>
      <w:pPr>
        <w:ind w:left="1988" w:firstLine="0"/>
      </w:pPr>
      <w:rPr>
        <w:rFonts w:ascii="Courier New" w:hAnsi="Courier New" w:cs="Courier New" w:hint="default"/>
      </w:rPr>
    </w:lvl>
    <w:lvl w:ilvl="8">
      <w:start w:val="1"/>
      <w:numFmt w:val="bullet"/>
      <w:lvlText w:val=""/>
      <w:lvlJc w:val="left"/>
      <w:pPr>
        <w:ind w:left="2272" w:firstLine="0"/>
      </w:pPr>
      <w:rPr>
        <w:rFonts w:ascii="Wingdings" w:hAnsi="Wingdings" w:hint="default"/>
      </w:rPr>
    </w:lvl>
  </w:abstractNum>
  <w:abstractNum w:abstractNumId="52" w15:restartNumberingAfterBreak="0">
    <w:nsid w:val="79A75FE0"/>
    <w:multiLevelType w:val="hybridMultilevel"/>
    <w:tmpl w:val="C55878E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7F53602D"/>
    <w:multiLevelType w:val="hybridMultilevel"/>
    <w:tmpl w:val="674C276E"/>
    <w:lvl w:ilvl="0" w:tplc="40126BF0">
      <w:start w:val="1"/>
      <w:numFmt w:val="bullet"/>
      <w:lvlText w:val=""/>
      <w:lvlJc w:val="left"/>
      <w:pPr>
        <w:ind w:left="720" w:hanging="360"/>
      </w:pPr>
      <w:rPr>
        <w:rFonts w:ascii="Symbol" w:hAnsi="Symbol" w:hint="default"/>
        <w:color w:val="0C4DA2" w:themeColor="text2"/>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9"/>
  </w:num>
  <w:num w:numId="4">
    <w:abstractNumId w:val="24"/>
  </w:num>
  <w:num w:numId="5">
    <w:abstractNumId w:val="14"/>
  </w:num>
  <w:num w:numId="6">
    <w:abstractNumId w:val="22"/>
  </w:num>
  <w:num w:numId="7">
    <w:abstractNumId w:val="40"/>
  </w:num>
  <w:num w:numId="8">
    <w:abstractNumId w:val="44"/>
  </w:num>
  <w:num w:numId="9">
    <w:abstractNumId w:val="19"/>
  </w:num>
  <w:num w:numId="10">
    <w:abstractNumId w:val="39"/>
  </w:num>
  <w:num w:numId="11">
    <w:abstractNumId w:val="38"/>
  </w:num>
  <w:num w:numId="12">
    <w:abstractNumId w:val="28"/>
  </w:num>
  <w:num w:numId="13">
    <w:abstractNumId w:val="35"/>
  </w:num>
  <w:num w:numId="14">
    <w:abstractNumId w:val="11"/>
  </w:num>
  <w:num w:numId="15">
    <w:abstractNumId w:val="20"/>
  </w:num>
  <w:num w:numId="16">
    <w:abstractNumId w:val="8"/>
  </w:num>
  <w:num w:numId="17">
    <w:abstractNumId w:val="15"/>
  </w:num>
  <w:num w:numId="18">
    <w:abstractNumId w:val="45"/>
  </w:num>
  <w:num w:numId="19">
    <w:abstractNumId w:val="30"/>
  </w:num>
  <w:num w:numId="20">
    <w:abstractNumId w:val="6"/>
  </w:num>
  <w:num w:numId="21">
    <w:abstractNumId w:val="33"/>
  </w:num>
  <w:num w:numId="22">
    <w:abstractNumId w:val="18"/>
  </w:num>
  <w:num w:numId="23">
    <w:abstractNumId w:val="23"/>
  </w:num>
  <w:num w:numId="24">
    <w:abstractNumId w:val="27"/>
  </w:num>
  <w:num w:numId="25">
    <w:abstractNumId w:val="36"/>
  </w:num>
  <w:num w:numId="26">
    <w:abstractNumId w:val="3"/>
  </w:num>
  <w:num w:numId="27">
    <w:abstractNumId w:val="49"/>
  </w:num>
  <w:num w:numId="28">
    <w:abstractNumId w:val="51"/>
  </w:num>
  <w:num w:numId="29">
    <w:abstractNumId w:val="10"/>
  </w:num>
  <w:num w:numId="30">
    <w:abstractNumId w:val="4"/>
  </w:num>
  <w:num w:numId="31">
    <w:abstractNumId w:val="7"/>
  </w:num>
  <w:num w:numId="32">
    <w:abstractNumId w:val="31"/>
  </w:num>
  <w:num w:numId="33">
    <w:abstractNumId w:val="42"/>
  </w:num>
  <w:num w:numId="34">
    <w:abstractNumId w:val="32"/>
  </w:num>
  <w:num w:numId="35">
    <w:abstractNumId w:val="41"/>
  </w:num>
  <w:num w:numId="36">
    <w:abstractNumId w:val="34"/>
  </w:num>
  <w:num w:numId="37">
    <w:abstractNumId w:val="52"/>
  </w:num>
  <w:num w:numId="38">
    <w:abstractNumId w:val="26"/>
  </w:num>
  <w:num w:numId="39">
    <w:abstractNumId w:val="17"/>
  </w:num>
  <w:num w:numId="40">
    <w:abstractNumId w:val="2"/>
  </w:num>
  <w:num w:numId="41">
    <w:abstractNumId w:val="12"/>
  </w:num>
  <w:num w:numId="4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3"/>
  </w:num>
  <w:num w:numId="44">
    <w:abstractNumId w:val="37"/>
  </w:num>
  <w:num w:numId="45">
    <w:abstractNumId w:val="43"/>
  </w:num>
  <w:num w:numId="46">
    <w:abstractNumId w:val="50"/>
  </w:num>
  <w:num w:numId="47">
    <w:abstractNumId w:val="29"/>
  </w:num>
  <w:num w:numId="48">
    <w:abstractNumId w:val="47"/>
  </w:num>
  <w:num w:numId="49">
    <w:abstractNumId w:val="16"/>
  </w:num>
  <w:num w:numId="50">
    <w:abstractNumId w:val="10"/>
  </w:num>
  <w:num w:numId="51">
    <w:abstractNumId w:val="10"/>
  </w:num>
  <w:num w:numId="52">
    <w:abstractNumId w:val="10"/>
  </w:num>
  <w:num w:numId="53">
    <w:abstractNumId w:val="10"/>
  </w:num>
  <w:num w:numId="54">
    <w:abstractNumId w:val="10"/>
  </w:num>
  <w:num w:numId="55">
    <w:abstractNumId w:val="10"/>
  </w:num>
  <w:num w:numId="56">
    <w:abstractNumId w:val="10"/>
  </w:num>
  <w:num w:numId="57">
    <w:abstractNumId w:val="10"/>
  </w:num>
  <w:num w:numId="58">
    <w:abstractNumId w:val="10"/>
  </w:num>
  <w:num w:numId="5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53"/>
  </w:num>
  <w:num w:numId="61">
    <w:abstractNumId w:val="5"/>
  </w:num>
  <w:num w:numId="6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6"/>
  </w:num>
  <w:num w:numId="64">
    <w:abstractNumId w:val="48"/>
  </w:num>
  <w:num w:numId="65">
    <w:abstractNumId w:val="25"/>
  </w:num>
  <w:num w:numId="6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1"/>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removeDateAndTime/>
  <w:proofState w:spelling="clean" w:grammar="clean"/>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hyphenationZone w:val="425"/>
  <w:defaultTableStyle w:val="TableGrid"/>
  <w:evenAndOddHeaders/>
  <w:drawingGridHorizontalSpacing w:val="120"/>
  <w:displayHorizontalDrawingGridEvery w:val="0"/>
  <w:displayVerticalDrawingGridEvery w:val="0"/>
  <w:noPunctuationKerning/>
  <w:characterSpacingControl w:val="doNotCompress"/>
  <w:hdrShapeDefaults>
    <o:shapedefaults v:ext="edit" spidmax="32769" style="mso-position-vertical-relative:margin" fillcolor="#002395" stroke="f">
      <v:fill color="#002395"/>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LW_DocType" w:val="REP"/>
  </w:docVars>
  <w:rsids>
    <w:rsidRoot w:val="00D63776"/>
    <w:rsid w:val="00001268"/>
    <w:rsid w:val="0000305C"/>
    <w:rsid w:val="00006186"/>
    <w:rsid w:val="00012209"/>
    <w:rsid w:val="000127DC"/>
    <w:rsid w:val="000148CC"/>
    <w:rsid w:val="0001591D"/>
    <w:rsid w:val="0001748A"/>
    <w:rsid w:val="00024180"/>
    <w:rsid w:val="0002439A"/>
    <w:rsid w:val="000275A5"/>
    <w:rsid w:val="00030154"/>
    <w:rsid w:val="000306AF"/>
    <w:rsid w:val="0003531E"/>
    <w:rsid w:val="00041E23"/>
    <w:rsid w:val="000420DD"/>
    <w:rsid w:val="0004328E"/>
    <w:rsid w:val="00045D43"/>
    <w:rsid w:val="00050692"/>
    <w:rsid w:val="00051BE5"/>
    <w:rsid w:val="00052009"/>
    <w:rsid w:val="000535B3"/>
    <w:rsid w:val="000541FE"/>
    <w:rsid w:val="000624B2"/>
    <w:rsid w:val="00063490"/>
    <w:rsid w:val="00063804"/>
    <w:rsid w:val="00064230"/>
    <w:rsid w:val="0006609D"/>
    <w:rsid w:val="00066564"/>
    <w:rsid w:val="0007024A"/>
    <w:rsid w:val="00076CEF"/>
    <w:rsid w:val="00077247"/>
    <w:rsid w:val="00083E27"/>
    <w:rsid w:val="000846B0"/>
    <w:rsid w:val="00084C36"/>
    <w:rsid w:val="0008645D"/>
    <w:rsid w:val="000909A5"/>
    <w:rsid w:val="0009555A"/>
    <w:rsid w:val="00097276"/>
    <w:rsid w:val="0009739E"/>
    <w:rsid w:val="000A0CBA"/>
    <w:rsid w:val="000A26C4"/>
    <w:rsid w:val="000A5212"/>
    <w:rsid w:val="000A6C9E"/>
    <w:rsid w:val="000A718B"/>
    <w:rsid w:val="000A7C84"/>
    <w:rsid w:val="000A7FCF"/>
    <w:rsid w:val="000B5E59"/>
    <w:rsid w:val="000B62F1"/>
    <w:rsid w:val="000C2FB0"/>
    <w:rsid w:val="000C5348"/>
    <w:rsid w:val="000C755F"/>
    <w:rsid w:val="000D17BE"/>
    <w:rsid w:val="000D1F12"/>
    <w:rsid w:val="000D203C"/>
    <w:rsid w:val="000D29BA"/>
    <w:rsid w:val="000D47D8"/>
    <w:rsid w:val="000D52C0"/>
    <w:rsid w:val="000D6EDF"/>
    <w:rsid w:val="000D6FA4"/>
    <w:rsid w:val="000E2787"/>
    <w:rsid w:val="000E305B"/>
    <w:rsid w:val="000E3E84"/>
    <w:rsid w:val="000E4FF4"/>
    <w:rsid w:val="000E7043"/>
    <w:rsid w:val="000F0420"/>
    <w:rsid w:val="000F1813"/>
    <w:rsid w:val="000F1EC6"/>
    <w:rsid w:val="000F5B11"/>
    <w:rsid w:val="000F5CDF"/>
    <w:rsid w:val="000F6373"/>
    <w:rsid w:val="000F6747"/>
    <w:rsid w:val="000F6C95"/>
    <w:rsid w:val="0010339F"/>
    <w:rsid w:val="001053D1"/>
    <w:rsid w:val="001110B4"/>
    <w:rsid w:val="0011141D"/>
    <w:rsid w:val="0011146E"/>
    <w:rsid w:val="001126E7"/>
    <w:rsid w:val="001160E7"/>
    <w:rsid w:val="0011681E"/>
    <w:rsid w:val="00121BF1"/>
    <w:rsid w:val="00121ECE"/>
    <w:rsid w:val="00131781"/>
    <w:rsid w:val="00131BE7"/>
    <w:rsid w:val="001336E1"/>
    <w:rsid w:val="00136138"/>
    <w:rsid w:val="00136AB3"/>
    <w:rsid w:val="00136C56"/>
    <w:rsid w:val="001403BE"/>
    <w:rsid w:val="00141116"/>
    <w:rsid w:val="00144484"/>
    <w:rsid w:val="0014596A"/>
    <w:rsid w:val="00150783"/>
    <w:rsid w:val="00151966"/>
    <w:rsid w:val="00151C50"/>
    <w:rsid w:val="00157B22"/>
    <w:rsid w:val="001604F3"/>
    <w:rsid w:val="001619AA"/>
    <w:rsid w:val="001636EC"/>
    <w:rsid w:val="00167A1B"/>
    <w:rsid w:val="00170246"/>
    <w:rsid w:val="00170A63"/>
    <w:rsid w:val="00170D7C"/>
    <w:rsid w:val="00172EA0"/>
    <w:rsid w:val="00173EF6"/>
    <w:rsid w:val="001823B8"/>
    <w:rsid w:val="001830E6"/>
    <w:rsid w:val="0018457D"/>
    <w:rsid w:val="00184D8C"/>
    <w:rsid w:val="001855C9"/>
    <w:rsid w:val="0018720E"/>
    <w:rsid w:val="001901AA"/>
    <w:rsid w:val="00191AEA"/>
    <w:rsid w:val="0019337E"/>
    <w:rsid w:val="001A0809"/>
    <w:rsid w:val="001A2E0A"/>
    <w:rsid w:val="001A332B"/>
    <w:rsid w:val="001A3654"/>
    <w:rsid w:val="001A56A9"/>
    <w:rsid w:val="001B2C6E"/>
    <w:rsid w:val="001B4845"/>
    <w:rsid w:val="001B6248"/>
    <w:rsid w:val="001B6FDC"/>
    <w:rsid w:val="001C419C"/>
    <w:rsid w:val="001C7A04"/>
    <w:rsid w:val="001D0B0A"/>
    <w:rsid w:val="001D2501"/>
    <w:rsid w:val="001D2769"/>
    <w:rsid w:val="001D2A51"/>
    <w:rsid w:val="001D33A8"/>
    <w:rsid w:val="001E0246"/>
    <w:rsid w:val="001E4FCA"/>
    <w:rsid w:val="001E56A7"/>
    <w:rsid w:val="001E5857"/>
    <w:rsid w:val="001E6AC6"/>
    <w:rsid w:val="001E7477"/>
    <w:rsid w:val="001F2385"/>
    <w:rsid w:val="001F4CB2"/>
    <w:rsid w:val="001F6222"/>
    <w:rsid w:val="001F7D65"/>
    <w:rsid w:val="00202BE1"/>
    <w:rsid w:val="00203347"/>
    <w:rsid w:val="00204155"/>
    <w:rsid w:val="002065F2"/>
    <w:rsid w:val="002067A1"/>
    <w:rsid w:val="00210003"/>
    <w:rsid w:val="0021201F"/>
    <w:rsid w:val="00213AE8"/>
    <w:rsid w:val="002146E5"/>
    <w:rsid w:val="00214EC4"/>
    <w:rsid w:val="00215A57"/>
    <w:rsid w:val="00221BF6"/>
    <w:rsid w:val="00221C9D"/>
    <w:rsid w:val="00223547"/>
    <w:rsid w:val="00223F54"/>
    <w:rsid w:val="00225290"/>
    <w:rsid w:val="00234AFB"/>
    <w:rsid w:val="002367E6"/>
    <w:rsid w:val="002370AE"/>
    <w:rsid w:val="00241A4D"/>
    <w:rsid w:val="00241F03"/>
    <w:rsid w:val="00247A74"/>
    <w:rsid w:val="00250BF5"/>
    <w:rsid w:val="00250D60"/>
    <w:rsid w:val="00255775"/>
    <w:rsid w:val="00255D3C"/>
    <w:rsid w:val="00260A49"/>
    <w:rsid w:val="002637F4"/>
    <w:rsid w:val="00266ED9"/>
    <w:rsid w:val="00267046"/>
    <w:rsid w:val="0026795B"/>
    <w:rsid w:val="00267A5F"/>
    <w:rsid w:val="00267D17"/>
    <w:rsid w:val="00272A96"/>
    <w:rsid w:val="00272D69"/>
    <w:rsid w:val="00273829"/>
    <w:rsid w:val="00275F15"/>
    <w:rsid w:val="00277A20"/>
    <w:rsid w:val="00282256"/>
    <w:rsid w:val="00284A2D"/>
    <w:rsid w:val="00285234"/>
    <w:rsid w:val="00286109"/>
    <w:rsid w:val="00286667"/>
    <w:rsid w:val="002922A5"/>
    <w:rsid w:val="00294AF6"/>
    <w:rsid w:val="002A68E7"/>
    <w:rsid w:val="002A726D"/>
    <w:rsid w:val="002B26E8"/>
    <w:rsid w:val="002C36CD"/>
    <w:rsid w:val="002C3EF9"/>
    <w:rsid w:val="002C65E4"/>
    <w:rsid w:val="002C784F"/>
    <w:rsid w:val="002C7D31"/>
    <w:rsid w:val="002D2943"/>
    <w:rsid w:val="002D2C3E"/>
    <w:rsid w:val="002D52C0"/>
    <w:rsid w:val="002E1B6D"/>
    <w:rsid w:val="002E22A9"/>
    <w:rsid w:val="002E2FBF"/>
    <w:rsid w:val="002E4BA1"/>
    <w:rsid w:val="002E6ECE"/>
    <w:rsid w:val="002E782C"/>
    <w:rsid w:val="002E79FA"/>
    <w:rsid w:val="002F1592"/>
    <w:rsid w:val="0030325A"/>
    <w:rsid w:val="003038C0"/>
    <w:rsid w:val="00303E27"/>
    <w:rsid w:val="00304598"/>
    <w:rsid w:val="003071F8"/>
    <w:rsid w:val="003115BF"/>
    <w:rsid w:val="0031172F"/>
    <w:rsid w:val="00311D4B"/>
    <w:rsid w:val="00312EAA"/>
    <w:rsid w:val="00313162"/>
    <w:rsid w:val="0031320E"/>
    <w:rsid w:val="003136EB"/>
    <w:rsid w:val="003138DE"/>
    <w:rsid w:val="00322CC3"/>
    <w:rsid w:val="0032364B"/>
    <w:rsid w:val="00323D47"/>
    <w:rsid w:val="0032482F"/>
    <w:rsid w:val="00324F7B"/>
    <w:rsid w:val="00326998"/>
    <w:rsid w:val="00326A33"/>
    <w:rsid w:val="00331BA5"/>
    <w:rsid w:val="00337D70"/>
    <w:rsid w:val="003416C6"/>
    <w:rsid w:val="00342414"/>
    <w:rsid w:val="0034518D"/>
    <w:rsid w:val="00346454"/>
    <w:rsid w:val="00346E2A"/>
    <w:rsid w:val="00350D85"/>
    <w:rsid w:val="00351563"/>
    <w:rsid w:val="003566D6"/>
    <w:rsid w:val="003577F4"/>
    <w:rsid w:val="003605F5"/>
    <w:rsid w:val="00362478"/>
    <w:rsid w:val="00363B74"/>
    <w:rsid w:val="003662DA"/>
    <w:rsid w:val="00367149"/>
    <w:rsid w:val="003720E8"/>
    <w:rsid w:val="00374CA7"/>
    <w:rsid w:val="003752F8"/>
    <w:rsid w:val="00375A58"/>
    <w:rsid w:val="00382FF6"/>
    <w:rsid w:val="003838C3"/>
    <w:rsid w:val="0038553A"/>
    <w:rsid w:val="00390753"/>
    <w:rsid w:val="0039110A"/>
    <w:rsid w:val="003931FF"/>
    <w:rsid w:val="00395A36"/>
    <w:rsid w:val="003A2C77"/>
    <w:rsid w:val="003A356C"/>
    <w:rsid w:val="003A4447"/>
    <w:rsid w:val="003A5CCD"/>
    <w:rsid w:val="003A6390"/>
    <w:rsid w:val="003B129E"/>
    <w:rsid w:val="003B4C2D"/>
    <w:rsid w:val="003C1657"/>
    <w:rsid w:val="003C677D"/>
    <w:rsid w:val="003C7082"/>
    <w:rsid w:val="003C7898"/>
    <w:rsid w:val="003C7A25"/>
    <w:rsid w:val="003C7D53"/>
    <w:rsid w:val="003D1D32"/>
    <w:rsid w:val="003D6E0A"/>
    <w:rsid w:val="003E091D"/>
    <w:rsid w:val="003E0944"/>
    <w:rsid w:val="003E19B6"/>
    <w:rsid w:val="003E1C2A"/>
    <w:rsid w:val="003E1CCA"/>
    <w:rsid w:val="003F02EE"/>
    <w:rsid w:val="003F048C"/>
    <w:rsid w:val="003F2B5D"/>
    <w:rsid w:val="003F426C"/>
    <w:rsid w:val="004010EE"/>
    <w:rsid w:val="00401647"/>
    <w:rsid w:val="00403AA1"/>
    <w:rsid w:val="004079BA"/>
    <w:rsid w:val="00411576"/>
    <w:rsid w:val="004179CC"/>
    <w:rsid w:val="004219EB"/>
    <w:rsid w:val="004222CE"/>
    <w:rsid w:val="00422FFA"/>
    <w:rsid w:val="00424AFF"/>
    <w:rsid w:val="00430977"/>
    <w:rsid w:val="00430D7F"/>
    <w:rsid w:val="00432A17"/>
    <w:rsid w:val="00433CD3"/>
    <w:rsid w:val="0043682E"/>
    <w:rsid w:val="0044503B"/>
    <w:rsid w:val="004455E1"/>
    <w:rsid w:val="004462CA"/>
    <w:rsid w:val="00446FD7"/>
    <w:rsid w:val="00455233"/>
    <w:rsid w:val="00456375"/>
    <w:rsid w:val="00456FC8"/>
    <w:rsid w:val="004574F8"/>
    <w:rsid w:val="00461581"/>
    <w:rsid w:val="00461D0A"/>
    <w:rsid w:val="00462166"/>
    <w:rsid w:val="00462DAE"/>
    <w:rsid w:val="00467033"/>
    <w:rsid w:val="0047194C"/>
    <w:rsid w:val="00473538"/>
    <w:rsid w:val="0047600E"/>
    <w:rsid w:val="004771ED"/>
    <w:rsid w:val="00480AA5"/>
    <w:rsid w:val="004849C6"/>
    <w:rsid w:val="00491CD6"/>
    <w:rsid w:val="00492D6B"/>
    <w:rsid w:val="00494108"/>
    <w:rsid w:val="00495C26"/>
    <w:rsid w:val="0049646C"/>
    <w:rsid w:val="004969C8"/>
    <w:rsid w:val="004A0FF8"/>
    <w:rsid w:val="004A1C19"/>
    <w:rsid w:val="004A4C16"/>
    <w:rsid w:val="004A6099"/>
    <w:rsid w:val="004A65C5"/>
    <w:rsid w:val="004A7DE9"/>
    <w:rsid w:val="004B0B74"/>
    <w:rsid w:val="004B29D2"/>
    <w:rsid w:val="004B378A"/>
    <w:rsid w:val="004B4D19"/>
    <w:rsid w:val="004B5FFC"/>
    <w:rsid w:val="004B7BC7"/>
    <w:rsid w:val="004C0D3F"/>
    <w:rsid w:val="004C2C56"/>
    <w:rsid w:val="004C4451"/>
    <w:rsid w:val="004D259E"/>
    <w:rsid w:val="004D2E89"/>
    <w:rsid w:val="004D49F1"/>
    <w:rsid w:val="004D5502"/>
    <w:rsid w:val="004E26FB"/>
    <w:rsid w:val="004E3C50"/>
    <w:rsid w:val="004E5BA1"/>
    <w:rsid w:val="004F17DE"/>
    <w:rsid w:val="004F27EF"/>
    <w:rsid w:val="004F3593"/>
    <w:rsid w:val="004F57E3"/>
    <w:rsid w:val="0050229F"/>
    <w:rsid w:val="00503DA8"/>
    <w:rsid w:val="00505FA6"/>
    <w:rsid w:val="00506408"/>
    <w:rsid w:val="00507CA9"/>
    <w:rsid w:val="00511437"/>
    <w:rsid w:val="00515C29"/>
    <w:rsid w:val="00515F27"/>
    <w:rsid w:val="00517CA7"/>
    <w:rsid w:val="00523D64"/>
    <w:rsid w:val="005257B0"/>
    <w:rsid w:val="005277AC"/>
    <w:rsid w:val="00530E71"/>
    <w:rsid w:val="0053347C"/>
    <w:rsid w:val="005368D2"/>
    <w:rsid w:val="005426BB"/>
    <w:rsid w:val="00542908"/>
    <w:rsid w:val="0054698A"/>
    <w:rsid w:val="005500BD"/>
    <w:rsid w:val="00550ACC"/>
    <w:rsid w:val="0055434B"/>
    <w:rsid w:val="005548B3"/>
    <w:rsid w:val="00554C47"/>
    <w:rsid w:val="00555048"/>
    <w:rsid w:val="00555D43"/>
    <w:rsid w:val="00557805"/>
    <w:rsid w:val="005602C7"/>
    <w:rsid w:val="00562E0A"/>
    <w:rsid w:val="00564348"/>
    <w:rsid w:val="0056442A"/>
    <w:rsid w:val="005648BE"/>
    <w:rsid w:val="005677CD"/>
    <w:rsid w:val="00571FD9"/>
    <w:rsid w:val="00577EC6"/>
    <w:rsid w:val="005802F8"/>
    <w:rsid w:val="005816A2"/>
    <w:rsid w:val="00581EA6"/>
    <w:rsid w:val="00582E52"/>
    <w:rsid w:val="00583158"/>
    <w:rsid w:val="00583B0E"/>
    <w:rsid w:val="005848E1"/>
    <w:rsid w:val="005864CC"/>
    <w:rsid w:val="005874BA"/>
    <w:rsid w:val="00592685"/>
    <w:rsid w:val="005931F7"/>
    <w:rsid w:val="005A007F"/>
    <w:rsid w:val="005A18AB"/>
    <w:rsid w:val="005A3840"/>
    <w:rsid w:val="005A59E2"/>
    <w:rsid w:val="005B3967"/>
    <w:rsid w:val="005B4538"/>
    <w:rsid w:val="005B4A09"/>
    <w:rsid w:val="005B50EE"/>
    <w:rsid w:val="005C02B0"/>
    <w:rsid w:val="005C2BCC"/>
    <w:rsid w:val="005C6427"/>
    <w:rsid w:val="005C672B"/>
    <w:rsid w:val="005C7F46"/>
    <w:rsid w:val="005D22ED"/>
    <w:rsid w:val="005D51A6"/>
    <w:rsid w:val="005D70CE"/>
    <w:rsid w:val="005E0F2F"/>
    <w:rsid w:val="005F0066"/>
    <w:rsid w:val="005F1B3E"/>
    <w:rsid w:val="005F49D5"/>
    <w:rsid w:val="005F7099"/>
    <w:rsid w:val="00601B08"/>
    <w:rsid w:val="00601F49"/>
    <w:rsid w:val="00601FCB"/>
    <w:rsid w:val="00605453"/>
    <w:rsid w:val="006076C0"/>
    <w:rsid w:val="00607895"/>
    <w:rsid w:val="00607AEC"/>
    <w:rsid w:val="006156D5"/>
    <w:rsid w:val="0061695F"/>
    <w:rsid w:val="00623C28"/>
    <w:rsid w:val="00623ED0"/>
    <w:rsid w:val="00624269"/>
    <w:rsid w:val="00630BCE"/>
    <w:rsid w:val="00631342"/>
    <w:rsid w:val="00633774"/>
    <w:rsid w:val="00637A71"/>
    <w:rsid w:val="00642D4B"/>
    <w:rsid w:val="00645DF1"/>
    <w:rsid w:val="00646C13"/>
    <w:rsid w:val="00657CAE"/>
    <w:rsid w:val="00660522"/>
    <w:rsid w:val="0066096F"/>
    <w:rsid w:val="00660F1F"/>
    <w:rsid w:val="00663211"/>
    <w:rsid w:val="00663DA8"/>
    <w:rsid w:val="00666B97"/>
    <w:rsid w:val="00667EF5"/>
    <w:rsid w:val="0067047E"/>
    <w:rsid w:val="00680CC5"/>
    <w:rsid w:val="006849FF"/>
    <w:rsid w:val="00686503"/>
    <w:rsid w:val="00686DA6"/>
    <w:rsid w:val="006875E7"/>
    <w:rsid w:val="00690DA5"/>
    <w:rsid w:val="00690E99"/>
    <w:rsid w:val="006914AD"/>
    <w:rsid w:val="00693978"/>
    <w:rsid w:val="006943F5"/>
    <w:rsid w:val="00696241"/>
    <w:rsid w:val="00696B0B"/>
    <w:rsid w:val="006A0BCA"/>
    <w:rsid w:val="006A0CAC"/>
    <w:rsid w:val="006A14A2"/>
    <w:rsid w:val="006A41B0"/>
    <w:rsid w:val="006A44A1"/>
    <w:rsid w:val="006A6301"/>
    <w:rsid w:val="006B2165"/>
    <w:rsid w:val="006B26AA"/>
    <w:rsid w:val="006B36E6"/>
    <w:rsid w:val="006B7F15"/>
    <w:rsid w:val="006C32AD"/>
    <w:rsid w:val="006C4306"/>
    <w:rsid w:val="006D13C5"/>
    <w:rsid w:val="006D4FEE"/>
    <w:rsid w:val="006D578F"/>
    <w:rsid w:val="006D6279"/>
    <w:rsid w:val="006E1277"/>
    <w:rsid w:val="006E23A8"/>
    <w:rsid w:val="006E3F74"/>
    <w:rsid w:val="006F1BF8"/>
    <w:rsid w:val="006F242F"/>
    <w:rsid w:val="006F3042"/>
    <w:rsid w:val="006F4D4E"/>
    <w:rsid w:val="006F5360"/>
    <w:rsid w:val="006F5672"/>
    <w:rsid w:val="00702789"/>
    <w:rsid w:val="0070682E"/>
    <w:rsid w:val="00707F5B"/>
    <w:rsid w:val="0071029C"/>
    <w:rsid w:val="0071242D"/>
    <w:rsid w:val="00712ED4"/>
    <w:rsid w:val="00713494"/>
    <w:rsid w:val="00715F11"/>
    <w:rsid w:val="00716B86"/>
    <w:rsid w:val="00717599"/>
    <w:rsid w:val="00722660"/>
    <w:rsid w:val="007266DC"/>
    <w:rsid w:val="00727C21"/>
    <w:rsid w:val="007317A7"/>
    <w:rsid w:val="0073467D"/>
    <w:rsid w:val="007353A3"/>
    <w:rsid w:val="007354C7"/>
    <w:rsid w:val="00736480"/>
    <w:rsid w:val="00740EC1"/>
    <w:rsid w:val="0074743E"/>
    <w:rsid w:val="00750097"/>
    <w:rsid w:val="007503E3"/>
    <w:rsid w:val="0075122B"/>
    <w:rsid w:val="007546ED"/>
    <w:rsid w:val="00765429"/>
    <w:rsid w:val="00773036"/>
    <w:rsid w:val="007754B5"/>
    <w:rsid w:val="0077587E"/>
    <w:rsid w:val="00781294"/>
    <w:rsid w:val="00784993"/>
    <w:rsid w:val="00785D4A"/>
    <w:rsid w:val="0079010D"/>
    <w:rsid w:val="00792AC0"/>
    <w:rsid w:val="007952E6"/>
    <w:rsid w:val="007963AD"/>
    <w:rsid w:val="007A0562"/>
    <w:rsid w:val="007A0E3E"/>
    <w:rsid w:val="007A1F29"/>
    <w:rsid w:val="007A2836"/>
    <w:rsid w:val="007A4813"/>
    <w:rsid w:val="007A772C"/>
    <w:rsid w:val="007B0726"/>
    <w:rsid w:val="007B134E"/>
    <w:rsid w:val="007B22CF"/>
    <w:rsid w:val="007B64C4"/>
    <w:rsid w:val="007C0ACB"/>
    <w:rsid w:val="007C1114"/>
    <w:rsid w:val="007C3D30"/>
    <w:rsid w:val="007C7F90"/>
    <w:rsid w:val="007D1F84"/>
    <w:rsid w:val="007D46C5"/>
    <w:rsid w:val="007D78D3"/>
    <w:rsid w:val="007E00B9"/>
    <w:rsid w:val="007E0847"/>
    <w:rsid w:val="007E7290"/>
    <w:rsid w:val="007F3473"/>
    <w:rsid w:val="007F3DFC"/>
    <w:rsid w:val="00800CC5"/>
    <w:rsid w:val="00801EB4"/>
    <w:rsid w:val="008021A0"/>
    <w:rsid w:val="00803EA1"/>
    <w:rsid w:val="00803F06"/>
    <w:rsid w:val="008056FA"/>
    <w:rsid w:val="00805D43"/>
    <w:rsid w:val="00813D3F"/>
    <w:rsid w:val="00814371"/>
    <w:rsid w:val="00814392"/>
    <w:rsid w:val="008225D3"/>
    <w:rsid w:val="00824936"/>
    <w:rsid w:val="00824FA3"/>
    <w:rsid w:val="00824FCF"/>
    <w:rsid w:val="00827359"/>
    <w:rsid w:val="00830D7E"/>
    <w:rsid w:val="00831179"/>
    <w:rsid w:val="00831E1A"/>
    <w:rsid w:val="00831FD5"/>
    <w:rsid w:val="00832D56"/>
    <w:rsid w:val="00841A91"/>
    <w:rsid w:val="00841DEC"/>
    <w:rsid w:val="008420F5"/>
    <w:rsid w:val="008429C5"/>
    <w:rsid w:val="00844512"/>
    <w:rsid w:val="00845B29"/>
    <w:rsid w:val="00852A36"/>
    <w:rsid w:val="0085645A"/>
    <w:rsid w:val="00857D07"/>
    <w:rsid w:val="00860C7C"/>
    <w:rsid w:val="00862F53"/>
    <w:rsid w:val="00864B44"/>
    <w:rsid w:val="0086757F"/>
    <w:rsid w:val="008706FC"/>
    <w:rsid w:val="00872CF5"/>
    <w:rsid w:val="00875022"/>
    <w:rsid w:val="008805B1"/>
    <w:rsid w:val="008805CC"/>
    <w:rsid w:val="00882C69"/>
    <w:rsid w:val="00885B71"/>
    <w:rsid w:val="00892A92"/>
    <w:rsid w:val="008A305C"/>
    <w:rsid w:val="008A5631"/>
    <w:rsid w:val="008A623A"/>
    <w:rsid w:val="008A7139"/>
    <w:rsid w:val="008A790C"/>
    <w:rsid w:val="008B0FCF"/>
    <w:rsid w:val="008B11A5"/>
    <w:rsid w:val="008B3BFB"/>
    <w:rsid w:val="008B4225"/>
    <w:rsid w:val="008B6EC5"/>
    <w:rsid w:val="008B7ABA"/>
    <w:rsid w:val="008C0CAD"/>
    <w:rsid w:val="008C1477"/>
    <w:rsid w:val="008C1CDE"/>
    <w:rsid w:val="008C29AF"/>
    <w:rsid w:val="008C61ED"/>
    <w:rsid w:val="008D022E"/>
    <w:rsid w:val="008D1E46"/>
    <w:rsid w:val="008D21EC"/>
    <w:rsid w:val="008D23E9"/>
    <w:rsid w:val="008D4EAB"/>
    <w:rsid w:val="008D744B"/>
    <w:rsid w:val="008E487F"/>
    <w:rsid w:val="008E5E9C"/>
    <w:rsid w:val="008F32D9"/>
    <w:rsid w:val="008F5CB4"/>
    <w:rsid w:val="008F65B2"/>
    <w:rsid w:val="008F739E"/>
    <w:rsid w:val="00901BA2"/>
    <w:rsid w:val="009020E9"/>
    <w:rsid w:val="00903311"/>
    <w:rsid w:val="00907A40"/>
    <w:rsid w:val="00910BEB"/>
    <w:rsid w:val="009128B6"/>
    <w:rsid w:val="0091686D"/>
    <w:rsid w:val="009241B0"/>
    <w:rsid w:val="00925BB3"/>
    <w:rsid w:val="00926A4F"/>
    <w:rsid w:val="00926F06"/>
    <w:rsid w:val="009306A6"/>
    <w:rsid w:val="00931E7A"/>
    <w:rsid w:val="0093227D"/>
    <w:rsid w:val="00932695"/>
    <w:rsid w:val="009349E8"/>
    <w:rsid w:val="00934CB8"/>
    <w:rsid w:val="009356D2"/>
    <w:rsid w:val="00937023"/>
    <w:rsid w:val="009370CD"/>
    <w:rsid w:val="00937959"/>
    <w:rsid w:val="009415B1"/>
    <w:rsid w:val="00944ABF"/>
    <w:rsid w:val="009463FC"/>
    <w:rsid w:val="00950C2C"/>
    <w:rsid w:val="00950DFC"/>
    <w:rsid w:val="0095201B"/>
    <w:rsid w:val="00953106"/>
    <w:rsid w:val="00955729"/>
    <w:rsid w:val="009560BA"/>
    <w:rsid w:val="00957369"/>
    <w:rsid w:val="00964DC6"/>
    <w:rsid w:val="00965B22"/>
    <w:rsid w:val="0096616A"/>
    <w:rsid w:val="0096722A"/>
    <w:rsid w:val="00970B8A"/>
    <w:rsid w:val="00971D2B"/>
    <w:rsid w:val="00971E70"/>
    <w:rsid w:val="0097293A"/>
    <w:rsid w:val="00972950"/>
    <w:rsid w:val="00972EE7"/>
    <w:rsid w:val="009732D2"/>
    <w:rsid w:val="009805C1"/>
    <w:rsid w:val="0098066A"/>
    <w:rsid w:val="00982DE7"/>
    <w:rsid w:val="0099363F"/>
    <w:rsid w:val="009937CB"/>
    <w:rsid w:val="009940B3"/>
    <w:rsid w:val="00997179"/>
    <w:rsid w:val="00997659"/>
    <w:rsid w:val="009A02A2"/>
    <w:rsid w:val="009A0B23"/>
    <w:rsid w:val="009A41DA"/>
    <w:rsid w:val="009B341E"/>
    <w:rsid w:val="009B6318"/>
    <w:rsid w:val="009B68E4"/>
    <w:rsid w:val="009C128A"/>
    <w:rsid w:val="009C1334"/>
    <w:rsid w:val="009C1705"/>
    <w:rsid w:val="009C5614"/>
    <w:rsid w:val="009C56D8"/>
    <w:rsid w:val="009C7F27"/>
    <w:rsid w:val="009D1E55"/>
    <w:rsid w:val="009D260B"/>
    <w:rsid w:val="009E041C"/>
    <w:rsid w:val="009E118A"/>
    <w:rsid w:val="009E1829"/>
    <w:rsid w:val="009E3948"/>
    <w:rsid w:val="009E42F1"/>
    <w:rsid w:val="009E6506"/>
    <w:rsid w:val="009F57CA"/>
    <w:rsid w:val="009F60C1"/>
    <w:rsid w:val="00A009F1"/>
    <w:rsid w:val="00A03BA2"/>
    <w:rsid w:val="00A12886"/>
    <w:rsid w:val="00A15D8A"/>
    <w:rsid w:val="00A20AFC"/>
    <w:rsid w:val="00A20D7A"/>
    <w:rsid w:val="00A20EC9"/>
    <w:rsid w:val="00A20FF6"/>
    <w:rsid w:val="00A2300B"/>
    <w:rsid w:val="00A23822"/>
    <w:rsid w:val="00A255FF"/>
    <w:rsid w:val="00A25BEB"/>
    <w:rsid w:val="00A266AC"/>
    <w:rsid w:val="00A321F1"/>
    <w:rsid w:val="00A32E39"/>
    <w:rsid w:val="00A36AFF"/>
    <w:rsid w:val="00A37355"/>
    <w:rsid w:val="00A373F1"/>
    <w:rsid w:val="00A4055D"/>
    <w:rsid w:val="00A44623"/>
    <w:rsid w:val="00A44841"/>
    <w:rsid w:val="00A46DDD"/>
    <w:rsid w:val="00A4746C"/>
    <w:rsid w:val="00A50808"/>
    <w:rsid w:val="00A518AC"/>
    <w:rsid w:val="00A53C86"/>
    <w:rsid w:val="00A6138C"/>
    <w:rsid w:val="00A6405C"/>
    <w:rsid w:val="00A6473B"/>
    <w:rsid w:val="00A66580"/>
    <w:rsid w:val="00A71E97"/>
    <w:rsid w:val="00A72060"/>
    <w:rsid w:val="00A73378"/>
    <w:rsid w:val="00A74792"/>
    <w:rsid w:val="00A77243"/>
    <w:rsid w:val="00A81F28"/>
    <w:rsid w:val="00A82052"/>
    <w:rsid w:val="00A845C6"/>
    <w:rsid w:val="00A87C4F"/>
    <w:rsid w:val="00A90FE6"/>
    <w:rsid w:val="00A90FE9"/>
    <w:rsid w:val="00A92E21"/>
    <w:rsid w:val="00A943DB"/>
    <w:rsid w:val="00A9568B"/>
    <w:rsid w:val="00AA04BB"/>
    <w:rsid w:val="00AA0C22"/>
    <w:rsid w:val="00AA4227"/>
    <w:rsid w:val="00AA5C81"/>
    <w:rsid w:val="00AA7E68"/>
    <w:rsid w:val="00AB1329"/>
    <w:rsid w:val="00AB404B"/>
    <w:rsid w:val="00AB5A7F"/>
    <w:rsid w:val="00AB6965"/>
    <w:rsid w:val="00AB6CEF"/>
    <w:rsid w:val="00AC14A2"/>
    <w:rsid w:val="00AC2A77"/>
    <w:rsid w:val="00AC3CFD"/>
    <w:rsid w:val="00AC5C0D"/>
    <w:rsid w:val="00AD04B5"/>
    <w:rsid w:val="00AD2E6A"/>
    <w:rsid w:val="00AD4D4B"/>
    <w:rsid w:val="00AD5CA9"/>
    <w:rsid w:val="00AD63BC"/>
    <w:rsid w:val="00AE6FC5"/>
    <w:rsid w:val="00AE7C03"/>
    <w:rsid w:val="00B05641"/>
    <w:rsid w:val="00B07768"/>
    <w:rsid w:val="00B108FB"/>
    <w:rsid w:val="00B10E6B"/>
    <w:rsid w:val="00B12480"/>
    <w:rsid w:val="00B13042"/>
    <w:rsid w:val="00B14205"/>
    <w:rsid w:val="00B15429"/>
    <w:rsid w:val="00B155F2"/>
    <w:rsid w:val="00B157EA"/>
    <w:rsid w:val="00B1638C"/>
    <w:rsid w:val="00B20C77"/>
    <w:rsid w:val="00B21726"/>
    <w:rsid w:val="00B21F6F"/>
    <w:rsid w:val="00B22ED8"/>
    <w:rsid w:val="00B245A4"/>
    <w:rsid w:val="00B24D10"/>
    <w:rsid w:val="00B26C7C"/>
    <w:rsid w:val="00B30D04"/>
    <w:rsid w:val="00B3101B"/>
    <w:rsid w:val="00B31214"/>
    <w:rsid w:val="00B312AC"/>
    <w:rsid w:val="00B32BAE"/>
    <w:rsid w:val="00B3378D"/>
    <w:rsid w:val="00B37F55"/>
    <w:rsid w:val="00B40DF1"/>
    <w:rsid w:val="00B425C0"/>
    <w:rsid w:val="00B514B3"/>
    <w:rsid w:val="00B529EA"/>
    <w:rsid w:val="00B56090"/>
    <w:rsid w:val="00B62C21"/>
    <w:rsid w:val="00B631A9"/>
    <w:rsid w:val="00B67611"/>
    <w:rsid w:val="00B67936"/>
    <w:rsid w:val="00B70444"/>
    <w:rsid w:val="00B70D46"/>
    <w:rsid w:val="00B807D7"/>
    <w:rsid w:val="00B80900"/>
    <w:rsid w:val="00B8425B"/>
    <w:rsid w:val="00B9193E"/>
    <w:rsid w:val="00B935CA"/>
    <w:rsid w:val="00B93B3D"/>
    <w:rsid w:val="00B94085"/>
    <w:rsid w:val="00B9459C"/>
    <w:rsid w:val="00B949F1"/>
    <w:rsid w:val="00B95205"/>
    <w:rsid w:val="00B956B9"/>
    <w:rsid w:val="00BA1998"/>
    <w:rsid w:val="00BA23CF"/>
    <w:rsid w:val="00BA369B"/>
    <w:rsid w:val="00BA500B"/>
    <w:rsid w:val="00BA62BA"/>
    <w:rsid w:val="00BA65D1"/>
    <w:rsid w:val="00BA6E59"/>
    <w:rsid w:val="00BB0357"/>
    <w:rsid w:val="00BB2397"/>
    <w:rsid w:val="00BB2783"/>
    <w:rsid w:val="00BB2BEA"/>
    <w:rsid w:val="00BB3CD1"/>
    <w:rsid w:val="00BB5D6F"/>
    <w:rsid w:val="00BB68BB"/>
    <w:rsid w:val="00BB7AFD"/>
    <w:rsid w:val="00BC2564"/>
    <w:rsid w:val="00BC47B0"/>
    <w:rsid w:val="00BC4FE7"/>
    <w:rsid w:val="00BC7958"/>
    <w:rsid w:val="00BD5F41"/>
    <w:rsid w:val="00BD7858"/>
    <w:rsid w:val="00BE55E6"/>
    <w:rsid w:val="00BE599A"/>
    <w:rsid w:val="00BF0199"/>
    <w:rsid w:val="00BF2F45"/>
    <w:rsid w:val="00BF3893"/>
    <w:rsid w:val="00BF6AA3"/>
    <w:rsid w:val="00BF6CCA"/>
    <w:rsid w:val="00BF7593"/>
    <w:rsid w:val="00C00221"/>
    <w:rsid w:val="00C00DE8"/>
    <w:rsid w:val="00C02386"/>
    <w:rsid w:val="00C026B8"/>
    <w:rsid w:val="00C04E0B"/>
    <w:rsid w:val="00C0507D"/>
    <w:rsid w:val="00C071B9"/>
    <w:rsid w:val="00C0793C"/>
    <w:rsid w:val="00C07B71"/>
    <w:rsid w:val="00C13690"/>
    <w:rsid w:val="00C13A6C"/>
    <w:rsid w:val="00C22CD4"/>
    <w:rsid w:val="00C23223"/>
    <w:rsid w:val="00C31512"/>
    <w:rsid w:val="00C331E9"/>
    <w:rsid w:val="00C36420"/>
    <w:rsid w:val="00C376FD"/>
    <w:rsid w:val="00C458FF"/>
    <w:rsid w:val="00C5097F"/>
    <w:rsid w:val="00C51EF9"/>
    <w:rsid w:val="00C5213B"/>
    <w:rsid w:val="00C5296A"/>
    <w:rsid w:val="00C63F04"/>
    <w:rsid w:val="00C64086"/>
    <w:rsid w:val="00C65E79"/>
    <w:rsid w:val="00C7067E"/>
    <w:rsid w:val="00C71601"/>
    <w:rsid w:val="00C71CDA"/>
    <w:rsid w:val="00C83C49"/>
    <w:rsid w:val="00C85E42"/>
    <w:rsid w:val="00C878DA"/>
    <w:rsid w:val="00C87A88"/>
    <w:rsid w:val="00C91580"/>
    <w:rsid w:val="00C91F1C"/>
    <w:rsid w:val="00C94311"/>
    <w:rsid w:val="00C96835"/>
    <w:rsid w:val="00CA0164"/>
    <w:rsid w:val="00CA0ED1"/>
    <w:rsid w:val="00CA6261"/>
    <w:rsid w:val="00CA687E"/>
    <w:rsid w:val="00CB16A1"/>
    <w:rsid w:val="00CB17F2"/>
    <w:rsid w:val="00CC5B54"/>
    <w:rsid w:val="00CC62B7"/>
    <w:rsid w:val="00CC7008"/>
    <w:rsid w:val="00CD08CF"/>
    <w:rsid w:val="00CD0F2E"/>
    <w:rsid w:val="00CD348B"/>
    <w:rsid w:val="00CD7C2B"/>
    <w:rsid w:val="00CE034A"/>
    <w:rsid w:val="00CE4C87"/>
    <w:rsid w:val="00CE5B5D"/>
    <w:rsid w:val="00CE7EDB"/>
    <w:rsid w:val="00CF0228"/>
    <w:rsid w:val="00CF1237"/>
    <w:rsid w:val="00CF3CEE"/>
    <w:rsid w:val="00CF53F9"/>
    <w:rsid w:val="00D01759"/>
    <w:rsid w:val="00D02BAF"/>
    <w:rsid w:val="00D20AF4"/>
    <w:rsid w:val="00D21395"/>
    <w:rsid w:val="00D220F0"/>
    <w:rsid w:val="00D23CD2"/>
    <w:rsid w:val="00D24A5A"/>
    <w:rsid w:val="00D25199"/>
    <w:rsid w:val="00D302F9"/>
    <w:rsid w:val="00D30545"/>
    <w:rsid w:val="00D30D44"/>
    <w:rsid w:val="00D328B6"/>
    <w:rsid w:val="00D3296F"/>
    <w:rsid w:val="00D34AA2"/>
    <w:rsid w:val="00D3512D"/>
    <w:rsid w:val="00D363D0"/>
    <w:rsid w:val="00D3782E"/>
    <w:rsid w:val="00D4160D"/>
    <w:rsid w:val="00D44173"/>
    <w:rsid w:val="00D47780"/>
    <w:rsid w:val="00D52349"/>
    <w:rsid w:val="00D54DD1"/>
    <w:rsid w:val="00D56C86"/>
    <w:rsid w:val="00D62EBB"/>
    <w:rsid w:val="00D63776"/>
    <w:rsid w:val="00D6458A"/>
    <w:rsid w:val="00D64690"/>
    <w:rsid w:val="00D67E38"/>
    <w:rsid w:val="00D706ED"/>
    <w:rsid w:val="00D7496E"/>
    <w:rsid w:val="00D74F98"/>
    <w:rsid w:val="00D8116B"/>
    <w:rsid w:val="00D8339E"/>
    <w:rsid w:val="00D86669"/>
    <w:rsid w:val="00D86763"/>
    <w:rsid w:val="00D90CE7"/>
    <w:rsid w:val="00D955C5"/>
    <w:rsid w:val="00D97FDE"/>
    <w:rsid w:val="00DA0807"/>
    <w:rsid w:val="00DA348E"/>
    <w:rsid w:val="00DA6337"/>
    <w:rsid w:val="00DA71D2"/>
    <w:rsid w:val="00DA7700"/>
    <w:rsid w:val="00DB14A0"/>
    <w:rsid w:val="00DB20C9"/>
    <w:rsid w:val="00DB53F3"/>
    <w:rsid w:val="00DC06B7"/>
    <w:rsid w:val="00DC3438"/>
    <w:rsid w:val="00DC38BF"/>
    <w:rsid w:val="00DC39C7"/>
    <w:rsid w:val="00DC3C60"/>
    <w:rsid w:val="00DD43F8"/>
    <w:rsid w:val="00DD5942"/>
    <w:rsid w:val="00DD5B8D"/>
    <w:rsid w:val="00DD70E1"/>
    <w:rsid w:val="00DE35BA"/>
    <w:rsid w:val="00DE3FF6"/>
    <w:rsid w:val="00DF0328"/>
    <w:rsid w:val="00DF2209"/>
    <w:rsid w:val="00DF6B9F"/>
    <w:rsid w:val="00DF74DC"/>
    <w:rsid w:val="00DF79C0"/>
    <w:rsid w:val="00E00339"/>
    <w:rsid w:val="00E011AE"/>
    <w:rsid w:val="00E03A17"/>
    <w:rsid w:val="00E04C0F"/>
    <w:rsid w:val="00E0513C"/>
    <w:rsid w:val="00E06BC3"/>
    <w:rsid w:val="00E10849"/>
    <w:rsid w:val="00E146A8"/>
    <w:rsid w:val="00E14CF8"/>
    <w:rsid w:val="00E15C78"/>
    <w:rsid w:val="00E15F27"/>
    <w:rsid w:val="00E16DF1"/>
    <w:rsid w:val="00E20A00"/>
    <w:rsid w:val="00E212EF"/>
    <w:rsid w:val="00E22734"/>
    <w:rsid w:val="00E25C1B"/>
    <w:rsid w:val="00E278AA"/>
    <w:rsid w:val="00E27E4D"/>
    <w:rsid w:val="00E3005A"/>
    <w:rsid w:val="00E30FB1"/>
    <w:rsid w:val="00E31C83"/>
    <w:rsid w:val="00E3230B"/>
    <w:rsid w:val="00E37634"/>
    <w:rsid w:val="00E3768C"/>
    <w:rsid w:val="00E422DA"/>
    <w:rsid w:val="00E47C66"/>
    <w:rsid w:val="00E505CB"/>
    <w:rsid w:val="00E50DAB"/>
    <w:rsid w:val="00E51AD6"/>
    <w:rsid w:val="00E52A1D"/>
    <w:rsid w:val="00E61645"/>
    <w:rsid w:val="00E630E8"/>
    <w:rsid w:val="00E736AC"/>
    <w:rsid w:val="00E74F60"/>
    <w:rsid w:val="00E7500E"/>
    <w:rsid w:val="00E86CB9"/>
    <w:rsid w:val="00E87A5E"/>
    <w:rsid w:val="00E90838"/>
    <w:rsid w:val="00E9227C"/>
    <w:rsid w:val="00E931FB"/>
    <w:rsid w:val="00EA375A"/>
    <w:rsid w:val="00EA415D"/>
    <w:rsid w:val="00EA4803"/>
    <w:rsid w:val="00EA519F"/>
    <w:rsid w:val="00EB1CCB"/>
    <w:rsid w:val="00EB1DD0"/>
    <w:rsid w:val="00EB2FA2"/>
    <w:rsid w:val="00EB5292"/>
    <w:rsid w:val="00EB7C1C"/>
    <w:rsid w:val="00EB7F46"/>
    <w:rsid w:val="00EC050F"/>
    <w:rsid w:val="00EC3A01"/>
    <w:rsid w:val="00ED2B11"/>
    <w:rsid w:val="00ED5730"/>
    <w:rsid w:val="00ED7CBC"/>
    <w:rsid w:val="00ED7CC6"/>
    <w:rsid w:val="00ED7D13"/>
    <w:rsid w:val="00ED7DE3"/>
    <w:rsid w:val="00EE0D0E"/>
    <w:rsid w:val="00EE4297"/>
    <w:rsid w:val="00EE4F2C"/>
    <w:rsid w:val="00EE60CF"/>
    <w:rsid w:val="00EE6C95"/>
    <w:rsid w:val="00EF05D5"/>
    <w:rsid w:val="00EF2D45"/>
    <w:rsid w:val="00EF4457"/>
    <w:rsid w:val="00EF5D52"/>
    <w:rsid w:val="00EF7057"/>
    <w:rsid w:val="00EF7FDF"/>
    <w:rsid w:val="00F029DF"/>
    <w:rsid w:val="00F04BEE"/>
    <w:rsid w:val="00F06C3C"/>
    <w:rsid w:val="00F07F93"/>
    <w:rsid w:val="00F127A9"/>
    <w:rsid w:val="00F158A3"/>
    <w:rsid w:val="00F15E82"/>
    <w:rsid w:val="00F16F70"/>
    <w:rsid w:val="00F21AD6"/>
    <w:rsid w:val="00F233AC"/>
    <w:rsid w:val="00F2386B"/>
    <w:rsid w:val="00F3069C"/>
    <w:rsid w:val="00F30A41"/>
    <w:rsid w:val="00F332A8"/>
    <w:rsid w:val="00F333F1"/>
    <w:rsid w:val="00F34082"/>
    <w:rsid w:val="00F37D5A"/>
    <w:rsid w:val="00F41180"/>
    <w:rsid w:val="00F42090"/>
    <w:rsid w:val="00F45B42"/>
    <w:rsid w:val="00F52BB0"/>
    <w:rsid w:val="00F534A7"/>
    <w:rsid w:val="00F54C29"/>
    <w:rsid w:val="00F55526"/>
    <w:rsid w:val="00F5647F"/>
    <w:rsid w:val="00F57EDE"/>
    <w:rsid w:val="00F60B33"/>
    <w:rsid w:val="00F62D7B"/>
    <w:rsid w:val="00F6373C"/>
    <w:rsid w:val="00F65A8F"/>
    <w:rsid w:val="00F66089"/>
    <w:rsid w:val="00F73598"/>
    <w:rsid w:val="00F74735"/>
    <w:rsid w:val="00F756E1"/>
    <w:rsid w:val="00F770AB"/>
    <w:rsid w:val="00F804A3"/>
    <w:rsid w:val="00F911B8"/>
    <w:rsid w:val="00F975FD"/>
    <w:rsid w:val="00FA1CA2"/>
    <w:rsid w:val="00FA209D"/>
    <w:rsid w:val="00FA3984"/>
    <w:rsid w:val="00FA5E1E"/>
    <w:rsid w:val="00FB0647"/>
    <w:rsid w:val="00FB06FA"/>
    <w:rsid w:val="00FB07BB"/>
    <w:rsid w:val="00FB177B"/>
    <w:rsid w:val="00FB3F5B"/>
    <w:rsid w:val="00FB5FD5"/>
    <w:rsid w:val="00FB6571"/>
    <w:rsid w:val="00FC1D88"/>
    <w:rsid w:val="00FC3230"/>
    <w:rsid w:val="00FC32EC"/>
    <w:rsid w:val="00FC36D7"/>
    <w:rsid w:val="00FC623C"/>
    <w:rsid w:val="00FD3A7A"/>
    <w:rsid w:val="00FE0A80"/>
    <w:rsid w:val="00FE0D30"/>
    <w:rsid w:val="00FE115F"/>
    <w:rsid w:val="00FE2F38"/>
    <w:rsid w:val="00FE3255"/>
    <w:rsid w:val="00FE5338"/>
    <w:rsid w:val="00FE5505"/>
    <w:rsid w:val="00FF0958"/>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2769" style="mso-position-vertical-relative:margin" fillcolor="#002395" stroke="f">
      <v:fill color="#002395"/>
      <v:stroke on="f"/>
    </o:shapedefaults>
    <o:shapelayout v:ext="edit">
      <o:idmap v:ext="edit" data="1"/>
    </o:shapelayout>
  </w:shapeDefaults>
  <w:decimalSymbol w:val="."/>
  <w:listSeparator w:val=","/>
  <w14:docId w14:val="2F87BDBB"/>
  <w15:docId w15:val="{10F2DB3C-8999-4445-A3ED-2B38D937C2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nl-BE" w:eastAsia="nl-BE" w:bidi="ar-SA"/>
      </w:rPr>
    </w:rPrDefault>
    <w:pPrDefault/>
  </w:docDefaults>
  <w:latentStyles w:defLockedState="0" w:defUIPriority="0" w:defSemiHidden="0" w:defUnhideWhenUsed="0" w:defQFormat="0" w:count="377">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69"/>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rsid w:val="00DA71D2"/>
    <w:pPr>
      <w:spacing w:after="240"/>
      <w:jc w:val="both"/>
    </w:pPr>
    <w:rPr>
      <w:sz w:val="24"/>
      <w:lang w:val="en-GB" w:eastAsia="en-US"/>
    </w:rPr>
  </w:style>
  <w:style w:type="paragraph" w:styleId="Heading1">
    <w:name w:val="heading 1"/>
    <w:basedOn w:val="Normal"/>
    <w:next w:val="Text1"/>
    <w:rsid w:val="00577EC6"/>
    <w:pPr>
      <w:keepNext/>
      <w:numPr>
        <w:numId w:val="3"/>
      </w:numPr>
      <w:spacing w:before="240"/>
      <w:outlineLvl w:val="0"/>
    </w:pPr>
    <w:rPr>
      <w:b/>
      <w:smallCaps/>
    </w:rPr>
  </w:style>
  <w:style w:type="paragraph" w:styleId="Heading2">
    <w:name w:val="heading 2"/>
    <w:basedOn w:val="Normal"/>
    <w:next w:val="Text2"/>
    <w:rsid w:val="00577EC6"/>
    <w:pPr>
      <w:keepNext/>
      <w:numPr>
        <w:ilvl w:val="1"/>
        <w:numId w:val="3"/>
      </w:numPr>
      <w:outlineLvl w:val="1"/>
    </w:pPr>
    <w:rPr>
      <w:b/>
    </w:rPr>
  </w:style>
  <w:style w:type="paragraph" w:styleId="Heading3">
    <w:name w:val="heading 3"/>
    <w:basedOn w:val="Normal"/>
    <w:next w:val="Text3"/>
    <w:rsid w:val="00577EC6"/>
    <w:pPr>
      <w:keepNext/>
      <w:numPr>
        <w:ilvl w:val="2"/>
        <w:numId w:val="3"/>
      </w:numPr>
      <w:outlineLvl w:val="2"/>
    </w:pPr>
    <w:rPr>
      <w:i/>
    </w:rPr>
  </w:style>
  <w:style w:type="paragraph" w:styleId="Heading4">
    <w:name w:val="heading 4"/>
    <w:basedOn w:val="Normal"/>
    <w:next w:val="Text4"/>
    <w:rsid w:val="00577EC6"/>
    <w:pPr>
      <w:keepNext/>
      <w:numPr>
        <w:ilvl w:val="3"/>
        <w:numId w:val="3"/>
      </w:numPr>
      <w:outlineLvl w:val="3"/>
    </w:pPr>
  </w:style>
  <w:style w:type="paragraph" w:styleId="Heading5">
    <w:name w:val="heading 5"/>
    <w:basedOn w:val="Normal"/>
    <w:next w:val="Normal"/>
    <w:rsid w:val="00461D0A"/>
    <w:pPr>
      <w:tabs>
        <w:tab w:val="num" w:pos="0"/>
      </w:tabs>
      <w:spacing w:before="240" w:after="60"/>
      <w:outlineLvl w:val="4"/>
    </w:pPr>
    <w:rPr>
      <w:rFonts w:ascii="Arial" w:hAnsi="Arial"/>
      <w:sz w:val="22"/>
    </w:rPr>
  </w:style>
  <w:style w:type="paragraph" w:styleId="Heading6">
    <w:name w:val="heading 6"/>
    <w:basedOn w:val="Normal"/>
    <w:next w:val="Normal"/>
    <w:rsid w:val="00461D0A"/>
    <w:pPr>
      <w:tabs>
        <w:tab w:val="num" w:pos="0"/>
      </w:tabs>
      <w:spacing w:before="240" w:after="60"/>
      <w:outlineLvl w:val="5"/>
    </w:pPr>
    <w:rPr>
      <w:rFonts w:ascii="Arial" w:hAnsi="Arial"/>
      <w:i/>
      <w:sz w:val="22"/>
    </w:rPr>
  </w:style>
  <w:style w:type="paragraph" w:styleId="Heading7">
    <w:name w:val="heading 7"/>
    <w:basedOn w:val="Normal"/>
    <w:next w:val="Normal"/>
    <w:rsid w:val="00461D0A"/>
    <w:pPr>
      <w:tabs>
        <w:tab w:val="num" w:pos="0"/>
      </w:tabs>
      <w:spacing w:before="240" w:after="60"/>
      <w:outlineLvl w:val="6"/>
    </w:pPr>
    <w:rPr>
      <w:rFonts w:ascii="Arial" w:hAnsi="Arial"/>
      <w:sz w:val="20"/>
    </w:rPr>
  </w:style>
  <w:style w:type="paragraph" w:styleId="Heading8">
    <w:name w:val="heading 8"/>
    <w:basedOn w:val="Normal"/>
    <w:next w:val="Normal"/>
    <w:rsid w:val="00461D0A"/>
    <w:pPr>
      <w:tabs>
        <w:tab w:val="num" w:pos="0"/>
      </w:tabs>
      <w:spacing w:before="240" w:after="60"/>
      <w:outlineLvl w:val="7"/>
    </w:pPr>
    <w:rPr>
      <w:rFonts w:ascii="Arial" w:hAnsi="Arial"/>
      <w:i/>
      <w:sz w:val="20"/>
    </w:rPr>
  </w:style>
  <w:style w:type="paragraph" w:styleId="Heading9">
    <w:name w:val="heading 9"/>
    <w:basedOn w:val="Normal"/>
    <w:next w:val="Normal"/>
    <w:rsid w:val="00461D0A"/>
    <w:pPr>
      <w:tabs>
        <w:tab w:val="num" w:pos="0"/>
      </w:tabs>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1">
    <w:name w:val="Text 1"/>
    <w:basedOn w:val="Normal"/>
    <w:rsid w:val="00461D0A"/>
    <w:pPr>
      <w:ind w:left="482"/>
    </w:pPr>
  </w:style>
  <w:style w:type="paragraph" w:customStyle="1" w:styleId="Text2">
    <w:name w:val="Text 2"/>
    <w:basedOn w:val="Normal"/>
    <w:rsid w:val="00461D0A"/>
    <w:pPr>
      <w:tabs>
        <w:tab w:val="left" w:pos="2302"/>
      </w:tabs>
      <w:ind w:left="1202"/>
    </w:pPr>
  </w:style>
  <w:style w:type="paragraph" w:customStyle="1" w:styleId="Text3">
    <w:name w:val="Text 3"/>
    <w:basedOn w:val="Normal"/>
    <w:rsid w:val="00461D0A"/>
    <w:pPr>
      <w:tabs>
        <w:tab w:val="left" w:pos="2302"/>
      </w:tabs>
      <w:ind w:left="1202"/>
    </w:pPr>
  </w:style>
  <w:style w:type="paragraph" w:customStyle="1" w:styleId="Text4">
    <w:name w:val="Text 4"/>
    <w:basedOn w:val="Normal"/>
    <w:rsid w:val="00461D0A"/>
    <w:pPr>
      <w:tabs>
        <w:tab w:val="left" w:pos="2302"/>
      </w:tabs>
      <w:ind w:left="1202"/>
    </w:pPr>
  </w:style>
  <w:style w:type="paragraph" w:customStyle="1" w:styleId="Address">
    <w:name w:val="Address"/>
    <w:basedOn w:val="Normal"/>
    <w:rsid w:val="00461D0A"/>
    <w:pPr>
      <w:spacing w:after="0"/>
      <w:jc w:val="left"/>
    </w:pPr>
  </w:style>
  <w:style w:type="paragraph" w:customStyle="1" w:styleId="AddressTL">
    <w:name w:val="AddressTL"/>
    <w:basedOn w:val="Normal"/>
    <w:next w:val="Normal"/>
    <w:rsid w:val="00461D0A"/>
    <w:pPr>
      <w:spacing w:after="720"/>
      <w:jc w:val="left"/>
    </w:pPr>
  </w:style>
  <w:style w:type="paragraph" w:customStyle="1" w:styleId="AddressTR">
    <w:name w:val="AddressTR"/>
    <w:basedOn w:val="Normal"/>
    <w:next w:val="Normal"/>
    <w:rsid w:val="00461D0A"/>
    <w:pPr>
      <w:spacing w:after="720"/>
      <w:ind w:left="5103"/>
      <w:jc w:val="left"/>
    </w:pPr>
  </w:style>
  <w:style w:type="paragraph" w:styleId="BlockText">
    <w:name w:val="Block Text"/>
    <w:basedOn w:val="Normal"/>
    <w:rsid w:val="00461D0A"/>
    <w:pPr>
      <w:spacing w:after="120"/>
      <w:ind w:left="1440" w:right="1440"/>
    </w:pPr>
  </w:style>
  <w:style w:type="paragraph" w:styleId="BodyText">
    <w:name w:val="Body Text"/>
    <w:basedOn w:val="Normal"/>
    <w:rsid w:val="00461D0A"/>
    <w:pPr>
      <w:spacing w:after="120"/>
    </w:pPr>
  </w:style>
  <w:style w:type="paragraph" w:styleId="BodyText2">
    <w:name w:val="Body Text 2"/>
    <w:basedOn w:val="Normal"/>
    <w:rsid w:val="00461D0A"/>
    <w:pPr>
      <w:spacing w:after="120" w:line="480" w:lineRule="auto"/>
    </w:pPr>
  </w:style>
  <w:style w:type="paragraph" w:styleId="BodyText3">
    <w:name w:val="Body Text 3"/>
    <w:basedOn w:val="Normal"/>
    <w:rsid w:val="00461D0A"/>
    <w:pPr>
      <w:spacing w:after="120"/>
    </w:pPr>
    <w:rPr>
      <w:sz w:val="16"/>
    </w:rPr>
  </w:style>
  <w:style w:type="paragraph" w:styleId="BodyTextFirstIndent">
    <w:name w:val="Body Text First Indent"/>
    <w:basedOn w:val="BodyText"/>
    <w:rsid w:val="00461D0A"/>
    <w:pPr>
      <w:ind w:firstLine="210"/>
    </w:pPr>
  </w:style>
  <w:style w:type="paragraph" w:styleId="BodyTextIndent">
    <w:name w:val="Body Text Indent"/>
    <w:basedOn w:val="Normal"/>
    <w:rsid w:val="00461D0A"/>
    <w:pPr>
      <w:spacing w:after="120"/>
      <w:ind w:left="283"/>
    </w:pPr>
  </w:style>
  <w:style w:type="paragraph" w:styleId="BodyTextFirstIndent2">
    <w:name w:val="Body Text First Indent 2"/>
    <w:basedOn w:val="BodyTextIndent"/>
    <w:rsid w:val="00461D0A"/>
    <w:pPr>
      <w:ind w:firstLine="210"/>
    </w:pPr>
  </w:style>
  <w:style w:type="paragraph" w:styleId="BodyTextIndent2">
    <w:name w:val="Body Text Indent 2"/>
    <w:basedOn w:val="Normal"/>
    <w:rsid w:val="00461D0A"/>
    <w:pPr>
      <w:spacing w:after="120" w:line="480" w:lineRule="auto"/>
      <w:ind w:left="283"/>
    </w:pPr>
  </w:style>
  <w:style w:type="paragraph" w:styleId="BodyTextIndent3">
    <w:name w:val="Body Text Indent 3"/>
    <w:basedOn w:val="Normal"/>
    <w:rsid w:val="00461D0A"/>
    <w:pPr>
      <w:spacing w:after="120"/>
      <w:ind w:left="283"/>
    </w:pPr>
    <w:rPr>
      <w:sz w:val="16"/>
    </w:rPr>
  </w:style>
  <w:style w:type="paragraph" w:styleId="Caption">
    <w:name w:val="caption"/>
    <w:aliases w:val="Title table,Char,Char Car,Tabelkop,Caption-tables,Table legend,Tab_Überschrift,Figure reference,TR-Caption,Inscription,Beschriftung Char Char Char,Beschriftung Char Char,Caption1 Char Char Char Char Char Char Char Char,Tasks,Eco, Char, Char Car"/>
    <w:basedOn w:val="Normal"/>
    <w:next w:val="Normal"/>
    <w:link w:val="CaptionChar"/>
    <w:qFormat/>
    <w:rsid w:val="00702789"/>
    <w:pPr>
      <w:keepNext/>
      <w:spacing w:before="120" w:after="120"/>
      <w:jc w:val="center"/>
    </w:pPr>
    <w:rPr>
      <w:rFonts w:ascii="Arial" w:hAnsi="Arial"/>
      <w:i/>
      <w:sz w:val="18"/>
    </w:rPr>
  </w:style>
  <w:style w:type="paragraph" w:customStyle="1" w:styleId="ChapterTitle">
    <w:name w:val="ChapterTitle"/>
    <w:basedOn w:val="Normal"/>
    <w:next w:val="SectionTitle"/>
    <w:rsid w:val="00461D0A"/>
    <w:pPr>
      <w:keepNext/>
      <w:spacing w:after="480"/>
      <w:jc w:val="center"/>
    </w:pPr>
    <w:rPr>
      <w:b/>
      <w:sz w:val="32"/>
    </w:rPr>
  </w:style>
  <w:style w:type="paragraph" w:customStyle="1" w:styleId="SectionTitle">
    <w:name w:val="SectionTitle"/>
    <w:basedOn w:val="Normal"/>
    <w:next w:val="Heading1"/>
    <w:rsid w:val="00461D0A"/>
    <w:pPr>
      <w:keepNext/>
      <w:spacing w:after="480"/>
      <w:jc w:val="center"/>
    </w:pPr>
    <w:rPr>
      <w:b/>
      <w:smallCaps/>
      <w:sz w:val="28"/>
    </w:rPr>
  </w:style>
  <w:style w:type="paragraph" w:styleId="Closing">
    <w:name w:val="Closing"/>
    <w:basedOn w:val="Normal"/>
    <w:rsid w:val="00461D0A"/>
    <w:pPr>
      <w:ind w:left="4252"/>
    </w:pPr>
  </w:style>
  <w:style w:type="paragraph" w:styleId="CommentText">
    <w:name w:val="annotation text"/>
    <w:basedOn w:val="Normal"/>
    <w:link w:val="CommentTextChar"/>
    <w:rsid w:val="00461D0A"/>
    <w:rPr>
      <w:sz w:val="20"/>
    </w:rPr>
  </w:style>
  <w:style w:type="paragraph" w:styleId="Date">
    <w:name w:val="Date"/>
    <w:basedOn w:val="Normal"/>
    <w:next w:val="References"/>
    <w:rsid w:val="00461D0A"/>
    <w:pPr>
      <w:spacing w:after="0"/>
      <w:ind w:left="5103" w:right="-567"/>
      <w:jc w:val="left"/>
    </w:pPr>
  </w:style>
  <w:style w:type="paragraph" w:customStyle="1" w:styleId="References">
    <w:name w:val="References"/>
    <w:basedOn w:val="Normal"/>
    <w:next w:val="AddressTR"/>
    <w:rsid w:val="00461D0A"/>
    <w:pPr>
      <w:ind w:left="5103"/>
      <w:jc w:val="left"/>
    </w:pPr>
    <w:rPr>
      <w:sz w:val="20"/>
    </w:rPr>
  </w:style>
  <w:style w:type="paragraph" w:styleId="DocumentMap">
    <w:name w:val="Document Map"/>
    <w:basedOn w:val="Normal"/>
    <w:semiHidden/>
    <w:rsid w:val="00461D0A"/>
    <w:pPr>
      <w:shd w:val="clear" w:color="auto" w:fill="000080"/>
    </w:pPr>
    <w:rPr>
      <w:rFonts w:ascii="Tahoma" w:hAnsi="Tahoma"/>
    </w:rPr>
  </w:style>
  <w:style w:type="paragraph" w:customStyle="1" w:styleId="DoubSign">
    <w:name w:val="DoubSign"/>
    <w:basedOn w:val="Normal"/>
    <w:next w:val="Enclosures"/>
    <w:rsid w:val="00461D0A"/>
    <w:pPr>
      <w:tabs>
        <w:tab w:val="left" w:pos="5103"/>
      </w:tabs>
      <w:spacing w:before="1200" w:after="0"/>
      <w:jc w:val="left"/>
    </w:pPr>
  </w:style>
  <w:style w:type="paragraph" w:customStyle="1" w:styleId="Enclosures">
    <w:name w:val="Enclosures"/>
    <w:basedOn w:val="Normal"/>
    <w:rsid w:val="00461D0A"/>
    <w:pPr>
      <w:keepNext/>
      <w:keepLines/>
      <w:tabs>
        <w:tab w:val="left" w:pos="5642"/>
      </w:tabs>
      <w:spacing w:before="480" w:after="0"/>
      <w:ind w:left="1191" w:hanging="1191"/>
      <w:jc w:val="left"/>
    </w:pPr>
  </w:style>
  <w:style w:type="paragraph" w:styleId="EndnoteText">
    <w:name w:val="endnote text"/>
    <w:basedOn w:val="Normal"/>
    <w:semiHidden/>
    <w:rsid w:val="00461D0A"/>
    <w:rPr>
      <w:sz w:val="20"/>
    </w:rPr>
  </w:style>
  <w:style w:type="paragraph" w:styleId="EnvelopeAddress">
    <w:name w:val="envelope address"/>
    <w:basedOn w:val="Normal"/>
    <w:rsid w:val="00461D0A"/>
    <w:pPr>
      <w:framePr w:w="7920" w:h="1980" w:hRule="exact" w:hSpace="180" w:wrap="auto" w:hAnchor="page" w:xAlign="center" w:yAlign="bottom"/>
      <w:spacing w:after="0"/>
    </w:pPr>
  </w:style>
  <w:style w:type="paragraph" w:styleId="EnvelopeReturn">
    <w:name w:val="envelope return"/>
    <w:basedOn w:val="Normal"/>
    <w:rsid w:val="00461D0A"/>
    <w:pPr>
      <w:spacing w:after="0"/>
    </w:pPr>
    <w:rPr>
      <w:sz w:val="20"/>
    </w:rPr>
  </w:style>
  <w:style w:type="paragraph" w:styleId="Footer">
    <w:name w:val="footer"/>
    <w:basedOn w:val="Normal"/>
    <w:link w:val="FooterChar"/>
    <w:uiPriority w:val="99"/>
    <w:rsid w:val="00461D0A"/>
    <w:pPr>
      <w:spacing w:after="0"/>
      <w:ind w:right="-567"/>
      <w:jc w:val="left"/>
    </w:pPr>
    <w:rPr>
      <w:rFonts w:ascii="Arial" w:hAnsi="Arial"/>
      <w:sz w:val="16"/>
    </w:rPr>
  </w:style>
  <w:style w:type="paragraph" w:styleId="FootnoteText">
    <w:name w:val="footnote text"/>
    <w:aliases w:val="single space,Fußnotentextf,Footnote text,fn,Schriftart: 9 pt,Schriftart: 10 pt,Schriftart: 8 pt,WB-Fußnotentext,footnote text,Footnote Text2,Footnote Text11,ALTS FOOTNOTE11,Footnote Text Char111,ALTS FOOTNOTE2,f,Fuß, Car1,stile 1,Car1"/>
    <w:basedOn w:val="Normal"/>
    <w:link w:val="FootnoteTextChar"/>
    <w:qFormat/>
    <w:rsid w:val="00554C47"/>
    <w:pPr>
      <w:spacing w:after="120"/>
    </w:pPr>
    <w:rPr>
      <w:rFonts w:asciiTheme="minorHAnsi" w:hAnsiTheme="minorHAnsi"/>
      <w:sz w:val="16"/>
    </w:rPr>
  </w:style>
  <w:style w:type="paragraph" w:styleId="Header">
    <w:name w:val="header"/>
    <w:basedOn w:val="Normal"/>
    <w:link w:val="HeaderChar"/>
    <w:uiPriority w:val="99"/>
    <w:rsid w:val="00461D0A"/>
    <w:pPr>
      <w:tabs>
        <w:tab w:val="center" w:pos="4153"/>
        <w:tab w:val="right" w:pos="8306"/>
      </w:tabs>
    </w:pPr>
  </w:style>
  <w:style w:type="paragraph" w:styleId="Index1">
    <w:name w:val="index 1"/>
    <w:basedOn w:val="Normal"/>
    <w:next w:val="Normal"/>
    <w:autoRedefine/>
    <w:semiHidden/>
    <w:rsid w:val="00461D0A"/>
    <w:pPr>
      <w:ind w:left="240" w:hanging="240"/>
    </w:pPr>
  </w:style>
  <w:style w:type="paragraph" w:styleId="Index2">
    <w:name w:val="index 2"/>
    <w:basedOn w:val="Normal"/>
    <w:next w:val="Normal"/>
    <w:autoRedefine/>
    <w:semiHidden/>
    <w:rsid w:val="00461D0A"/>
    <w:pPr>
      <w:ind w:left="480" w:hanging="240"/>
    </w:pPr>
  </w:style>
  <w:style w:type="paragraph" w:styleId="Index3">
    <w:name w:val="index 3"/>
    <w:basedOn w:val="Normal"/>
    <w:next w:val="Normal"/>
    <w:autoRedefine/>
    <w:semiHidden/>
    <w:rsid w:val="00461D0A"/>
    <w:pPr>
      <w:ind w:left="720" w:hanging="240"/>
    </w:pPr>
  </w:style>
  <w:style w:type="paragraph" w:styleId="Index4">
    <w:name w:val="index 4"/>
    <w:basedOn w:val="Normal"/>
    <w:next w:val="Normal"/>
    <w:autoRedefine/>
    <w:semiHidden/>
    <w:rsid w:val="00461D0A"/>
    <w:pPr>
      <w:ind w:left="960" w:hanging="240"/>
    </w:pPr>
  </w:style>
  <w:style w:type="paragraph" w:styleId="Index5">
    <w:name w:val="index 5"/>
    <w:basedOn w:val="Normal"/>
    <w:next w:val="Normal"/>
    <w:autoRedefine/>
    <w:semiHidden/>
    <w:rsid w:val="00461D0A"/>
    <w:pPr>
      <w:ind w:left="1200" w:hanging="240"/>
    </w:pPr>
  </w:style>
  <w:style w:type="paragraph" w:styleId="Index6">
    <w:name w:val="index 6"/>
    <w:basedOn w:val="Normal"/>
    <w:next w:val="Normal"/>
    <w:autoRedefine/>
    <w:semiHidden/>
    <w:rsid w:val="00461D0A"/>
    <w:pPr>
      <w:ind w:left="1440" w:hanging="240"/>
    </w:pPr>
  </w:style>
  <w:style w:type="paragraph" w:styleId="Index7">
    <w:name w:val="index 7"/>
    <w:basedOn w:val="Normal"/>
    <w:next w:val="Normal"/>
    <w:autoRedefine/>
    <w:semiHidden/>
    <w:rsid w:val="00461D0A"/>
    <w:pPr>
      <w:ind w:left="1680" w:hanging="240"/>
    </w:pPr>
  </w:style>
  <w:style w:type="paragraph" w:styleId="Index8">
    <w:name w:val="index 8"/>
    <w:basedOn w:val="Normal"/>
    <w:next w:val="Normal"/>
    <w:autoRedefine/>
    <w:semiHidden/>
    <w:rsid w:val="00461D0A"/>
    <w:pPr>
      <w:ind w:left="1920" w:hanging="240"/>
    </w:pPr>
  </w:style>
  <w:style w:type="paragraph" w:styleId="Index9">
    <w:name w:val="index 9"/>
    <w:basedOn w:val="Normal"/>
    <w:next w:val="Normal"/>
    <w:autoRedefine/>
    <w:semiHidden/>
    <w:rsid w:val="00461D0A"/>
    <w:pPr>
      <w:ind w:left="2160" w:hanging="240"/>
    </w:pPr>
  </w:style>
  <w:style w:type="paragraph" w:styleId="IndexHeading">
    <w:name w:val="index heading"/>
    <w:basedOn w:val="Normal"/>
    <w:next w:val="Index1"/>
    <w:semiHidden/>
    <w:rsid w:val="00461D0A"/>
    <w:rPr>
      <w:rFonts w:ascii="Arial" w:hAnsi="Arial"/>
      <w:b/>
    </w:rPr>
  </w:style>
  <w:style w:type="paragraph" w:styleId="List">
    <w:name w:val="List"/>
    <w:basedOn w:val="Normal"/>
    <w:rsid w:val="00461D0A"/>
    <w:pPr>
      <w:ind w:left="283" w:hanging="283"/>
    </w:pPr>
  </w:style>
  <w:style w:type="paragraph" w:styleId="List2">
    <w:name w:val="List 2"/>
    <w:basedOn w:val="Normal"/>
    <w:rsid w:val="00461D0A"/>
    <w:pPr>
      <w:ind w:left="566" w:hanging="283"/>
    </w:pPr>
  </w:style>
  <w:style w:type="paragraph" w:styleId="List3">
    <w:name w:val="List 3"/>
    <w:basedOn w:val="Normal"/>
    <w:rsid w:val="00461D0A"/>
    <w:pPr>
      <w:ind w:left="849" w:hanging="283"/>
    </w:pPr>
  </w:style>
  <w:style w:type="paragraph" w:styleId="List4">
    <w:name w:val="List 4"/>
    <w:basedOn w:val="Normal"/>
    <w:rsid w:val="00461D0A"/>
    <w:pPr>
      <w:ind w:left="1132" w:hanging="283"/>
    </w:pPr>
  </w:style>
  <w:style w:type="paragraph" w:styleId="List5">
    <w:name w:val="List 5"/>
    <w:basedOn w:val="Normal"/>
    <w:rsid w:val="00461D0A"/>
    <w:pPr>
      <w:ind w:left="1415" w:hanging="283"/>
    </w:pPr>
  </w:style>
  <w:style w:type="paragraph" w:styleId="ListBullet">
    <w:name w:val="List Bullet"/>
    <w:basedOn w:val="Normal"/>
    <w:rsid w:val="00577EC6"/>
    <w:pPr>
      <w:numPr>
        <w:numId w:val="4"/>
      </w:numPr>
    </w:pPr>
  </w:style>
  <w:style w:type="paragraph" w:styleId="ListBullet2">
    <w:name w:val="List Bullet 2"/>
    <w:basedOn w:val="Text2"/>
    <w:rsid w:val="00577EC6"/>
    <w:pPr>
      <w:numPr>
        <w:numId w:val="6"/>
      </w:numPr>
      <w:tabs>
        <w:tab w:val="clear" w:pos="2302"/>
      </w:tabs>
    </w:pPr>
  </w:style>
  <w:style w:type="paragraph" w:styleId="ListBullet3">
    <w:name w:val="List Bullet 3"/>
    <w:basedOn w:val="Text3"/>
    <w:rsid w:val="00577EC6"/>
    <w:pPr>
      <w:numPr>
        <w:numId w:val="7"/>
      </w:numPr>
      <w:tabs>
        <w:tab w:val="clear" w:pos="2302"/>
      </w:tabs>
    </w:pPr>
  </w:style>
  <w:style w:type="paragraph" w:styleId="ListBullet4">
    <w:name w:val="List Bullet 4"/>
    <w:basedOn w:val="Text4"/>
    <w:rsid w:val="00577EC6"/>
    <w:pPr>
      <w:numPr>
        <w:numId w:val="8"/>
      </w:numPr>
      <w:tabs>
        <w:tab w:val="clear" w:pos="2302"/>
      </w:tabs>
    </w:pPr>
  </w:style>
  <w:style w:type="paragraph" w:styleId="ListBullet5">
    <w:name w:val="List Bullet 5"/>
    <w:basedOn w:val="Normal"/>
    <w:autoRedefine/>
    <w:rsid w:val="00577EC6"/>
    <w:pPr>
      <w:numPr>
        <w:numId w:val="1"/>
      </w:numPr>
    </w:pPr>
  </w:style>
  <w:style w:type="paragraph" w:styleId="ListContinue">
    <w:name w:val="List Continue"/>
    <w:basedOn w:val="Normal"/>
    <w:rsid w:val="00461D0A"/>
    <w:pPr>
      <w:spacing w:after="120"/>
      <w:ind w:left="283"/>
    </w:pPr>
  </w:style>
  <w:style w:type="paragraph" w:styleId="ListContinue2">
    <w:name w:val="List Continue 2"/>
    <w:basedOn w:val="Normal"/>
    <w:rsid w:val="00461D0A"/>
    <w:pPr>
      <w:spacing w:after="120"/>
      <w:ind w:left="566"/>
    </w:pPr>
  </w:style>
  <w:style w:type="paragraph" w:styleId="ListContinue3">
    <w:name w:val="List Continue 3"/>
    <w:basedOn w:val="Normal"/>
    <w:rsid w:val="00461D0A"/>
    <w:pPr>
      <w:spacing w:after="120"/>
      <w:ind w:left="849"/>
    </w:pPr>
  </w:style>
  <w:style w:type="paragraph" w:styleId="ListContinue4">
    <w:name w:val="List Continue 4"/>
    <w:basedOn w:val="Normal"/>
    <w:rsid w:val="00461D0A"/>
    <w:pPr>
      <w:spacing w:after="120"/>
      <w:ind w:left="1132"/>
    </w:pPr>
  </w:style>
  <w:style w:type="paragraph" w:styleId="ListContinue5">
    <w:name w:val="List Continue 5"/>
    <w:basedOn w:val="Normal"/>
    <w:rsid w:val="00461D0A"/>
    <w:pPr>
      <w:spacing w:after="120"/>
      <w:ind w:left="1415"/>
    </w:pPr>
  </w:style>
  <w:style w:type="paragraph" w:styleId="ListNumber">
    <w:name w:val="List Number"/>
    <w:basedOn w:val="Normal"/>
    <w:rsid w:val="00577EC6"/>
    <w:pPr>
      <w:numPr>
        <w:numId w:val="14"/>
      </w:numPr>
    </w:pPr>
  </w:style>
  <w:style w:type="paragraph" w:styleId="ListNumber2">
    <w:name w:val="List Number 2"/>
    <w:basedOn w:val="Text2"/>
    <w:rsid w:val="00577EC6"/>
    <w:pPr>
      <w:numPr>
        <w:numId w:val="16"/>
      </w:numPr>
      <w:tabs>
        <w:tab w:val="clear" w:pos="2302"/>
      </w:tabs>
    </w:pPr>
  </w:style>
  <w:style w:type="paragraph" w:styleId="ListNumber3">
    <w:name w:val="List Number 3"/>
    <w:basedOn w:val="Text3"/>
    <w:rsid w:val="00577EC6"/>
    <w:pPr>
      <w:numPr>
        <w:numId w:val="17"/>
      </w:numPr>
      <w:tabs>
        <w:tab w:val="clear" w:pos="2302"/>
      </w:tabs>
    </w:pPr>
  </w:style>
  <w:style w:type="paragraph" w:styleId="ListNumber4">
    <w:name w:val="List Number 4"/>
    <w:basedOn w:val="Text4"/>
    <w:rsid w:val="00577EC6"/>
    <w:pPr>
      <w:numPr>
        <w:numId w:val="18"/>
      </w:numPr>
      <w:tabs>
        <w:tab w:val="clear" w:pos="2302"/>
      </w:tabs>
    </w:pPr>
  </w:style>
  <w:style w:type="paragraph" w:styleId="ListNumber5">
    <w:name w:val="List Number 5"/>
    <w:basedOn w:val="Normal"/>
    <w:rsid w:val="00577EC6"/>
    <w:pPr>
      <w:numPr>
        <w:numId w:val="2"/>
      </w:numPr>
    </w:pPr>
  </w:style>
  <w:style w:type="paragraph" w:styleId="MacroText">
    <w:name w:val="macro"/>
    <w:semiHidden/>
    <w:rsid w:val="00461D0A"/>
    <w:pPr>
      <w:tabs>
        <w:tab w:val="left" w:pos="480"/>
        <w:tab w:val="left" w:pos="960"/>
        <w:tab w:val="left" w:pos="1440"/>
        <w:tab w:val="left" w:pos="1920"/>
        <w:tab w:val="left" w:pos="2400"/>
        <w:tab w:val="left" w:pos="2880"/>
        <w:tab w:val="left" w:pos="3360"/>
        <w:tab w:val="left" w:pos="3840"/>
        <w:tab w:val="left" w:pos="4320"/>
      </w:tabs>
      <w:spacing w:after="240"/>
      <w:jc w:val="both"/>
    </w:pPr>
    <w:rPr>
      <w:rFonts w:ascii="Courier New" w:hAnsi="Courier New"/>
      <w:lang w:val="en-GB" w:eastAsia="en-US"/>
    </w:rPr>
  </w:style>
  <w:style w:type="paragraph" w:styleId="MessageHeader">
    <w:name w:val="Message Header"/>
    <w:basedOn w:val="Normal"/>
    <w:rsid w:val="00461D0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rPr>
  </w:style>
  <w:style w:type="paragraph" w:styleId="NormalIndent">
    <w:name w:val="Normal Indent"/>
    <w:basedOn w:val="Normal"/>
    <w:link w:val="NormalIndentChar"/>
    <w:rsid w:val="00461D0A"/>
    <w:pPr>
      <w:ind w:left="720"/>
    </w:pPr>
  </w:style>
  <w:style w:type="paragraph" w:styleId="NoteHeading">
    <w:name w:val="Note Heading"/>
    <w:basedOn w:val="Normal"/>
    <w:next w:val="Normal"/>
    <w:rsid w:val="00461D0A"/>
  </w:style>
  <w:style w:type="paragraph" w:customStyle="1" w:styleId="NoteHead">
    <w:name w:val="NoteHead"/>
    <w:basedOn w:val="Normal"/>
    <w:next w:val="Subject"/>
    <w:rsid w:val="00461D0A"/>
    <w:pPr>
      <w:spacing w:before="720" w:after="720"/>
      <w:jc w:val="center"/>
    </w:pPr>
    <w:rPr>
      <w:b/>
      <w:smallCaps/>
    </w:rPr>
  </w:style>
  <w:style w:type="paragraph" w:customStyle="1" w:styleId="Subject">
    <w:name w:val="Subject"/>
    <w:basedOn w:val="Normal"/>
    <w:next w:val="Normal"/>
    <w:rsid w:val="00461D0A"/>
    <w:pPr>
      <w:spacing w:after="480"/>
      <w:ind w:left="1531" w:hanging="1531"/>
      <w:jc w:val="left"/>
    </w:pPr>
    <w:rPr>
      <w:b/>
    </w:rPr>
  </w:style>
  <w:style w:type="paragraph" w:customStyle="1" w:styleId="NoteList">
    <w:name w:val="NoteList"/>
    <w:basedOn w:val="Normal"/>
    <w:next w:val="Subject"/>
    <w:rsid w:val="00461D0A"/>
    <w:pPr>
      <w:tabs>
        <w:tab w:val="left" w:pos="5823"/>
      </w:tabs>
      <w:spacing w:before="720" w:after="720"/>
      <w:ind w:left="5104" w:hanging="3119"/>
      <w:jc w:val="left"/>
    </w:pPr>
    <w:rPr>
      <w:b/>
      <w:smallCaps/>
    </w:rPr>
  </w:style>
  <w:style w:type="paragraph" w:customStyle="1" w:styleId="NumPar1">
    <w:name w:val="NumPar 1"/>
    <w:basedOn w:val="Heading1"/>
    <w:next w:val="Text1"/>
    <w:rsid w:val="00577EC6"/>
    <w:pPr>
      <w:keepNext w:val="0"/>
      <w:spacing w:before="0"/>
      <w:outlineLvl w:val="9"/>
    </w:pPr>
    <w:rPr>
      <w:b w:val="0"/>
      <w:smallCaps w:val="0"/>
    </w:rPr>
  </w:style>
  <w:style w:type="paragraph" w:customStyle="1" w:styleId="NumPar2">
    <w:name w:val="NumPar 2"/>
    <w:basedOn w:val="Heading2"/>
    <w:next w:val="Text2"/>
    <w:rsid w:val="00577EC6"/>
    <w:pPr>
      <w:keepNext w:val="0"/>
      <w:outlineLvl w:val="9"/>
    </w:pPr>
    <w:rPr>
      <w:b w:val="0"/>
    </w:rPr>
  </w:style>
  <w:style w:type="paragraph" w:customStyle="1" w:styleId="NumPar3">
    <w:name w:val="NumPar 3"/>
    <w:basedOn w:val="Heading3"/>
    <w:next w:val="Text3"/>
    <w:rsid w:val="00577EC6"/>
    <w:pPr>
      <w:keepNext w:val="0"/>
      <w:outlineLvl w:val="9"/>
    </w:pPr>
    <w:rPr>
      <w:i w:val="0"/>
    </w:rPr>
  </w:style>
  <w:style w:type="paragraph" w:customStyle="1" w:styleId="NumPar4">
    <w:name w:val="NumPar 4"/>
    <w:basedOn w:val="Heading4"/>
    <w:next w:val="Text4"/>
    <w:rsid w:val="00577EC6"/>
    <w:pPr>
      <w:keepNext w:val="0"/>
      <w:outlineLvl w:val="9"/>
    </w:pPr>
  </w:style>
  <w:style w:type="paragraph" w:customStyle="1" w:styleId="PartTitle">
    <w:name w:val="PartTitle"/>
    <w:basedOn w:val="Normal"/>
    <w:next w:val="ChapterTitle"/>
    <w:rsid w:val="00461D0A"/>
    <w:pPr>
      <w:keepNext/>
      <w:pageBreakBefore/>
      <w:spacing w:after="480"/>
      <w:jc w:val="center"/>
    </w:pPr>
    <w:rPr>
      <w:b/>
      <w:sz w:val="36"/>
    </w:rPr>
  </w:style>
  <w:style w:type="paragraph" w:styleId="PlainText">
    <w:name w:val="Plain Text"/>
    <w:basedOn w:val="Normal"/>
    <w:rsid w:val="00461D0A"/>
    <w:rPr>
      <w:rFonts w:ascii="Courier New" w:hAnsi="Courier New"/>
      <w:sz w:val="20"/>
    </w:rPr>
  </w:style>
  <w:style w:type="paragraph" w:styleId="Salutation">
    <w:name w:val="Salutation"/>
    <w:basedOn w:val="Normal"/>
    <w:next w:val="Normal"/>
    <w:rsid w:val="00461D0A"/>
  </w:style>
  <w:style w:type="paragraph" w:styleId="Signature">
    <w:name w:val="Signature"/>
    <w:basedOn w:val="Normal"/>
    <w:next w:val="Enclosures"/>
    <w:rsid w:val="00461D0A"/>
    <w:pPr>
      <w:tabs>
        <w:tab w:val="left" w:pos="5103"/>
      </w:tabs>
      <w:spacing w:before="1200" w:after="0"/>
      <w:ind w:left="5103"/>
      <w:jc w:val="center"/>
    </w:pPr>
  </w:style>
  <w:style w:type="paragraph" w:styleId="Subtitle">
    <w:name w:val="Subtitle"/>
    <w:basedOn w:val="Normal"/>
    <w:rsid w:val="00461D0A"/>
    <w:pPr>
      <w:spacing w:after="60"/>
      <w:jc w:val="center"/>
      <w:outlineLvl w:val="1"/>
    </w:pPr>
    <w:rPr>
      <w:rFonts w:ascii="Arial" w:hAnsi="Arial"/>
    </w:rPr>
  </w:style>
  <w:style w:type="paragraph" w:customStyle="1" w:styleId="SubTitle1">
    <w:name w:val="SubTitle 1"/>
    <w:basedOn w:val="Normal"/>
    <w:next w:val="SubTitle2"/>
    <w:rsid w:val="00461D0A"/>
    <w:pPr>
      <w:jc w:val="center"/>
    </w:pPr>
    <w:rPr>
      <w:b/>
      <w:sz w:val="40"/>
    </w:rPr>
  </w:style>
  <w:style w:type="paragraph" w:customStyle="1" w:styleId="SubTitle2">
    <w:name w:val="SubTitle 2"/>
    <w:basedOn w:val="Normal"/>
    <w:rsid w:val="00461D0A"/>
    <w:pPr>
      <w:jc w:val="center"/>
    </w:pPr>
    <w:rPr>
      <w:b/>
      <w:sz w:val="32"/>
    </w:rPr>
  </w:style>
  <w:style w:type="paragraph" w:styleId="TableofAuthorities">
    <w:name w:val="table of authorities"/>
    <w:basedOn w:val="Normal"/>
    <w:next w:val="Normal"/>
    <w:semiHidden/>
    <w:rsid w:val="00461D0A"/>
    <w:pPr>
      <w:ind w:left="240" w:hanging="240"/>
    </w:pPr>
  </w:style>
  <w:style w:type="paragraph" w:styleId="TableofFigures">
    <w:name w:val="table of figures"/>
    <w:basedOn w:val="Normal"/>
    <w:next w:val="Normal"/>
    <w:semiHidden/>
    <w:rsid w:val="00461D0A"/>
    <w:pPr>
      <w:ind w:left="480" w:hanging="480"/>
    </w:pPr>
  </w:style>
  <w:style w:type="paragraph" w:styleId="Title">
    <w:name w:val="Title"/>
    <w:basedOn w:val="Normal"/>
    <w:next w:val="SubTitle1"/>
    <w:rsid w:val="00461D0A"/>
    <w:pPr>
      <w:spacing w:after="480"/>
      <w:jc w:val="center"/>
    </w:pPr>
    <w:rPr>
      <w:b/>
      <w:kern w:val="28"/>
      <w:sz w:val="48"/>
    </w:rPr>
  </w:style>
  <w:style w:type="paragraph" w:styleId="TOAHeading">
    <w:name w:val="toa heading"/>
    <w:basedOn w:val="Normal"/>
    <w:next w:val="Normal"/>
    <w:semiHidden/>
    <w:rsid w:val="00461D0A"/>
    <w:pPr>
      <w:spacing w:before="120"/>
    </w:pPr>
    <w:rPr>
      <w:rFonts w:ascii="Arial" w:hAnsi="Arial"/>
      <w:b/>
    </w:rPr>
  </w:style>
  <w:style w:type="paragraph" w:styleId="TOC1">
    <w:name w:val="toc 1"/>
    <w:basedOn w:val="Normal"/>
    <w:next w:val="Normal"/>
    <w:autoRedefine/>
    <w:uiPriority w:val="39"/>
    <w:rsid w:val="00267A5F"/>
    <w:pPr>
      <w:tabs>
        <w:tab w:val="left" w:pos="480"/>
        <w:tab w:val="right" w:leader="dot" w:pos="8778"/>
      </w:tabs>
      <w:spacing w:before="240"/>
      <w:jc w:val="left"/>
    </w:pPr>
    <w:rPr>
      <w:rFonts w:asciiTheme="minorHAnsi" w:hAnsiTheme="minorHAnsi" w:cstheme="minorHAnsi"/>
      <w:b/>
      <w:bCs/>
      <w:noProof/>
    </w:rPr>
  </w:style>
  <w:style w:type="paragraph" w:styleId="TOC2">
    <w:name w:val="toc 2"/>
    <w:basedOn w:val="Normal"/>
    <w:next w:val="Normal"/>
    <w:uiPriority w:val="39"/>
    <w:rsid w:val="00EF7FDF"/>
    <w:pPr>
      <w:spacing w:before="120" w:after="120"/>
      <w:ind w:left="240"/>
      <w:jc w:val="left"/>
    </w:pPr>
    <w:rPr>
      <w:rFonts w:asciiTheme="minorHAnsi" w:hAnsiTheme="minorHAnsi" w:cstheme="minorHAnsi"/>
    </w:rPr>
  </w:style>
  <w:style w:type="paragraph" w:styleId="TOC3">
    <w:name w:val="toc 3"/>
    <w:basedOn w:val="Normal"/>
    <w:next w:val="Normal"/>
    <w:uiPriority w:val="39"/>
    <w:rsid w:val="00EF7FDF"/>
    <w:pPr>
      <w:spacing w:after="0"/>
      <w:ind w:left="480"/>
      <w:jc w:val="left"/>
    </w:pPr>
    <w:rPr>
      <w:rFonts w:asciiTheme="minorHAnsi" w:hAnsiTheme="minorHAnsi" w:cstheme="minorHAnsi"/>
      <w:iCs/>
      <w:sz w:val="22"/>
    </w:rPr>
  </w:style>
  <w:style w:type="paragraph" w:styleId="TOC4">
    <w:name w:val="toc 4"/>
    <w:basedOn w:val="Normal"/>
    <w:next w:val="Normal"/>
    <w:semiHidden/>
    <w:rsid w:val="00461D0A"/>
    <w:pPr>
      <w:spacing w:after="0"/>
      <w:ind w:left="720"/>
      <w:jc w:val="left"/>
    </w:pPr>
    <w:rPr>
      <w:rFonts w:asciiTheme="minorHAnsi" w:hAnsiTheme="minorHAnsi" w:cstheme="minorHAnsi"/>
      <w:sz w:val="18"/>
      <w:szCs w:val="18"/>
    </w:rPr>
  </w:style>
  <w:style w:type="paragraph" w:styleId="TOC5">
    <w:name w:val="toc 5"/>
    <w:basedOn w:val="Normal"/>
    <w:next w:val="Normal"/>
    <w:semiHidden/>
    <w:rsid w:val="00461D0A"/>
    <w:pPr>
      <w:spacing w:after="0"/>
      <w:ind w:left="960"/>
      <w:jc w:val="left"/>
    </w:pPr>
    <w:rPr>
      <w:rFonts w:asciiTheme="minorHAnsi" w:hAnsiTheme="minorHAnsi" w:cstheme="minorHAnsi"/>
      <w:sz w:val="18"/>
      <w:szCs w:val="18"/>
    </w:rPr>
  </w:style>
  <w:style w:type="paragraph" w:styleId="TOC6">
    <w:name w:val="toc 6"/>
    <w:basedOn w:val="Normal"/>
    <w:next w:val="Normal"/>
    <w:autoRedefine/>
    <w:semiHidden/>
    <w:rsid w:val="00461D0A"/>
    <w:pPr>
      <w:spacing w:after="0"/>
      <w:ind w:left="1200"/>
      <w:jc w:val="left"/>
    </w:pPr>
    <w:rPr>
      <w:rFonts w:asciiTheme="minorHAnsi" w:hAnsiTheme="minorHAnsi" w:cstheme="minorHAnsi"/>
      <w:sz w:val="18"/>
      <w:szCs w:val="18"/>
    </w:rPr>
  </w:style>
  <w:style w:type="paragraph" w:styleId="TOC7">
    <w:name w:val="toc 7"/>
    <w:basedOn w:val="Normal"/>
    <w:next w:val="Normal"/>
    <w:autoRedefine/>
    <w:semiHidden/>
    <w:rsid w:val="00461D0A"/>
    <w:pPr>
      <w:spacing w:after="0"/>
      <w:ind w:left="1440"/>
      <w:jc w:val="left"/>
    </w:pPr>
    <w:rPr>
      <w:rFonts w:asciiTheme="minorHAnsi" w:hAnsiTheme="minorHAnsi" w:cstheme="minorHAnsi"/>
      <w:sz w:val="18"/>
      <w:szCs w:val="18"/>
    </w:rPr>
  </w:style>
  <w:style w:type="paragraph" w:styleId="TOC8">
    <w:name w:val="toc 8"/>
    <w:basedOn w:val="Normal"/>
    <w:next w:val="Normal"/>
    <w:autoRedefine/>
    <w:semiHidden/>
    <w:rsid w:val="00461D0A"/>
    <w:pPr>
      <w:spacing w:after="0"/>
      <w:ind w:left="1680"/>
      <w:jc w:val="left"/>
    </w:pPr>
    <w:rPr>
      <w:rFonts w:asciiTheme="minorHAnsi" w:hAnsiTheme="minorHAnsi" w:cstheme="minorHAnsi"/>
      <w:sz w:val="18"/>
      <w:szCs w:val="18"/>
    </w:rPr>
  </w:style>
  <w:style w:type="paragraph" w:styleId="TOC9">
    <w:name w:val="toc 9"/>
    <w:basedOn w:val="Normal"/>
    <w:next w:val="Normal"/>
    <w:autoRedefine/>
    <w:semiHidden/>
    <w:rsid w:val="00461D0A"/>
    <w:pPr>
      <w:spacing w:after="0"/>
      <w:ind w:left="1920"/>
      <w:jc w:val="left"/>
    </w:pPr>
    <w:rPr>
      <w:rFonts w:asciiTheme="minorHAnsi" w:hAnsiTheme="minorHAnsi" w:cstheme="minorHAnsi"/>
      <w:sz w:val="18"/>
      <w:szCs w:val="18"/>
    </w:rPr>
  </w:style>
  <w:style w:type="paragraph" w:customStyle="1" w:styleId="YReferences">
    <w:name w:val="YReferences"/>
    <w:basedOn w:val="Normal"/>
    <w:next w:val="Normal"/>
    <w:rsid w:val="00461D0A"/>
    <w:pPr>
      <w:spacing w:after="480"/>
      <w:ind w:left="1531" w:hanging="1531"/>
    </w:pPr>
  </w:style>
  <w:style w:type="paragraph" w:customStyle="1" w:styleId="ListBullet1">
    <w:name w:val="List Bullet 1"/>
    <w:basedOn w:val="Text1"/>
    <w:rsid w:val="00577EC6"/>
    <w:pPr>
      <w:numPr>
        <w:numId w:val="5"/>
      </w:numPr>
    </w:pPr>
  </w:style>
  <w:style w:type="paragraph" w:customStyle="1" w:styleId="ListDash">
    <w:name w:val="List Dash"/>
    <w:basedOn w:val="Normal"/>
    <w:rsid w:val="00577EC6"/>
    <w:pPr>
      <w:numPr>
        <w:numId w:val="9"/>
      </w:numPr>
    </w:pPr>
  </w:style>
  <w:style w:type="paragraph" w:customStyle="1" w:styleId="ListDash1">
    <w:name w:val="List Dash 1"/>
    <w:basedOn w:val="Text1"/>
    <w:rsid w:val="00577EC6"/>
    <w:pPr>
      <w:numPr>
        <w:numId w:val="10"/>
      </w:numPr>
    </w:pPr>
  </w:style>
  <w:style w:type="paragraph" w:customStyle="1" w:styleId="ListDash2">
    <w:name w:val="List Dash 2"/>
    <w:basedOn w:val="Text2"/>
    <w:rsid w:val="00577EC6"/>
    <w:pPr>
      <w:numPr>
        <w:numId w:val="11"/>
      </w:numPr>
      <w:tabs>
        <w:tab w:val="clear" w:pos="2302"/>
      </w:tabs>
    </w:pPr>
  </w:style>
  <w:style w:type="paragraph" w:customStyle="1" w:styleId="ListDash3">
    <w:name w:val="List Dash 3"/>
    <w:basedOn w:val="Text3"/>
    <w:rsid w:val="00577EC6"/>
    <w:pPr>
      <w:numPr>
        <w:numId w:val="12"/>
      </w:numPr>
      <w:tabs>
        <w:tab w:val="clear" w:pos="2302"/>
      </w:tabs>
    </w:pPr>
  </w:style>
  <w:style w:type="paragraph" w:customStyle="1" w:styleId="ListDash4">
    <w:name w:val="List Dash 4"/>
    <w:basedOn w:val="Text4"/>
    <w:rsid w:val="00577EC6"/>
    <w:pPr>
      <w:numPr>
        <w:numId w:val="13"/>
      </w:numPr>
      <w:tabs>
        <w:tab w:val="clear" w:pos="2302"/>
      </w:tabs>
    </w:pPr>
  </w:style>
  <w:style w:type="paragraph" w:customStyle="1" w:styleId="ListNumberLevel2">
    <w:name w:val="List Number (Level 2)"/>
    <w:basedOn w:val="Normal"/>
    <w:rsid w:val="00577EC6"/>
    <w:pPr>
      <w:numPr>
        <w:ilvl w:val="1"/>
        <w:numId w:val="14"/>
      </w:numPr>
    </w:pPr>
  </w:style>
  <w:style w:type="paragraph" w:customStyle="1" w:styleId="ListNumberLevel3">
    <w:name w:val="List Number (Level 3)"/>
    <w:basedOn w:val="Normal"/>
    <w:rsid w:val="00577EC6"/>
    <w:pPr>
      <w:numPr>
        <w:ilvl w:val="2"/>
        <w:numId w:val="14"/>
      </w:numPr>
    </w:pPr>
  </w:style>
  <w:style w:type="paragraph" w:customStyle="1" w:styleId="ListNumberLevel4">
    <w:name w:val="List Number (Level 4)"/>
    <w:basedOn w:val="Normal"/>
    <w:rsid w:val="00577EC6"/>
    <w:pPr>
      <w:numPr>
        <w:ilvl w:val="3"/>
        <w:numId w:val="14"/>
      </w:numPr>
    </w:pPr>
  </w:style>
  <w:style w:type="paragraph" w:customStyle="1" w:styleId="ListNumber1">
    <w:name w:val="List Number 1"/>
    <w:basedOn w:val="Text1"/>
    <w:rsid w:val="00577EC6"/>
    <w:pPr>
      <w:numPr>
        <w:numId w:val="15"/>
      </w:numPr>
    </w:pPr>
  </w:style>
  <w:style w:type="paragraph" w:customStyle="1" w:styleId="ListNumber1Level2">
    <w:name w:val="List Number 1 (Level 2)"/>
    <w:basedOn w:val="Text1"/>
    <w:rsid w:val="00577EC6"/>
    <w:pPr>
      <w:numPr>
        <w:ilvl w:val="1"/>
        <w:numId w:val="15"/>
      </w:numPr>
    </w:pPr>
  </w:style>
  <w:style w:type="paragraph" w:customStyle="1" w:styleId="ListNumber1Level3">
    <w:name w:val="List Number 1 (Level 3)"/>
    <w:basedOn w:val="Text1"/>
    <w:rsid w:val="00577EC6"/>
    <w:pPr>
      <w:numPr>
        <w:ilvl w:val="2"/>
        <w:numId w:val="15"/>
      </w:numPr>
    </w:pPr>
  </w:style>
  <w:style w:type="paragraph" w:customStyle="1" w:styleId="ListNumber1Level4">
    <w:name w:val="List Number 1 (Level 4)"/>
    <w:basedOn w:val="Text1"/>
    <w:rsid w:val="00577EC6"/>
    <w:pPr>
      <w:numPr>
        <w:ilvl w:val="3"/>
        <w:numId w:val="15"/>
      </w:numPr>
    </w:pPr>
  </w:style>
  <w:style w:type="paragraph" w:customStyle="1" w:styleId="ListNumber2Level2">
    <w:name w:val="List Number 2 (Level 2)"/>
    <w:basedOn w:val="Text2"/>
    <w:rsid w:val="00577EC6"/>
    <w:pPr>
      <w:numPr>
        <w:ilvl w:val="1"/>
        <w:numId w:val="16"/>
      </w:numPr>
      <w:tabs>
        <w:tab w:val="clear" w:pos="2302"/>
      </w:tabs>
    </w:pPr>
  </w:style>
  <w:style w:type="paragraph" w:customStyle="1" w:styleId="ListNumber2Level3">
    <w:name w:val="List Number 2 (Level 3)"/>
    <w:basedOn w:val="Text2"/>
    <w:rsid w:val="00577EC6"/>
    <w:pPr>
      <w:numPr>
        <w:ilvl w:val="2"/>
        <w:numId w:val="16"/>
      </w:numPr>
      <w:tabs>
        <w:tab w:val="clear" w:pos="2302"/>
      </w:tabs>
    </w:pPr>
  </w:style>
  <w:style w:type="paragraph" w:customStyle="1" w:styleId="ListNumber2Level4">
    <w:name w:val="List Number 2 (Level 4)"/>
    <w:basedOn w:val="Text2"/>
    <w:rsid w:val="00577EC6"/>
    <w:pPr>
      <w:numPr>
        <w:ilvl w:val="3"/>
        <w:numId w:val="16"/>
      </w:numPr>
      <w:tabs>
        <w:tab w:val="clear" w:pos="2302"/>
      </w:tabs>
    </w:pPr>
  </w:style>
  <w:style w:type="paragraph" w:customStyle="1" w:styleId="ListNumber3Level2">
    <w:name w:val="List Number 3 (Level 2)"/>
    <w:basedOn w:val="Text3"/>
    <w:rsid w:val="00577EC6"/>
    <w:pPr>
      <w:numPr>
        <w:ilvl w:val="1"/>
        <w:numId w:val="17"/>
      </w:numPr>
      <w:tabs>
        <w:tab w:val="clear" w:pos="2302"/>
      </w:tabs>
    </w:pPr>
  </w:style>
  <w:style w:type="paragraph" w:customStyle="1" w:styleId="ListNumber3Level3">
    <w:name w:val="List Number 3 (Level 3)"/>
    <w:basedOn w:val="Text3"/>
    <w:rsid w:val="00577EC6"/>
    <w:pPr>
      <w:numPr>
        <w:ilvl w:val="2"/>
        <w:numId w:val="17"/>
      </w:numPr>
      <w:tabs>
        <w:tab w:val="clear" w:pos="2302"/>
      </w:tabs>
    </w:pPr>
  </w:style>
  <w:style w:type="paragraph" w:customStyle="1" w:styleId="ListNumber3Level4">
    <w:name w:val="List Number 3 (Level 4)"/>
    <w:basedOn w:val="Text3"/>
    <w:rsid w:val="00577EC6"/>
    <w:pPr>
      <w:numPr>
        <w:ilvl w:val="3"/>
        <w:numId w:val="17"/>
      </w:numPr>
      <w:tabs>
        <w:tab w:val="clear" w:pos="2302"/>
      </w:tabs>
    </w:pPr>
  </w:style>
  <w:style w:type="paragraph" w:customStyle="1" w:styleId="ListNumber4Level2">
    <w:name w:val="List Number 4 (Level 2)"/>
    <w:basedOn w:val="Text4"/>
    <w:rsid w:val="00577EC6"/>
    <w:pPr>
      <w:numPr>
        <w:ilvl w:val="1"/>
        <w:numId w:val="18"/>
      </w:numPr>
      <w:tabs>
        <w:tab w:val="clear" w:pos="2302"/>
      </w:tabs>
    </w:pPr>
  </w:style>
  <w:style w:type="paragraph" w:customStyle="1" w:styleId="ListNumber4Level3">
    <w:name w:val="List Number 4 (Level 3)"/>
    <w:basedOn w:val="Text4"/>
    <w:rsid w:val="00577EC6"/>
    <w:pPr>
      <w:numPr>
        <w:ilvl w:val="2"/>
        <w:numId w:val="18"/>
      </w:numPr>
      <w:tabs>
        <w:tab w:val="clear" w:pos="2302"/>
      </w:tabs>
    </w:pPr>
  </w:style>
  <w:style w:type="paragraph" w:customStyle="1" w:styleId="ListNumber4Level4">
    <w:name w:val="List Number 4 (Level 4)"/>
    <w:basedOn w:val="Text4"/>
    <w:rsid w:val="00577EC6"/>
    <w:pPr>
      <w:numPr>
        <w:ilvl w:val="3"/>
        <w:numId w:val="18"/>
      </w:numPr>
      <w:tabs>
        <w:tab w:val="clear" w:pos="2302"/>
      </w:tabs>
    </w:pPr>
  </w:style>
  <w:style w:type="paragraph" w:customStyle="1" w:styleId="TOCHeading1">
    <w:name w:val="TOC Heading1"/>
    <w:basedOn w:val="Normal"/>
    <w:next w:val="Normal"/>
    <w:rsid w:val="00461D0A"/>
    <w:pPr>
      <w:keepNext/>
      <w:spacing w:before="240"/>
      <w:jc w:val="center"/>
    </w:pPr>
    <w:rPr>
      <w:b/>
    </w:rPr>
  </w:style>
  <w:style w:type="paragraph" w:customStyle="1" w:styleId="Contact">
    <w:name w:val="Contact"/>
    <w:basedOn w:val="Normal"/>
    <w:next w:val="Normal"/>
    <w:rsid w:val="00461D0A"/>
    <w:pPr>
      <w:spacing w:after="480"/>
      <w:ind w:left="567" w:hanging="567"/>
      <w:jc w:val="left"/>
    </w:pPr>
  </w:style>
  <w:style w:type="paragraph" w:customStyle="1" w:styleId="ZCom">
    <w:name w:val="Z_Com"/>
    <w:basedOn w:val="Normal"/>
    <w:next w:val="ZDGName"/>
    <w:rsid w:val="00D63776"/>
    <w:pPr>
      <w:widowControl w:val="0"/>
      <w:autoSpaceDE w:val="0"/>
      <w:autoSpaceDN w:val="0"/>
      <w:spacing w:after="0"/>
      <w:ind w:right="85"/>
    </w:pPr>
    <w:rPr>
      <w:rFonts w:ascii="Arial" w:hAnsi="Arial" w:cs="Arial"/>
      <w:szCs w:val="24"/>
      <w:lang w:eastAsia="en-GB"/>
    </w:rPr>
  </w:style>
  <w:style w:type="paragraph" w:customStyle="1" w:styleId="ZDGName">
    <w:name w:val="Z_DGName"/>
    <w:basedOn w:val="Normal"/>
    <w:rsid w:val="00D63776"/>
    <w:pPr>
      <w:widowControl w:val="0"/>
      <w:autoSpaceDE w:val="0"/>
      <w:autoSpaceDN w:val="0"/>
      <w:spacing w:after="0"/>
      <w:ind w:right="85"/>
      <w:jc w:val="left"/>
    </w:pPr>
    <w:rPr>
      <w:rFonts w:ascii="Arial" w:hAnsi="Arial" w:cs="Arial"/>
      <w:sz w:val="16"/>
      <w:szCs w:val="16"/>
      <w:lang w:eastAsia="en-GB"/>
    </w:rPr>
  </w:style>
  <w:style w:type="character" w:styleId="Hyperlink">
    <w:name w:val="Hyperlink"/>
    <w:uiPriority w:val="99"/>
    <w:rsid w:val="006914AD"/>
    <w:rPr>
      <w:color w:val="0000FF"/>
      <w:u w:val="single"/>
    </w:rPr>
  </w:style>
  <w:style w:type="character" w:styleId="FootnoteReference">
    <w:name w:val="footnote reference"/>
    <w:aliases w:val="Footnote symbol,Voetnootverwijzing,Times 10 Point,Exposant 3 Point,Appel note de bas de p,BVI fnr,Footnote Reference Superscript,Footnote symboFußnotenzeichen,Footnote sign,EN Footnote Reference,fr,o,Footnote reference numbe,Ref"/>
    <w:link w:val="AppelnotedebasdepageCharCharCharCharCharCharChar"/>
    <w:uiPriority w:val="99"/>
    <w:qFormat/>
    <w:rsid w:val="00554C47"/>
    <w:rPr>
      <w:rFonts w:asciiTheme="minorHAnsi" w:hAnsiTheme="minorHAnsi"/>
      <w:sz w:val="16"/>
      <w:vertAlign w:val="superscript"/>
    </w:rPr>
  </w:style>
  <w:style w:type="table" w:styleId="ColorfulGrid-Accent3">
    <w:name w:val="Colorful Grid Accent 3"/>
    <w:basedOn w:val="TableNormal"/>
    <w:uiPriority w:val="69"/>
    <w:rsid w:val="000420DD"/>
    <w:rPr>
      <w:rFonts w:ascii="Verdana" w:hAnsi="Verdana"/>
      <w:sz w:val="18"/>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2F2F2"/>
    </w:tcPr>
    <w:tblStylePr w:type="firstRow">
      <w:rPr>
        <w:rFonts w:ascii="Tms Rmn" w:hAnsi="Tms Rmn"/>
        <w:b/>
        <w:bCs/>
        <w:i w:val="0"/>
        <w:iCs w:val="0"/>
        <w:color w:val="FFFFFF"/>
        <w:sz w:val="18"/>
      </w:rPr>
      <w:tblPr/>
      <w:tcPr>
        <w:shd w:val="clear" w:color="auto" w:fill="C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paragraph" w:styleId="BalloonText">
    <w:name w:val="Balloon Text"/>
    <w:basedOn w:val="Normal"/>
    <w:semiHidden/>
    <w:rsid w:val="00E52A1D"/>
    <w:rPr>
      <w:rFonts w:ascii="Tahoma" w:hAnsi="Tahoma" w:cs="Tahoma"/>
      <w:sz w:val="16"/>
      <w:szCs w:val="16"/>
    </w:rPr>
  </w:style>
  <w:style w:type="paragraph" w:customStyle="1" w:styleId="DocumentTitle">
    <w:name w:val="Document Title"/>
    <w:basedOn w:val="Normal"/>
    <w:link w:val="DocumentTitleChar"/>
    <w:qFormat/>
    <w:rsid w:val="001E6AC6"/>
    <w:pPr>
      <w:jc w:val="center"/>
    </w:pPr>
    <w:rPr>
      <w:rFonts w:ascii="Verdana" w:hAnsi="Verdana"/>
      <w:b/>
      <w:sz w:val="52"/>
    </w:rPr>
  </w:style>
  <w:style w:type="paragraph" w:customStyle="1" w:styleId="Footerapproval">
    <w:name w:val="Footer approval"/>
    <w:basedOn w:val="Footer"/>
    <w:link w:val="ApprovalfooterChar"/>
    <w:qFormat/>
    <w:rsid w:val="00ED7D13"/>
    <w:pPr>
      <w:tabs>
        <w:tab w:val="left" w:pos="6804"/>
      </w:tabs>
    </w:pPr>
    <w:rPr>
      <w:rFonts w:ascii="Verdana" w:hAnsi="Verdana"/>
      <w:sz w:val="13"/>
      <w:lang w:val="fr-BE"/>
    </w:rPr>
  </w:style>
  <w:style w:type="character" w:customStyle="1" w:styleId="DocumentTitleChar">
    <w:name w:val="Document Title Char"/>
    <w:link w:val="DocumentTitle"/>
    <w:rsid w:val="001E6AC6"/>
    <w:rPr>
      <w:rFonts w:ascii="Verdana" w:hAnsi="Verdana"/>
      <w:b/>
      <w:sz w:val="52"/>
      <w:lang w:val="fr-FR" w:eastAsia="en-US"/>
    </w:rPr>
  </w:style>
  <w:style w:type="paragraph" w:customStyle="1" w:styleId="FooterDate">
    <w:name w:val="Footer Date"/>
    <w:basedOn w:val="Footer"/>
    <w:link w:val="FooterDateChar"/>
    <w:rsid w:val="00EE60CF"/>
    <w:pPr>
      <w:tabs>
        <w:tab w:val="right" w:pos="9240"/>
      </w:tabs>
    </w:pPr>
    <w:rPr>
      <w:rFonts w:ascii="Verdana" w:hAnsi="Verdana"/>
      <w:lang w:val="it-IT"/>
    </w:rPr>
  </w:style>
  <w:style w:type="character" w:customStyle="1" w:styleId="FooterChar">
    <w:name w:val="Footer Char"/>
    <w:link w:val="Footer"/>
    <w:uiPriority w:val="99"/>
    <w:rsid w:val="00EE60CF"/>
    <w:rPr>
      <w:rFonts w:ascii="Arial" w:hAnsi="Arial"/>
      <w:sz w:val="16"/>
      <w:lang w:val="fr-FR"/>
    </w:rPr>
  </w:style>
  <w:style w:type="character" w:customStyle="1" w:styleId="ApprovalfooterChar">
    <w:name w:val="Approval_footer Char"/>
    <w:basedOn w:val="FooterChar"/>
    <w:link w:val="Footerapproval"/>
    <w:rsid w:val="00EE60CF"/>
    <w:rPr>
      <w:rFonts w:ascii="Arial" w:hAnsi="Arial"/>
      <w:sz w:val="16"/>
      <w:lang w:val="fr-FR"/>
    </w:rPr>
  </w:style>
  <w:style w:type="paragraph" w:customStyle="1" w:styleId="PageNumber1">
    <w:name w:val="Page Number1"/>
    <w:basedOn w:val="Footer"/>
    <w:link w:val="PagenumberChar"/>
    <w:rsid w:val="00EE60CF"/>
    <w:pPr>
      <w:tabs>
        <w:tab w:val="right" w:pos="9240"/>
      </w:tabs>
      <w:ind w:right="-622"/>
    </w:pPr>
    <w:rPr>
      <w:rFonts w:ascii="Verdana" w:hAnsi="Verdana"/>
      <w:lang w:val="fr-BE"/>
    </w:rPr>
  </w:style>
  <w:style w:type="character" w:customStyle="1" w:styleId="FooterDateChar">
    <w:name w:val="Footer Date Char"/>
    <w:link w:val="FooterDate"/>
    <w:rsid w:val="00EE60CF"/>
    <w:rPr>
      <w:rFonts w:ascii="Verdana" w:hAnsi="Verdana"/>
      <w:sz w:val="16"/>
      <w:lang w:val="it-IT"/>
    </w:rPr>
  </w:style>
  <w:style w:type="character" w:customStyle="1" w:styleId="HeaderChar">
    <w:name w:val="Header Char"/>
    <w:link w:val="Header"/>
    <w:uiPriority w:val="99"/>
    <w:rsid w:val="00EE60CF"/>
    <w:rPr>
      <w:sz w:val="24"/>
      <w:lang w:val="fr-FR"/>
    </w:rPr>
  </w:style>
  <w:style w:type="character" w:customStyle="1" w:styleId="PagenumberChar">
    <w:name w:val="Page number Char"/>
    <w:link w:val="PageNumber1"/>
    <w:rsid w:val="00EE60CF"/>
    <w:rPr>
      <w:rFonts w:ascii="Verdana" w:hAnsi="Verdana"/>
      <w:sz w:val="16"/>
      <w:lang w:val="fr-BE"/>
    </w:rPr>
  </w:style>
  <w:style w:type="paragraph" w:customStyle="1" w:styleId="DocumentSubtitle">
    <w:name w:val="Document Subtitle"/>
    <w:basedOn w:val="DocumentTitle"/>
    <w:link w:val="DocumentSubtitleChar"/>
    <w:rsid w:val="003C7A25"/>
    <w:rPr>
      <w:b w:val="0"/>
      <w:sz w:val="32"/>
      <w:szCs w:val="36"/>
    </w:rPr>
  </w:style>
  <w:style w:type="paragraph" w:customStyle="1" w:styleId="HeaderTitle">
    <w:name w:val="Header Title"/>
    <w:basedOn w:val="Normal"/>
    <w:link w:val="HeaderTitleChar"/>
    <w:rsid w:val="002A726D"/>
    <w:pPr>
      <w:jc w:val="center"/>
    </w:pPr>
    <w:rPr>
      <w:rFonts w:ascii="Verdana" w:hAnsi="Verdana"/>
      <w:b/>
      <w:color w:val="808080"/>
      <w:sz w:val="18"/>
      <w:szCs w:val="18"/>
    </w:rPr>
  </w:style>
  <w:style w:type="character" w:customStyle="1" w:styleId="DocumentSubtitleChar">
    <w:name w:val="Document Subtitle Char"/>
    <w:link w:val="DocumentSubtitle"/>
    <w:rsid w:val="003C7A25"/>
    <w:rPr>
      <w:rFonts w:ascii="Verdana" w:hAnsi="Verdana"/>
      <w:sz w:val="32"/>
      <w:szCs w:val="36"/>
      <w:lang w:val="en-GB" w:eastAsia="en-US"/>
    </w:rPr>
  </w:style>
  <w:style w:type="paragraph" w:customStyle="1" w:styleId="Bulletpoint1">
    <w:name w:val="Bullet point1"/>
    <w:basedOn w:val="NormalIndent"/>
    <w:link w:val="Bulletpoint1Char"/>
    <w:autoRedefine/>
    <w:rsid w:val="00B62C21"/>
    <w:pPr>
      <w:numPr>
        <w:numId w:val="20"/>
      </w:numPr>
      <w:spacing w:after="120"/>
      <w:jc w:val="left"/>
    </w:pPr>
    <w:rPr>
      <w:rFonts w:ascii="Arial" w:hAnsi="Arial"/>
      <w:sz w:val="22"/>
    </w:rPr>
  </w:style>
  <w:style w:type="character" w:customStyle="1" w:styleId="HeaderTitleChar">
    <w:name w:val="Header Title Char"/>
    <w:link w:val="HeaderTitle"/>
    <w:rsid w:val="002A726D"/>
    <w:rPr>
      <w:rFonts w:ascii="Verdana" w:hAnsi="Verdana"/>
      <w:b/>
      <w:color w:val="808080"/>
      <w:sz w:val="18"/>
      <w:szCs w:val="18"/>
      <w:lang w:val="fr-FR"/>
    </w:rPr>
  </w:style>
  <w:style w:type="paragraph" w:customStyle="1" w:styleId="Heading">
    <w:name w:val="Heading"/>
    <w:basedOn w:val="TOC1"/>
    <w:link w:val="HeadingChar"/>
    <w:rsid w:val="00B62C21"/>
    <w:pPr>
      <w:widowControl w:val="0"/>
      <w:pBdr>
        <w:bottom w:val="single" w:sz="4" w:space="1" w:color="0C4DA2" w:themeColor="text2"/>
      </w:pBdr>
      <w:autoSpaceDE w:val="0"/>
      <w:autoSpaceDN w:val="0"/>
      <w:adjustRightInd w:val="0"/>
      <w:spacing w:after="0"/>
    </w:pPr>
    <w:rPr>
      <w:rFonts w:cs="Arial"/>
      <w:caps/>
      <w:color w:val="0C4DA2" w:themeColor="text2"/>
      <w:sz w:val="50"/>
      <w:szCs w:val="50"/>
    </w:rPr>
  </w:style>
  <w:style w:type="character" w:customStyle="1" w:styleId="NormalIndentChar">
    <w:name w:val="Normal Indent Char"/>
    <w:link w:val="NormalIndent"/>
    <w:rsid w:val="007A4813"/>
    <w:rPr>
      <w:sz w:val="24"/>
      <w:lang w:val="fr-FR"/>
    </w:rPr>
  </w:style>
  <w:style w:type="character" w:customStyle="1" w:styleId="Bulletpoint1Char">
    <w:name w:val="Bullet point1 Char"/>
    <w:basedOn w:val="NormalIndentChar"/>
    <w:link w:val="Bulletpoint1"/>
    <w:rsid w:val="00B62C21"/>
    <w:rPr>
      <w:rFonts w:ascii="Arial" w:hAnsi="Arial"/>
      <w:sz w:val="22"/>
      <w:lang w:val="en-GB" w:eastAsia="en-US"/>
    </w:rPr>
  </w:style>
  <w:style w:type="paragraph" w:customStyle="1" w:styleId="BulletPoint2">
    <w:name w:val="Bullet Point 2"/>
    <w:basedOn w:val="NormalIndent"/>
    <w:link w:val="BulletPoint2Char"/>
    <w:rsid w:val="00577EC6"/>
    <w:pPr>
      <w:numPr>
        <w:numId w:val="19"/>
      </w:numPr>
      <w:spacing w:after="120"/>
      <w:ind w:left="1077" w:hanging="357"/>
      <w:jc w:val="left"/>
    </w:pPr>
    <w:rPr>
      <w:rFonts w:ascii="Verdana" w:hAnsi="Verdana"/>
      <w:sz w:val="18"/>
    </w:rPr>
  </w:style>
  <w:style w:type="character" w:customStyle="1" w:styleId="HeadingChar">
    <w:name w:val="Heading Char"/>
    <w:link w:val="Heading"/>
    <w:rsid w:val="00B62C21"/>
    <w:rPr>
      <w:rFonts w:ascii="Arial" w:hAnsi="Arial" w:cs="Arial"/>
      <w:color w:val="0C4DA2" w:themeColor="text2"/>
      <w:sz w:val="50"/>
      <w:szCs w:val="50"/>
      <w:lang w:val="fr-FR" w:eastAsia="en-US"/>
    </w:rPr>
  </w:style>
  <w:style w:type="paragraph" w:customStyle="1" w:styleId="BodyText1">
    <w:name w:val="Body Text1"/>
    <w:basedOn w:val="Normal"/>
    <w:link w:val="BodytextChar"/>
    <w:qFormat/>
    <w:rsid w:val="009415B1"/>
    <w:pPr>
      <w:spacing w:before="120" w:after="120"/>
    </w:pPr>
    <w:rPr>
      <w:rFonts w:ascii="Arial" w:hAnsi="Arial"/>
      <w:noProof/>
      <w:sz w:val="22"/>
    </w:rPr>
  </w:style>
  <w:style w:type="character" w:customStyle="1" w:styleId="BulletPoint2Char">
    <w:name w:val="Bullet Point 2 Char"/>
    <w:link w:val="BulletPoint2"/>
    <w:rsid w:val="00577EC6"/>
    <w:rPr>
      <w:rFonts w:ascii="Verdana" w:hAnsi="Verdana"/>
      <w:sz w:val="18"/>
      <w:lang w:val="en-GB" w:eastAsia="en-US"/>
    </w:rPr>
  </w:style>
  <w:style w:type="paragraph" w:customStyle="1" w:styleId="Heading20">
    <w:name w:val="Heading2"/>
    <w:basedOn w:val="Title20"/>
    <w:link w:val="Heading2Char"/>
    <w:rsid w:val="00B62C21"/>
    <w:pPr>
      <w:numPr>
        <w:numId w:val="0"/>
      </w:numPr>
    </w:pPr>
    <w:rPr>
      <w:rFonts w:ascii="Arial" w:hAnsi="Arial" w:cs="Arial"/>
      <w:b/>
      <w:i/>
      <w:color w:val="0C4DA2" w:themeColor="text2"/>
      <w:sz w:val="20"/>
    </w:rPr>
  </w:style>
  <w:style w:type="character" w:customStyle="1" w:styleId="BodytextChar">
    <w:name w:val="Body text Char"/>
    <w:link w:val="BodyText1"/>
    <w:rsid w:val="009415B1"/>
    <w:rPr>
      <w:rFonts w:ascii="Arial" w:hAnsi="Arial"/>
      <w:noProof/>
      <w:sz w:val="22"/>
      <w:lang w:val="en-GB" w:eastAsia="en-US"/>
    </w:rPr>
  </w:style>
  <w:style w:type="table" w:styleId="TableGrid">
    <w:name w:val="Table Grid"/>
    <w:aliases w:val="Document Table,Tabellengitternetz,Gena,Deloitte,HTG"/>
    <w:basedOn w:val="TableNormal"/>
    <w:uiPriority w:val="59"/>
    <w:rsid w:val="007F3473"/>
    <w:rPr>
      <w:rFonts w:ascii="Verdana" w:hAnsi="Verdana"/>
      <w:sz w:val="18"/>
    </w:r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F2F2"/>
    </w:tcPr>
    <w:tblStylePr w:type="firstRow">
      <w:rPr>
        <w:color w:val="FFFFFF"/>
      </w:rPr>
      <w:tblPr/>
      <w:tcPr>
        <w:shd w:val="clear" w:color="auto" w:fill="00AEF0"/>
      </w:tcPr>
    </w:tblStylePr>
  </w:style>
  <w:style w:type="character" w:customStyle="1" w:styleId="Heading2Char">
    <w:name w:val="Heading2 Char"/>
    <w:link w:val="Heading20"/>
    <w:rsid w:val="00B62C21"/>
    <w:rPr>
      <w:rFonts w:ascii="Arial" w:hAnsi="Arial" w:cs="Arial"/>
      <w:b/>
      <w:i/>
      <w:color w:val="0C4DA2" w:themeColor="text2"/>
      <w:lang w:val="en-GB" w:eastAsia="en-US"/>
    </w:rPr>
  </w:style>
  <w:style w:type="table" w:customStyle="1" w:styleId="Style1">
    <w:name w:val="Style1"/>
    <w:basedOn w:val="TableNormal"/>
    <w:rsid w:val="00EF7057"/>
    <w:tblPr/>
  </w:style>
  <w:style w:type="table" w:styleId="TableElegant">
    <w:name w:val="Table Elegant"/>
    <w:basedOn w:val="TableNormal"/>
    <w:rsid w:val="00EF7057"/>
    <w:pPr>
      <w:spacing w:after="24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FooterDocument">
    <w:name w:val="Footer Document"/>
    <w:basedOn w:val="BodyText1"/>
    <w:link w:val="FooterDocumentChar"/>
    <w:rsid w:val="00F5647F"/>
    <w:pPr>
      <w:spacing w:after="0"/>
    </w:pPr>
    <w:rPr>
      <w:i/>
      <w:sz w:val="13"/>
      <w:lang w:val="en-US"/>
    </w:rPr>
  </w:style>
  <w:style w:type="character" w:customStyle="1" w:styleId="FooterDocumentChar">
    <w:name w:val="Footer Document Char"/>
    <w:link w:val="FooterDocument"/>
    <w:rsid w:val="00F5647F"/>
    <w:rPr>
      <w:rFonts w:ascii="Verdana" w:hAnsi="Verdana"/>
      <w:i/>
      <w:noProof/>
      <w:sz w:val="13"/>
      <w:lang w:val="en-US" w:eastAsia="en-US"/>
    </w:rPr>
  </w:style>
  <w:style w:type="paragraph" w:styleId="TOCHeading">
    <w:name w:val="TOC Heading"/>
    <w:basedOn w:val="Heading1"/>
    <w:next w:val="Normal"/>
    <w:uiPriority w:val="39"/>
    <w:unhideWhenUsed/>
    <w:qFormat/>
    <w:rsid w:val="000A7FCF"/>
    <w:pPr>
      <w:keepLines/>
      <w:numPr>
        <w:numId w:val="0"/>
      </w:numPr>
      <w:spacing w:before="480" w:after="0" w:line="276" w:lineRule="auto"/>
      <w:jc w:val="left"/>
      <w:outlineLvl w:val="9"/>
    </w:pPr>
    <w:rPr>
      <w:rFonts w:asciiTheme="majorHAnsi" w:eastAsiaTheme="majorEastAsia" w:hAnsiTheme="majorHAnsi" w:cstheme="majorBidi"/>
      <w:bCs/>
      <w:smallCaps w:val="0"/>
      <w:color w:val="CE3A1C" w:themeColor="accent1" w:themeShade="BF"/>
      <w:sz w:val="28"/>
      <w:szCs w:val="28"/>
      <w:lang w:val="en-US"/>
    </w:rPr>
  </w:style>
  <w:style w:type="paragraph" w:customStyle="1" w:styleId="Title20">
    <w:name w:val="Title 2"/>
    <w:basedOn w:val="Normal"/>
    <w:rsid w:val="00B14205"/>
    <w:pPr>
      <w:numPr>
        <w:numId w:val="21"/>
      </w:numPr>
    </w:pPr>
  </w:style>
  <w:style w:type="paragraph" w:customStyle="1" w:styleId="Subtitle0">
    <w:name w:val="Subtitle_"/>
    <w:basedOn w:val="TOC2"/>
    <w:link w:val="SubtitleChar"/>
    <w:qFormat/>
    <w:rsid w:val="001D2A51"/>
    <w:pPr>
      <w:ind w:left="0"/>
    </w:pPr>
    <w:rPr>
      <w:b/>
      <w:i/>
      <w:sz w:val="20"/>
    </w:rPr>
  </w:style>
  <w:style w:type="character" w:customStyle="1" w:styleId="SubtitleChar">
    <w:name w:val="Subtitle_ Char"/>
    <w:basedOn w:val="Heading2Char"/>
    <w:link w:val="Subtitle0"/>
    <w:rsid w:val="001D2A51"/>
    <w:rPr>
      <w:rFonts w:ascii="Verdana" w:hAnsi="Verdana" w:cs="Arial"/>
      <w:b/>
      <w:i/>
      <w:color w:val="0C4DA2" w:themeColor="text2"/>
      <w:sz w:val="24"/>
      <w:lang w:val="fr-FR" w:eastAsia="en-US"/>
    </w:rPr>
  </w:style>
  <w:style w:type="paragraph" w:customStyle="1" w:styleId="HeadingBody">
    <w:name w:val="Heading Body"/>
    <w:basedOn w:val="Normal"/>
    <w:link w:val="HeadingBodyChar"/>
    <w:rsid w:val="001D2A51"/>
    <w:pPr>
      <w:spacing w:after="120"/>
    </w:pPr>
    <w:rPr>
      <w:rFonts w:ascii="Verdana" w:hAnsi="Verdana"/>
      <w:b/>
      <w:sz w:val="20"/>
      <w:szCs w:val="18"/>
    </w:rPr>
  </w:style>
  <w:style w:type="paragraph" w:customStyle="1" w:styleId="Titlepublication">
    <w:name w:val="Title publication"/>
    <w:basedOn w:val="Normal"/>
    <w:link w:val="TitlepublicationChar"/>
    <w:qFormat/>
    <w:rsid w:val="001D2A51"/>
    <w:pPr>
      <w:jc w:val="center"/>
    </w:pPr>
    <w:rPr>
      <w:rFonts w:ascii="Verdana" w:hAnsi="Verdana"/>
      <w:b/>
      <w:color w:val="FF0000"/>
      <w:sz w:val="52"/>
      <w:szCs w:val="52"/>
    </w:rPr>
  </w:style>
  <w:style w:type="character" w:customStyle="1" w:styleId="HeadingBodyChar">
    <w:name w:val="Heading Body Char"/>
    <w:basedOn w:val="DefaultParagraphFont"/>
    <w:link w:val="HeadingBody"/>
    <w:rsid w:val="001D2A51"/>
    <w:rPr>
      <w:rFonts w:ascii="Verdana" w:hAnsi="Verdana"/>
      <w:b/>
      <w:szCs w:val="18"/>
      <w:lang w:val="en-GB" w:eastAsia="en-US"/>
    </w:rPr>
  </w:style>
  <w:style w:type="paragraph" w:customStyle="1" w:styleId="Subtitlepublication">
    <w:name w:val="Subtitle publication"/>
    <w:basedOn w:val="Normal"/>
    <w:link w:val="SubtitlepublicationChar"/>
    <w:qFormat/>
    <w:rsid w:val="003C7A25"/>
    <w:pPr>
      <w:jc w:val="center"/>
    </w:pPr>
    <w:rPr>
      <w:rFonts w:ascii="Verdana" w:hAnsi="Verdana"/>
      <w:b/>
      <w:i/>
      <w:color w:val="FF0000"/>
      <w:sz w:val="32"/>
    </w:rPr>
  </w:style>
  <w:style w:type="character" w:customStyle="1" w:styleId="TitlepublicationChar">
    <w:name w:val="Title publication Char"/>
    <w:basedOn w:val="DefaultParagraphFont"/>
    <w:link w:val="Titlepublication"/>
    <w:rsid w:val="001D2A51"/>
    <w:rPr>
      <w:rFonts w:ascii="Verdana" w:hAnsi="Verdana"/>
      <w:b/>
      <w:color w:val="FF0000"/>
      <w:sz w:val="52"/>
      <w:szCs w:val="52"/>
      <w:lang w:val="en-GB" w:eastAsia="en-US"/>
    </w:rPr>
  </w:style>
  <w:style w:type="paragraph" w:customStyle="1" w:styleId="Editorname">
    <w:name w:val="Editor name"/>
    <w:basedOn w:val="Normal"/>
    <w:link w:val="EditornameChar"/>
    <w:qFormat/>
    <w:rsid w:val="001D2A51"/>
    <w:pPr>
      <w:jc w:val="center"/>
    </w:pPr>
    <w:rPr>
      <w:rFonts w:ascii="Verdana" w:hAnsi="Verdana"/>
      <w:color w:val="FF0000"/>
    </w:rPr>
  </w:style>
  <w:style w:type="character" w:customStyle="1" w:styleId="SubtitlepublicationChar">
    <w:name w:val="Subtitle publication Char"/>
    <w:basedOn w:val="DefaultParagraphFont"/>
    <w:link w:val="Subtitlepublication"/>
    <w:rsid w:val="003C7A25"/>
    <w:rPr>
      <w:rFonts w:ascii="Verdana" w:hAnsi="Verdana"/>
      <w:b/>
      <w:i/>
      <w:color w:val="FF0000"/>
      <w:sz w:val="32"/>
      <w:lang w:val="en-GB" w:eastAsia="en-US"/>
    </w:rPr>
  </w:style>
  <w:style w:type="paragraph" w:customStyle="1" w:styleId="Backcoversummary">
    <w:name w:val="Backcover_summary"/>
    <w:basedOn w:val="Normal"/>
    <w:link w:val="BackcoversummaryChar"/>
    <w:qFormat/>
    <w:rsid w:val="001D2A51"/>
    <w:rPr>
      <w:rFonts w:ascii="Verdana" w:hAnsi="Verdana"/>
      <w:color w:val="FF0000"/>
    </w:rPr>
  </w:style>
  <w:style w:type="character" w:customStyle="1" w:styleId="EditornameChar">
    <w:name w:val="Editor name Char"/>
    <w:basedOn w:val="DefaultParagraphFont"/>
    <w:link w:val="Editorname"/>
    <w:rsid w:val="001D2A51"/>
    <w:rPr>
      <w:rFonts w:ascii="Verdana" w:hAnsi="Verdana"/>
      <w:color w:val="FF0000"/>
      <w:sz w:val="24"/>
      <w:lang w:val="en-GB" w:eastAsia="en-US"/>
    </w:rPr>
  </w:style>
  <w:style w:type="paragraph" w:customStyle="1" w:styleId="Backcovercategory">
    <w:name w:val="Backcover_category"/>
    <w:basedOn w:val="Normal"/>
    <w:link w:val="BackcovercategoryChar"/>
    <w:qFormat/>
    <w:rsid w:val="001D2A51"/>
    <w:pPr>
      <w:ind w:right="28"/>
    </w:pPr>
    <w:rPr>
      <w:rFonts w:ascii="Verdana" w:hAnsi="Verdana"/>
      <w:i/>
      <w:color w:val="FF0000"/>
      <w:sz w:val="18"/>
    </w:rPr>
  </w:style>
  <w:style w:type="character" w:customStyle="1" w:styleId="BackcoversummaryChar">
    <w:name w:val="Backcover_summary Char"/>
    <w:basedOn w:val="DefaultParagraphFont"/>
    <w:link w:val="Backcoversummary"/>
    <w:rsid w:val="001D2A51"/>
    <w:rPr>
      <w:rFonts w:ascii="Verdana" w:hAnsi="Verdana"/>
      <w:color w:val="FF0000"/>
      <w:sz w:val="24"/>
      <w:lang w:val="en-GB" w:eastAsia="en-US"/>
    </w:rPr>
  </w:style>
  <w:style w:type="character" w:customStyle="1" w:styleId="BackcovercategoryChar">
    <w:name w:val="Backcover_category Char"/>
    <w:basedOn w:val="DefaultParagraphFont"/>
    <w:link w:val="Backcovercategory"/>
    <w:rsid w:val="001D2A51"/>
    <w:rPr>
      <w:rFonts w:ascii="Verdana" w:hAnsi="Verdana"/>
      <w:i/>
      <w:color w:val="FF0000"/>
      <w:sz w:val="18"/>
      <w:lang w:val="en-GB" w:eastAsia="en-US"/>
    </w:rPr>
  </w:style>
  <w:style w:type="table" w:styleId="TableGrid1">
    <w:name w:val="Table Grid 1"/>
    <w:basedOn w:val="TableNormal"/>
    <w:rsid w:val="00362478"/>
    <w:pPr>
      <w:spacing w:after="24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itle21">
    <w:name w:val="title 2"/>
    <w:basedOn w:val="Normal"/>
    <w:link w:val="title2Char"/>
    <w:rsid w:val="00B62C21"/>
    <w:pPr>
      <w:jc w:val="left"/>
    </w:pPr>
    <w:rPr>
      <w:rFonts w:ascii="Arial" w:hAnsi="Arial" w:cs="Arial"/>
      <w:color w:val="0C4DA2" w:themeColor="text2"/>
      <w:sz w:val="36"/>
      <w:szCs w:val="36"/>
    </w:rPr>
  </w:style>
  <w:style w:type="paragraph" w:customStyle="1" w:styleId="Title0">
    <w:name w:val="Title 0"/>
    <w:basedOn w:val="Heading"/>
    <w:link w:val="Title0Char"/>
    <w:qFormat/>
    <w:rsid w:val="001A332B"/>
    <w:pPr>
      <w:pBdr>
        <w:bottom w:val="none" w:sz="0" w:space="0" w:color="auto"/>
      </w:pBdr>
      <w:spacing w:before="0"/>
      <w:jc w:val="both"/>
      <w:outlineLvl w:val="0"/>
    </w:pPr>
    <w:rPr>
      <w:b w:val="0"/>
      <w:caps w:val="0"/>
      <w:sz w:val="32"/>
      <w:szCs w:val="32"/>
      <w:lang w:val="en-IE"/>
    </w:rPr>
  </w:style>
  <w:style w:type="character" w:customStyle="1" w:styleId="title2Char">
    <w:name w:val="title 2 Char"/>
    <w:basedOn w:val="DefaultParagraphFont"/>
    <w:link w:val="title21"/>
    <w:rsid w:val="00B62C21"/>
    <w:rPr>
      <w:rFonts w:ascii="Arial" w:hAnsi="Arial" w:cs="Arial"/>
      <w:color w:val="0C4DA2" w:themeColor="text2"/>
      <w:sz w:val="36"/>
      <w:szCs w:val="36"/>
      <w:lang w:val="fr-FR" w:eastAsia="en-US"/>
    </w:rPr>
  </w:style>
  <w:style w:type="character" w:customStyle="1" w:styleId="Title0Char">
    <w:name w:val="Title 0 Char"/>
    <w:link w:val="Title0"/>
    <w:rsid w:val="001A332B"/>
    <w:rPr>
      <w:rFonts w:ascii="Arial" w:hAnsi="Arial" w:cs="Arial"/>
      <w:b/>
      <w:caps/>
      <w:color w:val="0C4DA2" w:themeColor="text2"/>
      <w:sz w:val="32"/>
      <w:szCs w:val="32"/>
      <w:lang w:val="en-IE" w:eastAsia="en-US"/>
    </w:rPr>
  </w:style>
  <w:style w:type="paragraph" w:customStyle="1" w:styleId="Briefingtext">
    <w:name w:val="Briefing text"/>
    <w:basedOn w:val="Normal"/>
    <w:link w:val="BriefingtextChar"/>
    <w:rsid w:val="00B62C21"/>
    <w:rPr>
      <w:rFonts w:ascii="Arial" w:hAnsi="Arial" w:cs="Arial"/>
      <w:sz w:val="22"/>
      <w:szCs w:val="24"/>
    </w:rPr>
  </w:style>
  <w:style w:type="character" w:customStyle="1" w:styleId="BriefingtextChar">
    <w:name w:val="Briefing text Char"/>
    <w:link w:val="Briefingtext"/>
    <w:rsid w:val="00B62C21"/>
    <w:rPr>
      <w:rFonts w:ascii="Arial" w:hAnsi="Arial" w:cs="Arial"/>
      <w:sz w:val="22"/>
      <w:szCs w:val="24"/>
      <w:lang w:val="en-GB" w:eastAsia="en-US"/>
    </w:rPr>
  </w:style>
  <w:style w:type="paragraph" w:customStyle="1" w:styleId="Briefingheading1">
    <w:name w:val="Briefing heading 1"/>
    <w:basedOn w:val="Briefingtext"/>
    <w:next w:val="Briefingtext"/>
    <w:link w:val="Briefingheading1Char"/>
    <w:rsid w:val="00B62C21"/>
    <w:pPr>
      <w:keepNext/>
      <w:spacing w:before="240"/>
    </w:pPr>
    <w:rPr>
      <w:b/>
      <w:sz w:val="24"/>
      <w:u w:val="single"/>
    </w:rPr>
  </w:style>
  <w:style w:type="paragraph" w:customStyle="1" w:styleId="Title1">
    <w:name w:val="Title_1"/>
    <w:basedOn w:val="Briefingheading1"/>
    <w:link w:val="Title1Char"/>
    <w:qFormat/>
    <w:rsid w:val="00E630E8"/>
    <w:pPr>
      <w:numPr>
        <w:numId w:val="24"/>
      </w:numPr>
      <w:spacing w:before="120" w:after="360"/>
      <w:ind w:left="360"/>
      <w:outlineLvl w:val="1"/>
    </w:pPr>
    <w:rPr>
      <w:rFonts w:cs="Times New Roman"/>
      <w:b w:val="0"/>
      <w:color w:val="325BAA"/>
      <w:sz w:val="36"/>
      <w:szCs w:val="36"/>
      <w:u w:val="none"/>
    </w:rPr>
  </w:style>
  <w:style w:type="paragraph" w:customStyle="1" w:styleId="title3">
    <w:name w:val="title_3"/>
    <w:basedOn w:val="Briefingheading1"/>
    <w:next w:val="BodyText1"/>
    <w:link w:val="title3Char"/>
    <w:qFormat/>
    <w:rsid w:val="00E630E8"/>
    <w:pPr>
      <w:numPr>
        <w:ilvl w:val="2"/>
        <w:numId w:val="24"/>
      </w:numPr>
      <w:outlineLvl w:val="2"/>
    </w:pPr>
    <w:rPr>
      <w:rFonts w:cs="Times New Roman"/>
      <w:b w:val="0"/>
      <w:color w:val="325BAA"/>
      <w:sz w:val="28"/>
      <w:szCs w:val="28"/>
      <w:u w:val="none"/>
    </w:rPr>
  </w:style>
  <w:style w:type="character" w:customStyle="1" w:styleId="Briefingheading1Char">
    <w:name w:val="Briefing heading 1 Char"/>
    <w:link w:val="Briefingheading1"/>
    <w:rsid w:val="00B62C21"/>
    <w:rPr>
      <w:rFonts w:ascii="Arial" w:hAnsi="Arial" w:cs="Arial"/>
      <w:b/>
      <w:sz w:val="24"/>
      <w:szCs w:val="24"/>
      <w:u w:val="single"/>
      <w:lang w:val="en-GB" w:eastAsia="en-US"/>
    </w:rPr>
  </w:style>
  <w:style w:type="character" w:customStyle="1" w:styleId="Title1Char">
    <w:name w:val="Title_1 Char"/>
    <w:link w:val="Title1"/>
    <w:rsid w:val="00E630E8"/>
    <w:rPr>
      <w:rFonts w:ascii="Arial" w:hAnsi="Arial"/>
      <w:color w:val="325BAA"/>
      <w:sz w:val="36"/>
      <w:szCs w:val="36"/>
      <w:lang w:val="en-GB" w:eastAsia="en-US"/>
    </w:rPr>
  </w:style>
  <w:style w:type="character" w:customStyle="1" w:styleId="title3Char">
    <w:name w:val="title_3 Char"/>
    <w:link w:val="title3"/>
    <w:rsid w:val="00E630E8"/>
    <w:rPr>
      <w:rFonts w:ascii="Arial" w:hAnsi="Arial"/>
      <w:color w:val="325BAA"/>
      <w:sz w:val="28"/>
      <w:szCs w:val="28"/>
      <w:lang w:val="en-GB" w:eastAsia="en-US"/>
    </w:rPr>
  </w:style>
  <w:style w:type="paragraph" w:customStyle="1" w:styleId="bullet1">
    <w:name w:val="bullet 1"/>
    <w:basedOn w:val="BodyText1"/>
    <w:link w:val="bullet1Char"/>
    <w:qFormat/>
    <w:rsid w:val="00B62C21"/>
    <w:pPr>
      <w:numPr>
        <w:numId w:val="22"/>
      </w:numPr>
    </w:pPr>
    <w:rPr>
      <w:szCs w:val="24"/>
    </w:rPr>
  </w:style>
  <w:style w:type="character" w:customStyle="1" w:styleId="bullet1Char">
    <w:name w:val="bullet 1 Char"/>
    <w:basedOn w:val="BodytextChar"/>
    <w:link w:val="bullet1"/>
    <w:rsid w:val="00B62C21"/>
    <w:rPr>
      <w:rFonts w:ascii="Arial" w:hAnsi="Arial"/>
      <w:noProof/>
      <w:sz w:val="22"/>
      <w:szCs w:val="24"/>
      <w:lang w:val="en-GB" w:eastAsia="en-US"/>
    </w:rPr>
  </w:style>
  <w:style w:type="paragraph" w:styleId="NormalWeb">
    <w:name w:val="Normal (Web)"/>
    <w:basedOn w:val="Normal"/>
    <w:uiPriority w:val="99"/>
    <w:unhideWhenUsed/>
    <w:rsid w:val="007A2836"/>
    <w:pPr>
      <w:spacing w:before="100" w:beforeAutospacing="1" w:after="100" w:afterAutospacing="1"/>
      <w:jc w:val="left"/>
    </w:pPr>
    <w:rPr>
      <w:szCs w:val="24"/>
      <w:lang w:val="fr-BE" w:eastAsia="fr-BE"/>
    </w:rPr>
  </w:style>
  <w:style w:type="paragraph" w:customStyle="1" w:styleId="Boxtitle">
    <w:name w:val="Box title"/>
    <w:basedOn w:val="Normal"/>
    <w:link w:val="BoxtitleChar"/>
    <w:qFormat/>
    <w:rsid w:val="00C71601"/>
    <w:pPr>
      <w:spacing w:after="200"/>
      <w:ind w:right="143"/>
    </w:pPr>
    <w:rPr>
      <w:rFonts w:ascii="Arial" w:hAnsi="Arial" w:cs="Arial"/>
      <w:b/>
      <w:color w:val="0C4DA2" w:themeColor="text2"/>
    </w:rPr>
  </w:style>
  <w:style w:type="character" w:customStyle="1" w:styleId="BoxtitleChar">
    <w:name w:val="Box title Char"/>
    <w:basedOn w:val="DefaultParagraphFont"/>
    <w:link w:val="Boxtitle"/>
    <w:rsid w:val="00C71601"/>
    <w:rPr>
      <w:rFonts w:ascii="Arial" w:hAnsi="Arial" w:cs="Arial"/>
      <w:b/>
      <w:color w:val="0C4DA2" w:themeColor="text2"/>
      <w:sz w:val="24"/>
      <w:lang w:val="en-GB" w:eastAsia="en-US"/>
    </w:rPr>
  </w:style>
  <w:style w:type="character" w:customStyle="1" w:styleId="TabletexttitleChar">
    <w:name w:val="Table text title Char"/>
    <w:basedOn w:val="DefaultParagraphFont"/>
    <w:link w:val="Tabletexttitle"/>
    <w:locked/>
    <w:rsid w:val="00D706ED"/>
    <w:rPr>
      <w:rFonts w:ascii="Arial" w:hAnsi="Arial"/>
      <w:b/>
      <w:color w:val="FFFFFF"/>
      <w:szCs w:val="18"/>
      <w:lang w:val="en-GB" w:eastAsia="en-US"/>
    </w:rPr>
  </w:style>
  <w:style w:type="paragraph" w:customStyle="1" w:styleId="Tabletexttitle">
    <w:name w:val="Table text title"/>
    <w:basedOn w:val="Normal"/>
    <w:link w:val="TabletexttitleChar"/>
    <w:qFormat/>
    <w:rsid w:val="00D706ED"/>
    <w:pPr>
      <w:framePr w:vSpace="68" w:wrap="around" w:vAnchor="text" w:hAnchor="margin" w:y="200"/>
      <w:tabs>
        <w:tab w:val="left" w:pos="990"/>
      </w:tabs>
      <w:spacing w:after="0"/>
      <w:suppressOverlap/>
      <w:jc w:val="left"/>
    </w:pPr>
    <w:rPr>
      <w:rFonts w:ascii="Arial" w:hAnsi="Arial"/>
      <w:b/>
      <w:color w:val="FFFFFF"/>
      <w:sz w:val="20"/>
      <w:szCs w:val="18"/>
    </w:rPr>
  </w:style>
  <w:style w:type="character" w:customStyle="1" w:styleId="TabletextChar">
    <w:name w:val="Table_text Char"/>
    <w:basedOn w:val="DefaultParagraphFont"/>
    <w:link w:val="Tabletext"/>
    <w:locked/>
    <w:rsid w:val="005C2BCC"/>
    <w:rPr>
      <w:rFonts w:ascii="Arial" w:hAnsi="Arial"/>
      <w:sz w:val="18"/>
      <w:szCs w:val="17"/>
      <w:lang w:val="en-GB" w:eastAsia="en-US"/>
    </w:rPr>
  </w:style>
  <w:style w:type="paragraph" w:customStyle="1" w:styleId="Tabletext">
    <w:name w:val="Table_text"/>
    <w:basedOn w:val="Normal"/>
    <w:link w:val="TabletextChar"/>
    <w:qFormat/>
    <w:rsid w:val="005C2BCC"/>
    <w:pPr>
      <w:framePr w:vSpace="68" w:wrap="around" w:vAnchor="text" w:hAnchor="margin" w:y="200"/>
      <w:spacing w:after="0"/>
      <w:suppressOverlap/>
    </w:pPr>
    <w:rPr>
      <w:rFonts w:ascii="Arial" w:hAnsi="Arial"/>
      <w:sz w:val="18"/>
      <w:szCs w:val="17"/>
    </w:rPr>
  </w:style>
  <w:style w:type="paragraph" w:customStyle="1" w:styleId="Figure">
    <w:name w:val="Figure"/>
    <w:basedOn w:val="Normal"/>
    <w:link w:val="FigureChar"/>
    <w:qFormat/>
    <w:rsid w:val="00C878DA"/>
    <w:pPr>
      <w:spacing w:before="120" w:after="120"/>
      <w:jc w:val="center"/>
    </w:pPr>
    <w:rPr>
      <w:rFonts w:ascii="Arial" w:hAnsi="Arial"/>
      <w:i/>
      <w:sz w:val="16"/>
      <w:szCs w:val="14"/>
      <w:lang w:eastAsia="nl-BE"/>
    </w:rPr>
  </w:style>
  <w:style w:type="character" w:customStyle="1" w:styleId="FigureChar">
    <w:name w:val="Figure Char"/>
    <w:basedOn w:val="DefaultParagraphFont"/>
    <w:link w:val="Figure"/>
    <w:rsid w:val="00C878DA"/>
    <w:rPr>
      <w:rFonts w:ascii="Arial" w:hAnsi="Arial"/>
      <w:i/>
      <w:sz w:val="16"/>
      <w:szCs w:val="14"/>
      <w:lang w:val="en-GB"/>
    </w:rPr>
  </w:style>
  <w:style w:type="character" w:styleId="FollowedHyperlink">
    <w:name w:val="FollowedHyperlink"/>
    <w:basedOn w:val="DefaultParagraphFont"/>
    <w:semiHidden/>
    <w:unhideWhenUsed/>
    <w:rsid w:val="002E6ECE"/>
    <w:rPr>
      <w:color w:val="800080" w:themeColor="followedHyperlink"/>
      <w:u w:val="single"/>
    </w:rPr>
  </w:style>
  <w:style w:type="paragraph" w:customStyle="1" w:styleId="Bullets2">
    <w:name w:val="Bullets 2"/>
    <w:basedOn w:val="BodyText1"/>
    <w:link w:val="Bullets2Char"/>
    <w:qFormat/>
    <w:rsid w:val="00A74792"/>
    <w:pPr>
      <w:numPr>
        <w:numId w:val="23"/>
      </w:numPr>
    </w:pPr>
    <w:rPr>
      <w:lang w:val="it-IT"/>
    </w:rPr>
  </w:style>
  <w:style w:type="paragraph" w:customStyle="1" w:styleId="Subtitle10">
    <w:name w:val="Subtitle 1"/>
    <w:basedOn w:val="BodyText1"/>
    <w:link w:val="Subtitle1Char"/>
    <w:qFormat/>
    <w:rsid w:val="00363B74"/>
    <w:pPr>
      <w:keepNext/>
      <w:spacing w:before="240" w:after="240"/>
    </w:pPr>
    <w:rPr>
      <w:i/>
      <w:color w:val="0C4DA2" w:themeColor="text2"/>
      <w:sz w:val="24"/>
      <w:szCs w:val="24"/>
    </w:rPr>
  </w:style>
  <w:style w:type="character" w:customStyle="1" w:styleId="Bullets2Char">
    <w:name w:val="Bullets 2 Char"/>
    <w:basedOn w:val="BodytextChar"/>
    <w:link w:val="Bullets2"/>
    <w:rsid w:val="00A74792"/>
    <w:rPr>
      <w:rFonts w:ascii="Arial" w:hAnsi="Arial"/>
      <w:noProof/>
      <w:sz w:val="22"/>
      <w:lang w:val="it-IT" w:eastAsia="en-US"/>
    </w:rPr>
  </w:style>
  <w:style w:type="paragraph" w:customStyle="1" w:styleId="tabletitle">
    <w:name w:val="table title"/>
    <w:basedOn w:val="BodyText1"/>
    <w:link w:val="tabletitleChar"/>
    <w:qFormat/>
    <w:rsid w:val="00D706ED"/>
    <w:pPr>
      <w:jc w:val="center"/>
    </w:pPr>
    <w:rPr>
      <w:b/>
      <w:color w:val="0C4DA2" w:themeColor="text2"/>
      <w:lang w:val="fr-BE"/>
    </w:rPr>
  </w:style>
  <w:style w:type="character" w:customStyle="1" w:styleId="Subtitle1Char">
    <w:name w:val="Subtitle 1 Char"/>
    <w:basedOn w:val="BodytextChar"/>
    <w:link w:val="Subtitle10"/>
    <w:rsid w:val="00363B74"/>
    <w:rPr>
      <w:rFonts w:ascii="Arial" w:hAnsi="Arial"/>
      <w:i/>
      <w:noProof/>
      <w:color w:val="0C4DA2" w:themeColor="text2"/>
      <w:sz w:val="24"/>
      <w:szCs w:val="24"/>
      <w:lang w:val="en-GB" w:eastAsia="en-US"/>
    </w:rPr>
  </w:style>
  <w:style w:type="paragraph" w:customStyle="1" w:styleId="Tablesubtitle">
    <w:name w:val="Table subtitle"/>
    <w:basedOn w:val="tabletitle"/>
    <w:link w:val="TablesubtitleChar"/>
    <w:qFormat/>
    <w:rsid w:val="00D706ED"/>
    <w:rPr>
      <w:b w:val="0"/>
      <w:i/>
      <w:color w:val="auto"/>
    </w:rPr>
  </w:style>
  <w:style w:type="character" w:customStyle="1" w:styleId="tabletitleChar">
    <w:name w:val="table title Char"/>
    <w:basedOn w:val="BodytextChar"/>
    <w:link w:val="tabletitle"/>
    <w:rsid w:val="00D706ED"/>
    <w:rPr>
      <w:rFonts w:ascii="Arial" w:hAnsi="Arial"/>
      <w:b/>
      <w:noProof/>
      <w:color w:val="0C4DA2" w:themeColor="text2"/>
      <w:sz w:val="22"/>
      <w:lang w:val="fr-BE" w:eastAsia="en-US"/>
    </w:rPr>
  </w:style>
  <w:style w:type="paragraph" w:customStyle="1" w:styleId="Subtitle20">
    <w:name w:val="Subtitle 2"/>
    <w:basedOn w:val="Subtitle10"/>
    <w:link w:val="Subtitle2Char"/>
    <w:qFormat/>
    <w:rsid w:val="00E630E8"/>
    <w:rPr>
      <w:i w:val="0"/>
      <w:sz w:val="22"/>
      <w:szCs w:val="22"/>
    </w:rPr>
  </w:style>
  <w:style w:type="character" w:customStyle="1" w:styleId="TablesubtitleChar">
    <w:name w:val="Table subtitle Char"/>
    <w:basedOn w:val="tabletitleChar"/>
    <w:link w:val="Tablesubtitle"/>
    <w:rsid w:val="00D706ED"/>
    <w:rPr>
      <w:rFonts w:ascii="Arial" w:hAnsi="Arial"/>
      <w:b w:val="0"/>
      <w:i/>
      <w:noProof/>
      <w:color w:val="0C4DA2" w:themeColor="text2"/>
      <w:sz w:val="22"/>
      <w:lang w:val="fr-BE" w:eastAsia="en-US"/>
    </w:rPr>
  </w:style>
  <w:style w:type="paragraph" w:styleId="ListParagraph">
    <w:name w:val="List Paragraph"/>
    <w:aliases w:val="cS List Paragraph,1st level - Bullet List Paragraph,List Paragraph1,List Paragraph11,Lettre d'introduction,Medium Grid 1 - Accent 21,Normal bullet 2,Bullet list,Numbered List,Paragraphe de liste 2,Reference list,Paragraph,Bullet EY,Dot pt"/>
    <w:basedOn w:val="Normal"/>
    <w:link w:val="ListParagraphChar"/>
    <w:uiPriority w:val="34"/>
    <w:qFormat/>
    <w:rsid w:val="00E630E8"/>
    <w:pPr>
      <w:ind w:left="720"/>
      <w:contextualSpacing/>
    </w:pPr>
  </w:style>
  <w:style w:type="character" w:customStyle="1" w:styleId="Subtitle2Char">
    <w:name w:val="Subtitle 2 Char"/>
    <w:basedOn w:val="Subtitle1Char"/>
    <w:link w:val="Subtitle20"/>
    <w:rsid w:val="00E630E8"/>
    <w:rPr>
      <w:rFonts w:ascii="Arial" w:hAnsi="Arial"/>
      <w:i w:val="0"/>
      <w:noProof/>
      <w:color w:val="0C4DA2" w:themeColor="text2"/>
      <w:sz w:val="22"/>
      <w:szCs w:val="22"/>
      <w:lang w:val="en-GB" w:eastAsia="en-US"/>
    </w:rPr>
  </w:style>
  <w:style w:type="paragraph" w:customStyle="1" w:styleId="RTDBody">
    <w:name w:val="RTD Body"/>
    <w:basedOn w:val="Normal"/>
    <w:link w:val="RTDBodyChar"/>
    <w:rsid w:val="00E630E8"/>
    <w:rPr>
      <w:rFonts w:ascii="Verdana" w:hAnsi="Verdana"/>
      <w:sz w:val="20"/>
      <w:szCs w:val="18"/>
      <w:lang w:val="it-IT" w:eastAsia="nl-BE"/>
    </w:rPr>
  </w:style>
  <w:style w:type="character" w:customStyle="1" w:styleId="RTDBodyChar">
    <w:name w:val="RTD Body Char"/>
    <w:link w:val="RTDBody"/>
    <w:rsid w:val="00E630E8"/>
    <w:rPr>
      <w:rFonts w:ascii="Verdana" w:hAnsi="Verdana"/>
      <w:szCs w:val="18"/>
      <w:lang w:val="it-IT"/>
    </w:rPr>
  </w:style>
  <w:style w:type="paragraph" w:customStyle="1" w:styleId="Title2">
    <w:name w:val="Title_2"/>
    <w:basedOn w:val="ListParagraph"/>
    <w:link w:val="Title2Char0"/>
    <w:qFormat/>
    <w:rsid w:val="0009739E"/>
    <w:pPr>
      <w:keepNext/>
      <w:numPr>
        <w:ilvl w:val="1"/>
        <w:numId w:val="24"/>
      </w:numPr>
      <w:spacing w:after="360"/>
      <w:ind w:left="493" w:hanging="493"/>
    </w:pPr>
    <w:rPr>
      <w:rFonts w:ascii="Arial" w:hAnsi="Arial"/>
      <w:color w:val="325BAA"/>
      <w:sz w:val="32"/>
      <w:szCs w:val="32"/>
    </w:rPr>
  </w:style>
  <w:style w:type="paragraph" w:customStyle="1" w:styleId="Numberslist">
    <w:name w:val="Numbers list"/>
    <w:basedOn w:val="BodyText1"/>
    <w:link w:val="NumberslistChar"/>
    <w:qFormat/>
    <w:rsid w:val="00885B71"/>
    <w:pPr>
      <w:numPr>
        <w:numId w:val="25"/>
      </w:numPr>
    </w:pPr>
  </w:style>
  <w:style w:type="character" w:customStyle="1" w:styleId="ListParagraphChar">
    <w:name w:val="List Paragraph Char"/>
    <w:aliases w:val="cS List Paragraph Char,1st level - Bullet List Paragraph Char,List Paragraph1 Char,List Paragraph11 Char,Lettre d'introduction Char,Medium Grid 1 - Accent 21 Char,Normal bullet 2 Char,Bullet list Char,Numbered List Char,Dot pt Char"/>
    <w:basedOn w:val="DefaultParagraphFont"/>
    <w:link w:val="ListParagraph"/>
    <w:uiPriority w:val="34"/>
    <w:qFormat/>
    <w:rsid w:val="00E630E8"/>
    <w:rPr>
      <w:sz w:val="24"/>
      <w:lang w:val="fr-FR" w:eastAsia="en-US"/>
    </w:rPr>
  </w:style>
  <w:style w:type="character" w:customStyle="1" w:styleId="Title2Char0">
    <w:name w:val="Title_2 Char"/>
    <w:basedOn w:val="ListParagraphChar"/>
    <w:link w:val="Title2"/>
    <w:rsid w:val="0009739E"/>
    <w:rPr>
      <w:rFonts w:ascii="Arial" w:hAnsi="Arial"/>
      <w:color w:val="325BAA"/>
      <w:sz w:val="32"/>
      <w:szCs w:val="32"/>
      <w:lang w:val="en-GB" w:eastAsia="en-US"/>
    </w:rPr>
  </w:style>
  <w:style w:type="paragraph" w:customStyle="1" w:styleId="Footnote">
    <w:name w:val="Footnote"/>
    <w:basedOn w:val="FootnoteText"/>
    <w:link w:val="FootnoteChar"/>
    <w:rsid w:val="00554C47"/>
    <w:rPr>
      <w:rFonts w:cstheme="minorHAnsi"/>
      <w:szCs w:val="16"/>
    </w:rPr>
  </w:style>
  <w:style w:type="character" w:customStyle="1" w:styleId="NumberslistChar">
    <w:name w:val="Numbers list Char"/>
    <w:basedOn w:val="BodytextChar"/>
    <w:link w:val="Numberslist"/>
    <w:rsid w:val="00885B71"/>
    <w:rPr>
      <w:rFonts w:ascii="Arial" w:hAnsi="Arial"/>
      <w:noProof/>
      <w:sz w:val="22"/>
      <w:lang w:val="en-GB" w:eastAsia="en-US"/>
    </w:rPr>
  </w:style>
  <w:style w:type="character" w:customStyle="1" w:styleId="FootnoteTextChar">
    <w:name w:val="Footnote Text Char"/>
    <w:aliases w:val="single space Char,Fußnotentextf Char,Footnote text Char,fn Char,Schriftart: 9 pt Char,Schriftart: 10 pt Char,Schriftart: 8 pt Char,WB-Fußnotentext Char,footnote text Char,Footnote Text2 Char,Footnote Text11 Char,ALTS FOOTNOTE11 Char"/>
    <w:basedOn w:val="DefaultParagraphFont"/>
    <w:link w:val="FootnoteText"/>
    <w:rsid w:val="00554C47"/>
    <w:rPr>
      <w:rFonts w:asciiTheme="minorHAnsi" w:hAnsiTheme="minorHAnsi"/>
      <w:sz w:val="16"/>
      <w:lang w:val="fr-FR" w:eastAsia="en-US"/>
    </w:rPr>
  </w:style>
  <w:style w:type="character" w:customStyle="1" w:styleId="FootnoteChar">
    <w:name w:val="Footnote Char"/>
    <w:basedOn w:val="FootnoteTextChar"/>
    <w:link w:val="Footnote"/>
    <w:rsid w:val="00554C47"/>
    <w:rPr>
      <w:rFonts w:asciiTheme="minorHAnsi" w:hAnsiTheme="minorHAnsi" w:cstheme="minorHAnsi"/>
      <w:sz w:val="16"/>
      <w:szCs w:val="16"/>
      <w:lang w:val="fr-FR" w:eastAsia="en-US"/>
    </w:rPr>
  </w:style>
  <w:style w:type="paragraph" w:customStyle="1" w:styleId="Documentauthors">
    <w:name w:val="Document authors"/>
    <w:basedOn w:val="Footer"/>
    <w:link w:val="DocumentauthorsChar"/>
    <w:rsid w:val="004B7BC7"/>
    <w:pPr>
      <w:spacing w:before="240" w:after="240"/>
      <w:ind w:left="1276" w:right="1276"/>
      <w:contextualSpacing/>
    </w:pPr>
    <w:rPr>
      <w:rFonts w:cs="Arial"/>
      <w:b/>
      <w:color w:val="FFFFFF" w:themeColor="background1"/>
      <w:sz w:val="24"/>
      <w:szCs w:val="108"/>
      <w:lang w:eastAsia="en-GB"/>
    </w:rPr>
  </w:style>
  <w:style w:type="character" w:customStyle="1" w:styleId="DocumentauthorsChar">
    <w:name w:val="Document authors Char"/>
    <w:basedOn w:val="DefaultParagraphFont"/>
    <w:link w:val="Documentauthors"/>
    <w:rsid w:val="004B7BC7"/>
    <w:rPr>
      <w:rFonts w:ascii="Arial" w:hAnsi="Arial" w:cs="Arial"/>
      <w:b/>
      <w:color w:val="FFFFFF" w:themeColor="background1"/>
      <w:sz w:val="24"/>
      <w:szCs w:val="108"/>
      <w:lang w:val="en-GB" w:eastAsia="en-GB"/>
    </w:rPr>
  </w:style>
  <w:style w:type="paragraph" w:customStyle="1" w:styleId="04ABodyText">
    <w:name w:val="04A Body Text"/>
    <w:basedOn w:val="Normal"/>
    <w:link w:val="04ABodyTextChar"/>
    <w:qFormat/>
    <w:rsid w:val="00D30D44"/>
    <w:pPr>
      <w:numPr>
        <w:numId w:val="27"/>
      </w:numPr>
      <w:spacing w:before="120" w:line="288" w:lineRule="auto"/>
      <w:jc w:val="left"/>
    </w:pPr>
    <w:rPr>
      <w:rFonts w:ascii="Arial" w:hAnsi="Arial" w:cs="Arial"/>
      <w:color w:val="000000" w:themeColor="text1"/>
      <w:sz w:val="22"/>
      <w:lang w:eastAsia="en-GB"/>
    </w:rPr>
  </w:style>
  <w:style w:type="character" w:customStyle="1" w:styleId="04ABodyTextChar">
    <w:name w:val="04A Body Text Char"/>
    <w:basedOn w:val="DefaultParagraphFont"/>
    <w:link w:val="04ABodyText"/>
    <w:rsid w:val="00D30D44"/>
    <w:rPr>
      <w:rFonts w:ascii="Arial" w:hAnsi="Arial" w:cs="Arial"/>
      <w:color w:val="000000" w:themeColor="text1"/>
      <w:sz w:val="22"/>
      <w:lang w:val="en-GB" w:eastAsia="en-GB"/>
    </w:rPr>
  </w:style>
  <w:style w:type="numbering" w:customStyle="1" w:styleId="JayeshNavinShahEasterEgg">
    <w:name w:val="JayeshNavinShahEasterEgg"/>
    <w:uiPriority w:val="99"/>
    <w:rsid w:val="00D30D44"/>
    <w:pPr>
      <w:numPr>
        <w:numId w:val="26"/>
      </w:numPr>
    </w:pPr>
  </w:style>
  <w:style w:type="paragraph" w:customStyle="1" w:styleId="05ABullets1stlevel">
    <w:name w:val="05A Bullets (1st level)"/>
    <w:basedOn w:val="04ABodyText"/>
    <w:link w:val="05ABullets1stlevelChar"/>
    <w:qFormat/>
    <w:rsid w:val="00D30D44"/>
    <w:pPr>
      <w:numPr>
        <w:ilvl w:val="1"/>
      </w:numPr>
    </w:pPr>
  </w:style>
  <w:style w:type="paragraph" w:customStyle="1" w:styleId="05BBullets2ndlevel">
    <w:name w:val="05B Bullets (2nd level)"/>
    <w:basedOn w:val="05ABullets1stlevel"/>
    <w:link w:val="05BBullets2ndlevelChar"/>
    <w:qFormat/>
    <w:rsid w:val="00D30D44"/>
    <w:pPr>
      <w:numPr>
        <w:ilvl w:val="2"/>
      </w:numPr>
      <w:tabs>
        <w:tab w:val="num" w:pos="360"/>
        <w:tab w:val="num" w:pos="1492"/>
      </w:tabs>
      <w:ind w:left="1492" w:hanging="360"/>
    </w:pPr>
  </w:style>
  <w:style w:type="character" w:customStyle="1" w:styleId="05ABullets1stlevelChar">
    <w:name w:val="05A Bullets (1st level) Char"/>
    <w:basedOn w:val="04ABodyTextChar"/>
    <w:link w:val="05ABullets1stlevel"/>
    <w:rsid w:val="00D30D44"/>
    <w:rPr>
      <w:rFonts w:ascii="Arial" w:hAnsi="Arial" w:cs="Arial"/>
      <w:color w:val="000000" w:themeColor="text1"/>
      <w:sz w:val="22"/>
      <w:lang w:val="en-GB" w:eastAsia="en-GB"/>
    </w:rPr>
  </w:style>
  <w:style w:type="paragraph" w:customStyle="1" w:styleId="06ANumberedList1stlevel">
    <w:name w:val="06A Numbered List (1st level)"/>
    <w:basedOn w:val="04ABodyText"/>
    <w:link w:val="06ANumberedList1stlevelChar"/>
    <w:qFormat/>
    <w:rsid w:val="00D30D44"/>
    <w:pPr>
      <w:numPr>
        <w:ilvl w:val="4"/>
      </w:numPr>
      <w:tabs>
        <w:tab w:val="num" w:pos="360"/>
        <w:tab w:val="num" w:pos="1492"/>
      </w:tabs>
      <w:ind w:left="1492" w:hanging="360"/>
    </w:pPr>
  </w:style>
  <w:style w:type="paragraph" w:customStyle="1" w:styleId="06BNumberedList2ndlevel">
    <w:name w:val="06B Numbered List (2nd level)"/>
    <w:basedOn w:val="04ABodyText"/>
    <w:link w:val="06BNumberedList2ndlevelChar"/>
    <w:qFormat/>
    <w:rsid w:val="00D30D44"/>
    <w:pPr>
      <w:numPr>
        <w:ilvl w:val="5"/>
      </w:numPr>
      <w:tabs>
        <w:tab w:val="num" w:pos="360"/>
        <w:tab w:val="num" w:pos="1492"/>
      </w:tabs>
      <w:ind w:left="1492" w:hanging="360"/>
    </w:pPr>
  </w:style>
  <w:style w:type="paragraph" w:customStyle="1" w:styleId="05CBulletswithoutspacing1stlevel">
    <w:name w:val="05C Bullets without spacing (1st level)"/>
    <w:basedOn w:val="05ABullets1stlevel"/>
    <w:qFormat/>
    <w:rsid w:val="00D30D44"/>
    <w:pPr>
      <w:numPr>
        <w:ilvl w:val="3"/>
      </w:numPr>
      <w:tabs>
        <w:tab w:val="num" w:pos="360"/>
        <w:tab w:val="num" w:pos="1492"/>
      </w:tabs>
      <w:ind w:left="1492" w:hanging="360"/>
      <w:contextualSpacing/>
    </w:pPr>
  </w:style>
  <w:style w:type="paragraph" w:customStyle="1" w:styleId="06CNumberedListwithoutspacing1stlevel">
    <w:name w:val="06C Numbered List without spacing (1st level)"/>
    <w:basedOn w:val="06ANumberedList1stlevel"/>
    <w:qFormat/>
    <w:rsid w:val="00D30D44"/>
    <w:pPr>
      <w:numPr>
        <w:ilvl w:val="6"/>
      </w:numPr>
      <w:tabs>
        <w:tab w:val="num" w:pos="360"/>
        <w:tab w:val="num" w:pos="1492"/>
      </w:tabs>
      <w:ind w:left="1492" w:hanging="360"/>
      <w:contextualSpacing/>
    </w:pPr>
  </w:style>
  <w:style w:type="paragraph" w:customStyle="1" w:styleId="AppelnotedebasdepageCharCharCharCharCharCharChar">
    <w:name w:val="Appel note de bas de page Char Char Char Char Char Char Char"/>
    <w:basedOn w:val="Normal"/>
    <w:link w:val="FootnoteReference"/>
    <w:uiPriority w:val="99"/>
    <w:rsid w:val="00D30D44"/>
    <w:pPr>
      <w:spacing w:after="0"/>
    </w:pPr>
    <w:rPr>
      <w:rFonts w:asciiTheme="minorHAnsi" w:hAnsiTheme="minorHAnsi"/>
      <w:sz w:val="16"/>
      <w:vertAlign w:val="superscript"/>
      <w:lang w:val="nl-BE" w:eastAsia="nl-BE"/>
    </w:rPr>
  </w:style>
  <w:style w:type="paragraph" w:customStyle="1" w:styleId="Body">
    <w:name w:val="Body"/>
    <w:basedOn w:val="Normal"/>
    <w:link w:val="BodyChar"/>
    <w:qFormat/>
    <w:rsid w:val="00F029DF"/>
    <w:pPr>
      <w:numPr>
        <w:numId w:val="29"/>
      </w:numPr>
      <w:spacing w:after="0"/>
    </w:pPr>
    <w:rPr>
      <w:rFonts w:ascii="Verdana" w:hAnsi="Verdana"/>
      <w:sz w:val="20"/>
      <w:lang w:val="sk-SK" w:eastAsia="cs-CZ"/>
    </w:rPr>
  </w:style>
  <w:style w:type="paragraph" w:customStyle="1" w:styleId="10CBoxedBullets1stlevel">
    <w:name w:val="10C Boxed Bullets (1st level)"/>
    <w:basedOn w:val="ListParagraph"/>
    <w:qFormat/>
    <w:rsid w:val="00F029DF"/>
    <w:pPr>
      <w:numPr>
        <w:ilvl w:val="1"/>
        <w:numId w:val="28"/>
      </w:numPr>
      <w:spacing w:after="120"/>
      <w:contextualSpacing w:val="0"/>
      <w:jc w:val="left"/>
    </w:pPr>
    <w:rPr>
      <w:rFonts w:ascii="Arial" w:hAnsi="Arial" w:cs="Arial"/>
      <w:color w:val="FFFFFF" w:themeColor="background1"/>
      <w:sz w:val="22"/>
      <w:lang w:eastAsia="en-GB"/>
    </w:rPr>
  </w:style>
  <w:style w:type="paragraph" w:customStyle="1" w:styleId="10DBoxedBullets2ndlevel">
    <w:name w:val="10D Boxed Bullets (2nd level)"/>
    <w:basedOn w:val="Normal"/>
    <w:qFormat/>
    <w:rsid w:val="00F029DF"/>
    <w:pPr>
      <w:numPr>
        <w:ilvl w:val="2"/>
        <w:numId w:val="28"/>
      </w:numPr>
      <w:spacing w:after="120"/>
      <w:ind w:left="568" w:hanging="284"/>
      <w:jc w:val="left"/>
    </w:pPr>
    <w:rPr>
      <w:rFonts w:ascii="Arial" w:hAnsi="Arial" w:cs="Arial"/>
      <w:color w:val="FFFFFF" w:themeColor="background1"/>
      <w:sz w:val="22"/>
      <w:lang w:eastAsia="en-GB"/>
    </w:rPr>
  </w:style>
  <w:style w:type="character" w:customStyle="1" w:styleId="BodyChar">
    <w:name w:val="Body Char"/>
    <w:link w:val="Body"/>
    <w:rsid w:val="00F029DF"/>
    <w:rPr>
      <w:rFonts w:ascii="Verdana" w:hAnsi="Verdana"/>
      <w:lang w:val="sk-SK" w:eastAsia="cs-CZ"/>
    </w:rPr>
  </w:style>
  <w:style w:type="character" w:styleId="CommentReference">
    <w:name w:val="annotation reference"/>
    <w:basedOn w:val="DefaultParagraphFont"/>
    <w:semiHidden/>
    <w:rsid w:val="00F029DF"/>
    <w:rPr>
      <w:rFonts w:ascii="Arial Black" w:hAnsi="Arial Black"/>
      <w:color w:val="FF0000"/>
      <w:sz w:val="20"/>
    </w:rPr>
  </w:style>
  <w:style w:type="character" w:customStyle="1" w:styleId="CommentTextChar">
    <w:name w:val="Comment Text Char"/>
    <w:basedOn w:val="DefaultParagraphFont"/>
    <w:link w:val="CommentText"/>
    <w:rsid w:val="00F029DF"/>
    <w:rPr>
      <w:lang w:val="fr-FR" w:eastAsia="en-US"/>
    </w:rPr>
  </w:style>
  <w:style w:type="paragraph" w:customStyle="1" w:styleId="07FChartBaseSourceoptional">
    <w:name w:val="07F Chart Base &amp; Source (optional)"/>
    <w:basedOn w:val="04ABodyText"/>
    <w:next w:val="04ABodyText"/>
    <w:link w:val="07FChartBaseSourceoptionalChar"/>
    <w:qFormat/>
    <w:rsid w:val="004969C8"/>
    <w:pPr>
      <w:numPr>
        <w:numId w:val="0"/>
      </w:numPr>
      <w:spacing w:before="0" w:line="240" w:lineRule="auto"/>
      <w:ind w:right="2268"/>
      <w:contextualSpacing/>
    </w:pPr>
    <w:rPr>
      <w:sz w:val="16"/>
    </w:rPr>
  </w:style>
  <w:style w:type="character" w:customStyle="1" w:styleId="07FChartBaseSourceoptionalChar">
    <w:name w:val="07F Chart Base &amp; Source (optional) Char"/>
    <w:basedOn w:val="04ABodyTextChar"/>
    <w:link w:val="07FChartBaseSourceoptional"/>
    <w:rsid w:val="004969C8"/>
    <w:rPr>
      <w:rFonts w:ascii="Arial" w:hAnsi="Arial" w:cs="Arial"/>
      <w:color w:val="000000" w:themeColor="text1"/>
      <w:sz w:val="16"/>
      <w:lang w:val="en-GB" w:eastAsia="en-GB"/>
    </w:rPr>
  </w:style>
  <w:style w:type="numbering" w:customStyle="1" w:styleId="JayeshNavinShahEasterEgg1">
    <w:name w:val="JayeshNavinShahEasterEgg1"/>
    <w:uiPriority w:val="99"/>
    <w:rsid w:val="00862F53"/>
  </w:style>
  <w:style w:type="numbering" w:customStyle="1" w:styleId="JayeshNavinShahEasterEgg2">
    <w:name w:val="JayeshNavinShahEasterEgg2"/>
    <w:uiPriority w:val="99"/>
    <w:rsid w:val="00862F53"/>
  </w:style>
  <w:style w:type="table" w:customStyle="1" w:styleId="DocumentTable1">
    <w:name w:val="Document Table1"/>
    <w:basedOn w:val="TableNormal"/>
    <w:next w:val="TableGrid"/>
    <w:rsid w:val="005500BD"/>
    <w:rPr>
      <w:rFonts w:ascii="Arial" w:hAnsi="Arial" w:cs="Arial"/>
      <w:color w:val="00000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06ANumberedList1stlevelChar">
    <w:name w:val="06A Numbered List (1st level) Char"/>
    <w:basedOn w:val="04ABodyTextChar"/>
    <w:link w:val="06ANumberedList1stlevel"/>
    <w:rsid w:val="00260A49"/>
    <w:rPr>
      <w:rFonts w:ascii="Arial" w:hAnsi="Arial" w:cs="Arial"/>
      <w:color w:val="000000" w:themeColor="text1"/>
      <w:sz w:val="22"/>
      <w:lang w:val="en-GB" w:eastAsia="en-GB"/>
    </w:rPr>
  </w:style>
  <w:style w:type="character" w:customStyle="1" w:styleId="06BNumberedList2ndlevelChar">
    <w:name w:val="06B Numbered List (2nd level) Char"/>
    <w:basedOn w:val="04ABodyTextChar"/>
    <w:link w:val="06BNumberedList2ndlevel"/>
    <w:rsid w:val="00260A49"/>
    <w:rPr>
      <w:rFonts w:ascii="Arial" w:hAnsi="Arial" w:cs="Arial"/>
      <w:color w:val="000000" w:themeColor="text1"/>
      <w:sz w:val="22"/>
      <w:lang w:val="en-GB" w:eastAsia="en-GB"/>
    </w:rPr>
  </w:style>
  <w:style w:type="numbering" w:customStyle="1" w:styleId="JayeshNavinShahEasterEgg21">
    <w:name w:val="JayeshNavinShahEasterEgg21"/>
    <w:basedOn w:val="NoList"/>
    <w:uiPriority w:val="99"/>
    <w:rsid w:val="00DA71D2"/>
    <w:pPr>
      <w:numPr>
        <w:numId w:val="30"/>
      </w:numPr>
    </w:pPr>
  </w:style>
  <w:style w:type="numbering" w:customStyle="1" w:styleId="JayeshNavinShahEasterEgg3">
    <w:name w:val="JayeshNavinShahEasterEgg3"/>
    <w:uiPriority w:val="99"/>
    <w:rsid w:val="00DA71D2"/>
  </w:style>
  <w:style w:type="table" w:customStyle="1" w:styleId="IpsosMORITable01">
    <w:name w:val="Ipsos MORI Table 01"/>
    <w:basedOn w:val="TableNormal"/>
    <w:uiPriority w:val="99"/>
    <w:rsid w:val="00DA71D2"/>
    <w:pPr>
      <w:contextualSpacing/>
      <w:jc w:val="center"/>
    </w:pPr>
    <w:rPr>
      <w:rFonts w:ascii="Arial" w:hAnsi="Arial" w:cs="Arial"/>
      <w:color w:val="000000"/>
      <w:lang w:val="en-GB" w:eastAsia="en-GB"/>
    </w:rPr>
    <w:tblPr>
      <w:tblStyleRowBandSize w:val="1"/>
      <w:tblStyleColBandSize w:val="1"/>
      <w:tblBorders>
        <w:top w:val="single" w:sz="4" w:space="0" w:color="419999"/>
        <w:left w:val="single" w:sz="4" w:space="0" w:color="419999"/>
        <w:bottom w:val="single" w:sz="4" w:space="0" w:color="419999"/>
        <w:right w:val="single" w:sz="4" w:space="0" w:color="419999"/>
        <w:insideH w:val="single" w:sz="4" w:space="0" w:color="419999"/>
        <w:insideV w:val="single" w:sz="4" w:space="0" w:color="419999"/>
      </w:tblBorders>
      <w:tblCellMar>
        <w:top w:w="57" w:type="dxa"/>
        <w:bottom w:w="57" w:type="dxa"/>
      </w:tblCellMar>
    </w:tblPr>
    <w:tcPr>
      <w:shd w:val="clear" w:color="auto" w:fill="auto"/>
      <w:vAlign w:val="center"/>
    </w:tcPr>
    <w:tblStylePr w:type="firstRow">
      <w:rPr>
        <w:rFonts w:ascii="Arial" w:hAnsi="Arial"/>
        <w:b/>
        <w:i w:val="0"/>
        <w:color w:val="000000"/>
        <w:sz w:val="20"/>
      </w:rPr>
    </w:tblStylePr>
    <w:tblStylePr w:type="lastRow">
      <w:rPr>
        <w:rFonts w:ascii="Arial" w:hAnsi="Arial"/>
        <w:b/>
        <w:sz w:val="20"/>
      </w:rPr>
    </w:tblStylePr>
    <w:tblStylePr w:type="firstCol">
      <w:pPr>
        <w:jc w:val="right"/>
      </w:pPr>
      <w:rPr>
        <w:rFonts w:ascii="Arial" w:hAnsi="Arial"/>
        <w:b w:val="0"/>
        <w:color w:val="000000"/>
        <w:sz w:val="20"/>
      </w:rPr>
    </w:tblStylePr>
    <w:tblStylePr w:type="lastCol">
      <w:rPr>
        <w:rFonts w:ascii="Arial" w:hAnsi="Arial"/>
        <w:sz w:val="20"/>
      </w:rPr>
    </w:tblStylePr>
    <w:tblStylePr w:type="band1Vert">
      <w:rPr>
        <w:rFonts w:ascii="Arial" w:hAnsi="Arial"/>
      </w:rPr>
    </w:tblStylePr>
    <w:tblStylePr w:type="band2Vert">
      <w:rPr>
        <w:rFonts w:ascii="Arial" w:hAnsi="Arial"/>
      </w:rPr>
    </w:tblStylePr>
    <w:tblStylePr w:type="band1Horz">
      <w:rPr>
        <w:rFonts w:ascii="Arial" w:hAnsi="Arial"/>
      </w:rPr>
    </w:tblStylePr>
    <w:tblStylePr w:type="band2Horz">
      <w:rPr>
        <w:rFonts w:ascii="Arial" w:hAnsi="Arial"/>
      </w:rPr>
    </w:tblStylePr>
  </w:style>
  <w:style w:type="paragraph" w:customStyle="1" w:styleId="01BMainHeadingNumberedTOC">
    <w:name w:val="01B Main Heading Numbered (TOC)"/>
    <w:basedOn w:val="Heading1"/>
    <w:next w:val="04ABodyText"/>
    <w:qFormat/>
    <w:rsid w:val="00DA71D2"/>
    <w:pPr>
      <w:pageBreakBefore/>
      <w:numPr>
        <w:numId w:val="31"/>
      </w:numPr>
      <w:spacing w:before="0" w:after="120"/>
      <w:ind w:left="0" w:firstLine="0"/>
      <w:jc w:val="left"/>
    </w:pPr>
    <w:rPr>
      <w:rFonts w:ascii="Arial Black" w:hAnsi="Arial Black" w:cs="Arial"/>
      <w:smallCaps w:val="0"/>
      <w:color w:val="2F469C"/>
      <w:sz w:val="48"/>
      <w:szCs w:val="48"/>
      <w:lang w:eastAsia="en-GB"/>
    </w:rPr>
  </w:style>
  <w:style w:type="paragraph" w:customStyle="1" w:styleId="07BImageCaptionNumbered">
    <w:name w:val="07B Image Caption Numbered"/>
    <w:basedOn w:val="Normal"/>
    <w:next w:val="04ABodyText"/>
    <w:qFormat/>
    <w:rsid w:val="00DA71D2"/>
    <w:pPr>
      <w:keepNext/>
      <w:keepLines/>
      <w:numPr>
        <w:ilvl w:val="3"/>
        <w:numId w:val="31"/>
      </w:numPr>
      <w:spacing w:before="240" w:after="120"/>
      <w:ind w:left="0" w:right="2268" w:firstLine="0"/>
      <w:jc w:val="left"/>
      <w:outlineLvl w:val="2"/>
    </w:pPr>
    <w:rPr>
      <w:rFonts w:ascii="Arial" w:hAnsi="Arial" w:cs="Arial"/>
      <w:b/>
      <w:color w:val="000000"/>
      <w:sz w:val="22"/>
      <w:lang w:eastAsia="en-GB"/>
    </w:rPr>
  </w:style>
  <w:style w:type="paragraph" w:customStyle="1" w:styleId="07DTableCaptionNumbered">
    <w:name w:val="07D Table Caption Numbered"/>
    <w:basedOn w:val="Normal"/>
    <w:next w:val="04ABodyText"/>
    <w:qFormat/>
    <w:rsid w:val="00DA71D2"/>
    <w:pPr>
      <w:keepNext/>
      <w:keepLines/>
      <w:numPr>
        <w:ilvl w:val="4"/>
        <w:numId w:val="31"/>
      </w:numPr>
      <w:spacing w:before="240" w:after="120"/>
      <w:ind w:left="0" w:right="2268" w:firstLine="0"/>
      <w:jc w:val="left"/>
      <w:outlineLvl w:val="2"/>
    </w:pPr>
    <w:rPr>
      <w:rFonts w:ascii="Arial" w:hAnsi="Arial" w:cs="Arial"/>
      <w:b/>
      <w:color w:val="000000"/>
      <w:sz w:val="22"/>
      <w:lang w:eastAsia="en-GB"/>
    </w:rPr>
  </w:style>
  <w:style w:type="paragraph" w:customStyle="1" w:styleId="02BSubheadingNumbered1stlevelTOC">
    <w:name w:val="02B Subheading Numbered (1st level) (TOC)"/>
    <w:basedOn w:val="Normal"/>
    <w:next w:val="04ABodyText"/>
    <w:qFormat/>
    <w:rsid w:val="00DA71D2"/>
    <w:pPr>
      <w:keepNext/>
      <w:keepLines/>
      <w:numPr>
        <w:ilvl w:val="1"/>
        <w:numId w:val="31"/>
      </w:numPr>
      <w:spacing w:before="240" w:after="120"/>
      <w:ind w:hanging="283"/>
      <w:jc w:val="left"/>
      <w:outlineLvl w:val="1"/>
    </w:pPr>
    <w:rPr>
      <w:rFonts w:ascii="Arial" w:hAnsi="Arial" w:cs="Arial"/>
      <w:b/>
      <w:color w:val="2F469C"/>
      <w:lang w:eastAsia="en-GB"/>
    </w:rPr>
  </w:style>
  <w:style w:type="paragraph" w:customStyle="1" w:styleId="03BSubheadingNumbered2ndlevelNON-TOC">
    <w:name w:val="03B Subheading Numbered (2nd level) (NON-TOC)"/>
    <w:basedOn w:val="Normal"/>
    <w:next w:val="04ABodyText"/>
    <w:qFormat/>
    <w:rsid w:val="00DA71D2"/>
    <w:pPr>
      <w:keepNext/>
      <w:keepLines/>
      <w:numPr>
        <w:ilvl w:val="2"/>
        <w:numId w:val="31"/>
      </w:numPr>
      <w:spacing w:before="240" w:after="120"/>
      <w:ind w:left="851" w:hanging="284"/>
      <w:jc w:val="left"/>
      <w:outlineLvl w:val="2"/>
    </w:pPr>
    <w:rPr>
      <w:rFonts w:ascii="Arial" w:hAnsi="Arial" w:cs="Arial"/>
      <w:color w:val="419999"/>
      <w:sz w:val="22"/>
      <w:lang w:eastAsia="en-GB"/>
    </w:rPr>
  </w:style>
  <w:style w:type="paragraph" w:customStyle="1" w:styleId="03CSubheading2ndlevelNON-TOC">
    <w:name w:val="03C Subheading (2nd level) (NON-TOC)"/>
    <w:basedOn w:val="Heading3"/>
    <w:next w:val="04ABodyText"/>
    <w:link w:val="03CSubheading2ndlevelNON-TOCChar"/>
    <w:qFormat/>
    <w:rsid w:val="00B9459C"/>
    <w:pPr>
      <w:keepLines/>
      <w:numPr>
        <w:ilvl w:val="0"/>
        <w:numId w:val="0"/>
      </w:numPr>
      <w:spacing w:before="240" w:after="120"/>
      <w:jc w:val="left"/>
    </w:pPr>
    <w:rPr>
      <w:rFonts w:ascii="Arial" w:hAnsi="Arial" w:cs="Arial"/>
      <w:i w:val="0"/>
      <w:color w:val="0C4DA2" w:themeColor="text2"/>
      <w:sz w:val="22"/>
      <w:lang w:eastAsia="en-GB"/>
    </w:rPr>
  </w:style>
  <w:style w:type="character" w:customStyle="1" w:styleId="03CSubheading2ndlevelNON-TOCChar">
    <w:name w:val="03C Subheading (2nd level) (NON-TOC) Char"/>
    <w:basedOn w:val="DefaultParagraphFont"/>
    <w:link w:val="03CSubheading2ndlevelNON-TOC"/>
    <w:rsid w:val="00B9459C"/>
    <w:rPr>
      <w:rFonts w:ascii="Arial" w:hAnsi="Arial" w:cs="Arial"/>
      <w:color w:val="0C4DA2" w:themeColor="text2"/>
      <w:sz w:val="22"/>
      <w:lang w:val="en-GB" w:eastAsia="en-GB"/>
    </w:rPr>
  </w:style>
  <w:style w:type="paragraph" w:customStyle="1" w:styleId="03ASubheading2ndlevelTOC">
    <w:name w:val="03A Subheading (2nd level) (TOC)"/>
    <w:basedOn w:val="Normal"/>
    <w:next w:val="04ABodyText"/>
    <w:link w:val="03ASubheading2ndlevelTOCChar"/>
    <w:qFormat/>
    <w:rsid w:val="00B9459C"/>
    <w:pPr>
      <w:keepNext/>
      <w:keepLines/>
      <w:spacing w:before="240" w:after="120"/>
      <w:jc w:val="left"/>
      <w:outlineLvl w:val="2"/>
    </w:pPr>
    <w:rPr>
      <w:rFonts w:ascii="Arial" w:hAnsi="Arial" w:cs="Arial"/>
      <w:color w:val="0C4DA2" w:themeColor="text2"/>
      <w:sz w:val="22"/>
      <w:lang w:eastAsia="en-GB"/>
    </w:rPr>
  </w:style>
  <w:style w:type="character" w:customStyle="1" w:styleId="03ASubheading2ndlevelTOCChar">
    <w:name w:val="03A Subheading (2nd level) (TOC) Char"/>
    <w:basedOn w:val="DefaultParagraphFont"/>
    <w:link w:val="03ASubheading2ndlevelTOC"/>
    <w:rsid w:val="00B9459C"/>
    <w:rPr>
      <w:rFonts w:ascii="Arial" w:hAnsi="Arial" w:cs="Arial"/>
      <w:color w:val="0C4DA2" w:themeColor="text2"/>
      <w:sz w:val="22"/>
      <w:lang w:val="en-GB" w:eastAsia="en-GB"/>
    </w:rPr>
  </w:style>
  <w:style w:type="paragraph" w:customStyle="1" w:styleId="02CSubheading1stlevelNON-TOC">
    <w:name w:val="02C Subheading (1st level) (NON-TOC)"/>
    <w:basedOn w:val="Normal"/>
    <w:next w:val="04ABodyText"/>
    <w:link w:val="02CSubheading1stlevelNON-TOCChar"/>
    <w:qFormat/>
    <w:rsid w:val="00B9459C"/>
    <w:pPr>
      <w:keepNext/>
      <w:keepLines/>
      <w:spacing w:before="240" w:after="120"/>
      <w:jc w:val="left"/>
    </w:pPr>
    <w:rPr>
      <w:rFonts w:ascii="Arial" w:hAnsi="Arial" w:cs="Arial"/>
      <w:b/>
      <w:color w:val="EEECE1" w:themeColor="background2"/>
      <w:lang w:eastAsia="en-GB"/>
    </w:rPr>
  </w:style>
  <w:style w:type="character" w:customStyle="1" w:styleId="02CSubheading1stlevelNON-TOCChar">
    <w:name w:val="02C Subheading (1st level) (NON-TOC) Char"/>
    <w:basedOn w:val="DefaultParagraphFont"/>
    <w:link w:val="02CSubheading1stlevelNON-TOC"/>
    <w:rsid w:val="00B9459C"/>
    <w:rPr>
      <w:rFonts w:ascii="Arial" w:hAnsi="Arial" w:cs="Arial"/>
      <w:b/>
      <w:color w:val="EEECE1" w:themeColor="background2"/>
      <w:sz w:val="24"/>
      <w:lang w:val="en-GB" w:eastAsia="en-GB"/>
    </w:rPr>
  </w:style>
  <w:style w:type="numbering" w:customStyle="1" w:styleId="JayeshNavinShahEasterEgg4">
    <w:name w:val="JayeshNavinShahEasterEgg4"/>
    <w:uiPriority w:val="99"/>
    <w:rsid w:val="00B9459C"/>
  </w:style>
  <w:style w:type="character" w:customStyle="1" w:styleId="CaptionChar">
    <w:name w:val="Caption Char"/>
    <w:aliases w:val="Title table Char,Char Char,Char Car Char,Tabelkop Char,Caption-tables Char,Table legend Char,Tab_Überschrift Char,Figure reference Char,TR-Caption Char,Inscription Char,Beschriftung Char Char Char Char,Beschriftung Char Char Char1,Eco Char"/>
    <w:link w:val="Caption"/>
    <w:rsid w:val="00702789"/>
    <w:rPr>
      <w:rFonts w:ascii="Arial" w:hAnsi="Arial"/>
      <w:i/>
      <w:sz w:val="18"/>
      <w:lang w:val="en-GB" w:eastAsia="en-US"/>
    </w:rPr>
  </w:style>
  <w:style w:type="numbering" w:customStyle="1" w:styleId="JayeshNavinShahEasterEgg5">
    <w:name w:val="JayeshNavinShahEasterEgg5"/>
    <w:uiPriority w:val="99"/>
    <w:rsid w:val="00D54DD1"/>
  </w:style>
  <w:style w:type="paragraph" w:customStyle="1" w:styleId="08BQuoteName">
    <w:name w:val="08B Quote Name"/>
    <w:basedOn w:val="Normal"/>
    <w:next w:val="04ABodyText"/>
    <w:link w:val="08BQuoteNameChar"/>
    <w:qFormat/>
    <w:rsid w:val="00B56090"/>
    <w:pPr>
      <w:keepLines/>
      <w:spacing w:line="288" w:lineRule="auto"/>
      <w:jc w:val="left"/>
    </w:pPr>
    <w:rPr>
      <w:rFonts w:ascii="Segoe UI" w:hAnsi="Segoe UI" w:cs="Arial"/>
      <w:i/>
      <w:color w:val="0C4DA2" w:themeColor="text2"/>
      <w:sz w:val="22"/>
      <w:lang w:eastAsia="en-GB"/>
    </w:rPr>
  </w:style>
  <w:style w:type="character" w:customStyle="1" w:styleId="08BQuoteNameChar">
    <w:name w:val="08B Quote Name Char"/>
    <w:basedOn w:val="DefaultParagraphFont"/>
    <w:link w:val="08BQuoteName"/>
    <w:rsid w:val="00B56090"/>
    <w:rPr>
      <w:rFonts w:ascii="Segoe UI" w:hAnsi="Segoe UI" w:cs="Arial"/>
      <w:i/>
      <w:color w:val="0C4DA2" w:themeColor="text2"/>
      <w:sz w:val="22"/>
      <w:lang w:val="en-GB" w:eastAsia="en-GB"/>
    </w:rPr>
  </w:style>
  <w:style w:type="table" w:customStyle="1" w:styleId="IpsosMORITable011">
    <w:name w:val="Ipsos MORI Table 011"/>
    <w:basedOn w:val="TableNormal"/>
    <w:uiPriority w:val="99"/>
    <w:rsid w:val="00B56090"/>
    <w:pPr>
      <w:contextualSpacing/>
      <w:jc w:val="center"/>
    </w:pPr>
    <w:rPr>
      <w:rFonts w:ascii="Arial" w:hAnsi="Arial" w:cs="Arial"/>
      <w:color w:val="000000"/>
      <w:lang w:val="en-GB" w:eastAsia="en-GB"/>
    </w:rPr>
    <w:tblPr>
      <w:tblStyleRowBandSize w:val="1"/>
      <w:tblStyleColBandSize w:val="1"/>
      <w:tblBorders>
        <w:top w:val="single" w:sz="4" w:space="0" w:color="419999"/>
        <w:left w:val="single" w:sz="4" w:space="0" w:color="419999"/>
        <w:bottom w:val="single" w:sz="4" w:space="0" w:color="419999"/>
        <w:right w:val="single" w:sz="4" w:space="0" w:color="419999"/>
        <w:insideH w:val="single" w:sz="4" w:space="0" w:color="419999"/>
        <w:insideV w:val="single" w:sz="4" w:space="0" w:color="419999"/>
      </w:tblBorders>
      <w:tblCellMar>
        <w:top w:w="57" w:type="dxa"/>
        <w:bottom w:w="57" w:type="dxa"/>
      </w:tblCellMar>
    </w:tblPr>
    <w:tcPr>
      <w:shd w:val="clear" w:color="auto" w:fill="auto"/>
      <w:vAlign w:val="center"/>
    </w:tcPr>
    <w:tblStylePr w:type="firstRow">
      <w:rPr>
        <w:rFonts w:ascii="Arial" w:hAnsi="Arial"/>
        <w:b/>
        <w:i w:val="0"/>
        <w:color w:val="000000"/>
        <w:sz w:val="20"/>
      </w:rPr>
    </w:tblStylePr>
    <w:tblStylePr w:type="lastRow">
      <w:rPr>
        <w:rFonts w:ascii="Arial" w:hAnsi="Arial"/>
        <w:b/>
        <w:sz w:val="20"/>
      </w:rPr>
    </w:tblStylePr>
    <w:tblStylePr w:type="firstCol">
      <w:pPr>
        <w:jc w:val="right"/>
      </w:pPr>
      <w:rPr>
        <w:rFonts w:ascii="Arial" w:hAnsi="Arial"/>
        <w:b w:val="0"/>
        <w:color w:val="000000"/>
        <w:sz w:val="20"/>
      </w:rPr>
    </w:tblStylePr>
    <w:tblStylePr w:type="lastCol">
      <w:rPr>
        <w:rFonts w:ascii="Arial" w:hAnsi="Arial"/>
        <w:sz w:val="20"/>
      </w:rPr>
    </w:tblStylePr>
    <w:tblStylePr w:type="band1Vert">
      <w:rPr>
        <w:rFonts w:ascii="Arial" w:hAnsi="Arial"/>
      </w:rPr>
    </w:tblStylePr>
    <w:tblStylePr w:type="band2Vert">
      <w:rPr>
        <w:rFonts w:ascii="Arial" w:hAnsi="Arial"/>
      </w:rPr>
    </w:tblStylePr>
    <w:tblStylePr w:type="band1Horz">
      <w:rPr>
        <w:rFonts w:ascii="Arial" w:hAnsi="Arial"/>
      </w:rPr>
    </w:tblStylePr>
    <w:tblStylePr w:type="band2Horz">
      <w:rPr>
        <w:rFonts w:ascii="Arial" w:hAnsi="Arial"/>
      </w:rPr>
    </w:tblStylePr>
  </w:style>
  <w:style w:type="numbering" w:customStyle="1" w:styleId="JayeshNavinShahEasterEgg6">
    <w:name w:val="JayeshNavinShahEasterEgg6"/>
    <w:uiPriority w:val="99"/>
    <w:rsid w:val="00B56090"/>
    <w:pPr>
      <w:numPr>
        <w:numId w:val="7"/>
      </w:numPr>
    </w:pPr>
  </w:style>
  <w:style w:type="table" w:customStyle="1" w:styleId="IpsosMORITable012">
    <w:name w:val="Ipsos MORI Table 012"/>
    <w:basedOn w:val="TableNormal"/>
    <w:uiPriority w:val="99"/>
    <w:rsid w:val="00B56090"/>
    <w:pPr>
      <w:contextualSpacing/>
      <w:jc w:val="center"/>
    </w:pPr>
    <w:rPr>
      <w:rFonts w:ascii="Arial" w:hAnsi="Arial" w:cs="Arial"/>
      <w:color w:val="000000"/>
      <w:lang w:val="en-GB" w:eastAsia="en-GB"/>
    </w:rPr>
    <w:tblPr>
      <w:tblStyleRowBandSize w:val="1"/>
      <w:tblStyleColBandSize w:val="1"/>
      <w:tblBorders>
        <w:top w:val="single" w:sz="4" w:space="0" w:color="419999"/>
        <w:left w:val="single" w:sz="4" w:space="0" w:color="419999"/>
        <w:bottom w:val="single" w:sz="4" w:space="0" w:color="419999"/>
        <w:right w:val="single" w:sz="4" w:space="0" w:color="419999"/>
        <w:insideH w:val="single" w:sz="4" w:space="0" w:color="419999"/>
        <w:insideV w:val="single" w:sz="4" w:space="0" w:color="419999"/>
      </w:tblBorders>
      <w:tblCellMar>
        <w:top w:w="57" w:type="dxa"/>
        <w:bottom w:w="57" w:type="dxa"/>
      </w:tblCellMar>
    </w:tblPr>
    <w:tcPr>
      <w:shd w:val="clear" w:color="auto" w:fill="auto"/>
      <w:vAlign w:val="center"/>
    </w:tcPr>
    <w:tblStylePr w:type="firstRow">
      <w:rPr>
        <w:rFonts w:ascii="Arial" w:hAnsi="Arial"/>
        <w:b/>
        <w:i w:val="0"/>
        <w:color w:val="000000"/>
        <w:sz w:val="20"/>
      </w:rPr>
    </w:tblStylePr>
    <w:tblStylePr w:type="lastRow">
      <w:rPr>
        <w:rFonts w:ascii="Arial" w:hAnsi="Arial"/>
        <w:b/>
        <w:sz w:val="20"/>
      </w:rPr>
    </w:tblStylePr>
    <w:tblStylePr w:type="firstCol">
      <w:pPr>
        <w:jc w:val="right"/>
      </w:pPr>
      <w:rPr>
        <w:rFonts w:ascii="Arial" w:hAnsi="Arial"/>
        <w:b w:val="0"/>
        <w:color w:val="000000"/>
        <w:sz w:val="20"/>
      </w:rPr>
    </w:tblStylePr>
    <w:tblStylePr w:type="lastCol">
      <w:rPr>
        <w:rFonts w:ascii="Arial" w:hAnsi="Arial"/>
        <w:sz w:val="20"/>
      </w:rPr>
    </w:tblStylePr>
    <w:tblStylePr w:type="band1Vert">
      <w:rPr>
        <w:rFonts w:ascii="Arial" w:hAnsi="Arial"/>
      </w:rPr>
    </w:tblStylePr>
    <w:tblStylePr w:type="band2Vert">
      <w:rPr>
        <w:rFonts w:ascii="Arial" w:hAnsi="Arial"/>
      </w:rPr>
    </w:tblStylePr>
    <w:tblStylePr w:type="band1Horz">
      <w:rPr>
        <w:rFonts w:ascii="Arial" w:hAnsi="Arial"/>
      </w:rPr>
    </w:tblStylePr>
    <w:tblStylePr w:type="band2Horz">
      <w:rPr>
        <w:rFonts w:ascii="Arial" w:hAnsi="Arial"/>
      </w:rPr>
    </w:tblStylePr>
  </w:style>
  <w:style w:type="character" w:customStyle="1" w:styleId="05BBullets2ndlevelChar">
    <w:name w:val="05B Bullets (2nd level) Char"/>
    <w:basedOn w:val="05ABullets1stlevelChar"/>
    <w:link w:val="05BBullets2ndlevel"/>
    <w:rsid w:val="006E1277"/>
    <w:rPr>
      <w:rFonts w:ascii="Arial" w:hAnsi="Arial" w:cs="Arial"/>
      <w:color w:val="000000" w:themeColor="text1"/>
      <w:sz w:val="22"/>
      <w:lang w:val="en-GB" w:eastAsia="en-GB"/>
    </w:rPr>
  </w:style>
  <w:style w:type="character" w:customStyle="1" w:styleId="fontstyle01">
    <w:name w:val="fontstyle01"/>
    <w:basedOn w:val="DefaultParagraphFont"/>
    <w:rsid w:val="006E1277"/>
    <w:rPr>
      <w:rFonts w:ascii="Verdana" w:hAnsi="Verdana" w:hint="default"/>
      <w:b w:val="0"/>
      <w:bCs w:val="0"/>
      <w:i w:val="0"/>
      <w:iCs w:val="0"/>
      <w:color w:val="000000"/>
      <w:sz w:val="20"/>
      <w:szCs w:val="20"/>
    </w:rPr>
  </w:style>
  <w:style w:type="paragraph" w:styleId="CommentSubject">
    <w:name w:val="annotation subject"/>
    <w:basedOn w:val="CommentText"/>
    <w:next w:val="CommentText"/>
    <w:link w:val="CommentSubjectChar"/>
    <w:semiHidden/>
    <w:unhideWhenUsed/>
    <w:rsid w:val="008F65B2"/>
    <w:rPr>
      <w:b/>
      <w:bCs/>
    </w:rPr>
  </w:style>
  <w:style w:type="character" w:customStyle="1" w:styleId="CommentSubjectChar">
    <w:name w:val="Comment Subject Char"/>
    <w:basedOn w:val="CommentTextChar"/>
    <w:link w:val="CommentSubject"/>
    <w:semiHidden/>
    <w:rsid w:val="008F65B2"/>
    <w:rPr>
      <w:b/>
      <w:bCs/>
      <w:lang w:val="fr-FR" w:eastAsia="en-US"/>
    </w:rPr>
  </w:style>
  <w:style w:type="character" w:customStyle="1" w:styleId="02ASubheading1stlevelTOCChar">
    <w:name w:val="02A Subheading (1st level) (TOC) Char"/>
    <w:basedOn w:val="DefaultParagraphFont"/>
    <w:link w:val="02ASubheading1stlevelTOC"/>
    <w:locked/>
    <w:rsid w:val="00872CF5"/>
    <w:rPr>
      <w:b/>
      <w:color w:val="EEECE1" w:themeColor="background2"/>
      <w:sz w:val="24"/>
    </w:rPr>
  </w:style>
  <w:style w:type="paragraph" w:customStyle="1" w:styleId="02ASubheading1stlevelTOC">
    <w:name w:val="02A Subheading (1st level) (TOC)"/>
    <w:basedOn w:val="Heading2"/>
    <w:next w:val="04ABodyText"/>
    <w:link w:val="02ASubheading1stlevelTOCChar"/>
    <w:qFormat/>
    <w:rsid w:val="00872CF5"/>
    <w:pPr>
      <w:keepLines/>
      <w:numPr>
        <w:ilvl w:val="0"/>
        <w:numId w:val="0"/>
      </w:numPr>
      <w:spacing w:before="240" w:after="120"/>
      <w:jc w:val="left"/>
    </w:pPr>
    <w:rPr>
      <w:color w:val="EEECE1" w:themeColor="background2"/>
      <w:lang w:val="nl-BE" w:eastAsia="nl-BE"/>
    </w:rPr>
  </w:style>
  <w:style w:type="table" w:styleId="TableGridLight">
    <w:name w:val="Grid Table Light"/>
    <w:basedOn w:val="TableNormal"/>
    <w:uiPriority w:val="40"/>
    <w:rsid w:val="00872CF5"/>
    <w:rPr>
      <w:rFonts w:ascii="Arial" w:hAnsi="Arial" w:cs="Arial"/>
      <w:color w:val="000000" w:themeColor="text1"/>
      <w:lang w:val="en-GB" w:eastAsia="en-GB"/>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
    <w:name w:val="Table Grid Light1"/>
    <w:basedOn w:val="TableNormal"/>
    <w:uiPriority w:val="40"/>
    <w:rsid w:val="00F15E8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10BBoxedBodyText">
    <w:name w:val="10B Boxed Body Text"/>
    <w:basedOn w:val="Normal"/>
    <w:qFormat/>
    <w:rsid w:val="0047600E"/>
    <w:pPr>
      <w:tabs>
        <w:tab w:val="num" w:pos="360"/>
      </w:tabs>
      <w:spacing w:line="24" w:lineRule="atLeast"/>
      <w:jc w:val="left"/>
    </w:pPr>
    <w:rPr>
      <w:rFonts w:ascii="Segoe UI" w:hAnsi="Segoe UI" w:cs="Segoe UI"/>
      <w:b/>
      <w:color w:val="FFFFFF" w:themeColor="background1"/>
      <w:sz w:val="20"/>
      <w:lang w:eastAsia="en-GB"/>
    </w:rPr>
  </w:style>
  <w:style w:type="character" w:customStyle="1" w:styleId="UnresolvedMention1">
    <w:name w:val="Unresolved Mention1"/>
    <w:basedOn w:val="DefaultParagraphFont"/>
    <w:uiPriority w:val="99"/>
    <w:semiHidden/>
    <w:unhideWhenUsed/>
    <w:rsid w:val="008A623A"/>
    <w:rPr>
      <w:color w:val="605E5C"/>
      <w:shd w:val="clear" w:color="auto" w:fill="E1DFDD"/>
    </w:rPr>
  </w:style>
  <w:style w:type="paragraph" w:customStyle="1" w:styleId="Default">
    <w:name w:val="Default"/>
    <w:rsid w:val="004771ED"/>
    <w:pPr>
      <w:autoSpaceDE w:val="0"/>
      <w:autoSpaceDN w:val="0"/>
      <w:adjustRightInd w:val="0"/>
    </w:pPr>
    <w:rPr>
      <w:rFonts w:ascii="Arial" w:hAnsi="Arial" w:cs="Arial"/>
      <w:color w:val="000000"/>
      <w:sz w:val="24"/>
      <w:szCs w:val="24"/>
      <w:lang w:val="en-GB" w:eastAsia="en-GB"/>
    </w:rPr>
  </w:style>
  <w:style w:type="table" w:customStyle="1" w:styleId="Tabelle">
    <w:name w:val="#Tabelle"/>
    <w:basedOn w:val="TableNormal"/>
    <w:rsid w:val="004771ED"/>
    <w:pPr>
      <w:spacing w:line="240" w:lineRule="exact"/>
    </w:pPr>
    <w:rPr>
      <w:rFonts w:ascii="Frutiger LT Com 45 Light" w:hAnsi="Frutiger LT Com 45 Light"/>
      <w:lang w:val="en-US" w:eastAsia="en-US"/>
    </w:rPr>
    <w:tblPr>
      <w:tblStyleRowBandSize w:val="1"/>
      <w:tblInd w:w="0" w:type="nil"/>
      <w:tblBorders>
        <w:bottom w:val="dashSmallGap" w:sz="4" w:space="0" w:color="auto"/>
      </w:tblBorders>
      <w:tblCellMar>
        <w:top w:w="79" w:type="dxa"/>
        <w:left w:w="0" w:type="dxa"/>
        <w:bottom w:w="79" w:type="dxa"/>
      </w:tblCellMar>
    </w:tblPr>
    <w:tblStylePr w:type="firstRow">
      <w:rPr>
        <w:rFonts w:ascii="TimesNewRomanPS-BoldMT" w:hAnsi="TimesNewRomanPS-BoldMT" w:cs="Arial" w:hint="default"/>
        <w:color w:val="auto"/>
        <w:sz w:val="20"/>
        <w:szCs w:val="20"/>
      </w:rPr>
      <w:tblPr/>
      <w:tcPr>
        <w:tcBorders>
          <w:top w:val="nil"/>
          <w:left w:val="nil"/>
          <w:bottom w:val="single" w:sz="4" w:space="0" w:color="auto"/>
          <w:right w:val="nil"/>
          <w:insideH w:val="nil"/>
          <w:insideV w:val="nil"/>
        </w:tcBorders>
      </w:tcPr>
    </w:tblStylePr>
  </w:style>
  <w:style w:type="table" w:customStyle="1" w:styleId="HTG1">
    <w:name w:val="HTG1"/>
    <w:basedOn w:val="TableNormal"/>
    <w:next w:val="TableGrid"/>
    <w:uiPriority w:val="59"/>
    <w:rsid w:val="00F52BB0"/>
    <w:rPr>
      <w:rFonts w:ascii="Arial" w:hAnsi="Arial" w:cs="Arial"/>
      <w:color w:val="00000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TG2">
    <w:name w:val="HTG2"/>
    <w:basedOn w:val="TableNormal"/>
    <w:next w:val="TableGrid"/>
    <w:uiPriority w:val="59"/>
    <w:rsid w:val="00F52BB0"/>
    <w:rPr>
      <w:rFonts w:ascii="Arial" w:hAnsi="Arial" w:cs="Arial"/>
      <w:color w:val="00000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40">
    <w:name w:val="Heading_4"/>
    <w:basedOn w:val="TOC1"/>
    <w:link w:val="Heading4Char"/>
    <w:qFormat/>
    <w:rsid w:val="00A66580"/>
    <w:pPr>
      <w:keepNext/>
      <w:widowControl w:val="0"/>
      <w:tabs>
        <w:tab w:val="clear" w:pos="480"/>
        <w:tab w:val="clear" w:pos="8778"/>
        <w:tab w:val="right" w:leader="dot" w:pos="8640"/>
      </w:tabs>
      <w:autoSpaceDE w:val="0"/>
      <w:autoSpaceDN w:val="0"/>
      <w:adjustRightInd w:val="0"/>
      <w:spacing w:before="120"/>
      <w:ind w:right="720"/>
    </w:pPr>
    <w:rPr>
      <w:rFonts w:ascii="Verdana" w:hAnsi="Verdana" w:cs="Times New Roman"/>
      <w:bCs w:val="0"/>
      <w:noProof w:val="0"/>
      <w:sz w:val="20"/>
      <w:u w:val="single"/>
    </w:rPr>
  </w:style>
  <w:style w:type="character" w:customStyle="1" w:styleId="Heading4Char">
    <w:name w:val="Heading_4 Char"/>
    <w:link w:val="Heading40"/>
    <w:rsid w:val="00A66580"/>
    <w:rPr>
      <w:rFonts w:ascii="Verdana" w:hAnsi="Verdana"/>
      <w:b/>
      <w:u w:val="single"/>
      <w:lang w:val="en-GB" w:eastAsia="en-US"/>
    </w:rPr>
  </w:style>
  <w:style w:type="paragraph" w:customStyle="1" w:styleId="citationpreview">
    <w:name w:val="citationpreview"/>
    <w:basedOn w:val="Normal"/>
    <w:rsid w:val="00F534A7"/>
    <w:pPr>
      <w:spacing w:before="100" w:beforeAutospacing="1" w:after="100" w:afterAutospacing="1"/>
      <w:jc w:val="left"/>
    </w:pPr>
    <w:rPr>
      <w:szCs w:val="24"/>
      <w:lang w:val="en-US"/>
    </w:rPr>
  </w:style>
  <w:style w:type="character" w:styleId="Emphasis">
    <w:name w:val="Emphasis"/>
    <w:basedOn w:val="DefaultParagraphFont"/>
    <w:uiPriority w:val="20"/>
    <w:qFormat/>
    <w:rsid w:val="00F534A7"/>
    <w:rPr>
      <w:i/>
      <w:iCs/>
    </w:rPr>
  </w:style>
  <w:style w:type="character" w:customStyle="1" w:styleId="Mention1">
    <w:name w:val="Mention1"/>
    <w:basedOn w:val="DefaultParagraphFont"/>
    <w:uiPriority w:val="99"/>
    <w:unhideWhenUsed/>
    <w:rsid w:val="00F756E1"/>
    <w:rPr>
      <w:color w:val="2B579A"/>
      <w:shd w:val="clear" w:color="auto" w:fill="E1DFDD"/>
    </w:rPr>
  </w:style>
  <w:style w:type="paragraph" w:styleId="Revision">
    <w:name w:val="Revision"/>
    <w:hidden/>
    <w:uiPriority w:val="99"/>
    <w:semiHidden/>
    <w:rsid w:val="00F756E1"/>
    <w:rPr>
      <w:sz w:val="24"/>
      <w:lang w:val="fr-FR" w:eastAsia="en-US"/>
    </w:rPr>
  </w:style>
  <w:style w:type="character" w:styleId="PlaceholderText">
    <w:name w:val="Placeholder Text"/>
    <w:basedOn w:val="DefaultParagraphFont"/>
    <w:uiPriority w:val="99"/>
    <w:semiHidden/>
    <w:rsid w:val="00F756E1"/>
    <w:rPr>
      <w:color w:val="808080"/>
    </w:rPr>
  </w:style>
  <w:style w:type="paragraph" w:customStyle="1" w:styleId="11AHeader">
    <w:name w:val="11A Header"/>
    <w:basedOn w:val="04ABodyText"/>
    <w:next w:val="04ABodyText"/>
    <w:link w:val="11AHeaderChar"/>
    <w:rsid w:val="00F756E1"/>
    <w:pPr>
      <w:numPr>
        <w:numId w:val="0"/>
      </w:numPr>
      <w:spacing w:before="0" w:after="0" w:line="240" w:lineRule="auto"/>
      <w:ind w:left="-113"/>
    </w:pPr>
    <w:rPr>
      <w:sz w:val="14"/>
    </w:rPr>
  </w:style>
  <w:style w:type="paragraph" w:customStyle="1" w:styleId="11BPageNumber">
    <w:name w:val="11B Page Number"/>
    <w:basedOn w:val="04ABodyText"/>
    <w:link w:val="11BPageNumberChar"/>
    <w:rsid w:val="00F756E1"/>
    <w:pPr>
      <w:numPr>
        <w:numId w:val="0"/>
      </w:numPr>
      <w:spacing w:before="0" w:after="0" w:line="240" w:lineRule="auto"/>
      <w:ind w:right="-113"/>
      <w:jc w:val="right"/>
    </w:pPr>
    <w:rPr>
      <w:rFonts w:ascii="Arial Black" w:hAnsi="Arial Black"/>
      <w:b/>
      <w:sz w:val="18"/>
    </w:rPr>
  </w:style>
  <w:style w:type="character" w:customStyle="1" w:styleId="11AHeaderChar">
    <w:name w:val="11A Header Char"/>
    <w:basedOn w:val="HeaderChar"/>
    <w:link w:val="11AHeader"/>
    <w:rsid w:val="00F756E1"/>
    <w:rPr>
      <w:rFonts w:ascii="Arial" w:hAnsi="Arial" w:cs="Arial"/>
      <w:color w:val="000000" w:themeColor="text1"/>
      <w:sz w:val="14"/>
      <w:lang w:val="en-GB" w:eastAsia="en-GB"/>
    </w:rPr>
  </w:style>
  <w:style w:type="character" w:customStyle="1" w:styleId="11BPageNumberChar">
    <w:name w:val="11B Page Number Char"/>
    <w:basedOn w:val="DefaultParagraphFont"/>
    <w:link w:val="11BPageNumber"/>
    <w:rsid w:val="00F756E1"/>
    <w:rPr>
      <w:rFonts w:ascii="Arial Black" w:hAnsi="Arial Black" w:cs="Arial"/>
      <w:b/>
      <w:color w:val="000000" w:themeColor="text1"/>
      <w:sz w:val="18"/>
      <w:lang w:val="en-GB" w:eastAsia="en-GB"/>
    </w:rPr>
  </w:style>
  <w:style w:type="table" w:customStyle="1" w:styleId="TableGridLight11">
    <w:name w:val="Table Grid Light11"/>
    <w:basedOn w:val="TableNormal"/>
    <w:next w:val="TableGridLight"/>
    <w:uiPriority w:val="40"/>
    <w:rsid w:val="00827359"/>
    <w:rPr>
      <w:rFonts w:ascii="Arial" w:hAnsi="Arial" w:cs="Arial"/>
      <w:color w:val="000000"/>
      <w:lang w:val="en-GB" w:eastAsia="en-GB"/>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EndnoteReference">
    <w:name w:val="endnote reference"/>
    <w:basedOn w:val="DefaultParagraphFont"/>
    <w:uiPriority w:val="99"/>
    <w:semiHidden/>
    <w:unhideWhenUsed/>
    <w:rsid w:val="009306A6"/>
    <w:rPr>
      <w:vertAlign w:val="superscript"/>
    </w:rPr>
  </w:style>
  <w:style w:type="character" w:customStyle="1" w:styleId="UnresolvedMention2">
    <w:name w:val="Unresolved Mention2"/>
    <w:basedOn w:val="DefaultParagraphFont"/>
    <w:uiPriority w:val="99"/>
    <w:semiHidden/>
    <w:unhideWhenUsed/>
    <w:rsid w:val="00B935CA"/>
    <w:rPr>
      <w:color w:val="605E5C"/>
      <w:shd w:val="clear" w:color="auto" w:fill="E1DFDD"/>
    </w:rPr>
  </w:style>
  <w:style w:type="character" w:customStyle="1" w:styleId="UnresolvedMention3">
    <w:name w:val="Unresolved Mention3"/>
    <w:basedOn w:val="DefaultParagraphFont"/>
    <w:uiPriority w:val="99"/>
    <w:semiHidden/>
    <w:unhideWhenUsed/>
    <w:rsid w:val="00E51AD6"/>
    <w:rPr>
      <w:color w:val="605E5C"/>
      <w:shd w:val="clear" w:color="auto" w:fill="E1DFDD"/>
    </w:rPr>
  </w:style>
  <w:style w:type="character" w:customStyle="1" w:styleId="UnresolvedMention4">
    <w:name w:val="Unresolved Mention4"/>
    <w:basedOn w:val="DefaultParagraphFont"/>
    <w:uiPriority w:val="99"/>
    <w:semiHidden/>
    <w:unhideWhenUsed/>
    <w:rsid w:val="00571FD9"/>
    <w:rPr>
      <w:color w:val="605E5C"/>
      <w:shd w:val="clear" w:color="auto" w:fill="E1DFDD"/>
    </w:rPr>
  </w:style>
  <w:style w:type="character" w:customStyle="1" w:styleId="cf01">
    <w:name w:val="cf01"/>
    <w:basedOn w:val="DefaultParagraphFont"/>
    <w:rsid w:val="00562E0A"/>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990191">
      <w:bodyDiv w:val="1"/>
      <w:marLeft w:val="0"/>
      <w:marRight w:val="0"/>
      <w:marTop w:val="0"/>
      <w:marBottom w:val="0"/>
      <w:divBdr>
        <w:top w:val="none" w:sz="0" w:space="0" w:color="auto"/>
        <w:left w:val="none" w:sz="0" w:space="0" w:color="auto"/>
        <w:bottom w:val="none" w:sz="0" w:space="0" w:color="auto"/>
        <w:right w:val="none" w:sz="0" w:space="0" w:color="auto"/>
      </w:divBdr>
    </w:div>
    <w:div w:id="83232188">
      <w:bodyDiv w:val="1"/>
      <w:marLeft w:val="0"/>
      <w:marRight w:val="0"/>
      <w:marTop w:val="0"/>
      <w:marBottom w:val="0"/>
      <w:divBdr>
        <w:top w:val="none" w:sz="0" w:space="0" w:color="auto"/>
        <w:left w:val="none" w:sz="0" w:space="0" w:color="auto"/>
        <w:bottom w:val="none" w:sz="0" w:space="0" w:color="auto"/>
        <w:right w:val="none" w:sz="0" w:space="0" w:color="auto"/>
      </w:divBdr>
    </w:div>
    <w:div w:id="127670547">
      <w:bodyDiv w:val="1"/>
      <w:marLeft w:val="0"/>
      <w:marRight w:val="0"/>
      <w:marTop w:val="0"/>
      <w:marBottom w:val="0"/>
      <w:divBdr>
        <w:top w:val="none" w:sz="0" w:space="0" w:color="auto"/>
        <w:left w:val="none" w:sz="0" w:space="0" w:color="auto"/>
        <w:bottom w:val="none" w:sz="0" w:space="0" w:color="auto"/>
        <w:right w:val="none" w:sz="0" w:space="0" w:color="auto"/>
      </w:divBdr>
    </w:div>
    <w:div w:id="139811470">
      <w:bodyDiv w:val="1"/>
      <w:marLeft w:val="0"/>
      <w:marRight w:val="0"/>
      <w:marTop w:val="0"/>
      <w:marBottom w:val="0"/>
      <w:divBdr>
        <w:top w:val="none" w:sz="0" w:space="0" w:color="auto"/>
        <w:left w:val="none" w:sz="0" w:space="0" w:color="auto"/>
        <w:bottom w:val="none" w:sz="0" w:space="0" w:color="auto"/>
        <w:right w:val="none" w:sz="0" w:space="0" w:color="auto"/>
      </w:divBdr>
    </w:div>
    <w:div w:id="474883527">
      <w:bodyDiv w:val="1"/>
      <w:marLeft w:val="0"/>
      <w:marRight w:val="0"/>
      <w:marTop w:val="0"/>
      <w:marBottom w:val="0"/>
      <w:divBdr>
        <w:top w:val="none" w:sz="0" w:space="0" w:color="auto"/>
        <w:left w:val="none" w:sz="0" w:space="0" w:color="auto"/>
        <w:bottom w:val="none" w:sz="0" w:space="0" w:color="auto"/>
        <w:right w:val="none" w:sz="0" w:space="0" w:color="auto"/>
      </w:divBdr>
    </w:div>
    <w:div w:id="566649091">
      <w:bodyDiv w:val="1"/>
      <w:marLeft w:val="0"/>
      <w:marRight w:val="0"/>
      <w:marTop w:val="0"/>
      <w:marBottom w:val="0"/>
      <w:divBdr>
        <w:top w:val="none" w:sz="0" w:space="0" w:color="auto"/>
        <w:left w:val="none" w:sz="0" w:space="0" w:color="auto"/>
        <w:bottom w:val="none" w:sz="0" w:space="0" w:color="auto"/>
        <w:right w:val="none" w:sz="0" w:space="0" w:color="auto"/>
      </w:divBdr>
    </w:div>
    <w:div w:id="805699757">
      <w:bodyDiv w:val="1"/>
      <w:marLeft w:val="0"/>
      <w:marRight w:val="0"/>
      <w:marTop w:val="0"/>
      <w:marBottom w:val="0"/>
      <w:divBdr>
        <w:top w:val="none" w:sz="0" w:space="0" w:color="auto"/>
        <w:left w:val="none" w:sz="0" w:space="0" w:color="auto"/>
        <w:bottom w:val="none" w:sz="0" w:space="0" w:color="auto"/>
        <w:right w:val="none" w:sz="0" w:space="0" w:color="auto"/>
      </w:divBdr>
    </w:div>
    <w:div w:id="872772789">
      <w:bodyDiv w:val="1"/>
      <w:marLeft w:val="0"/>
      <w:marRight w:val="0"/>
      <w:marTop w:val="0"/>
      <w:marBottom w:val="0"/>
      <w:divBdr>
        <w:top w:val="none" w:sz="0" w:space="0" w:color="auto"/>
        <w:left w:val="none" w:sz="0" w:space="0" w:color="auto"/>
        <w:bottom w:val="none" w:sz="0" w:space="0" w:color="auto"/>
        <w:right w:val="none" w:sz="0" w:space="0" w:color="auto"/>
      </w:divBdr>
    </w:div>
    <w:div w:id="981545407">
      <w:bodyDiv w:val="1"/>
      <w:marLeft w:val="0"/>
      <w:marRight w:val="0"/>
      <w:marTop w:val="0"/>
      <w:marBottom w:val="0"/>
      <w:divBdr>
        <w:top w:val="none" w:sz="0" w:space="0" w:color="auto"/>
        <w:left w:val="none" w:sz="0" w:space="0" w:color="auto"/>
        <w:bottom w:val="none" w:sz="0" w:space="0" w:color="auto"/>
        <w:right w:val="none" w:sz="0" w:space="0" w:color="auto"/>
      </w:divBdr>
    </w:div>
    <w:div w:id="1172571303">
      <w:bodyDiv w:val="1"/>
      <w:marLeft w:val="0"/>
      <w:marRight w:val="0"/>
      <w:marTop w:val="0"/>
      <w:marBottom w:val="0"/>
      <w:divBdr>
        <w:top w:val="none" w:sz="0" w:space="0" w:color="auto"/>
        <w:left w:val="none" w:sz="0" w:space="0" w:color="auto"/>
        <w:bottom w:val="none" w:sz="0" w:space="0" w:color="auto"/>
        <w:right w:val="none" w:sz="0" w:space="0" w:color="auto"/>
      </w:divBdr>
    </w:div>
    <w:div w:id="1462990798">
      <w:bodyDiv w:val="1"/>
      <w:marLeft w:val="0"/>
      <w:marRight w:val="0"/>
      <w:marTop w:val="0"/>
      <w:marBottom w:val="0"/>
      <w:divBdr>
        <w:top w:val="none" w:sz="0" w:space="0" w:color="auto"/>
        <w:left w:val="none" w:sz="0" w:space="0" w:color="auto"/>
        <w:bottom w:val="none" w:sz="0" w:space="0" w:color="auto"/>
        <w:right w:val="none" w:sz="0" w:space="0" w:color="auto"/>
      </w:divBdr>
    </w:div>
    <w:div w:id="1527908422">
      <w:bodyDiv w:val="1"/>
      <w:marLeft w:val="0"/>
      <w:marRight w:val="0"/>
      <w:marTop w:val="0"/>
      <w:marBottom w:val="0"/>
      <w:divBdr>
        <w:top w:val="none" w:sz="0" w:space="0" w:color="auto"/>
        <w:left w:val="none" w:sz="0" w:space="0" w:color="auto"/>
        <w:bottom w:val="none" w:sz="0" w:space="0" w:color="auto"/>
        <w:right w:val="none" w:sz="0" w:space="0" w:color="auto"/>
      </w:divBdr>
    </w:div>
    <w:div w:id="1615751365">
      <w:bodyDiv w:val="1"/>
      <w:marLeft w:val="0"/>
      <w:marRight w:val="0"/>
      <w:marTop w:val="0"/>
      <w:marBottom w:val="0"/>
      <w:divBdr>
        <w:top w:val="none" w:sz="0" w:space="0" w:color="auto"/>
        <w:left w:val="none" w:sz="0" w:space="0" w:color="auto"/>
        <w:bottom w:val="none" w:sz="0" w:space="0" w:color="auto"/>
        <w:right w:val="none" w:sz="0" w:space="0" w:color="auto"/>
      </w:divBdr>
    </w:div>
    <w:div w:id="1759986962">
      <w:bodyDiv w:val="1"/>
      <w:marLeft w:val="0"/>
      <w:marRight w:val="0"/>
      <w:marTop w:val="0"/>
      <w:marBottom w:val="0"/>
      <w:divBdr>
        <w:top w:val="none" w:sz="0" w:space="0" w:color="auto"/>
        <w:left w:val="none" w:sz="0" w:space="0" w:color="auto"/>
        <w:bottom w:val="none" w:sz="0" w:space="0" w:color="auto"/>
        <w:right w:val="none" w:sz="0" w:space="0" w:color="auto"/>
      </w:divBdr>
    </w:div>
    <w:div w:id="1847020141">
      <w:bodyDiv w:val="1"/>
      <w:marLeft w:val="0"/>
      <w:marRight w:val="0"/>
      <w:marTop w:val="0"/>
      <w:marBottom w:val="0"/>
      <w:divBdr>
        <w:top w:val="none" w:sz="0" w:space="0" w:color="auto"/>
        <w:left w:val="none" w:sz="0" w:space="0" w:color="auto"/>
        <w:bottom w:val="none" w:sz="0" w:space="0" w:color="auto"/>
        <w:right w:val="none" w:sz="0" w:space="0" w:color="auto"/>
      </w:divBdr>
    </w:div>
    <w:div w:id="1900049124">
      <w:bodyDiv w:val="1"/>
      <w:marLeft w:val="0"/>
      <w:marRight w:val="0"/>
      <w:marTop w:val="0"/>
      <w:marBottom w:val="0"/>
      <w:divBdr>
        <w:top w:val="none" w:sz="0" w:space="0" w:color="auto"/>
        <w:left w:val="none" w:sz="0" w:space="0" w:color="auto"/>
        <w:bottom w:val="none" w:sz="0" w:space="0" w:color="auto"/>
        <w:right w:val="none" w:sz="0" w:space="0" w:color="auto"/>
      </w:divBdr>
    </w:div>
    <w:div w:id="1949509049">
      <w:bodyDiv w:val="1"/>
      <w:marLeft w:val="0"/>
      <w:marRight w:val="0"/>
      <w:marTop w:val="0"/>
      <w:marBottom w:val="0"/>
      <w:divBdr>
        <w:top w:val="none" w:sz="0" w:space="0" w:color="auto"/>
        <w:left w:val="none" w:sz="0" w:space="0" w:color="auto"/>
        <w:bottom w:val="none" w:sz="0" w:space="0" w:color="auto"/>
        <w:right w:val="none" w:sz="0" w:space="0" w:color="auto"/>
      </w:divBdr>
    </w:div>
    <w:div w:id="2034333323">
      <w:bodyDiv w:val="1"/>
      <w:marLeft w:val="0"/>
      <w:marRight w:val="0"/>
      <w:marTop w:val="0"/>
      <w:marBottom w:val="0"/>
      <w:divBdr>
        <w:top w:val="none" w:sz="0" w:space="0" w:color="auto"/>
        <w:left w:val="none" w:sz="0" w:space="0" w:color="auto"/>
        <w:bottom w:val="none" w:sz="0" w:space="0" w:color="auto"/>
        <w:right w:val="none" w:sz="0" w:space="0" w:color="auto"/>
      </w:divBdr>
    </w:div>
    <w:div w:id="2118940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footer" Target="footer4.xml"/><Relationship Id="rId34" Type="http://schemas.openxmlformats.org/officeDocument/2006/relationships/footer" Target="footer6.xml"/><Relationship Id="rId42" Type="http://schemas.openxmlformats.org/officeDocument/2006/relationships/footer" Target="footer7.xml"/><Relationship Id="rId47" Type="http://schemas.openxmlformats.org/officeDocument/2006/relationships/hyperlink" Target="https://ec.europa.eu/environment/ecolabel/how-to-apply-for-eu-ecolabel.html" TargetMode="External"/><Relationship Id="rId50" Type="http://schemas.openxmlformats.org/officeDocument/2006/relationships/image" Target="media/image14.png"/><Relationship Id="rId55" Type="http://schemas.openxmlformats.org/officeDocument/2006/relationships/image" Target="media/image19.png"/><Relationship Id="rId63" Type="http://schemas.openxmlformats.org/officeDocument/2006/relationships/header" Target="header12.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header" Target="header5.xml"/><Relationship Id="rId11" Type="http://schemas.openxmlformats.org/officeDocument/2006/relationships/webSettings" Target="webSettings.xml"/><Relationship Id="rId24" Type="http://schemas.openxmlformats.org/officeDocument/2006/relationships/image" Target="media/image4.png"/><Relationship Id="rId32" Type="http://schemas.openxmlformats.org/officeDocument/2006/relationships/header" Target="header7.xml"/><Relationship Id="rId37" Type="http://schemas.openxmlformats.org/officeDocument/2006/relationships/image" Target="media/image9.png"/><Relationship Id="rId40" Type="http://schemas.openxmlformats.org/officeDocument/2006/relationships/header" Target="header10.xml"/><Relationship Id="rId45" Type="http://schemas.openxmlformats.org/officeDocument/2006/relationships/image" Target="media/image12.png"/><Relationship Id="rId53" Type="http://schemas.openxmlformats.org/officeDocument/2006/relationships/image" Target="media/image17.png"/><Relationship Id="rId58" Type="http://schemas.openxmlformats.org/officeDocument/2006/relationships/hyperlink" Target="https://europa.eu/european-union/index_en" TargetMode="External"/><Relationship Id="rId66"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hyperlink" Target="http://eur-lex.europa.eu" TargetMode="External"/><Relationship Id="rId19" Type="http://schemas.openxmlformats.org/officeDocument/2006/relationships/footer" Target="footer3.xml"/><Relationship Id="rId14" Type="http://schemas.openxmlformats.org/officeDocument/2006/relationships/image" Target="media/image1.emf"/><Relationship Id="rId22" Type="http://schemas.openxmlformats.org/officeDocument/2006/relationships/header" Target="header4.xml"/><Relationship Id="rId27" Type="http://schemas.openxmlformats.org/officeDocument/2006/relationships/image" Target="media/image6.png"/><Relationship Id="rId30" Type="http://schemas.openxmlformats.org/officeDocument/2006/relationships/header" Target="header6.xml"/><Relationship Id="rId35" Type="http://schemas.openxmlformats.org/officeDocument/2006/relationships/header" Target="header9.xml"/><Relationship Id="rId43" Type="http://schemas.openxmlformats.org/officeDocument/2006/relationships/chart" Target="charts/chart2.xml"/><Relationship Id="rId48" Type="http://schemas.openxmlformats.org/officeDocument/2006/relationships/hyperlink" Target="https://ec.europa.eu/environment/ecolabel/how-to-apply-for-eu-ecolabel.html" TargetMode="External"/><Relationship Id="rId56" Type="http://schemas.openxmlformats.org/officeDocument/2006/relationships/hyperlink" Target="https://europa.eu/european-union/contact_en" TargetMode="External"/><Relationship Id="rId64" Type="http://schemas.openxmlformats.org/officeDocument/2006/relationships/footer" Target="footer8.xml"/><Relationship Id="rId8" Type="http://schemas.openxmlformats.org/officeDocument/2006/relationships/numbering" Target="numbering.xml"/><Relationship Id="rId51" Type="http://schemas.openxmlformats.org/officeDocument/2006/relationships/image" Target="media/image15.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footer" Target="footer2.xml"/><Relationship Id="rId25" Type="http://schemas.openxmlformats.org/officeDocument/2006/relationships/hyperlink" Target="file://net1.cec.eu.int/COMM/A/A1/Visual%20Communication/01_Visual%20Identity/04%20CORPORATE%20TEMPLATES/Word%20template/Rapport_template%20Word/(https:/creativecommons.org/licenses/by/4.0/)" TargetMode="External"/><Relationship Id="rId33" Type="http://schemas.openxmlformats.org/officeDocument/2006/relationships/header" Target="header8.xml"/><Relationship Id="rId38" Type="http://schemas.openxmlformats.org/officeDocument/2006/relationships/image" Target="media/image10.png"/><Relationship Id="rId46" Type="http://schemas.openxmlformats.org/officeDocument/2006/relationships/image" Target="media/image13.png"/><Relationship Id="rId59" Type="http://schemas.openxmlformats.org/officeDocument/2006/relationships/hyperlink" Target="https://op.europa.eu/en/publications" TargetMode="External"/><Relationship Id="rId20" Type="http://schemas.openxmlformats.org/officeDocument/2006/relationships/header" Target="header3.xml"/><Relationship Id="rId41" Type="http://schemas.openxmlformats.org/officeDocument/2006/relationships/header" Target="header11.xml"/><Relationship Id="rId54" Type="http://schemas.openxmlformats.org/officeDocument/2006/relationships/image" Target="media/image18.png"/><Relationship Id="rId62" Type="http://schemas.openxmlformats.org/officeDocument/2006/relationships/hyperlink" Target="http://data.europa.eu/euodp/en"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1.xml"/><Relationship Id="rId23" Type="http://schemas.openxmlformats.org/officeDocument/2006/relationships/hyperlink" Target="http://www.europa.eu" TargetMode="External"/><Relationship Id="rId28" Type="http://schemas.openxmlformats.org/officeDocument/2006/relationships/chart" Target="charts/chart1.xml"/><Relationship Id="rId36" Type="http://schemas.openxmlformats.org/officeDocument/2006/relationships/image" Target="media/image8.png"/><Relationship Id="rId49" Type="http://schemas.openxmlformats.org/officeDocument/2006/relationships/hyperlink" Target="https://ec.europa.eu/environment/ecolabel/documents/eu-ecolabel_fees.pdf" TargetMode="External"/><Relationship Id="rId57" Type="http://schemas.openxmlformats.org/officeDocument/2006/relationships/hyperlink" Target="https://europa.eu/european-union/contact_en" TargetMode="External"/><Relationship Id="rId10" Type="http://schemas.openxmlformats.org/officeDocument/2006/relationships/settings" Target="settings.xml"/><Relationship Id="rId31" Type="http://schemas.openxmlformats.org/officeDocument/2006/relationships/footer" Target="footer5.xml"/><Relationship Id="rId44" Type="http://schemas.openxmlformats.org/officeDocument/2006/relationships/chart" Target="charts/chart3.xml"/><Relationship Id="rId52" Type="http://schemas.openxmlformats.org/officeDocument/2006/relationships/image" Target="media/image16.png"/><Relationship Id="rId60" Type="http://schemas.openxmlformats.org/officeDocument/2006/relationships/hyperlink" Target="https://europa.eu/european-union/contact_en" TargetMode="Externa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header" Target="header2.xml"/><Relationship Id="rId39" Type="http://schemas.openxmlformats.org/officeDocument/2006/relationships/image" Target="media/image11.png"/></Relationships>
</file>

<file path=word/_rels/footer8.xml.rels><?xml version="1.0" encoding="UTF-8" standalone="yes"?>
<Relationships xmlns="http://schemas.openxmlformats.org/package/2006/relationships"><Relationship Id="rId1" Type="http://schemas.openxmlformats.org/officeDocument/2006/relationships/image" Target="media/image20.jpg"/></Relationships>
</file>

<file path=word/_rels/footnotes.xml.rels><?xml version="1.0" encoding="UTF-8" standalone="yes"?>
<Relationships xmlns="http://schemas.openxmlformats.org/package/2006/relationships"><Relationship Id="rId13" Type="http://schemas.openxmlformats.org/officeDocument/2006/relationships/hyperlink" Target="https://www.samsung.com/uk/support/mobile-devices/why-does-samsung-not-include-a-charger-in-the-box/" TargetMode="External"/><Relationship Id="rId18" Type="http://schemas.openxmlformats.org/officeDocument/2006/relationships/hyperlink" Target="https://op.europa.eu/en/publication-detail/-/publication/4b3e4ea8-4f44-4687-96e4-cd3264407c5b" TargetMode="External"/><Relationship Id="rId26" Type="http://schemas.openxmlformats.org/officeDocument/2006/relationships/hyperlink" Target="https://www.fairphone.com/en/" TargetMode="External"/><Relationship Id="rId39" Type="http://schemas.openxmlformats.org/officeDocument/2006/relationships/hyperlink" Target="https://www.apple.com/uk/newsroom/2021/03/apple-to-invest-over-1-billion-euros-in-germany-with-new-munich-campus/" TargetMode="External"/><Relationship Id="rId21" Type="http://schemas.openxmlformats.org/officeDocument/2006/relationships/hyperlink" Target="https://euipo.europa.eu/tunnel-web/secure/webdav/guest/document_library/observatory/documents/reports/2019_IP_Crime_Threat_Assessment_Report/2019_IP_Crime_Threat_Assessment_Report_Exec_Sum_EN.pdf" TargetMode="External"/><Relationship Id="rId34" Type="http://schemas.openxmlformats.org/officeDocument/2006/relationships/hyperlink" Target="https://www.digitaleurope.org/wp/wp-content/uploads/2019/12/RPA-Study-Common-Charger-2.0-final.pdf" TargetMode="External"/><Relationship Id="rId42" Type="http://schemas.openxmlformats.org/officeDocument/2006/relationships/hyperlink" Target="https://s2.q4cdn.com/470004039/files/doc_financials/2020/ar/_10-K-2020-(As-Filed).pdf" TargetMode="External"/><Relationship Id="rId47" Type="http://schemas.openxmlformats.org/officeDocument/2006/relationships/hyperlink" Target="https://www.goldsteinresearch.com/report/europe-gaming-console-market-share-analysis" TargetMode="External"/><Relationship Id="rId7" Type="http://schemas.openxmlformats.org/officeDocument/2006/relationships/hyperlink" Target="https://op.europa.eu/en/publication-detail/-/publication/c6fadfea-4641-11ea-b81b-01aa75ed71a1" TargetMode="External"/><Relationship Id="rId2" Type="http://schemas.openxmlformats.org/officeDocument/2006/relationships/hyperlink" Target="https://ec.europa.eu/growth/sectors/electrical-engineering/red-directive/common-charger_en" TargetMode="External"/><Relationship Id="rId16" Type="http://schemas.openxmlformats.org/officeDocument/2006/relationships/hyperlink" Target="https://www.clearrivers.eu/" TargetMode="External"/><Relationship Id="rId29" Type="http://schemas.openxmlformats.org/officeDocument/2006/relationships/hyperlink" Target="https://ec.europa.eu/info/law/better-regulation/have-your-say/initiatives/12798-Environmental-impact-of-mobile-phones-and-tablets-Energy-Labelling" TargetMode="External"/><Relationship Id="rId1" Type="http://schemas.openxmlformats.org/officeDocument/2006/relationships/hyperlink" Target="https://op.europa.eu/en/publication-detail/-/publication/c6fadfea-4641-11ea-b81b-01aa75ed71a1/language-en/format-PDF/source-172887101" TargetMode="External"/><Relationship Id="rId6" Type="http://schemas.openxmlformats.org/officeDocument/2006/relationships/hyperlink" Target="https://op.europa.eu/en/publication-detail/-/publication/c6fadfea-4641-11ea-b81b-01aa75ed71a1" TargetMode="External"/><Relationship Id="rId11" Type="http://schemas.openxmlformats.org/officeDocument/2006/relationships/hyperlink" Target="https://www.phonearena.com/news/apple-iphone-12-pro-magsafe-vs-20w-vs-18w-vs-5w-charging-speeds_id128110" TargetMode="External"/><Relationship Id="rId24" Type="http://schemas.openxmlformats.org/officeDocument/2006/relationships/hyperlink" Target="https://www.apple.com/es/shop/buy-iphone/iphone-12" TargetMode="External"/><Relationship Id="rId32" Type="http://schemas.openxmlformats.org/officeDocument/2006/relationships/hyperlink" Target="https://www.samsung.com/es/smartphones/galaxy-s21-5g/buy/" TargetMode="External"/><Relationship Id="rId37" Type="http://schemas.openxmlformats.org/officeDocument/2006/relationships/hyperlink" Target="https://s2.q4cdn.com/470004039/files/doc_financials/2020/ar/_10-K-2020-(As-Filed).pdf" TargetMode="External"/><Relationship Id="rId40" Type="http://schemas.openxmlformats.org/officeDocument/2006/relationships/hyperlink" Target="https://www.engadget.com/apple-brazil-fine-over-iphone-12-charger-171754262.html?guce_referrer=aHR0cHM6Ly93d3cyLnNtYXJ0YnJpZWYuY29tLw&amp;guce_referrer_sig=AQAAAKqtc2BHHwiLs3rMY0SKCrmUkyx5Q1vX4mx1DGNftiwJJv7iVLEnTZ59Eu6HwrGBoIaj410Q9k615LK2llxO_GqNwtPQGS6_1sFpBnWmMjolioWopsEsPhtPadZBzpS0Enz9cXi_WimTevGO0jOFYsbS8L-tM8gpUXkqymqJ7KnW&amp;_guc_consent_skip=1616713903" TargetMode="External"/><Relationship Id="rId45" Type="http://schemas.openxmlformats.org/officeDocument/2006/relationships/hyperlink" Target="https://www.procon.sp.gov.br/procon-sp-multa-apple/" TargetMode="External"/><Relationship Id="rId5" Type="http://schemas.openxmlformats.org/officeDocument/2006/relationships/hyperlink" Target="https://oeil.secure.europarl.europa.eu/oeil/popups/ficheprocedure.do?lang=en&amp;reference=2019/2983(RSP)" TargetMode="External"/><Relationship Id="rId15" Type="http://schemas.openxmlformats.org/officeDocument/2006/relationships/hyperlink" Target="https://urldefense.com/v3/__https:/www.nokia.com/phones/nokia-fast-wall-charger-18w__;!!Gajz09w!U0mxaIyvHqOjDKxeJvjLigAHbCpLAV5WRvrLPwClL2lE1Xr7Lsc-ZbR6Jl_tCYPz$" TargetMode="External"/><Relationship Id="rId23" Type="http://schemas.openxmlformats.org/officeDocument/2006/relationships/hyperlink" Target="https://infogram.com/2020-usb-fast-charging-tests-1h8n6mdkqjxm6xo" TargetMode="External"/><Relationship Id="rId28" Type="http://schemas.openxmlformats.org/officeDocument/2006/relationships/hyperlink" Target="https://ec.europa.eu/jrc/en/publication/guidance-assessment-material-efficiency-application-smartphones" TargetMode="External"/><Relationship Id="rId36" Type="http://schemas.openxmlformats.org/officeDocument/2006/relationships/hyperlink" Target="https://www.apple.com/supplier-responsibility/pdf/Apple-Supplier-List.pdf" TargetMode="External"/><Relationship Id="rId10" Type="http://schemas.openxmlformats.org/officeDocument/2006/relationships/hyperlink" Target="https://www.phonearena.com/news/Phones-fast-charging-speeds-comparison_id125026" TargetMode="External"/><Relationship Id="rId19" Type="http://schemas.openxmlformats.org/officeDocument/2006/relationships/hyperlink" Target="https://trade.ec.europa.eu/doclib/docs/2020/december/tradoc_159183.pdf" TargetMode="External"/><Relationship Id="rId31" Type="http://schemas.openxmlformats.org/officeDocument/2006/relationships/hyperlink" Target="https://www.apple.com/es/shop/buy-iphone/iphone-12" TargetMode="External"/><Relationship Id="rId44" Type="http://schemas.openxmlformats.org/officeDocument/2006/relationships/hyperlink" Target="https://www.digitaleurope.org/wp/wp-content/uploads/2019/01/Study%20for%20the%20introduction%20of%20an%20e-labelling%20scheme%20in%20the%20EU%20-%20CBA%20-%20final%20report%2021062018.pdf" TargetMode="External"/><Relationship Id="rId4" Type="http://schemas.openxmlformats.org/officeDocument/2006/relationships/hyperlink" Target="https://op.europa.eu/en/publication-detail/-/publication/c6fadfea-4641-11ea-b81b-01aa75ed71a1/language-en/format-PDF/source-172887101" TargetMode="External"/><Relationship Id="rId9" Type="http://schemas.openxmlformats.org/officeDocument/2006/relationships/hyperlink" Target="https://www.androidauthority.com/fastest-charging-phones-1013806/" TargetMode="External"/><Relationship Id="rId14" Type="http://schemas.openxmlformats.org/officeDocument/2006/relationships/hyperlink" Target="https://www.nokia.com/phones/en_gb/promise" TargetMode="External"/><Relationship Id="rId22" Type="http://schemas.openxmlformats.org/officeDocument/2006/relationships/hyperlink" Target="https://www.electricalsafetyfirst.org.uk/media/1119/counterfeit-and-imitation-apple-chargers.pdf" TargetMode="External"/><Relationship Id="rId27" Type="http://schemas.openxmlformats.org/officeDocument/2006/relationships/hyperlink" Target="https://www.usb.org/compliance" TargetMode="External"/><Relationship Id="rId30" Type="http://schemas.openxmlformats.org/officeDocument/2006/relationships/hyperlink" Target="https://www.eceee.org/static/media/uploads/site-2/ecodesign/products/televisions/tv-energylabelling-mars2019.pdf" TargetMode="External"/><Relationship Id="rId35" Type="http://schemas.openxmlformats.org/officeDocument/2006/relationships/hyperlink" Target="https://ec.europa.eu/growth/single-market/goods/building-blocks/conformity-assessment_en" TargetMode="External"/><Relationship Id="rId43" Type="http://schemas.openxmlformats.org/officeDocument/2006/relationships/hyperlink" Target="https://www.digitaleurope.org/wp/wp-content/uploads/2019/12/RPA-Study-Common-Charger-2.0-final.pdf" TargetMode="External"/><Relationship Id="rId8" Type="http://schemas.openxmlformats.org/officeDocument/2006/relationships/hyperlink" Target="https://op.europa.eu/en/publication-detail/-/publication/c6fadfea-4641-11ea-b81b-01aa75ed71a1" TargetMode="External"/><Relationship Id="rId3" Type="http://schemas.openxmlformats.org/officeDocument/2006/relationships/hyperlink" Target="https://www.digitaleurope.org/resources/memorandum-of-understanding-on-the-future-common-charging-solution-for-smartphones/" TargetMode="External"/><Relationship Id="rId12" Type="http://schemas.openxmlformats.org/officeDocument/2006/relationships/hyperlink" Target="https://www.apple.com/newsroom/2020/10/apple-introduces-iphone-12-pro-and-iphone-12-pro-max-with-5g/" TargetMode="External"/><Relationship Id="rId17" Type="http://schemas.openxmlformats.org/officeDocument/2006/relationships/hyperlink" Target="https://www.procon.sp.gov.br/procon-sp-multa-apple/" TargetMode="External"/><Relationship Id="rId25" Type="http://schemas.openxmlformats.org/officeDocument/2006/relationships/hyperlink" Target="https://www.samsung.com/es/smartphones/galaxy-s21-5g/buy/" TargetMode="External"/><Relationship Id="rId33" Type="http://schemas.openxmlformats.org/officeDocument/2006/relationships/hyperlink" Target="https://www.copenhageneconomics.com/dyn/resources/Publication/publicationPDF/3/523/1579859102/united-in-diversity_copenhagen-economics.pdf" TargetMode="External"/><Relationship Id="rId38" Type="http://schemas.openxmlformats.org/officeDocument/2006/relationships/hyperlink" Target="https://www.apple.com/newsroom/2021/04/apple-commits-430-billion-in-us-investments-over-five-years/" TargetMode="External"/><Relationship Id="rId46" Type="http://schemas.openxmlformats.org/officeDocument/2006/relationships/hyperlink" Target="https://www.usb.org/compliance" TargetMode="External"/><Relationship Id="rId20" Type="http://schemas.openxmlformats.org/officeDocument/2006/relationships/hyperlink" Target="https://trade.ec.europa.eu/doclib/docs/2020/december/tradoc_159183.pdf" TargetMode="External"/><Relationship Id="rId41" Type="http://schemas.openxmlformats.org/officeDocument/2006/relationships/hyperlink" Target="https://op.europa.eu/en/publication-detail/-/publication/4fe4ba23-68f6-439f-b982-5f56ef1b135d/language-en" TargetMode="External"/></Relationships>
</file>

<file path=word/_rels/header12.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DIaLOGIKa\Eurolook\Templates\Eurolook.do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ipsosgroup-my.sharepoint.com/personal/leonardo_zanobetti_ipsos_com/Documents/Documents/20-058953-01%20DG%20GROW%20chargers%202/11.%20Final%20report/Prob/2005895301%20Charger%20RAPEX%20INTERNAL%20USE%20ONLY.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ipsosgroup.ipsos.com\dfs\EMEA\United%20Kingdom\File\CES\18-066055-01_Chargers_Confidential\Stakeholder%20survey%20chargers2\Interim%20data\25Jan%20-%20Final\Clean%20Analysis_Frequency%20tables_25012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Graph!$A$9</c:f>
              <c:strCache>
                <c:ptCount val="1"/>
                <c:pt idx="0">
                  <c:v>Counterfeit</c:v>
                </c:pt>
              </c:strCache>
            </c:strRef>
          </c:tx>
          <c:spPr>
            <a:solidFill>
              <a:schemeClr val="accent1"/>
            </a:solidFill>
            <a:ln>
              <a:noFill/>
            </a:ln>
            <a:effectLst/>
          </c:spPr>
          <c:invertIfNegative val="0"/>
          <c:cat>
            <c:strRef>
              <c:f>Graph!$B$8:$I$8</c:f>
              <c:strCache>
                <c:ptCount val="8"/>
                <c:pt idx="0">
                  <c:v>2014</c:v>
                </c:pt>
                <c:pt idx="1">
                  <c:v>2015</c:v>
                </c:pt>
                <c:pt idx="2">
                  <c:v>2016</c:v>
                </c:pt>
                <c:pt idx="3">
                  <c:v>2017</c:v>
                </c:pt>
                <c:pt idx="4">
                  <c:v>2018</c:v>
                </c:pt>
                <c:pt idx="5">
                  <c:v>2019</c:v>
                </c:pt>
                <c:pt idx="6">
                  <c:v>2020</c:v>
                </c:pt>
                <c:pt idx="7">
                  <c:v>2021</c:v>
                </c:pt>
              </c:strCache>
            </c:strRef>
          </c:cat>
          <c:val>
            <c:numRef>
              <c:f>Graph!$B$9:$I$9</c:f>
              <c:numCache>
                <c:formatCode>General</c:formatCode>
                <c:ptCount val="8"/>
                <c:pt idx="3">
                  <c:v>1</c:v>
                </c:pt>
                <c:pt idx="5">
                  <c:v>7</c:v>
                </c:pt>
                <c:pt idx="6">
                  <c:v>2</c:v>
                </c:pt>
                <c:pt idx="7">
                  <c:v>1</c:v>
                </c:pt>
              </c:numCache>
            </c:numRef>
          </c:val>
          <c:extLst>
            <c:ext xmlns:c16="http://schemas.microsoft.com/office/drawing/2014/chart" uri="{C3380CC4-5D6E-409C-BE32-E72D297353CC}">
              <c16:uniqueId val="{00000000-784F-4EC9-B3C9-058EB60BB316}"/>
            </c:ext>
          </c:extLst>
        </c:ser>
        <c:ser>
          <c:idx val="1"/>
          <c:order val="1"/>
          <c:tx>
            <c:strRef>
              <c:f>Graph!$A$10</c:f>
              <c:strCache>
                <c:ptCount val="1"/>
                <c:pt idx="0">
                  <c:v>Original</c:v>
                </c:pt>
              </c:strCache>
            </c:strRef>
          </c:tx>
          <c:spPr>
            <a:solidFill>
              <a:schemeClr val="accent3"/>
            </a:solidFill>
            <a:ln>
              <a:noFill/>
            </a:ln>
            <a:effectLst/>
          </c:spPr>
          <c:invertIfNegative val="0"/>
          <c:cat>
            <c:strRef>
              <c:f>Graph!$B$8:$I$8</c:f>
              <c:strCache>
                <c:ptCount val="8"/>
                <c:pt idx="0">
                  <c:v>2014</c:v>
                </c:pt>
                <c:pt idx="1">
                  <c:v>2015</c:v>
                </c:pt>
                <c:pt idx="2">
                  <c:v>2016</c:v>
                </c:pt>
                <c:pt idx="3">
                  <c:v>2017</c:v>
                </c:pt>
                <c:pt idx="4">
                  <c:v>2018</c:v>
                </c:pt>
                <c:pt idx="5">
                  <c:v>2019</c:v>
                </c:pt>
                <c:pt idx="6">
                  <c:v>2020</c:v>
                </c:pt>
                <c:pt idx="7">
                  <c:v>2021</c:v>
                </c:pt>
              </c:strCache>
            </c:strRef>
          </c:cat>
          <c:val>
            <c:numRef>
              <c:f>Graph!$B$10:$I$10</c:f>
              <c:numCache>
                <c:formatCode>General</c:formatCode>
                <c:ptCount val="8"/>
                <c:pt idx="0">
                  <c:v>2</c:v>
                </c:pt>
                <c:pt idx="1">
                  <c:v>1</c:v>
                </c:pt>
                <c:pt idx="2">
                  <c:v>3</c:v>
                </c:pt>
                <c:pt idx="3">
                  <c:v>5</c:v>
                </c:pt>
                <c:pt idx="5">
                  <c:v>22</c:v>
                </c:pt>
                <c:pt idx="6">
                  <c:v>5</c:v>
                </c:pt>
              </c:numCache>
            </c:numRef>
          </c:val>
          <c:extLst>
            <c:ext xmlns:c16="http://schemas.microsoft.com/office/drawing/2014/chart" uri="{C3380CC4-5D6E-409C-BE32-E72D297353CC}">
              <c16:uniqueId val="{00000001-784F-4EC9-B3C9-058EB60BB316}"/>
            </c:ext>
          </c:extLst>
        </c:ser>
        <c:ser>
          <c:idx val="2"/>
          <c:order val="2"/>
          <c:tx>
            <c:strRef>
              <c:f>Graph!$A$11</c:f>
              <c:strCache>
                <c:ptCount val="1"/>
                <c:pt idx="0">
                  <c:v>Unknown</c:v>
                </c:pt>
              </c:strCache>
            </c:strRef>
          </c:tx>
          <c:spPr>
            <a:solidFill>
              <a:schemeClr val="accent5"/>
            </a:solidFill>
            <a:ln>
              <a:noFill/>
            </a:ln>
            <a:effectLst/>
          </c:spPr>
          <c:invertIfNegative val="0"/>
          <c:cat>
            <c:strRef>
              <c:f>Graph!$B$8:$I$8</c:f>
              <c:strCache>
                <c:ptCount val="8"/>
                <c:pt idx="0">
                  <c:v>2014</c:v>
                </c:pt>
                <c:pt idx="1">
                  <c:v>2015</c:v>
                </c:pt>
                <c:pt idx="2">
                  <c:v>2016</c:v>
                </c:pt>
                <c:pt idx="3">
                  <c:v>2017</c:v>
                </c:pt>
                <c:pt idx="4">
                  <c:v>2018</c:v>
                </c:pt>
                <c:pt idx="5">
                  <c:v>2019</c:v>
                </c:pt>
                <c:pt idx="6">
                  <c:v>2020</c:v>
                </c:pt>
                <c:pt idx="7">
                  <c:v>2021</c:v>
                </c:pt>
              </c:strCache>
            </c:strRef>
          </c:cat>
          <c:val>
            <c:numRef>
              <c:f>Graph!$B$11:$I$11</c:f>
              <c:numCache>
                <c:formatCode>General</c:formatCode>
                <c:ptCount val="8"/>
                <c:pt idx="0">
                  <c:v>5</c:v>
                </c:pt>
                <c:pt idx="1">
                  <c:v>3</c:v>
                </c:pt>
                <c:pt idx="2">
                  <c:v>9</c:v>
                </c:pt>
                <c:pt idx="3">
                  <c:v>23</c:v>
                </c:pt>
                <c:pt idx="4">
                  <c:v>21</c:v>
                </c:pt>
                <c:pt idx="5">
                  <c:v>21</c:v>
                </c:pt>
                <c:pt idx="6">
                  <c:v>14</c:v>
                </c:pt>
                <c:pt idx="7">
                  <c:v>14</c:v>
                </c:pt>
              </c:numCache>
            </c:numRef>
          </c:val>
          <c:extLst>
            <c:ext xmlns:c16="http://schemas.microsoft.com/office/drawing/2014/chart" uri="{C3380CC4-5D6E-409C-BE32-E72D297353CC}">
              <c16:uniqueId val="{00000002-784F-4EC9-B3C9-058EB60BB316}"/>
            </c:ext>
          </c:extLst>
        </c:ser>
        <c:dLbls>
          <c:showLegendKey val="0"/>
          <c:showVal val="0"/>
          <c:showCatName val="0"/>
          <c:showSerName val="0"/>
          <c:showPercent val="0"/>
          <c:showBubbleSize val="0"/>
        </c:dLbls>
        <c:gapWidth val="150"/>
        <c:overlap val="100"/>
        <c:axId val="104634431"/>
        <c:axId val="2120612175"/>
      </c:barChart>
      <c:lineChart>
        <c:grouping val="standard"/>
        <c:varyColors val="0"/>
        <c:ser>
          <c:idx val="3"/>
          <c:order val="3"/>
          <c:tx>
            <c:strRef>
              <c:f>Graph!$A$12</c:f>
              <c:strCache>
                <c:ptCount val="1"/>
              </c:strCache>
            </c:strRef>
          </c:tx>
          <c:spPr>
            <a:ln w="28575" cap="rnd">
              <a:no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Graph!$B$8:$I$8</c:f>
              <c:strCache>
                <c:ptCount val="8"/>
                <c:pt idx="0">
                  <c:v>2014</c:v>
                </c:pt>
                <c:pt idx="1">
                  <c:v>2015</c:v>
                </c:pt>
                <c:pt idx="2">
                  <c:v>2016</c:v>
                </c:pt>
                <c:pt idx="3">
                  <c:v>2017</c:v>
                </c:pt>
                <c:pt idx="4">
                  <c:v>2018</c:v>
                </c:pt>
                <c:pt idx="5">
                  <c:v>2019</c:v>
                </c:pt>
                <c:pt idx="6">
                  <c:v>2020</c:v>
                </c:pt>
                <c:pt idx="7">
                  <c:v>2021</c:v>
                </c:pt>
              </c:strCache>
            </c:strRef>
          </c:cat>
          <c:val>
            <c:numRef>
              <c:f>Graph!$B$12:$I$12</c:f>
              <c:numCache>
                <c:formatCode>General</c:formatCode>
                <c:ptCount val="8"/>
                <c:pt idx="0">
                  <c:v>7</c:v>
                </c:pt>
                <c:pt idx="1">
                  <c:v>4</c:v>
                </c:pt>
                <c:pt idx="2">
                  <c:v>12</c:v>
                </c:pt>
                <c:pt idx="3">
                  <c:v>29</c:v>
                </c:pt>
                <c:pt idx="4">
                  <c:v>21</c:v>
                </c:pt>
                <c:pt idx="5">
                  <c:v>50</c:v>
                </c:pt>
                <c:pt idx="6">
                  <c:v>21</c:v>
                </c:pt>
                <c:pt idx="7">
                  <c:v>15</c:v>
                </c:pt>
              </c:numCache>
            </c:numRef>
          </c:val>
          <c:smooth val="0"/>
          <c:extLst>
            <c:ext xmlns:c16="http://schemas.microsoft.com/office/drawing/2014/chart" uri="{C3380CC4-5D6E-409C-BE32-E72D297353CC}">
              <c16:uniqueId val="{00000003-784F-4EC9-B3C9-058EB60BB316}"/>
            </c:ext>
          </c:extLst>
        </c:ser>
        <c:dLbls>
          <c:showLegendKey val="0"/>
          <c:showVal val="0"/>
          <c:showCatName val="0"/>
          <c:showSerName val="0"/>
          <c:showPercent val="0"/>
          <c:showBubbleSize val="0"/>
        </c:dLbls>
        <c:marker val="1"/>
        <c:smooth val="0"/>
        <c:axId val="104634431"/>
        <c:axId val="2120612175"/>
      </c:lineChart>
      <c:catAx>
        <c:axId val="104634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2120612175"/>
        <c:crosses val="autoZero"/>
        <c:auto val="1"/>
        <c:lblAlgn val="ctr"/>
        <c:lblOffset val="100"/>
        <c:noMultiLvlLbl val="0"/>
      </c:catAx>
      <c:valAx>
        <c:axId val="21206121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Number of risk alerts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046344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'Charts for analysis'!$B$93</c:f>
              <c:strCache>
                <c:ptCount val="1"/>
                <c:pt idx="0">
                  <c:v>Very likely</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for analysis'!$A$94:$A$101</c:f>
              <c:strCache>
                <c:ptCount val="8"/>
                <c:pt idx="0">
                  <c:v>The market for EPS for mobile phones would become more competitive (i.e. more suppliers, increased pressure to reduce prices and/or offer better products).</c:v>
                </c:pt>
                <c:pt idx="1">
                  <c:v>Most mobile manufacturers would reduce the retail price of their branded stand-alone EPS (compared to the “pre-decoupling” price of an equivalent stand-alone EPS).</c:v>
                </c:pt>
                <c:pt idx="2">
                  <c:v>Most  mobile manufacturers would offer an EPS at a discount (compared to the normal stand-alone price) to customers purchasing a new mobile phone.</c:v>
                </c:pt>
                <c:pt idx="3">
                  <c:v>Most mobile manufacturers would offer a greater variety of EPS for purchase than would have been the case without decoupling.</c:v>
                </c:pt>
                <c:pt idx="4">
                  <c:v>In the short term (first 1-2 years after decoupling becomes obligatory), most major mobile manufacturers would reduce the retail price of their mobile phones (to compensate for the fact they no longer include an EPS).</c:v>
                </c:pt>
                <c:pt idx="5">
                  <c:v>In the medium to longer term (3-5 years after decoupling becomes obligatory), the average retail price of mobile phones would be lower than it would have been if EPS were still included in the box.</c:v>
                </c:pt>
                <c:pt idx="6">
                  <c:v>To comply with decoupling obligations, most mobile phone manufacturers would have to make significant changes to their business models and/or processes</c:v>
                </c:pt>
                <c:pt idx="7">
                  <c:v>To comply with decoupling obligations, most mobile phone distributors would have to make significant changes to their business models and/or processes.</c:v>
                </c:pt>
              </c:strCache>
            </c:strRef>
          </c:cat>
          <c:val>
            <c:numRef>
              <c:f>'Charts for analysis'!$B$94:$B$101</c:f>
              <c:numCache>
                <c:formatCode>0%</c:formatCode>
                <c:ptCount val="8"/>
                <c:pt idx="0">
                  <c:v>0.21428571428571427</c:v>
                </c:pt>
                <c:pt idx="1">
                  <c:v>0.10714285714285714</c:v>
                </c:pt>
                <c:pt idx="2">
                  <c:v>7.0000000000000007E-2</c:v>
                </c:pt>
                <c:pt idx="3">
                  <c:v>7.0000000000000007E-2</c:v>
                </c:pt>
                <c:pt idx="4">
                  <c:v>0.04</c:v>
                </c:pt>
                <c:pt idx="5">
                  <c:v>0.04</c:v>
                </c:pt>
                <c:pt idx="6">
                  <c:v>0.25</c:v>
                </c:pt>
                <c:pt idx="7">
                  <c:v>0.10714285714285714</c:v>
                </c:pt>
              </c:numCache>
            </c:numRef>
          </c:val>
          <c:extLst>
            <c:ext xmlns:c16="http://schemas.microsoft.com/office/drawing/2014/chart" uri="{C3380CC4-5D6E-409C-BE32-E72D297353CC}">
              <c16:uniqueId val="{00000000-2835-4CFE-9E21-F5F3F4B9DB38}"/>
            </c:ext>
          </c:extLst>
        </c:ser>
        <c:ser>
          <c:idx val="1"/>
          <c:order val="1"/>
          <c:tx>
            <c:strRef>
              <c:f>'Charts for analysis'!$C$93</c:f>
              <c:strCache>
                <c:ptCount val="1"/>
                <c:pt idx="0">
                  <c:v>Quite likely</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for analysis'!$A$94:$A$101</c:f>
              <c:strCache>
                <c:ptCount val="8"/>
                <c:pt idx="0">
                  <c:v>The market for EPS for mobile phones would become more competitive (i.e. more suppliers, increased pressure to reduce prices and/or offer better products).</c:v>
                </c:pt>
                <c:pt idx="1">
                  <c:v>Most mobile manufacturers would reduce the retail price of their branded stand-alone EPS (compared to the “pre-decoupling” price of an equivalent stand-alone EPS).</c:v>
                </c:pt>
                <c:pt idx="2">
                  <c:v>Most  mobile manufacturers would offer an EPS at a discount (compared to the normal stand-alone price) to customers purchasing a new mobile phone.</c:v>
                </c:pt>
                <c:pt idx="3">
                  <c:v>Most mobile manufacturers would offer a greater variety of EPS for purchase than would have been the case without decoupling.</c:v>
                </c:pt>
                <c:pt idx="4">
                  <c:v>In the short term (first 1-2 years after decoupling becomes obligatory), most major mobile manufacturers would reduce the retail price of their mobile phones (to compensate for the fact they no longer include an EPS).</c:v>
                </c:pt>
                <c:pt idx="5">
                  <c:v>In the medium to longer term (3-5 years after decoupling becomes obligatory), the average retail price of mobile phones would be lower than it would have been if EPS were still included in the box.</c:v>
                </c:pt>
                <c:pt idx="6">
                  <c:v>To comply with decoupling obligations, most mobile phone manufacturers would have to make significant changes to their business models and/or processes</c:v>
                </c:pt>
                <c:pt idx="7">
                  <c:v>To comply with decoupling obligations, most mobile phone distributors would have to make significant changes to their business models and/or processes.</c:v>
                </c:pt>
              </c:strCache>
            </c:strRef>
          </c:cat>
          <c:val>
            <c:numRef>
              <c:f>'Charts for analysis'!$C$94:$C$101</c:f>
              <c:numCache>
                <c:formatCode>0%</c:formatCode>
                <c:ptCount val="8"/>
                <c:pt idx="0">
                  <c:v>0.25</c:v>
                </c:pt>
                <c:pt idx="1">
                  <c:v>0.2857142857142857</c:v>
                </c:pt>
                <c:pt idx="2">
                  <c:v>0.21</c:v>
                </c:pt>
                <c:pt idx="3">
                  <c:v>0.18</c:v>
                </c:pt>
                <c:pt idx="4">
                  <c:v>0.18</c:v>
                </c:pt>
                <c:pt idx="5">
                  <c:v>0.25</c:v>
                </c:pt>
                <c:pt idx="6">
                  <c:v>0.17857142857142858</c:v>
                </c:pt>
                <c:pt idx="7">
                  <c:v>0.25</c:v>
                </c:pt>
              </c:numCache>
            </c:numRef>
          </c:val>
          <c:extLst>
            <c:ext xmlns:c16="http://schemas.microsoft.com/office/drawing/2014/chart" uri="{C3380CC4-5D6E-409C-BE32-E72D297353CC}">
              <c16:uniqueId val="{00000001-2835-4CFE-9E21-F5F3F4B9DB38}"/>
            </c:ext>
          </c:extLst>
        </c:ser>
        <c:ser>
          <c:idx val="2"/>
          <c:order val="2"/>
          <c:tx>
            <c:strRef>
              <c:f>'Charts for analysis'!$D$93</c:f>
              <c:strCache>
                <c:ptCount val="1"/>
                <c:pt idx="0">
                  <c:v>Quite unlikely</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for analysis'!$A$94:$A$101</c:f>
              <c:strCache>
                <c:ptCount val="8"/>
                <c:pt idx="0">
                  <c:v>The market for EPS for mobile phones would become more competitive (i.e. more suppliers, increased pressure to reduce prices and/or offer better products).</c:v>
                </c:pt>
                <c:pt idx="1">
                  <c:v>Most mobile manufacturers would reduce the retail price of their branded stand-alone EPS (compared to the “pre-decoupling” price of an equivalent stand-alone EPS).</c:v>
                </c:pt>
                <c:pt idx="2">
                  <c:v>Most  mobile manufacturers would offer an EPS at a discount (compared to the normal stand-alone price) to customers purchasing a new mobile phone.</c:v>
                </c:pt>
                <c:pt idx="3">
                  <c:v>Most mobile manufacturers would offer a greater variety of EPS for purchase than would have been the case without decoupling.</c:v>
                </c:pt>
                <c:pt idx="4">
                  <c:v>In the short term (first 1-2 years after decoupling becomes obligatory), most major mobile manufacturers would reduce the retail price of their mobile phones (to compensate for the fact they no longer include an EPS).</c:v>
                </c:pt>
                <c:pt idx="5">
                  <c:v>In the medium to longer term (3-5 years after decoupling becomes obligatory), the average retail price of mobile phones would be lower than it would have been if EPS were still included in the box.</c:v>
                </c:pt>
                <c:pt idx="6">
                  <c:v>To comply with decoupling obligations, most mobile phone manufacturers would have to make significant changes to their business models and/or processes</c:v>
                </c:pt>
                <c:pt idx="7">
                  <c:v>To comply with decoupling obligations, most mobile phone distributors would have to make significant changes to their business models and/or processes.</c:v>
                </c:pt>
              </c:strCache>
            </c:strRef>
          </c:cat>
          <c:val>
            <c:numRef>
              <c:f>'Charts for analysis'!$D$94:$D$101</c:f>
              <c:numCache>
                <c:formatCode>0%</c:formatCode>
                <c:ptCount val="8"/>
                <c:pt idx="0">
                  <c:v>0.32142857142857145</c:v>
                </c:pt>
                <c:pt idx="1">
                  <c:v>0.39285714285714285</c:v>
                </c:pt>
                <c:pt idx="2">
                  <c:v>0.43</c:v>
                </c:pt>
                <c:pt idx="3">
                  <c:v>0.61</c:v>
                </c:pt>
                <c:pt idx="4">
                  <c:v>0.39</c:v>
                </c:pt>
                <c:pt idx="5">
                  <c:v>0.32</c:v>
                </c:pt>
                <c:pt idx="6">
                  <c:v>0.2857142857142857</c:v>
                </c:pt>
                <c:pt idx="7">
                  <c:v>0.32142857142857145</c:v>
                </c:pt>
              </c:numCache>
            </c:numRef>
          </c:val>
          <c:extLst>
            <c:ext xmlns:c16="http://schemas.microsoft.com/office/drawing/2014/chart" uri="{C3380CC4-5D6E-409C-BE32-E72D297353CC}">
              <c16:uniqueId val="{00000002-2835-4CFE-9E21-F5F3F4B9DB38}"/>
            </c:ext>
          </c:extLst>
        </c:ser>
        <c:ser>
          <c:idx val="3"/>
          <c:order val="3"/>
          <c:tx>
            <c:strRef>
              <c:f>'Charts for analysis'!$E$93</c:f>
              <c:strCache>
                <c:ptCount val="1"/>
                <c:pt idx="0">
                  <c:v>Very unlikely</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for analysis'!$A$94:$A$101</c:f>
              <c:strCache>
                <c:ptCount val="8"/>
                <c:pt idx="0">
                  <c:v>The market for EPS for mobile phones would become more competitive (i.e. more suppliers, increased pressure to reduce prices and/or offer better products).</c:v>
                </c:pt>
                <c:pt idx="1">
                  <c:v>Most mobile manufacturers would reduce the retail price of their branded stand-alone EPS (compared to the “pre-decoupling” price of an equivalent stand-alone EPS).</c:v>
                </c:pt>
                <c:pt idx="2">
                  <c:v>Most  mobile manufacturers would offer an EPS at a discount (compared to the normal stand-alone price) to customers purchasing a new mobile phone.</c:v>
                </c:pt>
                <c:pt idx="3">
                  <c:v>Most mobile manufacturers would offer a greater variety of EPS for purchase than would have been the case without decoupling.</c:v>
                </c:pt>
                <c:pt idx="4">
                  <c:v>In the short term (first 1-2 years after decoupling becomes obligatory), most major mobile manufacturers would reduce the retail price of their mobile phones (to compensate for the fact they no longer include an EPS).</c:v>
                </c:pt>
                <c:pt idx="5">
                  <c:v>In the medium to longer term (3-5 years after decoupling becomes obligatory), the average retail price of mobile phones would be lower than it would have been if EPS were still included in the box.</c:v>
                </c:pt>
                <c:pt idx="6">
                  <c:v>To comply with decoupling obligations, most mobile phone manufacturers would have to make significant changes to their business models and/or processes</c:v>
                </c:pt>
                <c:pt idx="7">
                  <c:v>To comply with decoupling obligations, most mobile phone distributors would have to make significant changes to their business models and/or processes.</c:v>
                </c:pt>
              </c:strCache>
            </c:strRef>
          </c:cat>
          <c:val>
            <c:numRef>
              <c:f>'Charts for analysis'!$E$94:$E$101</c:f>
              <c:numCache>
                <c:formatCode>0%</c:formatCode>
                <c:ptCount val="8"/>
                <c:pt idx="0">
                  <c:v>0.10714285714285714</c:v>
                </c:pt>
                <c:pt idx="1">
                  <c:v>7.1428571428571425E-2</c:v>
                </c:pt>
                <c:pt idx="2">
                  <c:v>0.11</c:v>
                </c:pt>
                <c:pt idx="3">
                  <c:v>0.04</c:v>
                </c:pt>
                <c:pt idx="4">
                  <c:v>0.25</c:v>
                </c:pt>
                <c:pt idx="5">
                  <c:v>0.25</c:v>
                </c:pt>
                <c:pt idx="6">
                  <c:v>0.21428571428571427</c:v>
                </c:pt>
                <c:pt idx="7">
                  <c:v>0.21428571428571427</c:v>
                </c:pt>
              </c:numCache>
            </c:numRef>
          </c:val>
          <c:extLst>
            <c:ext xmlns:c16="http://schemas.microsoft.com/office/drawing/2014/chart" uri="{C3380CC4-5D6E-409C-BE32-E72D297353CC}">
              <c16:uniqueId val="{00000003-2835-4CFE-9E21-F5F3F4B9DB38}"/>
            </c:ext>
          </c:extLst>
        </c:ser>
        <c:ser>
          <c:idx val="4"/>
          <c:order val="4"/>
          <c:tx>
            <c:strRef>
              <c:f>'Charts for analysis'!$F$93</c:f>
              <c:strCache>
                <c:ptCount val="1"/>
                <c:pt idx="0">
                  <c:v>Don’t know</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for analysis'!$A$94:$A$101</c:f>
              <c:strCache>
                <c:ptCount val="8"/>
                <c:pt idx="0">
                  <c:v>The market for EPS for mobile phones would become more competitive (i.e. more suppliers, increased pressure to reduce prices and/or offer better products).</c:v>
                </c:pt>
                <c:pt idx="1">
                  <c:v>Most mobile manufacturers would reduce the retail price of their branded stand-alone EPS (compared to the “pre-decoupling” price of an equivalent stand-alone EPS).</c:v>
                </c:pt>
                <c:pt idx="2">
                  <c:v>Most  mobile manufacturers would offer an EPS at a discount (compared to the normal stand-alone price) to customers purchasing a new mobile phone.</c:v>
                </c:pt>
                <c:pt idx="3">
                  <c:v>Most mobile manufacturers would offer a greater variety of EPS for purchase than would have been the case without decoupling.</c:v>
                </c:pt>
                <c:pt idx="4">
                  <c:v>In the short term (first 1-2 years after decoupling becomes obligatory), most major mobile manufacturers would reduce the retail price of their mobile phones (to compensate for the fact they no longer include an EPS).</c:v>
                </c:pt>
                <c:pt idx="5">
                  <c:v>In the medium to longer term (3-5 years after decoupling becomes obligatory), the average retail price of mobile phones would be lower than it would have been if EPS were still included in the box.</c:v>
                </c:pt>
                <c:pt idx="6">
                  <c:v>To comply with decoupling obligations, most mobile phone manufacturers would have to make significant changes to their business models and/or processes</c:v>
                </c:pt>
                <c:pt idx="7">
                  <c:v>To comply with decoupling obligations, most mobile phone distributors would have to make significant changes to their business models and/or processes.</c:v>
                </c:pt>
              </c:strCache>
            </c:strRef>
          </c:cat>
          <c:val>
            <c:numRef>
              <c:f>'Charts for analysis'!$F$94:$F$101</c:f>
              <c:numCache>
                <c:formatCode>0%</c:formatCode>
                <c:ptCount val="8"/>
                <c:pt idx="0">
                  <c:v>0.10714285714285714</c:v>
                </c:pt>
                <c:pt idx="1">
                  <c:v>0.14285714285714285</c:v>
                </c:pt>
                <c:pt idx="2">
                  <c:v>0.18</c:v>
                </c:pt>
                <c:pt idx="3">
                  <c:v>0.11</c:v>
                </c:pt>
                <c:pt idx="4">
                  <c:v>0.14000000000000001</c:v>
                </c:pt>
                <c:pt idx="5">
                  <c:v>0.14000000000000001</c:v>
                </c:pt>
                <c:pt idx="6">
                  <c:v>7.1428571428571425E-2</c:v>
                </c:pt>
                <c:pt idx="7">
                  <c:v>0.10714285714285714</c:v>
                </c:pt>
              </c:numCache>
            </c:numRef>
          </c:val>
          <c:extLst>
            <c:ext xmlns:c16="http://schemas.microsoft.com/office/drawing/2014/chart" uri="{C3380CC4-5D6E-409C-BE32-E72D297353CC}">
              <c16:uniqueId val="{00000004-2835-4CFE-9E21-F5F3F4B9DB38}"/>
            </c:ext>
          </c:extLst>
        </c:ser>
        <c:dLbls>
          <c:dLblPos val="ctr"/>
          <c:showLegendKey val="0"/>
          <c:showVal val="1"/>
          <c:showCatName val="0"/>
          <c:showSerName val="0"/>
          <c:showPercent val="0"/>
          <c:showBubbleSize val="0"/>
        </c:dLbls>
        <c:gapWidth val="150"/>
        <c:overlap val="100"/>
        <c:axId val="803645744"/>
        <c:axId val="799390816"/>
      </c:barChart>
      <c:catAx>
        <c:axId val="8036457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799390816"/>
        <c:crosses val="autoZero"/>
        <c:auto val="1"/>
        <c:lblAlgn val="ctr"/>
        <c:lblOffset val="100"/>
        <c:noMultiLvlLbl val="0"/>
      </c:catAx>
      <c:valAx>
        <c:axId val="799390816"/>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a:t>Percentage of</a:t>
                </a:r>
                <a:r>
                  <a:rPr lang="en-GB" baseline="0"/>
                  <a:t> respondents</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03645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68357848437065"/>
          <c:y val="4.6758767268862911E-2"/>
          <c:w val="0.69933741537498717"/>
          <c:h val="0.85724451287372283"/>
        </c:manualLayout>
      </c:layout>
      <c:lineChart>
        <c:grouping val="standard"/>
        <c:varyColors val="0"/>
        <c:ser>
          <c:idx val="0"/>
          <c:order val="0"/>
          <c:tx>
            <c:strRef>
              <c:f>Comparison!$C$72</c:f>
              <c:strCache>
                <c:ptCount val="1"/>
                <c:pt idx="0">
                  <c:v>Baseline</c:v>
                </c:pt>
              </c:strCache>
            </c:strRef>
          </c:tx>
          <c:spPr>
            <a:ln w="28575" cap="rnd">
              <a:solidFill>
                <a:schemeClr val="accent1"/>
              </a:solidFill>
              <a:round/>
            </a:ln>
            <a:effectLst/>
          </c:spPr>
          <c:marker>
            <c:symbol val="none"/>
          </c:marker>
          <c:cat>
            <c:numRef>
              <c:f>Comparison!$D$71:$Q$71</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Comparison!$D$72:$Q$72</c:f>
              <c:numCache>
                <c:formatCode>#,##0</c:formatCode>
                <c:ptCount val="14"/>
                <c:pt idx="0">
                  <c:v>775.33587628295959</c:v>
                </c:pt>
                <c:pt idx="1">
                  <c:v>816.5426804578434</c:v>
                </c:pt>
                <c:pt idx="2">
                  <c:v>912.24471108500984</c:v>
                </c:pt>
                <c:pt idx="3">
                  <c:v>960.27328756432735</c:v>
                </c:pt>
                <c:pt idx="4">
                  <c:v>1018.3448130167842</c:v>
                </c:pt>
                <c:pt idx="5">
                  <c:v>1102.3555344274021</c:v>
                </c:pt>
                <c:pt idx="6">
                  <c:v>1142.1398356541547</c:v>
                </c:pt>
                <c:pt idx="7">
                  <c:v>1159.091140748036</c:v>
                </c:pt>
                <c:pt idx="8">
                  <c:v>1152.9613328841397</c:v>
                </c:pt>
                <c:pt idx="9">
                  <c:v>1146.4150192476054</c:v>
                </c:pt>
                <c:pt idx="10">
                  <c:v>1127.1721569050283</c:v>
                </c:pt>
                <c:pt idx="11">
                  <c:v>1108.1965804990643</c:v>
                </c:pt>
                <c:pt idx="12">
                  <c:v>1085.0789723620244</c:v>
                </c:pt>
                <c:pt idx="13">
                  <c:v>1059.007533654081</c:v>
                </c:pt>
              </c:numCache>
            </c:numRef>
          </c:val>
          <c:smooth val="0"/>
          <c:extLst>
            <c:ext xmlns:c16="http://schemas.microsoft.com/office/drawing/2014/chart" uri="{C3380CC4-5D6E-409C-BE32-E72D297353CC}">
              <c16:uniqueId val="{00000000-2667-4127-8E59-BB0927EC01C5}"/>
            </c:ext>
          </c:extLst>
        </c:ser>
        <c:ser>
          <c:idx val="1"/>
          <c:order val="1"/>
          <c:tx>
            <c:strRef>
              <c:f>Comparison!$C$73</c:f>
              <c:strCache>
                <c:ptCount val="1"/>
                <c:pt idx="0">
                  <c:v>PO1</c:v>
                </c:pt>
              </c:strCache>
            </c:strRef>
          </c:tx>
          <c:spPr>
            <a:ln w="28575" cap="rnd">
              <a:solidFill>
                <a:schemeClr val="accent2"/>
              </a:solidFill>
              <a:prstDash val="sysDash"/>
              <a:round/>
            </a:ln>
            <a:effectLst/>
          </c:spPr>
          <c:marker>
            <c:symbol val="none"/>
          </c:marker>
          <c:cat>
            <c:numRef>
              <c:f>Comparison!$D$71:$Q$71</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Comparison!$D$73:$Q$73</c:f>
              <c:numCache>
                <c:formatCode>General</c:formatCode>
                <c:ptCount val="14"/>
                <c:pt idx="5" formatCode="#,##0">
                  <c:v>1102.3555344274021</c:v>
                </c:pt>
                <c:pt idx="6" formatCode="#,##0">
                  <c:v>1147.9667246234937</c:v>
                </c:pt>
                <c:pt idx="7" formatCode="#,##0">
                  <c:v>1186.6309540353998</c:v>
                </c:pt>
                <c:pt idx="8" formatCode="#,##0">
                  <c:v>1176.5894436692452</c:v>
                </c:pt>
                <c:pt idx="9" formatCode="#,##0">
                  <c:v>1161.6092651500833</c:v>
                </c:pt>
                <c:pt idx="10" formatCode="#,##0">
                  <c:v>1142.9265152678092</c:v>
                </c:pt>
                <c:pt idx="11" formatCode="#,##0">
                  <c:v>1123.2499981817034</c:v>
                </c:pt>
                <c:pt idx="12" formatCode="#,##0">
                  <c:v>1099.3809001453244</c:v>
                </c:pt>
                <c:pt idx="13" formatCode="#,##0">
                  <c:v>1072.5127550719646</c:v>
                </c:pt>
              </c:numCache>
            </c:numRef>
          </c:val>
          <c:smooth val="0"/>
          <c:extLst>
            <c:ext xmlns:c16="http://schemas.microsoft.com/office/drawing/2014/chart" uri="{C3380CC4-5D6E-409C-BE32-E72D297353CC}">
              <c16:uniqueId val="{00000001-2667-4127-8E59-BB0927EC01C5}"/>
            </c:ext>
          </c:extLst>
        </c:ser>
        <c:ser>
          <c:idx val="2"/>
          <c:order val="2"/>
          <c:tx>
            <c:strRef>
              <c:f>Comparison!$C$74</c:f>
              <c:strCache>
                <c:ptCount val="1"/>
                <c:pt idx="0">
                  <c:v>PO2</c:v>
                </c:pt>
              </c:strCache>
            </c:strRef>
          </c:tx>
          <c:spPr>
            <a:ln w="28575" cap="rnd">
              <a:solidFill>
                <a:schemeClr val="accent3"/>
              </a:solidFill>
              <a:prstDash val="sysDash"/>
              <a:round/>
            </a:ln>
            <a:effectLst/>
          </c:spPr>
          <c:marker>
            <c:symbol val="none"/>
          </c:marker>
          <c:cat>
            <c:numRef>
              <c:f>Comparison!$D$71:$Q$71</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Comparison!$D$74:$Q$74</c:f>
              <c:numCache>
                <c:formatCode>General</c:formatCode>
                <c:ptCount val="14"/>
                <c:pt idx="5" formatCode="#,##0">
                  <c:v>1102.3555344274021</c:v>
                </c:pt>
                <c:pt idx="6" formatCode="#,##0">
                  <c:v>1144.9277616656809</c:v>
                </c:pt>
                <c:pt idx="7" formatCode="#,##0">
                  <c:v>1157.3990834526578</c:v>
                </c:pt>
                <c:pt idx="8" formatCode="#,##0">
                  <c:v>1147.1402621914106</c:v>
                </c:pt>
                <c:pt idx="9" formatCode="#,##0">
                  <c:v>1133.3436166975603</c:v>
                </c:pt>
                <c:pt idx="10" formatCode="#,##0">
                  <c:v>1114.9517642037483</c:v>
                </c:pt>
                <c:pt idx="11" formatCode="#,##0">
                  <c:v>1095.6905059398068</c:v>
                </c:pt>
                <c:pt idx="12" formatCode="#,##0">
                  <c:v>1072.4196898969585</c:v>
                </c:pt>
                <c:pt idx="13" formatCode="#,##0">
                  <c:v>1046.2607289420048</c:v>
                </c:pt>
              </c:numCache>
            </c:numRef>
          </c:val>
          <c:smooth val="0"/>
          <c:extLst>
            <c:ext xmlns:c16="http://schemas.microsoft.com/office/drawing/2014/chart" uri="{C3380CC4-5D6E-409C-BE32-E72D297353CC}">
              <c16:uniqueId val="{00000002-2667-4127-8E59-BB0927EC01C5}"/>
            </c:ext>
          </c:extLst>
        </c:ser>
        <c:ser>
          <c:idx val="3"/>
          <c:order val="3"/>
          <c:tx>
            <c:strRef>
              <c:f>Comparison!$C$75</c:f>
              <c:strCache>
                <c:ptCount val="1"/>
                <c:pt idx="0">
                  <c:v>PO3</c:v>
                </c:pt>
              </c:strCache>
            </c:strRef>
          </c:tx>
          <c:spPr>
            <a:ln w="28575" cap="rnd">
              <a:solidFill>
                <a:srgbClr val="92D050"/>
              </a:solidFill>
              <a:prstDash val="sysDash"/>
              <a:round/>
            </a:ln>
            <a:effectLst/>
          </c:spPr>
          <c:marker>
            <c:symbol val="none"/>
          </c:marker>
          <c:cat>
            <c:numRef>
              <c:f>Comparison!$D$71:$Q$71</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Comparison!$D$75:$Q$75</c:f>
              <c:numCache>
                <c:formatCode>General</c:formatCode>
                <c:ptCount val="14"/>
                <c:pt idx="5" formatCode="#,##0">
                  <c:v>1102.3555344274021</c:v>
                </c:pt>
                <c:pt idx="6" formatCode="#,##0">
                  <c:v>1144.9277616656809</c:v>
                </c:pt>
                <c:pt idx="7" formatCode="#,##0">
                  <c:v>1186.3201464696901</c:v>
                </c:pt>
                <c:pt idx="8" formatCode="#,##0">
                  <c:v>1174.7516952539552</c:v>
                </c:pt>
                <c:pt idx="9" formatCode="#,##0">
                  <c:v>1159.6914205628398</c:v>
                </c:pt>
                <c:pt idx="10" formatCode="#,##0">
                  <c:v>1140.0763179541375</c:v>
                </c:pt>
                <c:pt idx="11" formatCode="#,##0">
                  <c:v>1119.627609397369</c:v>
                </c:pt>
                <c:pt idx="12" formatCode="#,##0">
                  <c:v>1095.2013586469411</c:v>
                </c:pt>
                <c:pt idx="13" formatCode="#,##0">
                  <c:v>1067.9158117929298</c:v>
                </c:pt>
              </c:numCache>
            </c:numRef>
          </c:val>
          <c:smooth val="0"/>
          <c:extLst>
            <c:ext xmlns:c16="http://schemas.microsoft.com/office/drawing/2014/chart" uri="{C3380CC4-5D6E-409C-BE32-E72D297353CC}">
              <c16:uniqueId val="{00000003-2667-4127-8E59-BB0927EC01C5}"/>
            </c:ext>
          </c:extLst>
        </c:ser>
        <c:ser>
          <c:idx val="4"/>
          <c:order val="4"/>
          <c:tx>
            <c:strRef>
              <c:f>Comparison!$C$76</c:f>
              <c:strCache>
                <c:ptCount val="1"/>
                <c:pt idx="0">
                  <c:v>PO4a</c:v>
                </c:pt>
              </c:strCache>
            </c:strRef>
          </c:tx>
          <c:spPr>
            <a:ln w="28575" cap="rnd">
              <a:solidFill>
                <a:schemeClr val="accent5">
                  <a:lumMod val="75000"/>
                </a:schemeClr>
              </a:solidFill>
              <a:prstDash val="sysDash"/>
              <a:round/>
            </a:ln>
            <a:effectLst/>
          </c:spPr>
          <c:marker>
            <c:symbol val="none"/>
          </c:marker>
          <c:cat>
            <c:numRef>
              <c:f>Comparison!$D$71:$Q$71</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Comparison!$D$76:$Q$76</c:f>
              <c:numCache>
                <c:formatCode>General</c:formatCode>
                <c:ptCount val="14"/>
                <c:pt idx="5" formatCode="#,##0">
                  <c:v>1102.3555344274021</c:v>
                </c:pt>
                <c:pt idx="6" formatCode="#,##0">
                  <c:v>1142.1398356541547</c:v>
                </c:pt>
                <c:pt idx="7" formatCode="#,##0">
                  <c:v>1044.9861910805716</c:v>
                </c:pt>
                <c:pt idx="8" formatCode="#,##0">
                  <c:v>1043.0478267457545</c:v>
                </c:pt>
                <c:pt idx="9" formatCode="#,##0">
                  <c:v>1040.7574861283674</c:v>
                </c:pt>
                <c:pt idx="10" formatCode="#,##0">
                  <c:v>1027.2382647784632</c:v>
                </c:pt>
                <c:pt idx="11" formatCode="#,##0">
                  <c:v>1013.75422257717</c:v>
                </c:pt>
                <c:pt idx="12" formatCode="#,##0">
                  <c:v>995.19066249731804</c:v>
                </c:pt>
                <c:pt idx="13" formatCode="#,##0">
                  <c:v>973.54416426580974</c:v>
                </c:pt>
              </c:numCache>
            </c:numRef>
          </c:val>
          <c:smooth val="0"/>
          <c:extLst>
            <c:ext xmlns:c16="http://schemas.microsoft.com/office/drawing/2014/chart" uri="{C3380CC4-5D6E-409C-BE32-E72D297353CC}">
              <c16:uniqueId val="{00000004-2667-4127-8E59-BB0927EC01C5}"/>
            </c:ext>
          </c:extLst>
        </c:ser>
        <c:ser>
          <c:idx val="5"/>
          <c:order val="5"/>
          <c:tx>
            <c:strRef>
              <c:f>Comparison!$C$77</c:f>
              <c:strCache>
                <c:ptCount val="1"/>
                <c:pt idx="0">
                  <c:v>PO4b</c:v>
                </c:pt>
              </c:strCache>
            </c:strRef>
          </c:tx>
          <c:spPr>
            <a:ln w="28575" cap="rnd">
              <a:solidFill>
                <a:srgbClr val="00B0F0"/>
              </a:solidFill>
              <a:prstDash val="sysDash"/>
              <a:round/>
            </a:ln>
            <a:effectLst/>
          </c:spPr>
          <c:marker>
            <c:symbol val="none"/>
          </c:marker>
          <c:cat>
            <c:numRef>
              <c:f>Comparison!$D$71:$Q$71</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Comparison!$D$77:$Q$77</c:f>
              <c:numCache>
                <c:formatCode>General</c:formatCode>
                <c:ptCount val="14"/>
                <c:pt idx="5" formatCode="#,##0">
                  <c:v>1102.3555344274021</c:v>
                </c:pt>
                <c:pt idx="6" formatCode="#,##0">
                  <c:v>1142.1398356541547</c:v>
                </c:pt>
                <c:pt idx="7" formatCode="#,##0">
                  <c:v>919.2437628892784</c:v>
                </c:pt>
                <c:pt idx="8" formatCode="#,##0">
                  <c:v>916.96279834531128</c:v>
                </c:pt>
                <c:pt idx="9" formatCode="#,##0">
                  <c:v>914.26089440342275</c:v>
                </c:pt>
                <c:pt idx="10" formatCode="#,##0">
                  <c:v>902.49445431075151</c:v>
                </c:pt>
                <c:pt idx="11" formatCode="#,##0">
                  <c:v>890.67087183668116</c:v>
                </c:pt>
                <c:pt idx="12" formatCode="#,##0">
                  <c:v>873.68638138803135</c:v>
                </c:pt>
                <c:pt idx="13" formatCode="#,##0">
                  <c:v>853.54663338977718</c:v>
                </c:pt>
              </c:numCache>
            </c:numRef>
          </c:val>
          <c:smooth val="0"/>
          <c:extLst>
            <c:ext xmlns:c16="http://schemas.microsoft.com/office/drawing/2014/chart" uri="{C3380CC4-5D6E-409C-BE32-E72D297353CC}">
              <c16:uniqueId val="{00000005-2667-4127-8E59-BB0927EC01C5}"/>
            </c:ext>
          </c:extLst>
        </c:ser>
        <c:ser>
          <c:idx val="6"/>
          <c:order val="6"/>
          <c:tx>
            <c:strRef>
              <c:f>Comparison!$C$78</c:f>
              <c:strCache>
                <c:ptCount val="1"/>
                <c:pt idx="0">
                  <c:v>PO5</c:v>
                </c:pt>
              </c:strCache>
            </c:strRef>
          </c:tx>
          <c:spPr>
            <a:ln w="28575" cap="rnd">
              <a:solidFill>
                <a:schemeClr val="accent4">
                  <a:lumMod val="75000"/>
                </a:schemeClr>
              </a:solidFill>
              <a:prstDash val="sysDash"/>
              <a:round/>
            </a:ln>
            <a:effectLst/>
          </c:spPr>
          <c:marker>
            <c:symbol val="none"/>
          </c:marker>
          <c:cat>
            <c:numRef>
              <c:f>Comparison!$D$71:$Q$71</c:f>
              <c:numCache>
                <c:formatCode>General</c:formatCode>
                <c:ptCount val="14"/>
                <c:pt idx="0">
                  <c:v>2017</c:v>
                </c:pt>
                <c:pt idx="1">
                  <c:v>2018</c:v>
                </c:pt>
                <c:pt idx="2">
                  <c:v>2019</c:v>
                </c:pt>
                <c:pt idx="3">
                  <c:v>2020</c:v>
                </c:pt>
                <c:pt idx="4">
                  <c:v>2021</c:v>
                </c:pt>
                <c:pt idx="5">
                  <c:v>2022</c:v>
                </c:pt>
                <c:pt idx="6">
                  <c:v>2023</c:v>
                </c:pt>
                <c:pt idx="7">
                  <c:v>2024</c:v>
                </c:pt>
                <c:pt idx="8">
                  <c:v>2025</c:v>
                </c:pt>
                <c:pt idx="9">
                  <c:v>2026</c:v>
                </c:pt>
                <c:pt idx="10">
                  <c:v>2027</c:v>
                </c:pt>
                <c:pt idx="11">
                  <c:v>2028</c:v>
                </c:pt>
                <c:pt idx="12">
                  <c:v>2029</c:v>
                </c:pt>
                <c:pt idx="13">
                  <c:v>2030</c:v>
                </c:pt>
              </c:numCache>
            </c:numRef>
          </c:cat>
          <c:val>
            <c:numRef>
              <c:f>Comparison!$D$78:$Q$78</c:f>
              <c:numCache>
                <c:formatCode>General</c:formatCode>
                <c:ptCount val="14"/>
                <c:pt idx="5" formatCode="#,##0">
                  <c:v>1102.3555344274021</c:v>
                </c:pt>
                <c:pt idx="6" formatCode="#,##0">
                  <c:v>1142.1398356541547</c:v>
                </c:pt>
                <c:pt idx="7" formatCode="#,##0">
                  <c:v>1147.9055569311311</c:v>
                </c:pt>
                <c:pt idx="8" formatCode="#,##0">
                  <c:v>1141.8070661145357</c:v>
                </c:pt>
                <c:pt idx="9" formatCode="#,##0">
                  <c:v>1135.3030580262107</c:v>
                </c:pt>
                <c:pt idx="10" formatCode="#,##0">
                  <c:v>1116.2082797355415</c:v>
                </c:pt>
                <c:pt idx="11" formatCode="#,##0">
                  <c:v>1097.3850522474152</c:v>
                </c:pt>
                <c:pt idx="12" formatCode="#,##0">
                  <c:v>1074.4966473684192</c:v>
                </c:pt>
                <c:pt idx="13" formatCode="#,##0">
                  <c:v>1048.7119928644165</c:v>
                </c:pt>
              </c:numCache>
            </c:numRef>
          </c:val>
          <c:smooth val="0"/>
          <c:extLst>
            <c:ext xmlns:c16="http://schemas.microsoft.com/office/drawing/2014/chart" uri="{C3380CC4-5D6E-409C-BE32-E72D297353CC}">
              <c16:uniqueId val="{00000006-2667-4127-8E59-BB0927EC01C5}"/>
            </c:ext>
          </c:extLst>
        </c:ser>
        <c:dLbls>
          <c:showLegendKey val="0"/>
          <c:showVal val="0"/>
          <c:showCatName val="0"/>
          <c:showSerName val="0"/>
          <c:showPercent val="0"/>
          <c:showBubbleSize val="0"/>
        </c:dLbls>
        <c:smooth val="0"/>
        <c:axId val="887475295"/>
        <c:axId val="887475711"/>
      </c:lineChart>
      <c:catAx>
        <c:axId val="887475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7475711"/>
        <c:crosses val="autoZero"/>
        <c:auto val="1"/>
        <c:lblAlgn val="ctr"/>
        <c:lblOffset val="100"/>
        <c:noMultiLvlLbl val="0"/>
      </c:catAx>
      <c:valAx>
        <c:axId val="887475711"/>
        <c:scaling>
          <c:orientation val="minMax"/>
          <c:min val="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ktCO</a:t>
                </a:r>
                <a:r>
                  <a:rPr lang="en-US" baseline="-25000"/>
                  <a:t>2</a:t>
                </a:r>
                <a:r>
                  <a:rPr lang="en-US"/>
                  <a:t>e</a:t>
                </a:r>
              </a:p>
            </c:rich>
          </c:tx>
          <c:layout>
            <c:manualLayout>
              <c:xMode val="edge"/>
              <c:yMode val="edge"/>
              <c:x val="2.2326412145568207E-2"/>
              <c:y val="6.1608441346532025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7475295"/>
        <c:crosses val="autoZero"/>
        <c:crossBetween val="between"/>
      </c:valAx>
      <c:spPr>
        <a:noFill/>
        <a:ln>
          <a:noFill/>
        </a:ln>
        <a:effectLst/>
      </c:spPr>
    </c:plotArea>
    <c:legend>
      <c:legendPos val="r"/>
      <c:layout>
        <c:manualLayout>
          <c:xMode val="edge"/>
          <c:yMode val="edge"/>
          <c:x val="0.82766123980534068"/>
          <c:y val="0.22823802365726523"/>
          <c:w val="0.15889670734975112"/>
          <c:h val="0.4190120304814874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Template">
      <a:dk1>
        <a:sysClr val="windowText" lastClr="000000"/>
      </a:dk1>
      <a:lt1>
        <a:sysClr val="window" lastClr="FFFFFF"/>
      </a:lt1>
      <a:dk2>
        <a:srgbClr val="0C4DA2"/>
      </a:dk2>
      <a:lt2>
        <a:srgbClr val="EEECE1"/>
      </a:lt2>
      <a:accent1>
        <a:srgbClr val="E76C53"/>
      </a:accent1>
      <a:accent2>
        <a:srgbClr val="FFC000"/>
      </a:accent2>
      <a:accent3>
        <a:srgbClr val="ED8D2F"/>
      </a:accent3>
      <a:accent4>
        <a:srgbClr val="1EC08A"/>
      </a:accent4>
      <a:accent5>
        <a:srgbClr val="4BC5DE"/>
      </a:accent5>
      <a:accent6>
        <a:srgbClr val="1E858B"/>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Trinomics">
    <a:dk1>
      <a:srgbClr val="000000"/>
    </a:dk1>
    <a:lt1>
      <a:srgbClr val="FFFFFF"/>
    </a:lt1>
    <a:dk2>
      <a:srgbClr val="000000"/>
    </a:dk2>
    <a:lt2>
      <a:srgbClr val="FFFFFF"/>
    </a:lt2>
    <a:accent1>
      <a:srgbClr val="002C54"/>
    </a:accent1>
    <a:accent2>
      <a:srgbClr val="005962"/>
    </a:accent2>
    <a:accent3>
      <a:srgbClr val="F04E30"/>
    </a:accent3>
    <a:accent4>
      <a:srgbClr val="B2CECD"/>
    </a:accent4>
    <a:accent5>
      <a:srgbClr val="FFE3A6"/>
    </a:accent5>
    <a:accent6>
      <a:srgbClr val="000000"/>
    </a:accent6>
    <a:hlink>
      <a:srgbClr val="0039A6"/>
    </a:hlink>
    <a:folHlink>
      <a:srgbClr val="6688CA"/>
    </a:folHlink>
  </a:clrScheme>
  <a:fontScheme name="Trebuchet MS">
    <a:majorFont>
      <a:latin typeface="Trebuchet MS" panose="020B0603020202020204"/>
      <a:ea typeface=""/>
      <a:cs typeface=""/>
      <a:font script="Jpan" typeface="HGｺﾞｼｯｸM"/>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7D3B914211DA4690539851AF11284A" ma:contentTypeVersion="18" ma:contentTypeDescription="Create a new document." ma:contentTypeScope="" ma:versionID="31a608db3f0edf3804413dffd3b51692">
  <xsd:schema xmlns:xsd="http://www.w3.org/2001/XMLSchema" xmlns:xs="http://www.w3.org/2001/XMLSchema" xmlns:p="http://schemas.microsoft.com/office/2006/metadata/properties" xmlns:ns2="25b506d0-762b-47aa-adb6-8b80fc2be8cf" xmlns:ns3="14cfccfe-d05c-4ace-ac9c-889a36918eb7" targetNamespace="http://schemas.microsoft.com/office/2006/metadata/properties" ma:root="true" ma:fieldsID="419fb34aa60f57d0f17434f66b929f18" ns2:_="" ns3:_="">
    <xsd:import namespace="25b506d0-762b-47aa-adb6-8b80fc2be8cf"/>
    <xsd:import namespace="14cfccfe-d05c-4ace-ac9c-889a36918eb7"/>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Version0" minOccurs="0"/>
                <xsd:element ref="ns3:Version_x003a_Version" minOccurs="0"/>
                <xsd:element ref="ns3:Member"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b506d0-762b-47aa-adb6-8b80fc2be8c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14cfccfe-d05c-4ace-ac9c-889a36918eb7"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Version0" ma:index="22" nillable="true" ma:displayName="Version" ma:list="{727145e8-1f71-402e-9ff5-87f3840ee372}" ma:internalName="Version0" ma:showField="Title">
      <xsd:simpleType>
        <xsd:restriction base="dms:Lookup"/>
      </xsd:simpleType>
    </xsd:element>
    <xsd:element name="Version_x003a_Version" ma:index="23" nillable="true" ma:displayName="Version:Version" ma:list="{727145e8-1f71-402e-9ff5-87f3840ee372}" ma:internalName="Version_x003a_Version" ma:readOnly="true" ma:showField="_UIVersionString" ma:web="25b506d0-762b-47aa-adb6-8b80fc2be8cf">
      <xsd:simpleType>
        <xsd:restriction base="dms:Lookup"/>
      </xsd:simpleType>
    </xsd:element>
    <xsd:element name="Member" ma:index="24" nillable="true" ma:displayName="Member" ma:format="Dropdown" ma:list="UserInfo" ma:SharePointGroup="0" ma:internalName="Memb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LengthInSeconds" ma:index="25"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Version0 xmlns="14cfccfe-d05c-4ace-ac9c-889a36918eb7" xsi:nil="true"/>
    <Member xmlns="14cfccfe-d05c-4ace-ac9c-889a36918eb7">
      <UserInfo>
        <DisplayName/>
        <AccountId xsi:nil="true"/>
        <AccountType/>
      </UserInfo>
    </Member>
  </documentManagement>
</p:properties>
</file>

<file path=customXml/item4.xml><?xml version="1.0" encoding="utf-8"?>
<Texts>
  <SecurityPharma>Pharma investigations</SecurityPharma>
  <MarkingUntilText>UNTIL</MarkingUntilText>
  <TOCHeading>Table des matières</TOCHeading>
  <FooterOffice>Bureau:</FooterOffice>
  <SecurityMediationServiceMatter>Mediation service</SecurityMediationServiceMatter>
  <LabelPictureSeq>Figure {SEQ Picture \* ARABIC } –</LabelPictureSeq>
  <SecurityEconomyAndFinance>Economy and Finance</SecurityEconomyAndFinance>
  <COMPFootnoteText>{field:HYPERLINK "https://myintracomm.ec.europa.eu/corp/security/EN/newDS3/SensitiveInformation/Pages/SPECIAL-HANDLING-INFORMATION-DG-COMP.aspx?ln=en" |https://www.europa.eu/handling_instructions}</COMPFootnoteText>
  <LabelSource>Source</LabelSource>
  <SecurityOlafInvestigations>OLAF investigations</SecurityOlafInvestigations>
  <TechHistoryCreatedBy>Document créé par</TechHistoryCreatedBy>
  <SpecialHandlingClima>CLIMA</SpecialHandlingClima>
  <ETSHandlingFootnote>https://myintracomm.ec.europa.eu/corp/security/EN/newDS3/SensitiveInformation/Pages/default.aspx</ETSHandlingFootnote>
  <CLIMAfootnotetext>{field:HYPERLINK "https://myintracomm.ec.europa.eu/corp/security/EN/newDS3/SensitiveInformation/Pages/SPECIAL-HANDLING-INFORMATION-DG-CLIMA.aspx?ln=en" |https://www.europa.eu/handling_instructions}</CLIMAfootnotetext>
  <FooterFax>Fax</FooterFax>
  <FooterPhone>Tél. ligne directe</FooterPhone>
  <CourtProceduralDocuments>Documents de procédure juridictionnelle</CourtProceduralDocuments>
  <SensitiveHandling>Handling instructions for SENSITIVE information are given at </SensitiveHandling>
  <SensitiveFootnoteHyperlink>{field:HYPERLINK "https://europa.eu/!db43PX" |https://europa.eu/!db43PX}</SensitiveFootnoteHyperlink>
  <SecurityOlafSpecialHandling>OLAF Investigations</SecurityOlafSpecialHandling>
  <ClimaSensitive>CLIMA</ClimaSensitive>
  <SecurityOpinionLegalService>Avis du Service Juridique</SecurityOpinionLegalService>
  <AddresseeTo>Destinataire:</AddresseeTo>
  <SecurityMedicalSecret>Secret médical</SecurityMedicalSecret>
  <EconomyFinanceHandling>{field:HYPERLINK "https://myintracomm.ec.europa.eu/corp/security/EN/newDS3/SensitiveInformation/Pages/SPECIAL-HANDLING-INFORMATION-DG-ECFIN.aspx?ln=en" |https://www.europa.eu/handling_instructions}</EconomyFinanceHandling>
  <TechHistoryDate>Date</TechHistoryDate>
  <SensitiveLabel>Sensitive</SensitiveLabel>
  <OLAFHandlingInstructions>{field:HYPERLINK "https://myintracomm.ec.europa.eu/corp/security/EN/newDS3/SensitiveInformation/Pages/SPECIAL-HANDLING-INFORMATION-OLAF-Investigations.aspx?ln=en" |https://www.europa.eu/handling_instructions}</OLAFHandlingInstructions>
  <SecurityInvestigationsDisciplinary>Enquêtes et affaires disciplinaires</SecurityInvestigationsDisciplinary>
  <Contacts>Personnes à contacter:</Contacts>
  <SpecialHandlingLabel>Special Handling</SpecialHandlingLabel>
  <SecurityCompOperations>COMP Operations</SecurityCompOperations>
  <SecurityReleasable>RELEASABLE TO:</SecurityReleasable>
  <SecuritySecurityMatter>Question de sécurité</SecuritySecurityMatter>
  <SpecialHandlingFootnote>Special handling instructions are given at </SpecialHandlingFootnote>
  <PharmaHandlingInstructions>{field:HYPERLINK "https://myintracomm.ec.europa.eu/corp/security/EN/newDS3/SensitiveInformation/Pages/SPECIAL-HANDLING-INFORMATION-Pharma-investigations.aspx?ln=en" |https://www.europa.eu/handling_instructions}</PharmaHandlingInstructions>
  <OrgaRoot>COMMISSION EUROPÉENNE</OrgaRoot>
  <SecurityEtsSensitive>ETS</SecurityEtsSensitive>
  <TechHistoryVersion>Version</TechHistoryVersion>
  <TechHistory>Tableau de l'historique</TechHistory>
  <SecurityStaffMatter>Affaire de personnel</SecurityStaffMatter>
  <SecurityEtsCritical>ETS Critical</SecurityEtsCritical>
  <SecurityCompSpecial>COMP</SecurityCompSpecial>
  <SecurityPharmaSpecial>Pharma investigations</SecurityPharmaSpecial>
  <ETSLimited>ETS Joint Procurement</ETSLimited>
  <SecurityIasOperations>IAS operations</SecurityIasOperations>
  <DateFormatENOnly>dd/MM/yyyy</DateFormatENOnly>
  <TechHistoryComment>Commentaire</TechHistoryComment>
  <Contact>Personne à contacter:</Contact>
  <AddressFooterBrussels>Commission européenne, 1049 Bruxelles, BELGIQUE - Tél. +32 229-91111</AddressFooterBrussels>
  <SecurityEmbargo>EMBARGO JUSQU'A</SecurityEmbargo>
  <DateFormatShort>dd/MM/yyyy</DateFormatShort>
  <DateFormatLong>d MMMM yyyy</DateFormatLong>
</Texts>
</file>

<file path=customXml/item5.xml><?xml version="1.0" encoding="utf-8"?>
<Author Role="Creator">
  <Id>bab19847-2589-4e87-86a6-23a65a4c4acc</Id>
  <Names>
    <Latin>
      <FirstName>Laurie</FirstName>
      <LastName>JANSSEN</LastName>
    </Latin>
    <Greek>
      <FirstName/>
      <LastName/>
    </Greek>
    <Cyrillic>
      <FirstName/>
      <LastName/>
    </Cyrillic>
    <DocumentScript>
      <FirstName>Laurie</FirstName>
      <LastName>JANSSEN</LastName>
      <FullName>Laurie JANSSEN</FullName>
    </DocumentScript>
  </Names>
  <Initials>LJ</Initials>
  <Gender>f</Gender>
  <Email>Laurie.JANSSEN@ext.ec.europa.eu</Email>
  <Service>COMM.A.1.002</Service>
  <Function ShowInSignature="true"/>
  <WebAddress/>
  <InheritedWebAddress>WebAddress</InheritedWebAddress>
  <OrgaEntity1>
    <Id>e9c44579-0ea2-4ad8-9338-88a54b85df56</Id>
    <LogicalLevel>1</LogicalLevel>
    <Name>COMM</Name>
    <HeadLine1>DIRECTION GÉNÉRALE COMMUNICATION</HeadLine1>
    <HeadLine2/>
    <PrimaryAddressId>f03b5801-04c9-4931-aa17-c6d6c70bc579</PrimaryAddressId>
    <SecondaryAddressId/>
    <WebAddress>WebAddress</WebAddress>
    <InheritedWebAddress>WebAddress</InheritedWebAddress>
    <ShowInHeader>true</ShowInHeader>
  </OrgaEntity1>
  <OrgaEntity2>
    <Id>b27685af-0f39-4311-abf0-feba1dc8a750</Id>
    <LogicalLevel>2</LogicalLevel>
    <Name>COMM.A</Name>
    <HeadLine1>Communication politique et services</HeadLine1>
    <HeadLine2/>
    <PrimaryAddressId>f03b5801-04c9-4931-aa17-c6d6c70bc579</PrimaryAddressId>
    <SecondaryAddressId/>
    <WebAddress/>
    <InheritedWebAddress>WebAddress</InheritedWebAddress>
    <ShowInHeader>true</ShowInHeader>
  </OrgaEntity2>
  <OrgaEntity3>
    <Id>15e1de11-1496-41c5-9518-a6faeb3daf44</Id>
    <LogicalLevel>3</LogicalLevel>
    <Name>COMM.A.1</Name>
    <HeadLine1>Réseaux sociaux et communication visuelle</HeadLine1>
    <HeadLine2/>
    <PrimaryAddressId>f03b5801-04c9-4931-aa17-c6d6c70bc579</PrimaryAddressId>
    <SecondaryAddressId/>
    <WebAddress/>
    <InheritedWebAddress>WebAddress</InheritedWebAddress>
    <ShowInHeader>true</ShowInHeader>
  </OrgaEntity3>
  <Addresses>
    <Address>
      <Id>f03b5801-04c9-4931-aa17-c6d6c70bc579</Id>
      <Name>Brussels</Name>
      <PhoneNumberPrefix>+32 229 </PhoneNumberPrefix>
      <Location>Bruxelles, le</Location>
      <Footer>Commission européenne, 1049 Bruxelles, BELGIQUE - Tél. +32 229-91111</Footer>
    </Address>
    <Address>
      <Id>1264fb81-f6bb-475e-9f9d-a937d3be6ee2</Id>
      <Name>Luxembourg</Name>
      <PhoneNumberPrefix>+352 4301</PhoneNumberPrefix>
      <Location>Luxembourg, le</Location>
      <Footer>Commission européenne, 2920 Luxembourg, LUXEMBOURG — Tél. +352 43011</Footer>
    </Address>
  </Addresses>
  <JobAssignmentId/>
  <MainWorkplace IsMain="true">
    <AddressId>f03b5801-04c9-4931-aa17-c6d6c70bc579</AddressId>
    <Fax/>
    <Phone>+32 229 87727</Phone>
    <Office>L-56 04/072</Office>
  </MainWorkplace>
  <Workplaces>
    <Workplace IsMain="false">
      <AddressId>1264fb81-f6bb-475e-9f9d-a937d3be6ee2</AddressId>
      <Fax/>
      <Phone/>
      <Office/>
    </Workplace>
    <Workplace IsMain="true">
      <AddressId>f03b5801-04c9-4931-aa17-c6d6c70bc579</AddressId>
      <Fax/>
      <Phone>+32 229 87727</Phone>
      <Office>L-56 04/072</Office>
    </Workplace>
  </Workplaces>
</Author>
</file>

<file path=customXml/item6.xml><?xml version="1.0" encoding="utf-8"?>
<EurolookProperties>
  <ProductCustomizationId/>
  <Created>
    <Version>4.1</Version>
    <Date>2019-08-22T15:17:49</Date>
    <Language>FR</Language>
    <Note/>
  </Created>
  <Edited>
    <Version>10.0.42447.0</Version>
    <Date>2021-08-04T14:09:16</Date>
  </Edited>
  <DocumentModel>
    <Id>6cbda13a-4db2-46c6-876a-ef72275827ef</Id>
    <Name>Report</Name>
  </DocumentModel>
  <DocumentDate/>
  <DocumentVersion/>
  <CompatibilityMode>Eurolook4X</CompatibilityMode>
</EurolookPropertie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1670FA-E7E8-4474-9164-3926E9523C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b506d0-762b-47aa-adb6-8b80fc2be8cf"/>
    <ds:schemaRef ds:uri="14cfccfe-d05c-4ace-ac9c-889a36918e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B9EA5FD-EECE-407F-B7AD-7F0EFEDE77FF}">
  <ds:schemaRefs>
    <ds:schemaRef ds:uri="http://schemas.microsoft.com/sharepoint/v3/contenttype/forms"/>
  </ds:schemaRefs>
</ds:datastoreItem>
</file>

<file path=customXml/itemProps3.xml><?xml version="1.0" encoding="utf-8"?>
<ds:datastoreItem xmlns:ds="http://schemas.openxmlformats.org/officeDocument/2006/customXml" ds:itemID="{2B93F718-F493-4C07-B33E-427D115F7286}">
  <ds:schemaRefs>
    <ds:schemaRef ds:uri="http://schemas.microsoft.com/office/2006/documentManagement/types"/>
    <ds:schemaRef ds:uri="http://schemas.microsoft.com/office/2006/metadata/properties"/>
    <ds:schemaRef ds:uri="http://schemas.microsoft.com/office/infopath/2007/PartnerControls"/>
    <ds:schemaRef ds:uri="http://purl.org/dc/elements/1.1/"/>
    <ds:schemaRef ds:uri="http://www.w3.org/XML/1998/namespace"/>
    <ds:schemaRef ds:uri="http://purl.org/dc/terms/"/>
    <ds:schemaRef ds:uri="http://schemas.openxmlformats.org/package/2006/metadata/core-properties"/>
    <ds:schemaRef ds:uri="14cfccfe-d05c-4ace-ac9c-889a36918eb7"/>
    <ds:schemaRef ds:uri="25b506d0-762b-47aa-adb6-8b80fc2be8cf"/>
    <ds:schemaRef ds:uri="http://purl.org/dc/dcmitype/"/>
  </ds:schemaRefs>
</ds:datastoreItem>
</file>

<file path=customXml/itemProps4.xml><?xml version="1.0" encoding="utf-8"?>
<ds:datastoreItem xmlns:ds="http://schemas.openxmlformats.org/officeDocument/2006/customXml" ds:itemID="{8C1BB6F3-C768-4A34-ADEF-3254FF58F96D}">
  <ds:schemaRefs/>
</ds:datastoreItem>
</file>

<file path=customXml/itemProps5.xml><?xml version="1.0" encoding="utf-8"?>
<ds:datastoreItem xmlns:ds="http://schemas.openxmlformats.org/officeDocument/2006/customXml" ds:itemID="{3BCB2D34-79B5-4659-AE46-A5D844CC0437}">
  <ds:schemaRefs/>
</ds:datastoreItem>
</file>

<file path=customXml/itemProps6.xml><?xml version="1.0" encoding="utf-8"?>
<ds:datastoreItem xmlns:ds="http://schemas.openxmlformats.org/officeDocument/2006/customXml" ds:itemID="{9C9B7F8D-BD53-462E-88C7-1C4F0C86765C}">
  <ds:schemaRefs/>
</ds:datastoreItem>
</file>

<file path=customXml/itemProps7.xml><?xml version="1.0" encoding="utf-8"?>
<ds:datastoreItem xmlns:ds="http://schemas.openxmlformats.org/officeDocument/2006/customXml" ds:itemID="{6D35B493-D3C2-4DBF-9E45-86E264A36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Eurolook.dotm</Template>
  <TotalTime>0</TotalTime>
  <Pages>145</Pages>
  <Words>61452</Words>
  <Characters>328689</Characters>
  <Application>Microsoft Office Word</Application>
  <DocSecurity>0</DocSecurity>
  <PresentationFormat>Microsoft Word 11.0</PresentationFormat>
  <Lines>2739</Lines>
  <Paragraphs>778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389363</CharactersWithSpaces>
  <SharedDoc>false</SharedDoc>
  <HyperlinkBase/>
  <HLinks>
    <vt:vector size="12" baseType="variant">
      <vt:variant>
        <vt:i4>3604494</vt:i4>
      </vt:variant>
      <vt:variant>
        <vt:i4>2387</vt:i4>
      </vt:variant>
      <vt:variant>
        <vt:i4>1025</vt:i4>
      </vt:variant>
      <vt:variant>
        <vt:i4>1</vt:i4>
      </vt:variant>
      <vt:variant>
        <vt:lpwstr>LOGO-CE for RTD EN Positive</vt:lpwstr>
      </vt:variant>
      <vt:variant>
        <vt:lpwstr/>
      </vt:variant>
      <vt:variant>
        <vt:i4>57</vt:i4>
      </vt:variant>
      <vt:variant>
        <vt:i4>-1</vt:i4>
      </vt:variant>
      <vt:variant>
        <vt:i4>2113</vt:i4>
      </vt:variant>
      <vt:variant>
        <vt:i4>1</vt:i4>
      </vt:variant>
      <vt:variant>
        <vt:lpwstr>Footer Box RTD 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Raquel De Luis Iglesias</dc:creator>
  <cp:keywords/>
  <cp:lastModifiedBy>Raquel De Luis Iglesias</cp:lastModifiedBy>
  <cp:revision>2</cp:revision>
  <dcterms:created xsi:type="dcterms:W3CDTF">2021-08-25T14:27:00Z</dcterms:created>
  <dcterms:modified xsi:type="dcterms:W3CDTF">2021-08-25T14:27:00Z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0x010100887D3B914211DA4690539851AF11284A</vt:lpwstr>
  </property>
</Properties>
</file>