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C" w:rsidRPr="00D071C9" w:rsidRDefault="00A130BC">
      <w:pPr>
        <w:rPr>
          <w:b/>
          <w:lang w:val="en-US"/>
        </w:rPr>
      </w:pPr>
      <w:r w:rsidRPr="00D071C9">
        <w:rPr>
          <w:b/>
          <w:lang w:val="en-US"/>
        </w:rPr>
        <w:t>Attachment 3</w:t>
      </w:r>
    </w:p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t>Figure 3: Histogram of values of procedures for works above and below the EU thresholds</w:t>
      </w:r>
    </w:p>
    <w:p w:rsidR="00D6385C" w:rsidRDefault="00D6385C">
      <w:r>
        <w:rPr>
          <w:noProof/>
          <w:lang w:eastAsia="sl-SI"/>
        </w:rPr>
        <w:drawing>
          <wp:inline distT="0" distB="0" distL="0" distR="0" wp14:anchorId="02D2F756" wp14:editId="0B5DA03D">
            <wp:extent cx="5760720" cy="3956685"/>
            <wp:effectExtent l="0" t="0" r="11430" b="571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93913160-FD7E-4ECE-B5F3-8C8EE3DF0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t>Figure 4: Histogram of values of procedures for works above the EU thresholds</w:t>
      </w:r>
    </w:p>
    <w:p w:rsidR="00D6385C" w:rsidRDefault="00D6385C">
      <w:r>
        <w:rPr>
          <w:noProof/>
          <w:lang w:eastAsia="sl-SI"/>
        </w:rPr>
        <w:drawing>
          <wp:inline distT="0" distB="0" distL="0" distR="0" wp14:anchorId="7A7587DE" wp14:editId="026723B9">
            <wp:extent cx="5760720" cy="3684905"/>
            <wp:effectExtent l="0" t="0" r="11430" b="10795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373785C3-12A3-43E2-BE5E-12A7C087F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385C" w:rsidRPr="002E088B" w:rsidRDefault="002E088B">
      <w:pPr>
        <w:rPr>
          <w:lang w:val="en-GB"/>
        </w:rPr>
      </w:pPr>
      <w:r w:rsidRPr="00D071C9">
        <w:rPr>
          <w:lang w:val="en-GB"/>
        </w:rPr>
        <w:lastRenderedPageBreak/>
        <w:t>Figure 5: Histogram of values of procedures for works below the EU thresholds</w:t>
      </w:r>
    </w:p>
    <w:p w:rsidR="00D6385C" w:rsidRDefault="00D6385C">
      <w:r>
        <w:rPr>
          <w:noProof/>
          <w:lang w:eastAsia="sl-SI"/>
        </w:rPr>
        <w:drawing>
          <wp:inline distT="0" distB="0" distL="0" distR="0" wp14:anchorId="4BBFAFC2" wp14:editId="2E701A23">
            <wp:extent cx="5760720" cy="3771265"/>
            <wp:effectExtent l="0" t="0" r="11430" b="635"/>
            <wp:docPr id="12" name="Grafikon 12">
              <a:extLst xmlns:a="http://schemas.openxmlformats.org/drawingml/2006/main">
                <a:ext uri="{FF2B5EF4-FFF2-40B4-BE49-F238E27FC236}">
                  <a16:creationId xmlns:a16="http://schemas.microsoft.com/office/drawing/2014/main" id="{C59792B3-B237-462F-BB11-2D3F133026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t>Figure 6: Histogram of values of procedures for supplies above and below the EU thresholds</w:t>
      </w:r>
    </w:p>
    <w:p w:rsidR="00D6385C" w:rsidRDefault="00D6385C">
      <w:r>
        <w:rPr>
          <w:noProof/>
          <w:lang w:eastAsia="sl-SI"/>
        </w:rPr>
        <w:drawing>
          <wp:inline distT="0" distB="0" distL="0" distR="0" wp14:anchorId="0B1A5942" wp14:editId="24277B74">
            <wp:extent cx="5760720" cy="3319780"/>
            <wp:effectExtent l="0" t="0" r="11430" b="13970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id="{5FAE8AD7-E58C-48D7-9CBC-453E76662B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385C" w:rsidRDefault="00D6385C"/>
    <w:p w:rsidR="002E088B" w:rsidRDefault="002E088B"/>
    <w:p w:rsidR="002E088B" w:rsidRDefault="002E088B"/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lastRenderedPageBreak/>
        <w:t>Figure 7: Histogram of values of procedures for supplies above the EU thresholds</w:t>
      </w:r>
    </w:p>
    <w:p w:rsidR="00D6385C" w:rsidRDefault="00D6385C">
      <w:r>
        <w:rPr>
          <w:noProof/>
          <w:lang w:eastAsia="sl-SI"/>
        </w:rPr>
        <w:drawing>
          <wp:inline distT="0" distB="0" distL="0" distR="0" wp14:anchorId="0D062727" wp14:editId="4AE82E5F">
            <wp:extent cx="5760720" cy="3723005"/>
            <wp:effectExtent l="0" t="0" r="11430" b="10795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ACC2CF9F-558B-4662-A948-8E7AE84395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088B" w:rsidRDefault="002E088B" w:rsidP="002E088B">
      <w:pPr>
        <w:rPr>
          <w:highlight w:val="yellow"/>
          <w:lang w:val="en-GB"/>
        </w:rPr>
      </w:pPr>
    </w:p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t>Figure 8: Histogram of values of procedures for supplies below the EU thresholds</w:t>
      </w:r>
    </w:p>
    <w:p w:rsidR="00D6385C" w:rsidRDefault="00D6385C">
      <w:r>
        <w:rPr>
          <w:noProof/>
          <w:lang w:eastAsia="sl-SI"/>
        </w:rPr>
        <w:drawing>
          <wp:inline distT="0" distB="0" distL="0" distR="0" wp14:anchorId="76195847" wp14:editId="70C801B0">
            <wp:extent cx="5760720" cy="3450590"/>
            <wp:effectExtent l="0" t="0" r="11430" b="1651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C6AB8C67-13EF-4BBE-A3F3-5CAE1E3981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385C" w:rsidRDefault="00D6385C"/>
    <w:p w:rsidR="00661451" w:rsidRDefault="00661451"/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lastRenderedPageBreak/>
        <w:t>Figure 9: Histogram of values of procedures for services above and below the EU thresholds</w:t>
      </w:r>
    </w:p>
    <w:p w:rsidR="00D6385C" w:rsidRDefault="00D6385C">
      <w:r>
        <w:rPr>
          <w:noProof/>
          <w:lang w:eastAsia="sl-SI"/>
        </w:rPr>
        <w:drawing>
          <wp:inline distT="0" distB="0" distL="0" distR="0" wp14:anchorId="413B3B63" wp14:editId="20D626E1">
            <wp:extent cx="5760720" cy="3533775"/>
            <wp:effectExtent l="0" t="0" r="11430" b="9525"/>
            <wp:docPr id="10" name="Grafikon 10">
              <a:extLst xmlns:a="http://schemas.openxmlformats.org/drawingml/2006/main">
                <a:ext uri="{FF2B5EF4-FFF2-40B4-BE49-F238E27FC236}">
                  <a16:creationId xmlns:a16="http://schemas.microsoft.com/office/drawing/2014/main" id="{1FF32063-65AF-47D3-9151-DD37DC996E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69C3" w:rsidRDefault="00AA69C3"/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t>Figure 10: Histogram of values of procedures for services above the EU thresholds</w:t>
      </w:r>
    </w:p>
    <w:p w:rsidR="00AA69C3" w:rsidRDefault="00AA69C3">
      <w:r>
        <w:rPr>
          <w:noProof/>
          <w:lang w:eastAsia="sl-SI"/>
        </w:rPr>
        <w:drawing>
          <wp:inline distT="0" distB="0" distL="0" distR="0" wp14:anchorId="661F74D6" wp14:editId="265828AA">
            <wp:extent cx="5760720" cy="3293110"/>
            <wp:effectExtent l="0" t="0" r="11430" b="2540"/>
            <wp:docPr id="13" name="Grafikon 13">
              <a:extLst xmlns:a="http://schemas.openxmlformats.org/drawingml/2006/main">
                <a:ext uri="{FF2B5EF4-FFF2-40B4-BE49-F238E27FC236}">
                  <a16:creationId xmlns:a16="http://schemas.microsoft.com/office/drawing/2014/main" id="{2BB660F5-2A0A-44F6-ACEE-105224F2AC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69C3" w:rsidRDefault="00AA69C3"/>
    <w:p w:rsidR="002E088B" w:rsidRDefault="002E088B"/>
    <w:p w:rsidR="002E088B" w:rsidRDefault="002E088B"/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lastRenderedPageBreak/>
        <w:t>Figure 11: Histogram of values of procedures for services below the EU thresholds</w:t>
      </w:r>
      <w:bookmarkStart w:id="0" w:name="_GoBack"/>
      <w:bookmarkEnd w:id="0"/>
    </w:p>
    <w:p w:rsidR="00AA69C3" w:rsidRDefault="00AA69C3">
      <w:r>
        <w:rPr>
          <w:noProof/>
          <w:lang w:eastAsia="sl-SI"/>
        </w:rPr>
        <w:drawing>
          <wp:inline distT="0" distB="0" distL="0" distR="0" wp14:anchorId="14CD3A31" wp14:editId="3ED80A14">
            <wp:extent cx="5760720" cy="3275965"/>
            <wp:effectExtent l="0" t="0" r="11430" b="635"/>
            <wp:docPr id="15" name="Grafikon 15">
              <a:extLst xmlns:a="http://schemas.openxmlformats.org/drawingml/2006/main">
                <a:ext uri="{FF2B5EF4-FFF2-40B4-BE49-F238E27FC236}">
                  <a16:creationId xmlns:a16="http://schemas.microsoft.com/office/drawing/2014/main" id="{5B3CA669-F837-4F5F-86DB-C31B9EE55F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A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FD"/>
    <w:rsid w:val="002E088B"/>
    <w:rsid w:val="00636124"/>
    <w:rsid w:val="00661451"/>
    <w:rsid w:val="00A130BC"/>
    <w:rsid w:val="00A668FD"/>
    <w:rsid w:val="00AA69C3"/>
    <w:rsid w:val="00D071C9"/>
    <w:rsid w:val="00D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6F6E"/>
  <w15:chartTrackingRefBased/>
  <w15:docId w15:val="{5E5E64D4-9504-423E-8B2A-5E10246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E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USR\K-L\KostanjsekA00\Desktop\podatki%20histogra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USR\K-L\KostanjsekA00\Desktop\podatki%20histogram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USR\K-L\KostanjsekA00\Desktop\podatki%20histogram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USR\K-L\KostanjsekA00\Desktop\podatki%20histogram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USR\K-L\KostanjsekA00\Desktop\podatki%20histogram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USR\K-L\KostanjsekA00\Desktop\podatki%20histogram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USR\K-L\KostanjsekA00\Desktop\podatki%20histogram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USR\K-L\KostanjsekA00\Desktop\podatki%20histogram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igov.si\USR\K-L\KostanjsekA00\Desktop\podatki%20histogram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Histogram of values</a:t>
            </a:r>
            <a:r>
              <a:rPr lang="sl-SI" baseline="0"/>
              <a:t> of procedures for </a:t>
            </a:r>
            <a:r>
              <a:rPr lang="sl-SI"/>
              <a:t>works above and below the EU thresholds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'gradnje-nad in pod EU'!$B$1</c:f>
              <c:strCache>
                <c:ptCount val="1"/>
                <c:pt idx="0">
                  <c:v>awarded contracts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'gradnje-nad in pod EU'!$A$2:$A$102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'gradnje-nad in pod EU'!$B$2:$B$102</c:f>
              <c:numCache>
                <c:formatCode>General</c:formatCode>
                <c:ptCount val="101"/>
                <c:pt idx="0">
                  <c:v>497</c:v>
                </c:pt>
                <c:pt idx="1">
                  <c:v>335</c:v>
                </c:pt>
                <c:pt idx="2">
                  <c:v>186</c:v>
                </c:pt>
                <c:pt idx="3">
                  <c:v>109</c:v>
                </c:pt>
                <c:pt idx="4">
                  <c:v>72</c:v>
                </c:pt>
                <c:pt idx="5">
                  <c:v>40</c:v>
                </c:pt>
                <c:pt idx="6">
                  <c:v>29</c:v>
                </c:pt>
                <c:pt idx="7">
                  <c:v>27</c:v>
                </c:pt>
                <c:pt idx="8">
                  <c:v>16</c:v>
                </c:pt>
                <c:pt idx="9">
                  <c:v>22</c:v>
                </c:pt>
                <c:pt idx="10">
                  <c:v>19</c:v>
                </c:pt>
                <c:pt idx="11">
                  <c:v>11</c:v>
                </c:pt>
                <c:pt idx="12">
                  <c:v>12</c:v>
                </c:pt>
                <c:pt idx="13">
                  <c:v>7</c:v>
                </c:pt>
                <c:pt idx="14">
                  <c:v>14</c:v>
                </c:pt>
                <c:pt idx="15">
                  <c:v>11</c:v>
                </c:pt>
                <c:pt idx="16">
                  <c:v>2</c:v>
                </c:pt>
                <c:pt idx="17">
                  <c:v>3</c:v>
                </c:pt>
                <c:pt idx="18">
                  <c:v>2</c:v>
                </c:pt>
                <c:pt idx="19">
                  <c:v>9</c:v>
                </c:pt>
                <c:pt idx="20">
                  <c:v>3</c:v>
                </c:pt>
                <c:pt idx="21">
                  <c:v>2</c:v>
                </c:pt>
                <c:pt idx="22">
                  <c:v>3</c:v>
                </c:pt>
                <c:pt idx="23">
                  <c:v>2</c:v>
                </c:pt>
                <c:pt idx="24">
                  <c:v>4</c:v>
                </c:pt>
                <c:pt idx="25">
                  <c:v>1</c:v>
                </c:pt>
                <c:pt idx="26">
                  <c:v>6</c:v>
                </c:pt>
                <c:pt idx="27">
                  <c:v>1</c:v>
                </c:pt>
                <c:pt idx="28">
                  <c:v>2</c:v>
                </c:pt>
                <c:pt idx="29">
                  <c:v>2</c:v>
                </c:pt>
                <c:pt idx="30">
                  <c:v>1</c:v>
                </c:pt>
                <c:pt idx="31">
                  <c:v>3</c:v>
                </c:pt>
                <c:pt idx="32">
                  <c:v>2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2</c:v>
                </c:pt>
                <c:pt idx="38">
                  <c:v>1</c:v>
                </c:pt>
                <c:pt idx="39">
                  <c:v>0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3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</c:v>
                </c:pt>
                <c:pt idx="57">
                  <c:v>0</c:v>
                </c:pt>
                <c:pt idx="58">
                  <c:v>0</c:v>
                </c:pt>
                <c:pt idx="59">
                  <c:v>1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2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1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1</c:v>
                </c:pt>
                <c:pt idx="10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31-4C6F-B242-BAE443274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0222992"/>
        <c:axId val="510221680"/>
      </c:barChart>
      <c:catAx>
        <c:axId val="510222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0221680"/>
        <c:crosses val="autoZero"/>
        <c:auto val="1"/>
        <c:lblAlgn val="ctr"/>
        <c:lblOffset val="100"/>
        <c:noMultiLvlLbl val="0"/>
      </c:catAx>
      <c:valAx>
        <c:axId val="510221680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</a:t>
                </a:r>
                <a:r>
                  <a:rPr lang="sl-SI"/>
                  <a:t>warded contracts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02229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Histogram of values of procedures for works above the EU thresholds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'gradnje-nad EU'!$B$1</c:f>
              <c:strCache>
                <c:ptCount val="1"/>
                <c:pt idx="0">
                  <c:v>awarded contracts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'gradnje-nad EU'!$A$2:$A$102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'gradnje-nad EU'!$B$2:$B$102</c:f>
              <c:numCache>
                <c:formatCode>General</c:formatCode>
                <c:ptCount val="101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1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</c:v>
                </c:pt>
                <c:pt idx="57">
                  <c:v>0</c:v>
                </c:pt>
                <c:pt idx="58">
                  <c:v>0</c:v>
                </c:pt>
                <c:pt idx="59">
                  <c:v>1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2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1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1</c:v>
                </c:pt>
                <c:pt idx="10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F2-4378-916D-6CD852D17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9937152"/>
        <c:axId val="509937480"/>
      </c:barChart>
      <c:catAx>
        <c:axId val="509937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9937480"/>
        <c:crosses val="autoZero"/>
        <c:auto val="1"/>
        <c:lblAlgn val="ctr"/>
        <c:lblOffset val="100"/>
        <c:noMultiLvlLbl val="0"/>
      </c:catAx>
      <c:valAx>
        <c:axId val="509937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awarded</a:t>
                </a:r>
                <a:r>
                  <a:rPr lang="sl-SI" baseline="0"/>
                  <a:t> contracts</a:t>
                </a:r>
                <a:endParaRPr lang="sl-SI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993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Histogram of values of procedures for works below the EU thresholds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'gradnje-pod EU '!$B$1</c:f>
              <c:strCache>
                <c:ptCount val="1"/>
                <c:pt idx="0">
                  <c:v>awarded contracts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'gradnje-pod EU '!$A$2:$A$54</c:f>
              <c:numCache>
                <c:formatCode>#,##0</c:formatCode>
                <c:ptCount val="53"/>
                <c:pt idx="0">
                  <c:v>100000</c:v>
                </c:pt>
                <c:pt idx="1">
                  <c:v>200000</c:v>
                </c:pt>
                <c:pt idx="2">
                  <c:v>300000</c:v>
                </c:pt>
                <c:pt idx="3">
                  <c:v>400000</c:v>
                </c:pt>
                <c:pt idx="4">
                  <c:v>500000</c:v>
                </c:pt>
                <c:pt idx="5">
                  <c:v>600000</c:v>
                </c:pt>
                <c:pt idx="6">
                  <c:v>700000</c:v>
                </c:pt>
                <c:pt idx="7">
                  <c:v>800000</c:v>
                </c:pt>
                <c:pt idx="8">
                  <c:v>900000</c:v>
                </c:pt>
                <c:pt idx="9">
                  <c:v>1000000</c:v>
                </c:pt>
                <c:pt idx="10">
                  <c:v>1100000</c:v>
                </c:pt>
                <c:pt idx="11">
                  <c:v>1200000</c:v>
                </c:pt>
                <c:pt idx="12">
                  <c:v>1300000</c:v>
                </c:pt>
                <c:pt idx="13">
                  <c:v>1400000</c:v>
                </c:pt>
                <c:pt idx="14">
                  <c:v>1500000</c:v>
                </c:pt>
                <c:pt idx="15">
                  <c:v>1600000</c:v>
                </c:pt>
                <c:pt idx="16">
                  <c:v>1700000</c:v>
                </c:pt>
                <c:pt idx="17">
                  <c:v>1800000</c:v>
                </c:pt>
                <c:pt idx="18">
                  <c:v>1900000</c:v>
                </c:pt>
                <c:pt idx="19">
                  <c:v>2000000</c:v>
                </c:pt>
                <c:pt idx="20">
                  <c:v>2100000</c:v>
                </c:pt>
                <c:pt idx="21">
                  <c:v>2200000</c:v>
                </c:pt>
                <c:pt idx="22">
                  <c:v>2300000</c:v>
                </c:pt>
                <c:pt idx="23">
                  <c:v>2400000</c:v>
                </c:pt>
                <c:pt idx="24">
                  <c:v>2500000</c:v>
                </c:pt>
                <c:pt idx="25">
                  <c:v>2600000</c:v>
                </c:pt>
                <c:pt idx="26">
                  <c:v>2700000</c:v>
                </c:pt>
                <c:pt idx="27">
                  <c:v>2800000</c:v>
                </c:pt>
                <c:pt idx="28">
                  <c:v>2900000</c:v>
                </c:pt>
                <c:pt idx="29">
                  <c:v>3000000</c:v>
                </c:pt>
                <c:pt idx="30">
                  <c:v>3100000</c:v>
                </c:pt>
                <c:pt idx="31">
                  <c:v>3200000</c:v>
                </c:pt>
                <c:pt idx="32">
                  <c:v>3300000</c:v>
                </c:pt>
                <c:pt idx="33">
                  <c:v>3400000</c:v>
                </c:pt>
                <c:pt idx="34">
                  <c:v>3500000</c:v>
                </c:pt>
                <c:pt idx="35">
                  <c:v>3600000</c:v>
                </c:pt>
                <c:pt idx="36">
                  <c:v>3700000</c:v>
                </c:pt>
                <c:pt idx="37">
                  <c:v>3800000</c:v>
                </c:pt>
                <c:pt idx="38">
                  <c:v>3900000</c:v>
                </c:pt>
                <c:pt idx="39">
                  <c:v>4000000</c:v>
                </c:pt>
                <c:pt idx="40">
                  <c:v>4100000</c:v>
                </c:pt>
                <c:pt idx="41">
                  <c:v>4200000</c:v>
                </c:pt>
                <c:pt idx="42">
                  <c:v>4300000</c:v>
                </c:pt>
                <c:pt idx="43">
                  <c:v>4400000</c:v>
                </c:pt>
                <c:pt idx="44">
                  <c:v>4500000</c:v>
                </c:pt>
                <c:pt idx="45">
                  <c:v>4600000</c:v>
                </c:pt>
                <c:pt idx="46">
                  <c:v>4700000</c:v>
                </c:pt>
                <c:pt idx="47">
                  <c:v>4800000</c:v>
                </c:pt>
                <c:pt idx="48">
                  <c:v>4900000</c:v>
                </c:pt>
                <c:pt idx="49">
                  <c:v>5000000</c:v>
                </c:pt>
                <c:pt idx="50">
                  <c:v>5100000</c:v>
                </c:pt>
                <c:pt idx="51">
                  <c:v>5200000</c:v>
                </c:pt>
                <c:pt idx="52">
                  <c:v>5300000</c:v>
                </c:pt>
              </c:numCache>
            </c:numRef>
          </c:cat>
          <c:val>
            <c:numRef>
              <c:f>'gradnje-pod EU '!$B$2:$B$54</c:f>
              <c:numCache>
                <c:formatCode>General</c:formatCode>
                <c:ptCount val="53"/>
                <c:pt idx="0">
                  <c:v>496</c:v>
                </c:pt>
                <c:pt idx="1">
                  <c:v>332</c:v>
                </c:pt>
                <c:pt idx="2">
                  <c:v>185</c:v>
                </c:pt>
                <c:pt idx="3">
                  <c:v>103</c:v>
                </c:pt>
                <c:pt idx="4">
                  <c:v>71</c:v>
                </c:pt>
                <c:pt idx="5">
                  <c:v>40</c:v>
                </c:pt>
                <c:pt idx="6">
                  <c:v>28</c:v>
                </c:pt>
                <c:pt idx="7">
                  <c:v>26</c:v>
                </c:pt>
                <c:pt idx="8">
                  <c:v>16</c:v>
                </c:pt>
                <c:pt idx="9">
                  <c:v>20</c:v>
                </c:pt>
                <c:pt idx="10">
                  <c:v>18</c:v>
                </c:pt>
                <c:pt idx="11">
                  <c:v>11</c:v>
                </c:pt>
                <c:pt idx="12">
                  <c:v>11</c:v>
                </c:pt>
                <c:pt idx="13">
                  <c:v>7</c:v>
                </c:pt>
                <c:pt idx="14">
                  <c:v>13</c:v>
                </c:pt>
                <c:pt idx="15">
                  <c:v>11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9</c:v>
                </c:pt>
                <c:pt idx="20">
                  <c:v>3</c:v>
                </c:pt>
                <c:pt idx="21">
                  <c:v>1</c:v>
                </c:pt>
                <c:pt idx="22">
                  <c:v>2</c:v>
                </c:pt>
                <c:pt idx="23">
                  <c:v>2</c:v>
                </c:pt>
                <c:pt idx="24">
                  <c:v>4</c:v>
                </c:pt>
                <c:pt idx="25">
                  <c:v>1</c:v>
                </c:pt>
                <c:pt idx="26">
                  <c:v>5</c:v>
                </c:pt>
                <c:pt idx="27">
                  <c:v>0</c:v>
                </c:pt>
                <c:pt idx="28">
                  <c:v>2</c:v>
                </c:pt>
                <c:pt idx="29">
                  <c:v>2</c:v>
                </c:pt>
                <c:pt idx="30">
                  <c:v>1</c:v>
                </c:pt>
                <c:pt idx="31">
                  <c:v>2</c:v>
                </c:pt>
                <c:pt idx="32">
                  <c:v>2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0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2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C6-43DE-9C94-20336C1C2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311360"/>
        <c:axId val="323311688"/>
      </c:barChart>
      <c:catAx>
        <c:axId val="323311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3311688"/>
        <c:crosses val="autoZero"/>
        <c:auto val="1"/>
        <c:lblAlgn val="ctr"/>
        <c:lblOffset val="100"/>
        <c:noMultiLvlLbl val="0"/>
      </c:catAx>
      <c:valAx>
        <c:axId val="323311688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awarded</a:t>
                </a:r>
                <a:r>
                  <a:rPr lang="sl-SI" baseline="0"/>
                  <a:t> contracts</a:t>
                </a:r>
                <a:endParaRPr lang="sl-SI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3311360"/>
        <c:crossesAt val="1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Histogram of values of procedures for supplies above and below the EU thresholds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'blago-nad in pod EU'!$B$1</c:f>
              <c:strCache>
                <c:ptCount val="1"/>
                <c:pt idx="0">
                  <c:v>awarded contracts nad EU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'blago-nad in pod EU'!$A$2:$A$102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'blago-nad in pod EU'!$B$2:$B$102</c:f>
            </c:numRef>
          </c:val>
          <c:extLst>
            <c:ext xmlns:c16="http://schemas.microsoft.com/office/drawing/2014/chart" uri="{C3380CC4-5D6E-409C-BE32-E72D297353CC}">
              <c16:uniqueId val="{00000000-AAEF-40AC-B6F6-107246649C48}"/>
            </c:ext>
          </c:extLst>
        </c:ser>
        <c:ser>
          <c:idx val="1"/>
          <c:order val="1"/>
          <c:tx>
            <c:strRef>
              <c:f>'blago-nad in pod EU'!$C$1</c:f>
              <c:strCache>
                <c:ptCount val="1"/>
                <c:pt idx="0">
                  <c:v>awarded contracts pod EU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'blago-nad in pod EU'!$A$2:$A$102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'blago-nad in pod EU'!$C$2:$C$102</c:f>
            </c:numRef>
          </c:val>
          <c:extLst>
            <c:ext xmlns:c16="http://schemas.microsoft.com/office/drawing/2014/chart" uri="{C3380CC4-5D6E-409C-BE32-E72D297353CC}">
              <c16:uniqueId val="{00000001-AAEF-40AC-B6F6-107246649C48}"/>
            </c:ext>
          </c:extLst>
        </c:ser>
        <c:ser>
          <c:idx val="2"/>
          <c:order val="2"/>
          <c:tx>
            <c:strRef>
              <c:f>'blago-nad in pod EU'!$D$1</c:f>
              <c:strCache>
                <c:ptCount val="1"/>
                <c:pt idx="0">
                  <c:v>awarded contracts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'blago-nad in pod EU'!$A$2:$A$102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'blago-nad in pod EU'!$D$2:$D$102</c:f>
              <c:numCache>
                <c:formatCode>General</c:formatCode>
                <c:ptCount val="101"/>
                <c:pt idx="0">
                  <c:v>1254</c:v>
                </c:pt>
                <c:pt idx="1">
                  <c:v>531</c:v>
                </c:pt>
                <c:pt idx="2">
                  <c:v>193</c:v>
                </c:pt>
                <c:pt idx="3">
                  <c:v>114</c:v>
                </c:pt>
                <c:pt idx="4">
                  <c:v>68</c:v>
                </c:pt>
                <c:pt idx="5">
                  <c:v>65</c:v>
                </c:pt>
                <c:pt idx="6">
                  <c:v>43</c:v>
                </c:pt>
                <c:pt idx="7">
                  <c:v>25</c:v>
                </c:pt>
                <c:pt idx="8">
                  <c:v>29</c:v>
                </c:pt>
                <c:pt idx="9">
                  <c:v>15</c:v>
                </c:pt>
                <c:pt idx="10">
                  <c:v>11</c:v>
                </c:pt>
                <c:pt idx="11">
                  <c:v>16</c:v>
                </c:pt>
                <c:pt idx="12">
                  <c:v>7</c:v>
                </c:pt>
                <c:pt idx="13">
                  <c:v>6</c:v>
                </c:pt>
                <c:pt idx="14">
                  <c:v>8</c:v>
                </c:pt>
                <c:pt idx="15">
                  <c:v>8</c:v>
                </c:pt>
                <c:pt idx="16">
                  <c:v>7</c:v>
                </c:pt>
                <c:pt idx="17">
                  <c:v>6</c:v>
                </c:pt>
                <c:pt idx="18">
                  <c:v>6</c:v>
                </c:pt>
                <c:pt idx="19">
                  <c:v>5</c:v>
                </c:pt>
                <c:pt idx="20">
                  <c:v>3</c:v>
                </c:pt>
                <c:pt idx="21">
                  <c:v>4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1</c:v>
                </c:pt>
                <c:pt idx="26">
                  <c:v>4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2</c:v>
                </c:pt>
                <c:pt idx="32">
                  <c:v>4</c:v>
                </c:pt>
                <c:pt idx="33">
                  <c:v>1</c:v>
                </c:pt>
                <c:pt idx="34">
                  <c:v>0</c:v>
                </c:pt>
                <c:pt idx="35">
                  <c:v>2</c:v>
                </c:pt>
                <c:pt idx="36">
                  <c:v>3</c:v>
                </c:pt>
                <c:pt idx="37">
                  <c:v>2</c:v>
                </c:pt>
                <c:pt idx="38">
                  <c:v>3</c:v>
                </c:pt>
                <c:pt idx="39">
                  <c:v>0</c:v>
                </c:pt>
                <c:pt idx="40">
                  <c:v>2</c:v>
                </c:pt>
                <c:pt idx="41">
                  <c:v>0</c:v>
                </c:pt>
                <c:pt idx="42">
                  <c:v>1</c:v>
                </c:pt>
                <c:pt idx="43">
                  <c:v>0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3</c:v>
                </c:pt>
                <c:pt idx="48">
                  <c:v>1</c:v>
                </c:pt>
                <c:pt idx="49">
                  <c:v>2</c:v>
                </c:pt>
                <c:pt idx="50">
                  <c:v>0</c:v>
                </c:pt>
                <c:pt idx="51">
                  <c:v>3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1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1</c:v>
                </c:pt>
                <c:pt idx="70">
                  <c:v>0</c:v>
                </c:pt>
                <c:pt idx="71">
                  <c:v>1</c:v>
                </c:pt>
                <c:pt idx="72">
                  <c:v>1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2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1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EF-40AC-B6F6-107246649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9190088"/>
        <c:axId val="569196320"/>
      </c:barChart>
      <c:catAx>
        <c:axId val="569190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9196320"/>
        <c:crosses val="autoZero"/>
        <c:auto val="1"/>
        <c:lblAlgn val="ctr"/>
        <c:lblOffset val="100"/>
        <c:noMultiLvlLbl val="0"/>
      </c:catAx>
      <c:valAx>
        <c:axId val="569196320"/>
        <c:scaling>
          <c:orientation val="minMax"/>
          <c:max val="12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awarded contracts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9190088"/>
        <c:crosses val="autoZero"/>
        <c:crossBetween val="between"/>
        <c:majorUnit val="6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Histogram of values of procedures for supplies above the EU thresholds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'blago-nad EU '!$B$1</c:f>
              <c:strCache>
                <c:ptCount val="1"/>
                <c:pt idx="0">
                  <c:v>awarded contracts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'blago-nad EU 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'blago-nad EU '!$B$2:$B$102</c:f>
              <c:numCache>
                <c:formatCode>General</c:formatCode>
                <c:ptCount val="101"/>
                <c:pt idx="0">
                  <c:v>50</c:v>
                </c:pt>
                <c:pt idx="1">
                  <c:v>102</c:v>
                </c:pt>
                <c:pt idx="2">
                  <c:v>126</c:v>
                </c:pt>
                <c:pt idx="3">
                  <c:v>88</c:v>
                </c:pt>
                <c:pt idx="4">
                  <c:v>63</c:v>
                </c:pt>
                <c:pt idx="5">
                  <c:v>65</c:v>
                </c:pt>
                <c:pt idx="6">
                  <c:v>42</c:v>
                </c:pt>
                <c:pt idx="7">
                  <c:v>25</c:v>
                </c:pt>
                <c:pt idx="8">
                  <c:v>29</c:v>
                </c:pt>
                <c:pt idx="9">
                  <c:v>15</c:v>
                </c:pt>
                <c:pt idx="10">
                  <c:v>11</c:v>
                </c:pt>
                <c:pt idx="11">
                  <c:v>16</c:v>
                </c:pt>
                <c:pt idx="12">
                  <c:v>7</c:v>
                </c:pt>
                <c:pt idx="13">
                  <c:v>6</c:v>
                </c:pt>
                <c:pt idx="14">
                  <c:v>8</c:v>
                </c:pt>
                <c:pt idx="15">
                  <c:v>8</c:v>
                </c:pt>
                <c:pt idx="16">
                  <c:v>7</c:v>
                </c:pt>
                <c:pt idx="17">
                  <c:v>6</c:v>
                </c:pt>
                <c:pt idx="18">
                  <c:v>6</c:v>
                </c:pt>
                <c:pt idx="19">
                  <c:v>5</c:v>
                </c:pt>
                <c:pt idx="20">
                  <c:v>3</c:v>
                </c:pt>
                <c:pt idx="21">
                  <c:v>4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1</c:v>
                </c:pt>
                <c:pt idx="26">
                  <c:v>4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2</c:v>
                </c:pt>
                <c:pt idx="32">
                  <c:v>4</c:v>
                </c:pt>
                <c:pt idx="33">
                  <c:v>1</c:v>
                </c:pt>
                <c:pt idx="34">
                  <c:v>0</c:v>
                </c:pt>
                <c:pt idx="35">
                  <c:v>2</c:v>
                </c:pt>
                <c:pt idx="36">
                  <c:v>3</c:v>
                </c:pt>
                <c:pt idx="37">
                  <c:v>2</c:v>
                </c:pt>
                <c:pt idx="38">
                  <c:v>2</c:v>
                </c:pt>
                <c:pt idx="39">
                  <c:v>0</c:v>
                </c:pt>
                <c:pt idx="40">
                  <c:v>2</c:v>
                </c:pt>
                <c:pt idx="41">
                  <c:v>0</c:v>
                </c:pt>
                <c:pt idx="42">
                  <c:v>1</c:v>
                </c:pt>
                <c:pt idx="43">
                  <c:v>0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3</c:v>
                </c:pt>
                <c:pt idx="48">
                  <c:v>1</c:v>
                </c:pt>
                <c:pt idx="49">
                  <c:v>2</c:v>
                </c:pt>
                <c:pt idx="50">
                  <c:v>0</c:v>
                </c:pt>
                <c:pt idx="51">
                  <c:v>3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1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1</c:v>
                </c:pt>
                <c:pt idx="70">
                  <c:v>0</c:v>
                </c:pt>
                <c:pt idx="71">
                  <c:v>1</c:v>
                </c:pt>
                <c:pt idx="72">
                  <c:v>1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2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1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D2-4E1B-AC0D-F1926C490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848720"/>
        <c:axId val="515847408"/>
      </c:barChart>
      <c:catAx>
        <c:axId val="515848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5847408"/>
        <c:crosses val="autoZero"/>
        <c:auto val="1"/>
        <c:lblAlgn val="ctr"/>
        <c:lblOffset val="100"/>
        <c:noMultiLvlLbl val="0"/>
      </c:catAx>
      <c:valAx>
        <c:axId val="515847408"/>
        <c:scaling>
          <c:orientation val="minMax"/>
          <c:max val="1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awarded</a:t>
                </a:r>
                <a:r>
                  <a:rPr lang="sl-SI" baseline="0"/>
                  <a:t> contracts</a:t>
                </a:r>
                <a:endParaRPr lang="sl-SI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584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Histogram of values of procedures for supplies below the EU thresholds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'blago-pod EU   '!$B$1</c:f>
              <c:strCache>
                <c:ptCount val="1"/>
                <c:pt idx="0">
                  <c:v>awarded contracts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'blago-pod EU   '!$A$2:$A$9</c:f>
              <c:strCache>
                <c:ptCount val="8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nad 800.000</c:v>
                </c:pt>
              </c:strCache>
            </c:strRef>
          </c:cat>
          <c:val>
            <c:numRef>
              <c:f>'blago-pod EU   '!$B$2:$B$9</c:f>
              <c:numCache>
                <c:formatCode>General</c:formatCode>
                <c:ptCount val="8"/>
                <c:pt idx="0">
                  <c:v>1204</c:v>
                </c:pt>
                <c:pt idx="1">
                  <c:v>429</c:v>
                </c:pt>
                <c:pt idx="2">
                  <c:v>67</c:v>
                </c:pt>
                <c:pt idx="3">
                  <c:v>26</c:v>
                </c:pt>
                <c:pt idx="4">
                  <c:v>5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98-4D28-9F5F-90A195890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5111776"/>
        <c:axId val="555114072"/>
      </c:barChart>
      <c:catAx>
        <c:axId val="555111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55114072"/>
        <c:crosses val="autoZero"/>
        <c:auto val="1"/>
        <c:lblAlgn val="ctr"/>
        <c:lblOffset val="100"/>
        <c:noMultiLvlLbl val="0"/>
      </c:catAx>
      <c:valAx>
        <c:axId val="555114072"/>
        <c:scaling>
          <c:orientation val="minMax"/>
          <c:max val="12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awarded contracts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55111776"/>
        <c:crosses val="autoZero"/>
        <c:crossBetween val="between"/>
        <c:majorUnit val="6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Histogram of values of procedures for services above and below the EU thresholds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'storitve nad in pod EU'!$B$1</c:f>
              <c:strCache>
                <c:ptCount val="1"/>
                <c:pt idx="0">
                  <c:v>awarded contracts nad EU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'storitve nad in pod EU'!$A$2:$A$102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'storitve nad in pod EU'!$B$2:$B$102</c:f>
            </c:numRef>
          </c:val>
          <c:extLst>
            <c:ext xmlns:c16="http://schemas.microsoft.com/office/drawing/2014/chart" uri="{C3380CC4-5D6E-409C-BE32-E72D297353CC}">
              <c16:uniqueId val="{00000000-1F2A-45D3-A95F-7708C094315D}"/>
            </c:ext>
          </c:extLst>
        </c:ser>
        <c:ser>
          <c:idx val="1"/>
          <c:order val="1"/>
          <c:tx>
            <c:strRef>
              <c:f>'storitve nad in pod EU'!$C$1</c:f>
              <c:strCache>
                <c:ptCount val="1"/>
                <c:pt idx="0">
                  <c:v>awarded contracts pod EU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'storitve nad in pod EU'!$A$2:$A$102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'storitve nad in pod EU'!$C$2:$C$102</c:f>
            </c:numRef>
          </c:val>
          <c:extLst>
            <c:ext xmlns:c16="http://schemas.microsoft.com/office/drawing/2014/chart" uri="{C3380CC4-5D6E-409C-BE32-E72D297353CC}">
              <c16:uniqueId val="{00000001-1F2A-45D3-A95F-7708C094315D}"/>
            </c:ext>
          </c:extLst>
        </c:ser>
        <c:ser>
          <c:idx val="2"/>
          <c:order val="2"/>
          <c:tx>
            <c:strRef>
              <c:f>'storitve nad in pod EU'!$D$1</c:f>
              <c:strCache>
                <c:ptCount val="1"/>
                <c:pt idx="0">
                  <c:v>awarded contracts </c:v>
                </c:pt>
              </c:strCache>
            </c:strRef>
          </c:tx>
          <c:spPr>
            <a:solidFill>
              <a:srgbClr val="B60638"/>
            </a:solidFill>
            <a:ln>
              <a:noFill/>
            </a:ln>
            <a:effectLst/>
          </c:spPr>
          <c:invertIfNegative val="0"/>
          <c:cat>
            <c:strRef>
              <c:f>'storitve nad in pod EU'!$A$2:$A$102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'storitve nad in pod EU'!$D$2:$D$102</c:f>
              <c:numCache>
                <c:formatCode>General</c:formatCode>
                <c:ptCount val="101"/>
                <c:pt idx="0">
                  <c:v>1275</c:v>
                </c:pt>
                <c:pt idx="1">
                  <c:v>472</c:v>
                </c:pt>
                <c:pt idx="2">
                  <c:v>171</c:v>
                </c:pt>
                <c:pt idx="3">
                  <c:v>101</c:v>
                </c:pt>
                <c:pt idx="4">
                  <c:v>55</c:v>
                </c:pt>
                <c:pt idx="5">
                  <c:v>44</c:v>
                </c:pt>
                <c:pt idx="6">
                  <c:v>34</c:v>
                </c:pt>
                <c:pt idx="7">
                  <c:v>25</c:v>
                </c:pt>
                <c:pt idx="8">
                  <c:v>23</c:v>
                </c:pt>
                <c:pt idx="9">
                  <c:v>17</c:v>
                </c:pt>
                <c:pt idx="10">
                  <c:v>13</c:v>
                </c:pt>
                <c:pt idx="11">
                  <c:v>16</c:v>
                </c:pt>
                <c:pt idx="12">
                  <c:v>5</c:v>
                </c:pt>
                <c:pt idx="13">
                  <c:v>12</c:v>
                </c:pt>
                <c:pt idx="14">
                  <c:v>8</c:v>
                </c:pt>
                <c:pt idx="15">
                  <c:v>10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6</c:v>
                </c:pt>
                <c:pt idx="22">
                  <c:v>2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0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4</c:v>
                </c:pt>
                <c:pt idx="32">
                  <c:v>3</c:v>
                </c:pt>
                <c:pt idx="33">
                  <c:v>0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2</c:v>
                </c:pt>
                <c:pt idx="42">
                  <c:v>0</c:v>
                </c:pt>
                <c:pt idx="43">
                  <c:v>2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2</c:v>
                </c:pt>
                <c:pt idx="51">
                  <c:v>1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1</c:v>
                </c:pt>
                <c:pt idx="64">
                  <c:v>0</c:v>
                </c:pt>
                <c:pt idx="65">
                  <c:v>1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0</c:v>
                </c:pt>
                <c:pt idx="70">
                  <c:v>0</c:v>
                </c:pt>
                <c:pt idx="71">
                  <c:v>2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1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2A-45D3-A95F-7708C0943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3606880"/>
        <c:axId val="573607864"/>
      </c:barChart>
      <c:catAx>
        <c:axId val="573606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73607864"/>
        <c:crosses val="autoZero"/>
        <c:auto val="1"/>
        <c:lblAlgn val="ctr"/>
        <c:lblOffset val="100"/>
        <c:noMultiLvlLbl val="0"/>
      </c:catAx>
      <c:valAx>
        <c:axId val="573607864"/>
        <c:scaling>
          <c:orientation val="minMax"/>
          <c:max val="128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awarded contracts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73606880"/>
        <c:crosses val="autoZero"/>
        <c:crossBetween val="between"/>
        <c:majorUnit val="6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Histogram of values of procedures for services above the EU thresholds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'storitve nad EU  '!$B$1</c:f>
              <c:strCache>
                <c:ptCount val="1"/>
                <c:pt idx="0">
                  <c:v>awarded contracts</c:v>
                </c:pt>
              </c:strCache>
            </c:strRef>
          </c:tx>
          <c:spPr>
            <a:solidFill>
              <a:srgbClr val="B60638"/>
            </a:solidFill>
            <a:ln>
              <a:noFill/>
            </a:ln>
            <a:effectLst/>
          </c:spPr>
          <c:invertIfNegative val="0"/>
          <c:cat>
            <c:strRef>
              <c:f>'storitve nad EU  '!$A$2:$A$102</c:f>
              <c:strCache>
                <c:ptCount val="101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800.000</c:v>
                </c:pt>
                <c:pt idx="8">
                  <c:v>900.000</c:v>
                </c:pt>
                <c:pt idx="9">
                  <c:v>1.000.000</c:v>
                </c:pt>
                <c:pt idx="10">
                  <c:v>1.100.000</c:v>
                </c:pt>
                <c:pt idx="11">
                  <c:v>1.200.000</c:v>
                </c:pt>
                <c:pt idx="12">
                  <c:v>1.300.000</c:v>
                </c:pt>
                <c:pt idx="13">
                  <c:v>1.400.000</c:v>
                </c:pt>
                <c:pt idx="14">
                  <c:v>1.500.000</c:v>
                </c:pt>
                <c:pt idx="15">
                  <c:v>1.600.000</c:v>
                </c:pt>
                <c:pt idx="16">
                  <c:v>1.700.000</c:v>
                </c:pt>
                <c:pt idx="17">
                  <c:v>1.800.000</c:v>
                </c:pt>
                <c:pt idx="18">
                  <c:v>1.900.000</c:v>
                </c:pt>
                <c:pt idx="19">
                  <c:v>2.000.000</c:v>
                </c:pt>
                <c:pt idx="20">
                  <c:v>2.100.000</c:v>
                </c:pt>
                <c:pt idx="21">
                  <c:v>2.200.000</c:v>
                </c:pt>
                <c:pt idx="22">
                  <c:v>2.300.000</c:v>
                </c:pt>
                <c:pt idx="23">
                  <c:v>2.400.000</c:v>
                </c:pt>
                <c:pt idx="24">
                  <c:v>2.500.000</c:v>
                </c:pt>
                <c:pt idx="25">
                  <c:v>2.600.000</c:v>
                </c:pt>
                <c:pt idx="26">
                  <c:v>2.700.000</c:v>
                </c:pt>
                <c:pt idx="27">
                  <c:v>2.800.000</c:v>
                </c:pt>
                <c:pt idx="28">
                  <c:v>2.900.000</c:v>
                </c:pt>
                <c:pt idx="29">
                  <c:v>3.000.000</c:v>
                </c:pt>
                <c:pt idx="30">
                  <c:v>3.100.000</c:v>
                </c:pt>
                <c:pt idx="31">
                  <c:v>3.200.000</c:v>
                </c:pt>
                <c:pt idx="32">
                  <c:v>3.300.000</c:v>
                </c:pt>
                <c:pt idx="33">
                  <c:v>3.400.000</c:v>
                </c:pt>
                <c:pt idx="34">
                  <c:v>3.500.000</c:v>
                </c:pt>
                <c:pt idx="35">
                  <c:v>3.600.000</c:v>
                </c:pt>
                <c:pt idx="36">
                  <c:v>3.700.000</c:v>
                </c:pt>
                <c:pt idx="37">
                  <c:v>3.800.000</c:v>
                </c:pt>
                <c:pt idx="38">
                  <c:v>3.900.000</c:v>
                </c:pt>
                <c:pt idx="39">
                  <c:v>4.000.000</c:v>
                </c:pt>
                <c:pt idx="40">
                  <c:v>4.100.000</c:v>
                </c:pt>
                <c:pt idx="41">
                  <c:v>4.200.000</c:v>
                </c:pt>
                <c:pt idx="42">
                  <c:v>4.300.000</c:v>
                </c:pt>
                <c:pt idx="43">
                  <c:v>4.400.000</c:v>
                </c:pt>
                <c:pt idx="44">
                  <c:v>4.500.000</c:v>
                </c:pt>
                <c:pt idx="45">
                  <c:v>4.600.000</c:v>
                </c:pt>
                <c:pt idx="46">
                  <c:v>4.700.000</c:v>
                </c:pt>
                <c:pt idx="47">
                  <c:v>4.800.000</c:v>
                </c:pt>
                <c:pt idx="48">
                  <c:v>4.900.000</c:v>
                </c:pt>
                <c:pt idx="49">
                  <c:v>5.000.000</c:v>
                </c:pt>
                <c:pt idx="50">
                  <c:v>5.100.000</c:v>
                </c:pt>
                <c:pt idx="51">
                  <c:v>5.200.000</c:v>
                </c:pt>
                <c:pt idx="52">
                  <c:v>5.300.000</c:v>
                </c:pt>
                <c:pt idx="53">
                  <c:v>5.400.000</c:v>
                </c:pt>
                <c:pt idx="54">
                  <c:v>5.500.000</c:v>
                </c:pt>
                <c:pt idx="55">
                  <c:v>5.600.000</c:v>
                </c:pt>
                <c:pt idx="56">
                  <c:v>5.700.000</c:v>
                </c:pt>
                <c:pt idx="57">
                  <c:v>5.800.000</c:v>
                </c:pt>
                <c:pt idx="58">
                  <c:v>5.900.000</c:v>
                </c:pt>
                <c:pt idx="59">
                  <c:v>6.000.000</c:v>
                </c:pt>
                <c:pt idx="60">
                  <c:v>6.100.000</c:v>
                </c:pt>
                <c:pt idx="61">
                  <c:v>6.200.000</c:v>
                </c:pt>
                <c:pt idx="62">
                  <c:v>6.300.000</c:v>
                </c:pt>
                <c:pt idx="63">
                  <c:v>6.400.000</c:v>
                </c:pt>
                <c:pt idx="64">
                  <c:v>6.500.000</c:v>
                </c:pt>
                <c:pt idx="65">
                  <c:v>6.600.000</c:v>
                </c:pt>
                <c:pt idx="66">
                  <c:v>6.700.000</c:v>
                </c:pt>
                <c:pt idx="67">
                  <c:v>6.800.000</c:v>
                </c:pt>
                <c:pt idx="68">
                  <c:v>6.900.000</c:v>
                </c:pt>
                <c:pt idx="69">
                  <c:v>7.000.000</c:v>
                </c:pt>
                <c:pt idx="70">
                  <c:v>7.100.000</c:v>
                </c:pt>
                <c:pt idx="71">
                  <c:v>7.200.000</c:v>
                </c:pt>
                <c:pt idx="72">
                  <c:v>7.300.000</c:v>
                </c:pt>
                <c:pt idx="73">
                  <c:v>7.400.000</c:v>
                </c:pt>
                <c:pt idx="74">
                  <c:v>7.500.000</c:v>
                </c:pt>
                <c:pt idx="75">
                  <c:v>7.600.000</c:v>
                </c:pt>
                <c:pt idx="76">
                  <c:v>7.700.000</c:v>
                </c:pt>
                <c:pt idx="77">
                  <c:v>7.800.000</c:v>
                </c:pt>
                <c:pt idx="78">
                  <c:v>7.900.000</c:v>
                </c:pt>
                <c:pt idx="79">
                  <c:v>8.000.000</c:v>
                </c:pt>
                <c:pt idx="80">
                  <c:v>8.100.000</c:v>
                </c:pt>
                <c:pt idx="81">
                  <c:v>8.200.000</c:v>
                </c:pt>
                <c:pt idx="82">
                  <c:v>8.300.000</c:v>
                </c:pt>
                <c:pt idx="83">
                  <c:v>8.400.000</c:v>
                </c:pt>
                <c:pt idx="84">
                  <c:v>8.500.000</c:v>
                </c:pt>
                <c:pt idx="85">
                  <c:v>8.600.000</c:v>
                </c:pt>
                <c:pt idx="86">
                  <c:v>8.700.000</c:v>
                </c:pt>
                <c:pt idx="87">
                  <c:v>8.800.000</c:v>
                </c:pt>
                <c:pt idx="88">
                  <c:v>8.900.000</c:v>
                </c:pt>
                <c:pt idx="89">
                  <c:v>9.000.000</c:v>
                </c:pt>
                <c:pt idx="90">
                  <c:v>9.100.000</c:v>
                </c:pt>
                <c:pt idx="91">
                  <c:v>9.200.000</c:v>
                </c:pt>
                <c:pt idx="92">
                  <c:v>9.300.000</c:v>
                </c:pt>
                <c:pt idx="93">
                  <c:v>9.400.000</c:v>
                </c:pt>
                <c:pt idx="94">
                  <c:v>9.500.000</c:v>
                </c:pt>
                <c:pt idx="95">
                  <c:v>9.600.000</c:v>
                </c:pt>
                <c:pt idx="96">
                  <c:v>9.700.000</c:v>
                </c:pt>
                <c:pt idx="97">
                  <c:v>9.800.000</c:v>
                </c:pt>
                <c:pt idx="98">
                  <c:v>9.900.000</c:v>
                </c:pt>
                <c:pt idx="99">
                  <c:v>10.000.000</c:v>
                </c:pt>
                <c:pt idx="100">
                  <c:v>nad 10.000.000</c:v>
                </c:pt>
              </c:strCache>
            </c:strRef>
          </c:cat>
          <c:val>
            <c:numRef>
              <c:f>'storitve nad EU  '!$B$2:$B$102</c:f>
              <c:numCache>
                <c:formatCode>General</c:formatCode>
                <c:ptCount val="101"/>
                <c:pt idx="0">
                  <c:v>33</c:v>
                </c:pt>
                <c:pt idx="1">
                  <c:v>99</c:v>
                </c:pt>
                <c:pt idx="2">
                  <c:v>109</c:v>
                </c:pt>
                <c:pt idx="3">
                  <c:v>71</c:v>
                </c:pt>
                <c:pt idx="4">
                  <c:v>47</c:v>
                </c:pt>
                <c:pt idx="5">
                  <c:v>44</c:v>
                </c:pt>
                <c:pt idx="6">
                  <c:v>33</c:v>
                </c:pt>
                <c:pt idx="7">
                  <c:v>25</c:v>
                </c:pt>
                <c:pt idx="8">
                  <c:v>23</c:v>
                </c:pt>
                <c:pt idx="9">
                  <c:v>17</c:v>
                </c:pt>
                <c:pt idx="10">
                  <c:v>13</c:v>
                </c:pt>
                <c:pt idx="11">
                  <c:v>16</c:v>
                </c:pt>
                <c:pt idx="12">
                  <c:v>5</c:v>
                </c:pt>
                <c:pt idx="13">
                  <c:v>12</c:v>
                </c:pt>
                <c:pt idx="14">
                  <c:v>8</c:v>
                </c:pt>
                <c:pt idx="15">
                  <c:v>9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6</c:v>
                </c:pt>
                <c:pt idx="22">
                  <c:v>2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0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4</c:v>
                </c:pt>
                <c:pt idx="32">
                  <c:v>3</c:v>
                </c:pt>
                <c:pt idx="33">
                  <c:v>0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2</c:v>
                </c:pt>
                <c:pt idx="42">
                  <c:v>0</c:v>
                </c:pt>
                <c:pt idx="43">
                  <c:v>2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2</c:v>
                </c:pt>
                <c:pt idx="51">
                  <c:v>1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1</c:v>
                </c:pt>
                <c:pt idx="64">
                  <c:v>0</c:v>
                </c:pt>
                <c:pt idx="65">
                  <c:v>1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0</c:v>
                </c:pt>
                <c:pt idx="70">
                  <c:v>0</c:v>
                </c:pt>
                <c:pt idx="71">
                  <c:v>2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1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C-45CC-9B5F-CB122D4B1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146504"/>
        <c:axId val="515147488"/>
      </c:barChart>
      <c:catAx>
        <c:axId val="515146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5147488"/>
        <c:crosses val="autoZero"/>
        <c:auto val="1"/>
        <c:lblAlgn val="ctr"/>
        <c:lblOffset val="100"/>
        <c:noMultiLvlLbl val="0"/>
      </c:catAx>
      <c:valAx>
        <c:axId val="515147488"/>
        <c:scaling>
          <c:orientation val="minMax"/>
          <c:max val="1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awarded contracts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5146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Histogram of values of procedures for services below the EU thresholds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'storitve-pod EU  '!$B$1</c:f>
              <c:strCache>
                <c:ptCount val="1"/>
                <c:pt idx="0">
                  <c:v>awarded contracts</c:v>
                </c:pt>
              </c:strCache>
            </c:strRef>
          </c:tx>
          <c:spPr>
            <a:solidFill>
              <a:srgbClr val="B60638"/>
            </a:solidFill>
            <a:ln>
              <a:noFill/>
            </a:ln>
            <a:effectLst/>
          </c:spPr>
          <c:invertIfNegative val="0"/>
          <c:cat>
            <c:strRef>
              <c:f>'storitve-pod EU  '!$A$2:$A$9</c:f>
              <c:strCache>
                <c:ptCount val="8"/>
                <c:pt idx="0">
                  <c:v>100.000</c:v>
                </c:pt>
                <c:pt idx="1">
                  <c:v>200.000</c:v>
                </c:pt>
                <c:pt idx="2">
                  <c:v>300.000</c:v>
                </c:pt>
                <c:pt idx="3">
                  <c:v>400.000</c:v>
                </c:pt>
                <c:pt idx="4">
                  <c:v>500.000</c:v>
                </c:pt>
                <c:pt idx="5">
                  <c:v>600.000</c:v>
                </c:pt>
                <c:pt idx="6">
                  <c:v>700.000</c:v>
                </c:pt>
                <c:pt idx="7">
                  <c:v>nad 800.000</c:v>
                </c:pt>
              </c:strCache>
            </c:strRef>
          </c:cat>
          <c:val>
            <c:numRef>
              <c:f>'storitve-pod EU  '!$B$2:$B$9</c:f>
              <c:numCache>
                <c:formatCode>General</c:formatCode>
                <c:ptCount val="8"/>
                <c:pt idx="0">
                  <c:v>1242</c:v>
                </c:pt>
                <c:pt idx="1">
                  <c:v>373</c:v>
                </c:pt>
                <c:pt idx="2">
                  <c:v>62</c:v>
                </c:pt>
                <c:pt idx="3">
                  <c:v>30</c:v>
                </c:pt>
                <c:pt idx="4">
                  <c:v>8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02-4DB3-B7D4-068A3D2CD2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322400"/>
        <c:axId val="507319448"/>
      </c:barChart>
      <c:catAx>
        <c:axId val="507322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7319448"/>
        <c:crosses val="autoZero"/>
        <c:auto val="1"/>
        <c:lblAlgn val="ctr"/>
        <c:lblOffset val="100"/>
        <c:noMultiLvlLbl val="0"/>
      </c:catAx>
      <c:valAx>
        <c:axId val="507319448"/>
        <c:scaling>
          <c:orientation val="minMax"/>
          <c:max val="1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awarded contracts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732240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Kostanjšek</dc:creator>
  <cp:keywords/>
  <dc:description/>
  <cp:lastModifiedBy>Ajda Kostanjšek</cp:lastModifiedBy>
  <cp:revision>6</cp:revision>
  <dcterms:created xsi:type="dcterms:W3CDTF">2018-04-17T12:44:00Z</dcterms:created>
  <dcterms:modified xsi:type="dcterms:W3CDTF">2018-04-18T08:08:00Z</dcterms:modified>
</cp:coreProperties>
</file>