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charts/chartEx3.xml" ContentType="application/vnd.ms-office.chartex+xml"/>
  <Override PartName="/word/charts/style3.xml" ContentType="application/vnd.ms-office.chartstyle+xml"/>
  <Override PartName="/word/charts/colors3.xml" ContentType="application/vnd.ms-office.chartcolorstyle+xml"/>
  <Override PartName="/word/charts/chartEx4.xml" ContentType="application/vnd.ms-office.chartex+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7EBD" w14:textId="34A050EB" w:rsidR="00BD08CB" w:rsidRPr="00DE05E9" w:rsidRDefault="00F92DAE" w:rsidP="00FB71FD">
      <w:pPr>
        <w:pStyle w:val="Heading1"/>
        <w:jc w:val="center"/>
        <w:rPr>
          <w:rFonts w:ascii="Times New Roman" w:hAnsi="Times New Roman" w:cs="Times New Roman"/>
          <w:sz w:val="22"/>
          <w:szCs w:val="22"/>
          <w:u w:val="single"/>
        </w:rPr>
      </w:pPr>
      <w:r w:rsidRPr="00DE05E9">
        <w:rPr>
          <w:rFonts w:ascii="Times New Roman" w:hAnsi="Times New Roman" w:cs="Times New Roman"/>
          <w:sz w:val="22"/>
          <w:szCs w:val="22"/>
          <w:u w:val="single"/>
        </w:rPr>
        <w:t xml:space="preserve">Procurement </w:t>
      </w:r>
      <w:r w:rsidR="0051246A" w:rsidRPr="00DE05E9">
        <w:rPr>
          <w:rFonts w:ascii="Times New Roman" w:hAnsi="Times New Roman" w:cs="Times New Roman"/>
          <w:sz w:val="22"/>
          <w:szCs w:val="22"/>
          <w:u w:val="single"/>
        </w:rPr>
        <w:t xml:space="preserve">Monitoring </w:t>
      </w:r>
      <w:r w:rsidRPr="00DE05E9">
        <w:rPr>
          <w:rFonts w:ascii="Times New Roman" w:hAnsi="Times New Roman" w:cs="Times New Roman"/>
          <w:sz w:val="22"/>
          <w:szCs w:val="22"/>
          <w:u w:val="single"/>
        </w:rPr>
        <w:t>Report Template</w:t>
      </w:r>
    </w:p>
    <w:p w14:paraId="34AB7EBE" w14:textId="054D20C4" w:rsidR="00BD08CB" w:rsidRPr="00DE05E9" w:rsidRDefault="00C314EF" w:rsidP="00FB71FD">
      <w:pPr>
        <w:pStyle w:val="NoSpacing"/>
        <w:jc w:val="center"/>
        <w:rPr>
          <w:rFonts w:ascii="Times New Roman" w:hAnsi="Times New Roman" w:cs="Times New Roman"/>
          <w:b/>
        </w:rPr>
      </w:pPr>
      <w:r w:rsidRPr="00DE05E9">
        <w:rPr>
          <w:rFonts w:ascii="Times New Roman" w:hAnsi="Times New Roman" w:cs="Times New Roman"/>
          <w:b/>
        </w:rPr>
        <w:t xml:space="preserve">In view of </w:t>
      </w:r>
      <w:r w:rsidR="00411EDE" w:rsidRPr="00DE05E9">
        <w:rPr>
          <w:rFonts w:ascii="Times New Roman" w:hAnsi="Times New Roman" w:cs="Times New Roman"/>
          <w:b/>
        </w:rPr>
        <w:t>the Member States' reporting proces</w:t>
      </w:r>
      <w:r w:rsidRPr="00DE05E9">
        <w:rPr>
          <w:rFonts w:ascii="Times New Roman" w:hAnsi="Times New Roman" w:cs="Times New Roman"/>
          <w:b/>
        </w:rPr>
        <w:t>s</w:t>
      </w:r>
      <w:r w:rsidR="00411EDE" w:rsidRPr="00DE05E9">
        <w:rPr>
          <w:rFonts w:ascii="Times New Roman" w:hAnsi="Times New Roman" w:cs="Times New Roman"/>
          <w:b/>
        </w:rPr>
        <w:t xml:space="preserve"> </w:t>
      </w:r>
      <w:r w:rsidR="00411EDE" w:rsidRPr="00DE05E9">
        <w:rPr>
          <w:rFonts w:ascii="Times New Roman" w:hAnsi="Times New Roman" w:cs="Times New Roman"/>
          <w:b/>
        </w:rPr>
        <w:br/>
      </w:r>
      <w:r w:rsidRPr="00DE05E9">
        <w:rPr>
          <w:rFonts w:ascii="Times New Roman" w:hAnsi="Times New Roman" w:cs="Times New Roman"/>
          <w:b/>
        </w:rPr>
        <w:t xml:space="preserve">under the </w:t>
      </w:r>
      <w:r w:rsidR="00411EDE" w:rsidRPr="00DE05E9">
        <w:rPr>
          <w:rFonts w:ascii="Times New Roman" w:hAnsi="Times New Roman" w:cs="Times New Roman"/>
          <w:b/>
        </w:rPr>
        <w:t>Directives 2014/23/EU, 2014/24/EU and 2014/25/EU</w:t>
      </w:r>
    </w:p>
    <w:p w14:paraId="34AB7EC0" w14:textId="739FB91D" w:rsidR="005E2AB6" w:rsidRPr="00DE05E9" w:rsidRDefault="00411EDE" w:rsidP="00FB71FD">
      <w:pPr>
        <w:pStyle w:val="Heading1"/>
        <w:jc w:val="center"/>
        <w:rPr>
          <w:rFonts w:ascii="Times New Roman" w:hAnsi="Times New Roman" w:cs="Times New Roman"/>
          <w:sz w:val="22"/>
          <w:szCs w:val="22"/>
        </w:rPr>
      </w:pPr>
      <w:r w:rsidRPr="00DE05E9">
        <w:rPr>
          <w:rFonts w:ascii="Times New Roman" w:hAnsi="Times New Roman" w:cs="Times New Roman"/>
          <w:sz w:val="22"/>
          <w:szCs w:val="22"/>
        </w:rPr>
        <w:t>Purpose and key features of the template</w:t>
      </w:r>
    </w:p>
    <w:p w14:paraId="34AB7EC1" w14:textId="77777777" w:rsidR="00C314EF" w:rsidRPr="00DE05E9" w:rsidRDefault="00C314EF" w:rsidP="00FB71FD">
      <w:pPr>
        <w:pStyle w:val="NoSpacing"/>
        <w:jc w:val="both"/>
        <w:rPr>
          <w:rFonts w:ascii="Times New Roman" w:hAnsi="Times New Roman" w:cs="Times New Roman"/>
        </w:rPr>
      </w:pPr>
    </w:p>
    <w:p w14:paraId="34AB7EC2" w14:textId="77777777" w:rsidR="005E2AB6" w:rsidRPr="00DE05E9" w:rsidRDefault="005E2AB6" w:rsidP="00FB71FD">
      <w:pPr>
        <w:pStyle w:val="NoSpacing"/>
        <w:jc w:val="both"/>
        <w:rPr>
          <w:rFonts w:ascii="Times New Roman" w:hAnsi="Times New Roman" w:cs="Times New Roman"/>
        </w:rPr>
      </w:pPr>
    </w:p>
    <w:p w14:paraId="34AB7EC3" w14:textId="5610A268" w:rsidR="00F134F8" w:rsidRPr="00DE05E9" w:rsidRDefault="00357EAC" w:rsidP="00FB71FD">
      <w:pPr>
        <w:pStyle w:val="NoSpacing"/>
        <w:numPr>
          <w:ilvl w:val="0"/>
          <w:numId w:val="2"/>
        </w:numPr>
        <w:jc w:val="both"/>
        <w:rPr>
          <w:rFonts w:ascii="Times New Roman" w:hAnsi="Times New Roman" w:cs="Times New Roman"/>
        </w:rPr>
      </w:pPr>
      <w:r w:rsidRPr="00DE05E9">
        <w:rPr>
          <w:rFonts w:ascii="Times New Roman" w:hAnsi="Times New Roman" w:cs="Times New Roman"/>
        </w:rPr>
        <w:t xml:space="preserve">This </w:t>
      </w:r>
      <w:r w:rsidR="00F134F8" w:rsidRPr="00DE05E9">
        <w:rPr>
          <w:rFonts w:ascii="Times New Roman" w:hAnsi="Times New Roman" w:cs="Times New Roman"/>
        </w:rPr>
        <w:t>template aims at facilitating Member States'</w:t>
      </w:r>
      <w:r w:rsidRPr="00DE05E9">
        <w:rPr>
          <w:rFonts w:ascii="Times New Roman" w:hAnsi="Times New Roman" w:cs="Times New Roman"/>
        </w:rPr>
        <w:t xml:space="preserve"> (MS)</w:t>
      </w:r>
      <w:r w:rsidR="00F134F8" w:rsidRPr="00DE05E9">
        <w:rPr>
          <w:rFonts w:ascii="Times New Roman" w:hAnsi="Times New Roman" w:cs="Times New Roman"/>
        </w:rPr>
        <w:t xml:space="preserve"> reporting in the context of the new procurement directives. The template </w:t>
      </w:r>
      <w:r w:rsidR="00402EDC" w:rsidRPr="00DE05E9">
        <w:rPr>
          <w:rFonts w:ascii="Times New Roman" w:hAnsi="Times New Roman" w:cs="Times New Roman"/>
        </w:rPr>
        <w:t>sets out</w:t>
      </w:r>
      <w:r w:rsidR="00F134F8" w:rsidRPr="00DE05E9">
        <w:rPr>
          <w:rFonts w:ascii="Times New Roman" w:hAnsi="Times New Roman" w:cs="Times New Roman"/>
        </w:rPr>
        <w:t xml:space="preserve"> the scope of the reporting </w:t>
      </w:r>
      <w:r w:rsidR="00402EDC" w:rsidRPr="00DE05E9">
        <w:rPr>
          <w:rFonts w:ascii="Times New Roman" w:hAnsi="Times New Roman" w:cs="Times New Roman"/>
        </w:rPr>
        <w:t>requirements</w:t>
      </w:r>
      <w:r w:rsidR="00F134F8" w:rsidRPr="00DE05E9">
        <w:rPr>
          <w:rFonts w:ascii="Times New Roman" w:hAnsi="Times New Roman" w:cs="Times New Roman"/>
        </w:rPr>
        <w:t xml:space="preserve"> and recommends MS a meth</w:t>
      </w:r>
      <w:r w:rsidR="00722834" w:rsidRPr="00DE05E9">
        <w:rPr>
          <w:rFonts w:ascii="Times New Roman" w:hAnsi="Times New Roman" w:cs="Times New Roman"/>
        </w:rPr>
        <w:t>odology to gather and systematis</w:t>
      </w:r>
      <w:r w:rsidR="00F134F8" w:rsidRPr="00DE05E9">
        <w:rPr>
          <w:rFonts w:ascii="Times New Roman" w:hAnsi="Times New Roman" w:cs="Times New Roman"/>
        </w:rPr>
        <w:t>e</w:t>
      </w:r>
      <w:r w:rsidR="0051246A" w:rsidRPr="00DE05E9">
        <w:rPr>
          <w:rFonts w:ascii="Times New Roman" w:hAnsi="Times New Roman" w:cs="Times New Roman"/>
        </w:rPr>
        <w:t xml:space="preserve"> </w:t>
      </w:r>
      <w:r w:rsidR="00F134F8" w:rsidRPr="00DE05E9">
        <w:rPr>
          <w:rFonts w:ascii="Times New Roman" w:hAnsi="Times New Roman" w:cs="Times New Roman"/>
        </w:rPr>
        <w:t xml:space="preserve">the </w:t>
      </w:r>
      <w:r w:rsidR="0051246A" w:rsidRPr="00DE05E9">
        <w:rPr>
          <w:rFonts w:ascii="Times New Roman" w:hAnsi="Times New Roman" w:cs="Times New Roman"/>
        </w:rPr>
        <w:t xml:space="preserve">collection of </w:t>
      </w:r>
      <w:r w:rsidR="00F134F8" w:rsidRPr="00DE05E9">
        <w:rPr>
          <w:rFonts w:ascii="Times New Roman" w:hAnsi="Times New Roman" w:cs="Times New Roman"/>
        </w:rPr>
        <w:t xml:space="preserve">relevant information. Furthermore, it </w:t>
      </w:r>
      <w:r w:rsidR="00722834" w:rsidRPr="00DE05E9">
        <w:rPr>
          <w:rFonts w:ascii="Times New Roman" w:hAnsi="Times New Roman" w:cs="Times New Roman"/>
        </w:rPr>
        <w:t>strives to propose a harmonis</w:t>
      </w:r>
      <w:r w:rsidR="00F134F8" w:rsidRPr="00DE05E9">
        <w:rPr>
          <w:rFonts w:ascii="Times New Roman" w:hAnsi="Times New Roman" w:cs="Times New Roman"/>
        </w:rPr>
        <w:t xml:space="preserve">ed structure of the reports so as to allow easier comparison of the information provided by the </w:t>
      </w:r>
      <w:r w:rsidRPr="00DE05E9">
        <w:rPr>
          <w:rFonts w:ascii="Times New Roman" w:hAnsi="Times New Roman" w:cs="Times New Roman"/>
        </w:rPr>
        <w:t>MS</w:t>
      </w:r>
      <w:r w:rsidR="00F134F8" w:rsidRPr="00DE05E9">
        <w:rPr>
          <w:rFonts w:ascii="Times New Roman" w:hAnsi="Times New Roman" w:cs="Times New Roman"/>
        </w:rPr>
        <w:t>.</w:t>
      </w:r>
      <w:r w:rsidR="00D6180B" w:rsidRPr="00DE05E9">
        <w:rPr>
          <w:rFonts w:ascii="Times New Roman" w:hAnsi="Times New Roman" w:cs="Times New Roman"/>
        </w:rPr>
        <w:t xml:space="preserve"> </w:t>
      </w:r>
    </w:p>
    <w:p w14:paraId="429AD730" w14:textId="77777777" w:rsidR="00591D50" w:rsidRPr="00DE05E9" w:rsidRDefault="00591D50" w:rsidP="00FB71FD">
      <w:pPr>
        <w:pStyle w:val="NoSpacing"/>
        <w:ind w:left="360"/>
        <w:jc w:val="both"/>
        <w:rPr>
          <w:rFonts w:ascii="Times New Roman" w:hAnsi="Times New Roman" w:cs="Times New Roman"/>
        </w:rPr>
      </w:pPr>
    </w:p>
    <w:p w14:paraId="62AF63DF" w14:textId="0896EF0B" w:rsidR="00DC7DB5" w:rsidRPr="00DE05E9" w:rsidRDefault="00DC7DB5" w:rsidP="00FB71FD">
      <w:pPr>
        <w:pStyle w:val="NoSpacing"/>
        <w:numPr>
          <w:ilvl w:val="0"/>
          <w:numId w:val="2"/>
        </w:numPr>
        <w:jc w:val="both"/>
        <w:rPr>
          <w:rFonts w:ascii="Times New Roman" w:hAnsi="Times New Roman" w:cs="Times New Roman"/>
        </w:rPr>
      </w:pPr>
      <w:r w:rsidRPr="00DE05E9">
        <w:rPr>
          <w:rFonts w:ascii="Times New Roman" w:hAnsi="Times New Roman" w:cs="Times New Roman"/>
        </w:rPr>
        <w:t xml:space="preserve">The questions in this template are non-binding specifications of the directives' legal obligations on monitoring reports. The template should be followed only as far as possible by the Member State, especially as concerns the availability of </w:t>
      </w:r>
      <w:r w:rsidR="00693D77" w:rsidRPr="00DE05E9">
        <w:rPr>
          <w:rFonts w:ascii="Times New Roman" w:hAnsi="Times New Roman" w:cs="Times New Roman"/>
        </w:rPr>
        <w:t xml:space="preserve">quantitative </w:t>
      </w:r>
      <w:r w:rsidRPr="00DE05E9">
        <w:rPr>
          <w:rFonts w:ascii="Times New Roman" w:hAnsi="Times New Roman" w:cs="Times New Roman"/>
        </w:rPr>
        <w:t xml:space="preserve">information. When information is not available, this may be noted in the report, possibly together with an </w:t>
      </w:r>
      <w:r w:rsidR="00E45EC8" w:rsidRPr="00DE05E9">
        <w:rPr>
          <w:rFonts w:ascii="Times New Roman" w:hAnsi="Times New Roman" w:cs="Times New Roman"/>
        </w:rPr>
        <w:t xml:space="preserve">explanation of </w:t>
      </w:r>
      <w:r w:rsidRPr="00DE05E9">
        <w:rPr>
          <w:rFonts w:ascii="Times New Roman" w:hAnsi="Times New Roman" w:cs="Times New Roman"/>
        </w:rPr>
        <w:t xml:space="preserve">whether there are plans to start collecting such information and including it in the future edition of the </w:t>
      </w:r>
      <w:r w:rsidR="00E45EC8" w:rsidRPr="00DE05E9">
        <w:rPr>
          <w:rFonts w:ascii="Times New Roman" w:hAnsi="Times New Roman" w:cs="Times New Roman"/>
        </w:rPr>
        <w:t>report</w:t>
      </w:r>
      <w:r w:rsidRPr="00DE05E9">
        <w:rPr>
          <w:rFonts w:ascii="Times New Roman" w:hAnsi="Times New Roman" w:cs="Times New Roman"/>
        </w:rPr>
        <w:t xml:space="preserve">. </w:t>
      </w:r>
    </w:p>
    <w:p w14:paraId="5FBC0F3D" w14:textId="7D0761A1" w:rsidR="006E27CD" w:rsidRPr="00DE05E9" w:rsidRDefault="006E27CD" w:rsidP="00FB71FD">
      <w:pPr>
        <w:pStyle w:val="NoSpacing"/>
        <w:ind w:left="426" w:hanging="426"/>
        <w:jc w:val="both"/>
        <w:rPr>
          <w:rFonts w:ascii="Times New Roman" w:hAnsi="Times New Roman" w:cs="Times New Roman"/>
        </w:rPr>
      </w:pPr>
    </w:p>
    <w:p w14:paraId="34AB7EC5" w14:textId="4A2FD3C0" w:rsidR="00F134F8" w:rsidRPr="00DE05E9" w:rsidRDefault="0051246A" w:rsidP="00FB71FD">
      <w:pPr>
        <w:pStyle w:val="NoSpacing"/>
        <w:numPr>
          <w:ilvl w:val="0"/>
          <w:numId w:val="2"/>
        </w:numPr>
        <w:ind w:left="426" w:hanging="426"/>
        <w:jc w:val="both"/>
        <w:rPr>
          <w:rFonts w:ascii="Times New Roman" w:hAnsi="Times New Roman" w:cs="Times New Roman"/>
        </w:rPr>
      </w:pPr>
      <w:r w:rsidRPr="00DE05E9">
        <w:rPr>
          <w:rFonts w:ascii="Times New Roman" w:hAnsi="Times New Roman" w:cs="Times New Roman"/>
        </w:rPr>
        <w:t>MS</w:t>
      </w:r>
      <w:r w:rsidR="00F134F8" w:rsidRPr="00DE05E9">
        <w:rPr>
          <w:rFonts w:ascii="Times New Roman" w:hAnsi="Times New Roman" w:cs="Times New Roman"/>
        </w:rPr>
        <w:t xml:space="preserve">' reports will be published on the European Commission website. The information will feed the </w:t>
      </w:r>
      <w:r w:rsidRPr="00DE05E9">
        <w:rPr>
          <w:rFonts w:ascii="Times New Roman" w:hAnsi="Times New Roman" w:cs="Times New Roman"/>
        </w:rPr>
        <w:t>new R</w:t>
      </w:r>
      <w:r w:rsidR="00F134F8" w:rsidRPr="00DE05E9">
        <w:rPr>
          <w:rFonts w:ascii="Times New Roman" w:hAnsi="Times New Roman" w:cs="Times New Roman"/>
        </w:rPr>
        <w:t xml:space="preserve">eport on the implementation and best practices of national procurement policies in the internal market to be </w:t>
      </w:r>
      <w:r w:rsidRPr="00DE05E9">
        <w:rPr>
          <w:rFonts w:ascii="Times New Roman" w:hAnsi="Times New Roman" w:cs="Times New Roman"/>
        </w:rPr>
        <w:t xml:space="preserve">issued </w:t>
      </w:r>
      <w:r w:rsidR="00F134F8" w:rsidRPr="00DE05E9">
        <w:rPr>
          <w:rFonts w:ascii="Times New Roman" w:hAnsi="Times New Roman" w:cs="Times New Roman"/>
        </w:rPr>
        <w:t xml:space="preserve">by the European Commission. </w:t>
      </w:r>
      <w:r w:rsidR="00BD08CB" w:rsidRPr="00DE05E9">
        <w:rPr>
          <w:rFonts w:ascii="Times New Roman" w:hAnsi="Times New Roman" w:cs="Times New Roman"/>
        </w:rPr>
        <w:t>The information provided by the M</w:t>
      </w:r>
      <w:r w:rsidRPr="00DE05E9">
        <w:rPr>
          <w:rFonts w:ascii="Times New Roman" w:hAnsi="Times New Roman" w:cs="Times New Roman"/>
        </w:rPr>
        <w:t>S</w:t>
      </w:r>
      <w:r w:rsidR="00BD08CB" w:rsidRPr="00DE05E9">
        <w:rPr>
          <w:rFonts w:ascii="Times New Roman" w:hAnsi="Times New Roman" w:cs="Times New Roman"/>
        </w:rPr>
        <w:t xml:space="preserve"> will </w:t>
      </w:r>
      <w:r w:rsidR="00061269" w:rsidRPr="00DE05E9">
        <w:rPr>
          <w:rFonts w:ascii="Times New Roman" w:hAnsi="Times New Roman" w:cs="Times New Roman"/>
        </w:rPr>
        <w:t>support the</w:t>
      </w:r>
      <w:r w:rsidR="00BD08CB" w:rsidRPr="00DE05E9">
        <w:rPr>
          <w:rFonts w:ascii="Times New Roman" w:hAnsi="Times New Roman" w:cs="Times New Roman"/>
        </w:rPr>
        <w:t xml:space="preserve"> policy analysis work of the Commission.</w:t>
      </w:r>
    </w:p>
    <w:p w14:paraId="34AB7EC6" w14:textId="77777777" w:rsidR="00B11DB1" w:rsidRPr="00DE05E9" w:rsidRDefault="00B11DB1" w:rsidP="00FB71FD">
      <w:pPr>
        <w:pStyle w:val="NoSpacing"/>
        <w:ind w:left="426" w:hanging="426"/>
        <w:jc w:val="both"/>
        <w:rPr>
          <w:rFonts w:ascii="Times New Roman" w:hAnsi="Times New Roman" w:cs="Times New Roman"/>
        </w:rPr>
      </w:pPr>
    </w:p>
    <w:p w14:paraId="34AB7EC7" w14:textId="4DD654C1" w:rsidR="00B11DB1" w:rsidRPr="00DE05E9" w:rsidRDefault="00F134F8" w:rsidP="00FB71FD">
      <w:pPr>
        <w:pStyle w:val="NoSpacing"/>
        <w:numPr>
          <w:ilvl w:val="0"/>
          <w:numId w:val="2"/>
        </w:numPr>
        <w:ind w:left="426" w:hanging="426"/>
        <w:jc w:val="both"/>
        <w:rPr>
          <w:rFonts w:ascii="Times New Roman" w:hAnsi="Times New Roman" w:cs="Times New Roman"/>
        </w:rPr>
      </w:pPr>
      <w:r w:rsidRPr="00DE05E9">
        <w:rPr>
          <w:rFonts w:ascii="Times New Roman" w:hAnsi="Times New Roman" w:cs="Times New Roman"/>
        </w:rPr>
        <w:t xml:space="preserve">The template </w:t>
      </w:r>
      <w:r w:rsidR="00EF5D67" w:rsidRPr="00DE05E9">
        <w:rPr>
          <w:rFonts w:ascii="Times New Roman" w:hAnsi="Times New Roman" w:cs="Times New Roman"/>
        </w:rPr>
        <w:t>covers all</w:t>
      </w:r>
      <w:r w:rsidRPr="00DE05E9">
        <w:rPr>
          <w:rFonts w:ascii="Times New Roman" w:hAnsi="Times New Roman" w:cs="Times New Roman"/>
        </w:rPr>
        <w:t xml:space="preserve"> </w:t>
      </w:r>
      <w:r w:rsidR="00BD08CB" w:rsidRPr="00DE05E9">
        <w:rPr>
          <w:rFonts w:ascii="Times New Roman" w:hAnsi="Times New Roman" w:cs="Times New Roman"/>
        </w:rPr>
        <w:t xml:space="preserve">domains for </w:t>
      </w:r>
      <w:r w:rsidRPr="00DE05E9">
        <w:rPr>
          <w:rFonts w:ascii="Times New Roman" w:hAnsi="Times New Roman" w:cs="Times New Roman"/>
        </w:rPr>
        <w:t xml:space="preserve">which </w:t>
      </w:r>
      <w:r w:rsidR="00BD08CB" w:rsidRPr="00DE05E9">
        <w:rPr>
          <w:rFonts w:ascii="Times New Roman" w:hAnsi="Times New Roman" w:cs="Times New Roman"/>
        </w:rPr>
        <w:t>reporting requirement</w:t>
      </w:r>
      <w:r w:rsidR="001B1BD0" w:rsidRPr="00DE05E9">
        <w:rPr>
          <w:rFonts w:ascii="Times New Roman" w:hAnsi="Times New Roman" w:cs="Times New Roman"/>
        </w:rPr>
        <w:t>s</w:t>
      </w:r>
      <w:r w:rsidR="00BD08CB" w:rsidRPr="00DE05E9">
        <w:rPr>
          <w:rFonts w:ascii="Times New Roman" w:hAnsi="Times New Roman" w:cs="Times New Roman"/>
        </w:rPr>
        <w:t xml:space="preserve"> are defined</w:t>
      </w:r>
      <w:r w:rsidRPr="00DE05E9">
        <w:rPr>
          <w:rFonts w:ascii="Times New Roman" w:hAnsi="Times New Roman" w:cs="Times New Roman"/>
        </w:rPr>
        <w:t xml:space="preserve"> under the </w:t>
      </w:r>
      <w:r w:rsidR="00357EAC" w:rsidRPr="00DE05E9">
        <w:rPr>
          <w:rFonts w:ascii="Times New Roman" w:hAnsi="Times New Roman" w:cs="Times New Roman"/>
        </w:rPr>
        <w:t xml:space="preserve">2014 </w:t>
      </w:r>
      <w:r w:rsidRPr="00DE05E9">
        <w:rPr>
          <w:rFonts w:ascii="Times New Roman" w:hAnsi="Times New Roman" w:cs="Times New Roman"/>
        </w:rPr>
        <w:t xml:space="preserve">procurement directives. </w:t>
      </w:r>
      <w:r w:rsidR="00357EAC" w:rsidRPr="00DE05E9">
        <w:rPr>
          <w:rFonts w:ascii="Times New Roman" w:hAnsi="Times New Roman" w:cs="Times New Roman"/>
        </w:rPr>
        <w:t xml:space="preserve"> </w:t>
      </w:r>
    </w:p>
    <w:p w14:paraId="34AB7EC8" w14:textId="77777777" w:rsidR="00F134F8" w:rsidRPr="00DE05E9" w:rsidRDefault="00F134F8" w:rsidP="00FB71FD">
      <w:pPr>
        <w:pStyle w:val="NoSpacing"/>
        <w:ind w:left="426" w:hanging="426"/>
        <w:jc w:val="both"/>
        <w:rPr>
          <w:rFonts w:ascii="Times New Roman" w:hAnsi="Times New Roman" w:cs="Times New Roman"/>
        </w:rPr>
      </w:pPr>
      <w:r w:rsidRPr="00DE05E9">
        <w:rPr>
          <w:rFonts w:ascii="Times New Roman" w:hAnsi="Times New Roman" w:cs="Times New Roman"/>
        </w:rPr>
        <w:t xml:space="preserve"> </w:t>
      </w:r>
    </w:p>
    <w:p w14:paraId="4E5CCF50" w14:textId="25D2D4DD" w:rsidR="0037143F" w:rsidRPr="00DE05E9" w:rsidRDefault="00F60E74" w:rsidP="00FB71FD">
      <w:pPr>
        <w:pStyle w:val="NoSpacing"/>
        <w:numPr>
          <w:ilvl w:val="0"/>
          <w:numId w:val="2"/>
        </w:numPr>
        <w:ind w:left="426" w:hanging="426"/>
        <w:jc w:val="both"/>
        <w:rPr>
          <w:rFonts w:ascii="Times New Roman" w:hAnsi="Times New Roman" w:cs="Times New Roman"/>
        </w:rPr>
      </w:pPr>
      <w:r w:rsidRPr="00DE05E9">
        <w:rPr>
          <w:rFonts w:ascii="Times New Roman" w:hAnsi="Times New Roman" w:cs="Times New Roman"/>
        </w:rPr>
        <w:t>T</w:t>
      </w:r>
      <w:r w:rsidR="00F134F8" w:rsidRPr="00DE05E9">
        <w:rPr>
          <w:rFonts w:ascii="Times New Roman" w:hAnsi="Times New Roman" w:cs="Times New Roman"/>
        </w:rPr>
        <w:t xml:space="preserve">he </w:t>
      </w:r>
      <w:r w:rsidR="00693D77" w:rsidRPr="00DE05E9">
        <w:rPr>
          <w:rFonts w:ascii="Times New Roman" w:hAnsi="Times New Roman" w:cs="Times New Roman"/>
        </w:rPr>
        <w:t xml:space="preserve">template </w:t>
      </w:r>
      <w:r w:rsidR="00F134F8" w:rsidRPr="00DE05E9">
        <w:rPr>
          <w:rFonts w:ascii="Times New Roman" w:hAnsi="Times New Roman" w:cs="Times New Roman"/>
        </w:rPr>
        <w:t>con</w:t>
      </w:r>
      <w:r w:rsidR="0037143F" w:rsidRPr="00DE05E9">
        <w:rPr>
          <w:rFonts w:ascii="Times New Roman" w:hAnsi="Times New Roman" w:cs="Times New Roman"/>
        </w:rPr>
        <w:t>tains</w:t>
      </w:r>
      <w:r w:rsidR="00F134F8" w:rsidRPr="00DE05E9">
        <w:rPr>
          <w:rFonts w:ascii="Times New Roman" w:hAnsi="Times New Roman" w:cs="Times New Roman"/>
        </w:rPr>
        <w:t xml:space="preserve"> </w:t>
      </w:r>
      <w:r w:rsidR="006B0E4D" w:rsidRPr="00DE05E9">
        <w:rPr>
          <w:rFonts w:ascii="Times New Roman" w:hAnsi="Times New Roman" w:cs="Times New Roman"/>
        </w:rPr>
        <w:t xml:space="preserve">the following types of </w:t>
      </w:r>
      <w:r w:rsidR="00F134F8" w:rsidRPr="00DE05E9">
        <w:rPr>
          <w:rFonts w:ascii="Times New Roman" w:hAnsi="Times New Roman" w:cs="Times New Roman"/>
        </w:rPr>
        <w:t>questions</w:t>
      </w:r>
      <w:r w:rsidR="00C3004E" w:rsidRPr="00DE05E9">
        <w:rPr>
          <w:rFonts w:ascii="Times New Roman" w:hAnsi="Times New Roman" w:cs="Times New Roman"/>
        </w:rPr>
        <w:t xml:space="preserve">: </w:t>
      </w:r>
    </w:p>
    <w:p w14:paraId="1EADBFF9" w14:textId="2F1A33A1" w:rsidR="0037143F" w:rsidRPr="00DE05E9" w:rsidRDefault="00F134F8" w:rsidP="00FB71FD">
      <w:pPr>
        <w:pStyle w:val="NoSpacing"/>
        <w:ind w:left="1440"/>
        <w:jc w:val="both"/>
        <w:rPr>
          <w:rFonts w:ascii="Times New Roman" w:hAnsi="Times New Roman" w:cs="Times New Roman"/>
        </w:rPr>
      </w:pPr>
      <w:r w:rsidRPr="00DE05E9">
        <w:rPr>
          <w:rFonts w:ascii="Times New Roman" w:hAnsi="Times New Roman" w:cs="Times New Roman"/>
        </w:rPr>
        <w:t xml:space="preserve"> </w:t>
      </w:r>
      <w:r w:rsidR="00FB64C5" w:rsidRPr="00DE05E9">
        <w:rPr>
          <w:rFonts w:ascii="Times New Roman" w:hAnsi="Times New Roman" w:cs="Times New Roman"/>
        </w:rPr>
        <w:t xml:space="preserve">i) </w:t>
      </w:r>
      <w:r w:rsidRPr="00DE05E9">
        <w:rPr>
          <w:rFonts w:ascii="Times New Roman" w:hAnsi="Times New Roman" w:cs="Times New Roman"/>
        </w:rPr>
        <w:t>qualitative</w:t>
      </w:r>
      <w:r w:rsidR="0037143F" w:rsidRPr="00DE05E9">
        <w:rPr>
          <w:rFonts w:ascii="Times New Roman" w:hAnsi="Times New Roman" w:cs="Times New Roman"/>
        </w:rPr>
        <w:t xml:space="preserve"> description</w:t>
      </w:r>
      <w:r w:rsidR="00C3004E" w:rsidRPr="00DE05E9">
        <w:rPr>
          <w:rFonts w:ascii="Times New Roman" w:hAnsi="Times New Roman" w:cs="Times New Roman"/>
        </w:rPr>
        <w:t>s</w:t>
      </w:r>
      <w:r w:rsidR="0037143F" w:rsidRPr="00DE05E9">
        <w:rPr>
          <w:rFonts w:ascii="Times New Roman" w:hAnsi="Times New Roman" w:cs="Times New Roman"/>
        </w:rPr>
        <w:t xml:space="preserve"> and assessment,</w:t>
      </w:r>
    </w:p>
    <w:p w14:paraId="48C55345" w14:textId="52AF9E47" w:rsidR="0037143F" w:rsidRPr="00DE05E9" w:rsidRDefault="00FB64C5" w:rsidP="00FB71FD">
      <w:pPr>
        <w:pStyle w:val="NoSpacing"/>
        <w:ind w:left="1440"/>
        <w:jc w:val="both"/>
        <w:rPr>
          <w:rFonts w:ascii="Times New Roman" w:hAnsi="Times New Roman" w:cs="Times New Roman"/>
        </w:rPr>
      </w:pPr>
      <w:r w:rsidRPr="00DE05E9">
        <w:rPr>
          <w:rFonts w:ascii="Times New Roman" w:hAnsi="Times New Roman" w:cs="Times New Roman"/>
        </w:rPr>
        <w:t xml:space="preserve">ii) </w:t>
      </w:r>
      <w:r w:rsidR="0037143F" w:rsidRPr="00DE05E9">
        <w:rPr>
          <w:rFonts w:ascii="Times New Roman" w:hAnsi="Times New Roman" w:cs="Times New Roman"/>
        </w:rPr>
        <w:t xml:space="preserve">supporting documents which provide the </w:t>
      </w:r>
      <w:r w:rsidR="00C3004E" w:rsidRPr="00DE05E9">
        <w:rPr>
          <w:rFonts w:ascii="Times New Roman" w:hAnsi="Times New Roman" w:cs="Times New Roman"/>
        </w:rPr>
        <w:t xml:space="preserve">evidence </w:t>
      </w:r>
      <w:r w:rsidR="0037143F" w:rsidRPr="00DE05E9">
        <w:rPr>
          <w:rFonts w:ascii="Times New Roman" w:hAnsi="Times New Roman" w:cs="Times New Roman"/>
        </w:rPr>
        <w:t xml:space="preserve">for the </w:t>
      </w:r>
      <w:r w:rsidR="00C3004E" w:rsidRPr="00DE05E9">
        <w:rPr>
          <w:rFonts w:ascii="Times New Roman" w:hAnsi="Times New Roman" w:cs="Times New Roman"/>
        </w:rPr>
        <w:t xml:space="preserve">descriptions and </w:t>
      </w:r>
      <w:r w:rsidR="0037143F" w:rsidRPr="00DE05E9">
        <w:rPr>
          <w:rFonts w:ascii="Times New Roman" w:hAnsi="Times New Roman" w:cs="Times New Roman"/>
        </w:rPr>
        <w:t xml:space="preserve">assessment made </w:t>
      </w:r>
      <w:r w:rsidR="00C3004E" w:rsidRPr="00DE05E9">
        <w:rPr>
          <w:rFonts w:ascii="Times New Roman" w:hAnsi="Times New Roman" w:cs="Times New Roman"/>
        </w:rPr>
        <w:t>above</w:t>
      </w:r>
      <w:r w:rsidR="00591D50" w:rsidRPr="00DE05E9">
        <w:rPr>
          <w:rFonts w:ascii="Times New Roman" w:hAnsi="Times New Roman" w:cs="Times New Roman"/>
        </w:rPr>
        <w:t>,</w:t>
      </w:r>
      <w:r w:rsidR="0037143F" w:rsidRPr="00DE05E9">
        <w:rPr>
          <w:rFonts w:ascii="Times New Roman" w:hAnsi="Times New Roman" w:cs="Times New Roman"/>
        </w:rPr>
        <w:t xml:space="preserve"> </w:t>
      </w:r>
    </w:p>
    <w:p w14:paraId="2047C418" w14:textId="3657DD0A" w:rsidR="0037143F" w:rsidRPr="00DE05E9" w:rsidRDefault="00FB64C5" w:rsidP="00FB71FD">
      <w:pPr>
        <w:pStyle w:val="NoSpacing"/>
        <w:ind w:left="1440"/>
        <w:jc w:val="both"/>
        <w:rPr>
          <w:rFonts w:ascii="Times New Roman" w:hAnsi="Times New Roman" w:cs="Times New Roman"/>
        </w:rPr>
      </w:pPr>
      <w:r w:rsidRPr="00DE05E9">
        <w:rPr>
          <w:rFonts w:ascii="Times New Roman" w:hAnsi="Times New Roman" w:cs="Times New Roman"/>
        </w:rPr>
        <w:t xml:space="preserve">iii) </w:t>
      </w:r>
      <w:r w:rsidR="00F134F8" w:rsidRPr="00DE05E9">
        <w:rPr>
          <w:rFonts w:ascii="Times New Roman" w:hAnsi="Times New Roman" w:cs="Times New Roman"/>
        </w:rPr>
        <w:t xml:space="preserve">quantitative </w:t>
      </w:r>
      <w:r w:rsidR="0037143F" w:rsidRPr="00DE05E9">
        <w:rPr>
          <w:rFonts w:ascii="Times New Roman" w:hAnsi="Times New Roman" w:cs="Times New Roman"/>
        </w:rPr>
        <w:t>indicators</w:t>
      </w:r>
      <w:r w:rsidR="00F134F8" w:rsidRPr="00DE05E9">
        <w:rPr>
          <w:rFonts w:ascii="Times New Roman" w:hAnsi="Times New Roman" w:cs="Times New Roman"/>
        </w:rPr>
        <w:t>.</w:t>
      </w:r>
      <w:r w:rsidR="00357EAC" w:rsidRPr="00DE05E9">
        <w:rPr>
          <w:rFonts w:ascii="Times New Roman" w:hAnsi="Times New Roman" w:cs="Times New Roman"/>
        </w:rPr>
        <w:t xml:space="preserve"> </w:t>
      </w:r>
    </w:p>
    <w:p w14:paraId="34AB7EC9" w14:textId="77D3233E" w:rsidR="00B11DB1" w:rsidRPr="00DE05E9" w:rsidRDefault="00357EAC" w:rsidP="00FB71FD">
      <w:pPr>
        <w:pStyle w:val="NoSpacing"/>
        <w:numPr>
          <w:ilvl w:val="0"/>
          <w:numId w:val="9"/>
        </w:numPr>
        <w:jc w:val="both"/>
        <w:rPr>
          <w:rFonts w:ascii="Times New Roman" w:hAnsi="Times New Roman" w:cs="Times New Roman"/>
        </w:rPr>
      </w:pPr>
      <w:r w:rsidRPr="00DE05E9">
        <w:rPr>
          <w:rFonts w:ascii="Times New Roman" w:hAnsi="Times New Roman" w:cs="Times New Roman"/>
        </w:rPr>
        <w:t>In the tables below, the left side contains the name of the information to be submitted, while the right side contains further specifications of what this means.</w:t>
      </w:r>
      <w:r w:rsidR="00F134F8" w:rsidRPr="00DE05E9">
        <w:rPr>
          <w:rFonts w:ascii="Times New Roman" w:hAnsi="Times New Roman" w:cs="Times New Roman"/>
        </w:rPr>
        <w:t xml:space="preserve"> The report should be submitted as a text </w:t>
      </w:r>
      <w:r w:rsidR="00591D50" w:rsidRPr="00DE05E9">
        <w:rPr>
          <w:rFonts w:ascii="Times New Roman" w:hAnsi="Times New Roman" w:cs="Times New Roman"/>
        </w:rPr>
        <w:t xml:space="preserve">(.doc) </w:t>
      </w:r>
      <w:r w:rsidR="00FB64C5" w:rsidRPr="00DE05E9">
        <w:rPr>
          <w:rFonts w:ascii="Times New Roman" w:hAnsi="Times New Roman" w:cs="Times New Roman"/>
        </w:rPr>
        <w:t xml:space="preserve">and PDF </w:t>
      </w:r>
      <w:r w:rsidR="00F134F8" w:rsidRPr="00DE05E9">
        <w:rPr>
          <w:rFonts w:ascii="Times New Roman" w:hAnsi="Times New Roman" w:cs="Times New Roman"/>
        </w:rPr>
        <w:t xml:space="preserve">document </w:t>
      </w:r>
      <w:r w:rsidR="00FC1176" w:rsidRPr="00DE05E9">
        <w:rPr>
          <w:rFonts w:ascii="Times New Roman" w:hAnsi="Times New Roman" w:cs="Times New Roman"/>
        </w:rPr>
        <w:t xml:space="preserve">based on </w:t>
      </w:r>
      <w:r w:rsidR="00F134F8" w:rsidRPr="00DE05E9">
        <w:rPr>
          <w:rFonts w:ascii="Times New Roman" w:hAnsi="Times New Roman" w:cs="Times New Roman"/>
        </w:rPr>
        <w:t>this template</w:t>
      </w:r>
      <w:r w:rsidRPr="00DE05E9">
        <w:rPr>
          <w:rFonts w:ascii="Times New Roman" w:hAnsi="Times New Roman" w:cs="Times New Roman"/>
        </w:rPr>
        <w:t>.</w:t>
      </w:r>
      <w:r w:rsidR="00F134F8" w:rsidRPr="00DE05E9">
        <w:rPr>
          <w:rFonts w:ascii="Times New Roman" w:hAnsi="Times New Roman" w:cs="Times New Roman"/>
        </w:rPr>
        <w:t xml:space="preserve"> </w:t>
      </w:r>
    </w:p>
    <w:p w14:paraId="493E344A" w14:textId="77777777" w:rsidR="00591D50" w:rsidRPr="00DE05E9" w:rsidRDefault="00591D50" w:rsidP="00FB71FD">
      <w:pPr>
        <w:pStyle w:val="NoSpacing"/>
        <w:ind w:left="426"/>
        <w:jc w:val="both"/>
        <w:rPr>
          <w:rFonts w:ascii="Times New Roman" w:hAnsi="Times New Roman" w:cs="Times New Roman"/>
        </w:rPr>
      </w:pPr>
    </w:p>
    <w:p w14:paraId="34AB7ECC" w14:textId="3111769B" w:rsidR="008472EB" w:rsidRPr="00DE05E9" w:rsidRDefault="00F134F8" w:rsidP="00FB71FD">
      <w:pPr>
        <w:pStyle w:val="NoSpacing"/>
        <w:numPr>
          <w:ilvl w:val="0"/>
          <w:numId w:val="2"/>
        </w:numPr>
        <w:ind w:left="426" w:hanging="426"/>
        <w:jc w:val="both"/>
        <w:rPr>
          <w:rFonts w:ascii="Times New Roman" w:hAnsi="Times New Roman" w:cs="Times New Roman"/>
        </w:rPr>
      </w:pPr>
      <w:r w:rsidRPr="00DE05E9">
        <w:rPr>
          <w:rFonts w:ascii="Times New Roman" w:hAnsi="Times New Roman" w:cs="Times New Roman"/>
        </w:rPr>
        <w:t xml:space="preserve">To avoid duplication of reporting obligations and reduce administrative burden, </w:t>
      </w:r>
      <w:r w:rsidR="0051246A" w:rsidRPr="00DE05E9">
        <w:rPr>
          <w:rFonts w:ascii="Times New Roman" w:hAnsi="Times New Roman" w:cs="Times New Roman"/>
        </w:rPr>
        <w:t>MS</w:t>
      </w:r>
      <w:r w:rsidRPr="00DE05E9">
        <w:rPr>
          <w:rFonts w:ascii="Times New Roman" w:hAnsi="Times New Roman" w:cs="Times New Roman"/>
        </w:rPr>
        <w:t xml:space="preserve"> are invited to indicate any information/data requested in this template </w:t>
      </w:r>
      <w:r w:rsidR="00693D77" w:rsidRPr="00DE05E9">
        <w:rPr>
          <w:rFonts w:ascii="Times New Roman" w:hAnsi="Times New Roman" w:cs="Times New Roman"/>
        </w:rPr>
        <w:t xml:space="preserve">that has been </w:t>
      </w:r>
      <w:r w:rsidRPr="00DE05E9">
        <w:rPr>
          <w:rFonts w:ascii="Times New Roman" w:hAnsi="Times New Roman" w:cs="Times New Roman"/>
        </w:rPr>
        <w:t xml:space="preserve">already provided to the Commission via another channel (e.g. procurement irregularities falling within the scope of ESIF funds). </w:t>
      </w:r>
      <w:r w:rsidR="00693D77" w:rsidRPr="00DE05E9">
        <w:rPr>
          <w:rFonts w:ascii="Times New Roman" w:hAnsi="Times New Roman" w:cs="Times New Roman"/>
        </w:rPr>
        <w:t>When it is the case, p</w:t>
      </w:r>
      <w:r w:rsidRPr="00DE05E9">
        <w:rPr>
          <w:rFonts w:ascii="Times New Roman" w:hAnsi="Times New Roman" w:cs="Times New Roman"/>
        </w:rPr>
        <w:t>lease specify these channels, the context of the reporting and the nature of the information already provided.</w:t>
      </w:r>
    </w:p>
    <w:p w14:paraId="34AB7ED1" w14:textId="23F78D1D" w:rsidR="00C437AF" w:rsidRPr="00DE05E9" w:rsidRDefault="00411EDE" w:rsidP="00FB71FD">
      <w:pPr>
        <w:pStyle w:val="Heading1"/>
        <w:tabs>
          <w:tab w:val="right" w:pos="14004"/>
        </w:tabs>
        <w:jc w:val="both"/>
        <w:rPr>
          <w:rFonts w:ascii="Times New Roman" w:hAnsi="Times New Roman" w:cs="Times New Roman"/>
          <w:sz w:val="22"/>
          <w:szCs w:val="22"/>
        </w:rPr>
      </w:pPr>
      <w:r w:rsidRPr="00DE05E9">
        <w:rPr>
          <w:rFonts w:ascii="Times New Roman" w:hAnsi="Times New Roman" w:cs="Times New Roman"/>
          <w:sz w:val="22"/>
          <w:szCs w:val="22"/>
        </w:rPr>
        <w:lastRenderedPageBreak/>
        <w:t xml:space="preserve">General information </w:t>
      </w:r>
      <w:r w:rsidR="003F1BD0" w:rsidRPr="00DE05E9">
        <w:rPr>
          <w:rFonts w:ascii="Times New Roman" w:hAnsi="Times New Roman" w:cs="Times New Roman"/>
          <w:sz w:val="22"/>
          <w:szCs w:val="22"/>
        </w:rPr>
        <w:tab/>
      </w:r>
    </w:p>
    <w:p w14:paraId="34AB7ED3" w14:textId="77777777" w:rsidR="00411EDE" w:rsidRPr="00DE05E9" w:rsidRDefault="00411EDE" w:rsidP="00FB71FD">
      <w:pPr>
        <w:jc w:val="both"/>
        <w:rPr>
          <w:rFonts w:ascii="Times New Roman" w:hAnsi="Times New Roman" w:cs="Times New Roman"/>
        </w:rPr>
      </w:pPr>
    </w:p>
    <w:tbl>
      <w:tblPr>
        <w:tblStyle w:val="TableGrid"/>
        <w:tblW w:w="0" w:type="auto"/>
        <w:tblLook w:val="04A0" w:firstRow="1" w:lastRow="0" w:firstColumn="1" w:lastColumn="0" w:noHBand="0" w:noVBand="1"/>
      </w:tblPr>
      <w:tblGrid>
        <w:gridCol w:w="13994"/>
      </w:tblGrid>
      <w:tr w:rsidR="00411EDE" w:rsidRPr="00DE05E9" w14:paraId="34AB7ED5" w14:textId="77777777" w:rsidTr="00267227">
        <w:trPr>
          <w:trHeight w:val="369"/>
        </w:trPr>
        <w:tc>
          <w:tcPr>
            <w:tcW w:w="0" w:type="auto"/>
          </w:tcPr>
          <w:p w14:paraId="34AB7ED4" w14:textId="64AD19EA" w:rsidR="00411EDE" w:rsidRPr="00DE05E9" w:rsidRDefault="00B6290E" w:rsidP="00FB71FD">
            <w:pPr>
              <w:jc w:val="both"/>
              <w:rPr>
                <w:rFonts w:ascii="Times New Roman" w:hAnsi="Times New Roman" w:cs="Times New Roman"/>
                <w:b/>
              </w:rPr>
            </w:pPr>
            <w:r w:rsidRPr="00DE05E9">
              <w:rPr>
                <w:rFonts w:ascii="Times New Roman" w:hAnsi="Times New Roman" w:cs="Times New Roman"/>
                <w:b/>
              </w:rPr>
              <w:t xml:space="preserve">Scope of </w:t>
            </w:r>
            <w:r w:rsidR="00411EDE" w:rsidRPr="00DE05E9">
              <w:rPr>
                <w:rFonts w:ascii="Times New Roman" w:hAnsi="Times New Roman" w:cs="Times New Roman"/>
                <w:b/>
              </w:rPr>
              <w:t>reporting</w:t>
            </w:r>
          </w:p>
        </w:tc>
      </w:tr>
      <w:tr w:rsidR="00411EDE" w:rsidRPr="00DE05E9" w14:paraId="34AB7ED8" w14:textId="77777777" w:rsidTr="00267227">
        <w:trPr>
          <w:trHeight w:val="559"/>
        </w:trPr>
        <w:tc>
          <w:tcPr>
            <w:tcW w:w="0" w:type="auto"/>
          </w:tcPr>
          <w:p w14:paraId="12B617FF" w14:textId="27DB59EC" w:rsidR="00B6290E" w:rsidRPr="00DE05E9" w:rsidRDefault="00411EDE" w:rsidP="00FB71FD">
            <w:pPr>
              <w:pStyle w:val="NoSpacing"/>
              <w:jc w:val="both"/>
              <w:rPr>
                <w:rFonts w:ascii="Times New Roman" w:hAnsi="Times New Roman" w:cs="Times New Roman"/>
              </w:rPr>
            </w:pPr>
            <w:r w:rsidRPr="00DE05E9">
              <w:rPr>
                <w:rFonts w:ascii="Times New Roman" w:hAnsi="Times New Roman" w:cs="Times New Roman"/>
              </w:rPr>
              <w:t xml:space="preserve">The report </w:t>
            </w:r>
            <w:r w:rsidR="006C12A3" w:rsidRPr="00DE05E9">
              <w:rPr>
                <w:rFonts w:ascii="Times New Roman" w:hAnsi="Times New Roman" w:cs="Times New Roman"/>
              </w:rPr>
              <w:t>should cover</w:t>
            </w:r>
            <w:r w:rsidR="00275538" w:rsidRPr="00DE05E9">
              <w:rPr>
                <w:rFonts w:ascii="Times New Roman" w:hAnsi="Times New Roman" w:cs="Times New Roman"/>
              </w:rPr>
              <w:t xml:space="preserve"> the </w:t>
            </w:r>
            <w:r w:rsidR="006C12A3" w:rsidRPr="00DE05E9">
              <w:rPr>
                <w:rFonts w:ascii="Times New Roman" w:hAnsi="Times New Roman" w:cs="Times New Roman"/>
              </w:rPr>
              <w:t>period between 1</w:t>
            </w:r>
            <w:r w:rsidR="006C12A3" w:rsidRPr="00DE05E9">
              <w:rPr>
                <w:rFonts w:ascii="Times New Roman" w:hAnsi="Times New Roman" w:cs="Times New Roman"/>
                <w:vertAlign w:val="superscript"/>
              </w:rPr>
              <w:t>st</w:t>
            </w:r>
            <w:r w:rsidR="006C12A3" w:rsidRPr="00DE05E9">
              <w:rPr>
                <w:rFonts w:ascii="Times New Roman" w:hAnsi="Times New Roman" w:cs="Times New Roman"/>
              </w:rPr>
              <w:t xml:space="preserve"> January 2017 and 31</w:t>
            </w:r>
            <w:r w:rsidR="006C12A3" w:rsidRPr="00DE05E9">
              <w:rPr>
                <w:rFonts w:ascii="Times New Roman" w:hAnsi="Times New Roman" w:cs="Times New Roman"/>
                <w:vertAlign w:val="superscript"/>
              </w:rPr>
              <w:t>st</w:t>
            </w:r>
            <w:r w:rsidR="006C12A3" w:rsidRPr="00DE05E9">
              <w:rPr>
                <w:rFonts w:ascii="Times New Roman" w:hAnsi="Times New Roman" w:cs="Times New Roman"/>
              </w:rPr>
              <w:t xml:space="preserve"> December 2017. </w:t>
            </w:r>
            <w:r w:rsidR="00275538" w:rsidRPr="00DE05E9">
              <w:rPr>
                <w:rFonts w:ascii="Times New Roman" w:hAnsi="Times New Roman" w:cs="Times New Roman"/>
              </w:rPr>
              <w:t xml:space="preserve">For quantitative data based on procurement notices, this means that the contract award notice should have been awarded in this period. </w:t>
            </w:r>
            <w:r w:rsidR="006C12A3" w:rsidRPr="00DE05E9">
              <w:rPr>
                <w:rFonts w:ascii="Times New Roman" w:hAnsi="Times New Roman" w:cs="Times New Roman"/>
              </w:rPr>
              <w:t xml:space="preserve">If </w:t>
            </w:r>
            <w:r w:rsidR="001B58D6" w:rsidRPr="00DE05E9">
              <w:rPr>
                <w:rFonts w:ascii="Times New Roman" w:hAnsi="Times New Roman" w:cs="Times New Roman"/>
              </w:rPr>
              <w:t>a</w:t>
            </w:r>
            <w:r w:rsidR="00591D50" w:rsidRPr="00DE05E9">
              <w:rPr>
                <w:rFonts w:ascii="Times New Roman" w:hAnsi="Times New Roman" w:cs="Times New Roman"/>
              </w:rPr>
              <w:t>n</w:t>
            </w:r>
            <w:r w:rsidR="001B58D6" w:rsidRPr="00DE05E9">
              <w:rPr>
                <w:rFonts w:ascii="Times New Roman" w:hAnsi="Times New Roman" w:cs="Times New Roman"/>
              </w:rPr>
              <w:t xml:space="preserve"> MS has transposed later than on 1</w:t>
            </w:r>
            <w:r w:rsidR="001B58D6" w:rsidRPr="00DE05E9">
              <w:rPr>
                <w:rFonts w:ascii="Times New Roman" w:hAnsi="Times New Roman" w:cs="Times New Roman"/>
                <w:vertAlign w:val="superscript"/>
              </w:rPr>
              <w:t>st</w:t>
            </w:r>
            <w:r w:rsidR="001B58D6" w:rsidRPr="00DE05E9">
              <w:rPr>
                <w:rFonts w:ascii="Times New Roman" w:hAnsi="Times New Roman" w:cs="Times New Roman"/>
              </w:rPr>
              <w:t xml:space="preserve"> January 2017, the reporting period should still start on the 1</w:t>
            </w:r>
            <w:r w:rsidR="001B58D6" w:rsidRPr="00DE05E9">
              <w:rPr>
                <w:rFonts w:ascii="Times New Roman" w:hAnsi="Times New Roman" w:cs="Times New Roman"/>
                <w:vertAlign w:val="superscript"/>
              </w:rPr>
              <w:t>st</w:t>
            </w:r>
            <w:r w:rsidR="001B58D6" w:rsidRPr="00DE05E9">
              <w:rPr>
                <w:rFonts w:ascii="Times New Roman" w:hAnsi="Times New Roman" w:cs="Times New Roman"/>
              </w:rPr>
              <w:t xml:space="preserve"> January 2017.</w:t>
            </w:r>
          </w:p>
          <w:p w14:paraId="56AEFF24" w14:textId="77777777" w:rsidR="00B6290E" w:rsidRPr="00DE05E9" w:rsidRDefault="00B6290E" w:rsidP="00FB71FD">
            <w:pPr>
              <w:pStyle w:val="NoSpacing"/>
              <w:jc w:val="both"/>
              <w:rPr>
                <w:rFonts w:ascii="Times New Roman" w:hAnsi="Times New Roman" w:cs="Times New Roman"/>
              </w:rPr>
            </w:pPr>
          </w:p>
          <w:p w14:paraId="34AB7ED7" w14:textId="65B9E27F" w:rsidR="008470C6" w:rsidRPr="00DE05E9" w:rsidRDefault="00B6290E" w:rsidP="00FB71FD">
            <w:pPr>
              <w:pStyle w:val="NoSpacing"/>
              <w:jc w:val="both"/>
              <w:rPr>
                <w:rFonts w:ascii="Times New Roman" w:hAnsi="Times New Roman" w:cs="Times New Roman"/>
              </w:rPr>
            </w:pPr>
            <w:r w:rsidRPr="00DE05E9">
              <w:rPr>
                <w:rFonts w:ascii="Times New Roman" w:hAnsi="Times New Roman" w:cs="Times New Roman"/>
              </w:rPr>
              <w:t xml:space="preserve">If the scope of your report is broader than that indicated in the directives (e.g. </w:t>
            </w:r>
            <w:r w:rsidR="00814E98" w:rsidRPr="00DE05E9">
              <w:rPr>
                <w:rFonts w:ascii="Times New Roman" w:hAnsi="Times New Roman" w:cs="Times New Roman"/>
              </w:rPr>
              <w:t xml:space="preserve">because of </w:t>
            </w:r>
            <w:r w:rsidRPr="00DE05E9">
              <w:rPr>
                <w:rFonts w:ascii="Times New Roman" w:hAnsi="Times New Roman" w:cs="Times New Roman"/>
              </w:rPr>
              <w:t>lower thresholds, broader definition of contracting authorities, c</w:t>
            </w:r>
            <w:r w:rsidR="00722834" w:rsidRPr="00DE05E9">
              <w:rPr>
                <w:rFonts w:ascii="Times New Roman" w:hAnsi="Times New Roman" w:cs="Times New Roman"/>
              </w:rPr>
              <w:t>ontracting entities, or subsidis</w:t>
            </w:r>
            <w:r w:rsidRPr="00DE05E9">
              <w:rPr>
                <w:rFonts w:ascii="Times New Roman" w:hAnsi="Times New Roman" w:cs="Times New Roman"/>
              </w:rPr>
              <w:t>ed contracts), please</w:t>
            </w:r>
            <w:r w:rsidR="001227DE" w:rsidRPr="00DE05E9">
              <w:rPr>
                <w:rFonts w:ascii="Times New Roman" w:hAnsi="Times New Roman" w:cs="Times New Roman"/>
              </w:rPr>
              <w:t xml:space="preserve"> </w:t>
            </w:r>
            <w:r w:rsidRPr="00DE05E9">
              <w:rPr>
                <w:rFonts w:ascii="Times New Roman" w:hAnsi="Times New Roman" w:cs="Times New Roman"/>
              </w:rPr>
              <w:t xml:space="preserve">indicate </w:t>
            </w:r>
            <w:r w:rsidR="001227DE" w:rsidRPr="00DE05E9">
              <w:rPr>
                <w:rFonts w:ascii="Times New Roman" w:hAnsi="Times New Roman" w:cs="Times New Roman"/>
              </w:rPr>
              <w:t>this here</w:t>
            </w:r>
            <w:r w:rsidRPr="00DE05E9">
              <w:rPr>
                <w:rFonts w:ascii="Times New Roman" w:hAnsi="Times New Roman" w:cs="Times New Roman"/>
              </w:rPr>
              <w:t>.</w:t>
            </w:r>
            <w:r w:rsidR="005D22AA" w:rsidRPr="00DE05E9">
              <w:rPr>
                <w:rFonts w:ascii="Times New Roman" w:hAnsi="Times New Roman" w:cs="Times New Roman"/>
              </w:rPr>
              <w:t xml:space="preserve"> In such a case, for every indicator, information about procurement according to </w:t>
            </w:r>
            <w:r w:rsidR="007571ED" w:rsidRPr="00DE05E9">
              <w:rPr>
                <w:rFonts w:ascii="Times New Roman" w:hAnsi="Times New Roman" w:cs="Times New Roman"/>
              </w:rPr>
              <w:t>the EU d</w:t>
            </w:r>
            <w:r w:rsidR="005D22AA" w:rsidRPr="00DE05E9">
              <w:rPr>
                <w:rFonts w:ascii="Times New Roman" w:hAnsi="Times New Roman" w:cs="Times New Roman"/>
              </w:rPr>
              <w:t xml:space="preserve">irectives and any other information should be presented separately, so </w:t>
            </w:r>
            <w:r w:rsidR="007571ED" w:rsidRPr="00DE05E9">
              <w:rPr>
                <w:rFonts w:ascii="Times New Roman" w:hAnsi="Times New Roman" w:cs="Times New Roman"/>
              </w:rPr>
              <w:t xml:space="preserve">that the same information can be compared </w:t>
            </w:r>
            <w:r w:rsidR="005D22AA" w:rsidRPr="00DE05E9">
              <w:rPr>
                <w:rFonts w:ascii="Times New Roman" w:hAnsi="Times New Roman" w:cs="Times New Roman"/>
              </w:rPr>
              <w:t xml:space="preserve">between EU MS. </w:t>
            </w:r>
          </w:p>
        </w:tc>
      </w:tr>
      <w:tr w:rsidR="008B4E1D" w:rsidRPr="00DE05E9" w14:paraId="0C7CC2E1" w14:textId="77777777" w:rsidTr="00267227">
        <w:trPr>
          <w:trHeight w:val="559"/>
        </w:trPr>
        <w:tc>
          <w:tcPr>
            <w:tcW w:w="0" w:type="auto"/>
          </w:tcPr>
          <w:p w14:paraId="5A15AC38" w14:textId="1C253C25" w:rsidR="008B4E1D" w:rsidRPr="00DE05E9" w:rsidRDefault="008B4E1D" w:rsidP="00FB71FD">
            <w:pPr>
              <w:pStyle w:val="NoSpacing"/>
              <w:jc w:val="both"/>
              <w:rPr>
                <w:rFonts w:ascii="Times New Roman" w:hAnsi="Times New Roman" w:cs="Times New Roman"/>
                <w:i/>
              </w:rPr>
            </w:pPr>
          </w:p>
        </w:tc>
      </w:tr>
      <w:tr w:rsidR="004954F8" w:rsidRPr="00DE05E9" w14:paraId="023B8AE7" w14:textId="77777777" w:rsidTr="00267227">
        <w:trPr>
          <w:trHeight w:val="270"/>
        </w:trPr>
        <w:tc>
          <w:tcPr>
            <w:tcW w:w="0" w:type="auto"/>
          </w:tcPr>
          <w:p w14:paraId="585CFBFA" w14:textId="3433F10F" w:rsidR="004954F8" w:rsidRPr="00DE05E9" w:rsidRDefault="004954F8" w:rsidP="00FB71FD">
            <w:pPr>
              <w:pStyle w:val="NoSpacing"/>
              <w:jc w:val="both"/>
              <w:rPr>
                <w:rFonts w:ascii="Times New Roman" w:hAnsi="Times New Roman" w:cs="Times New Roman"/>
              </w:rPr>
            </w:pPr>
            <w:r w:rsidRPr="00DE05E9">
              <w:rPr>
                <w:rFonts w:ascii="Times New Roman" w:hAnsi="Times New Roman" w:cs="Times New Roman"/>
                <w:b/>
              </w:rPr>
              <w:t>General information</w:t>
            </w:r>
          </w:p>
        </w:tc>
      </w:tr>
      <w:tr w:rsidR="004954F8" w:rsidRPr="00DE05E9" w14:paraId="11E1FAB6" w14:textId="77777777" w:rsidTr="00267227">
        <w:trPr>
          <w:trHeight w:val="701"/>
        </w:trPr>
        <w:tc>
          <w:tcPr>
            <w:tcW w:w="0" w:type="auto"/>
            <w:vAlign w:val="center"/>
          </w:tcPr>
          <w:p w14:paraId="472A2D67" w14:textId="2EAF8A86" w:rsidR="004954F8" w:rsidRPr="00DE05E9" w:rsidRDefault="008147D5" w:rsidP="00FB71FD">
            <w:pPr>
              <w:pStyle w:val="NoSpacing"/>
              <w:jc w:val="both"/>
              <w:rPr>
                <w:rFonts w:ascii="Times New Roman" w:hAnsi="Times New Roman" w:cs="Times New Roman"/>
                <w:b/>
                <w:u w:val="single"/>
              </w:rPr>
            </w:pPr>
            <w:r w:rsidRPr="00DE05E9">
              <w:rPr>
                <w:rFonts w:ascii="Times New Roman" w:hAnsi="Times New Roman" w:cs="Times New Roman"/>
                <w:b/>
                <w:u w:val="single"/>
              </w:rPr>
              <w:t xml:space="preserve">Informācija par iepirkumiem, kas veikti saskaņā ar </w:t>
            </w:r>
            <w:r w:rsidR="00EC5920" w:rsidRPr="00DE05E9">
              <w:rPr>
                <w:rFonts w:ascii="Times New Roman" w:hAnsi="Times New Roman" w:cs="Times New Roman"/>
                <w:b/>
                <w:u w:val="single"/>
              </w:rPr>
              <w:t>Publsiko iepirkumu likum</w:t>
            </w:r>
            <w:r w:rsidRPr="00DE05E9">
              <w:rPr>
                <w:rFonts w:ascii="Times New Roman" w:hAnsi="Times New Roman" w:cs="Times New Roman"/>
                <w:b/>
                <w:u w:val="single"/>
              </w:rPr>
              <w:t>u</w:t>
            </w:r>
          </w:p>
          <w:p w14:paraId="444FCAE8" w14:textId="4BB78485" w:rsidR="008C7D70" w:rsidRPr="00DE05E9" w:rsidRDefault="008C7D70" w:rsidP="00FB71FD">
            <w:pPr>
              <w:spacing w:after="160" w:line="259"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„Procedūras</w:t>
            </w:r>
            <w:r w:rsidR="00FA048A" w:rsidRPr="00DE05E9">
              <w:rPr>
                <w:rFonts w:ascii="Times New Roman" w:eastAsia="Times New Roman" w:hAnsi="Times New Roman" w:cs="Times New Roman"/>
                <w:color w:val="000000"/>
                <w:lang w:val="lv-LV"/>
              </w:rPr>
              <w:t>,</w:t>
            </w:r>
            <w:r w:rsidRPr="00DE05E9">
              <w:rPr>
                <w:rFonts w:ascii="Times New Roman" w:eastAsia="Times New Roman" w:hAnsi="Times New Roman" w:cs="Times New Roman"/>
                <w:color w:val="000000"/>
                <w:lang w:val="lv-LV"/>
              </w:rPr>
              <w:t xml:space="preserve"> publicējot paziņojumu par līgumu”, „Sarunu procedūra, nepublicējot paziņojumu par līgumu” – dati apkopoti no Iepirkumu uzraudzības biroja tīmekļvietnē publicētajiem paziņojumiem par iepirkuma procedūru paziņojumu skaitu par periodu no 2017. gada 1. janvāra līdz 2017. gada 31. decembrim, kur „Virs Eiropas Savienības līgumcenu sliekšņa” piegādēm un pakalpojumiem no 135 000 EUR, būvdarbiem no 5 225 000 EUR; „Zem Eiropas Savienības līgumcenu sliekšņa” piegādēm un pakalpojumiem no 42 000 EUR līdz 134 999,99 EUR, būvdarbiem no 170 000 EUR līdz 5 224 999,99 EUR.</w:t>
            </w:r>
          </w:p>
          <w:p w14:paraId="4428105C" w14:textId="77777777" w:rsidR="008C7D70" w:rsidRPr="00DE05E9" w:rsidRDefault="008C7D70" w:rsidP="00FB71FD">
            <w:pPr>
              <w:spacing w:after="160" w:line="259"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„B daļa un sociālie pakalpojumi” – dati apkopoti no Iepirkumu uzraudzības biroja tīmekļvietnē publicētajiem paziņojumiem par paziņojumu skaitu par periodu no 2017. gada 1. janvāra līdz 2017. gada 31. decembrim, kur Publisko iepirkumu likuma (spēkā līdz 2017. gada 28. februārim) 2. pielikumā minētajiem B daļas pakalpojumiem: „Virs Eiropas Savienības līgumcenu sliekšņa” pakalpojumiem no 135 000 EUR, „Zem Eiropas Savienības līgumcenu sliekšņa” pakalpojumiem no 42 000 EUR līdz 134 999,99 EUR; Publisko iepirkumu likuma 10.</w:t>
            </w:r>
            <w:r w:rsidRPr="00DE05E9">
              <w:rPr>
                <w:rFonts w:ascii="Times New Roman" w:eastAsia="Calibri" w:hAnsi="Times New Roman" w:cs="Times New Roman"/>
                <w:lang w:val="lv-LV"/>
              </w:rPr>
              <w:t xml:space="preserve"> </w:t>
            </w:r>
            <w:r w:rsidRPr="00DE05E9">
              <w:rPr>
                <w:rFonts w:ascii="Times New Roman" w:eastAsia="Times New Roman" w:hAnsi="Times New Roman" w:cs="Times New Roman"/>
                <w:color w:val="000000"/>
                <w:lang w:val="lv-LV"/>
              </w:rPr>
              <w:t>panta iepirkumiem (spēkā no 2017. gada 1. marta): „Virs Eiropas Savienības līgumcenu sliekšņa” pakalpojumiem no 750 000 EUR, „Zem Eiropas Savienības līgumcenu sliekšņa” pakalpojumiem no 42 000 EUR līdz 749 999,99 EUR.</w:t>
            </w:r>
          </w:p>
          <w:tbl>
            <w:tblPr>
              <w:tblW w:w="11220" w:type="dxa"/>
              <w:tblLook w:val="04A0" w:firstRow="1" w:lastRow="0" w:firstColumn="1" w:lastColumn="0" w:noHBand="0" w:noVBand="1"/>
            </w:tblPr>
            <w:tblGrid>
              <w:gridCol w:w="5100"/>
              <w:gridCol w:w="2560"/>
              <w:gridCol w:w="2600"/>
              <w:gridCol w:w="960"/>
            </w:tblGrid>
            <w:tr w:rsidR="008C7D70" w:rsidRPr="00DE05E9" w14:paraId="18CFF143" w14:textId="77777777" w:rsidTr="00D906DC">
              <w:trPr>
                <w:trHeight w:val="375"/>
              </w:trPr>
              <w:tc>
                <w:tcPr>
                  <w:tcW w:w="5100" w:type="dxa"/>
                  <w:tcBorders>
                    <w:top w:val="nil"/>
                    <w:left w:val="nil"/>
                    <w:bottom w:val="nil"/>
                    <w:right w:val="nil"/>
                  </w:tcBorders>
                  <w:shd w:val="clear" w:color="auto" w:fill="auto"/>
                  <w:noWrap/>
                  <w:vAlign w:val="bottom"/>
                  <w:hideMark/>
                </w:tcPr>
                <w:p w14:paraId="500882EC" w14:textId="131462CE" w:rsidR="008C7D70" w:rsidRPr="00DE05E9" w:rsidRDefault="008C7D70" w:rsidP="00FB71FD">
                  <w:pPr>
                    <w:spacing w:after="0" w:line="240" w:lineRule="auto"/>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t>Procedūras</w:t>
                  </w:r>
                  <w:r w:rsidR="00F22C59" w:rsidRPr="00DE05E9">
                    <w:rPr>
                      <w:rFonts w:ascii="Times New Roman" w:eastAsia="Times New Roman" w:hAnsi="Times New Roman" w:cs="Times New Roman"/>
                      <w:b/>
                      <w:color w:val="000000"/>
                      <w:lang w:val="lv-LV"/>
                    </w:rPr>
                    <w:t>,</w:t>
                  </w:r>
                  <w:r w:rsidRPr="00DE05E9">
                    <w:rPr>
                      <w:rFonts w:ascii="Times New Roman" w:eastAsia="Times New Roman" w:hAnsi="Times New Roman" w:cs="Times New Roman"/>
                      <w:b/>
                      <w:color w:val="000000"/>
                      <w:lang w:val="lv-LV"/>
                    </w:rPr>
                    <w:t xml:space="preserve"> publicējot paziņojumu par līgumu:</w:t>
                  </w:r>
                </w:p>
              </w:tc>
              <w:tc>
                <w:tcPr>
                  <w:tcW w:w="2560" w:type="dxa"/>
                  <w:tcBorders>
                    <w:top w:val="nil"/>
                    <w:left w:val="nil"/>
                    <w:bottom w:val="nil"/>
                    <w:right w:val="nil"/>
                  </w:tcBorders>
                  <w:shd w:val="clear" w:color="auto" w:fill="auto"/>
                  <w:noWrap/>
                  <w:vAlign w:val="bottom"/>
                  <w:hideMark/>
                </w:tcPr>
                <w:p w14:paraId="719367FB" w14:textId="77777777" w:rsidR="008C7D70" w:rsidRPr="00DE05E9" w:rsidRDefault="008C7D70" w:rsidP="00FB71FD">
                  <w:pPr>
                    <w:spacing w:after="0" w:line="240" w:lineRule="auto"/>
                    <w:jc w:val="both"/>
                    <w:rPr>
                      <w:rFonts w:ascii="Times New Roman" w:eastAsia="Times New Roman" w:hAnsi="Times New Roman" w:cs="Times New Roman"/>
                      <w:b/>
                      <w:color w:val="000000"/>
                      <w:lang w:val="lv-LV"/>
                    </w:rPr>
                  </w:pPr>
                </w:p>
              </w:tc>
              <w:tc>
                <w:tcPr>
                  <w:tcW w:w="2600" w:type="dxa"/>
                  <w:tcBorders>
                    <w:top w:val="nil"/>
                    <w:left w:val="nil"/>
                    <w:bottom w:val="nil"/>
                    <w:right w:val="nil"/>
                  </w:tcBorders>
                  <w:shd w:val="clear" w:color="auto" w:fill="auto"/>
                  <w:noWrap/>
                  <w:vAlign w:val="bottom"/>
                  <w:hideMark/>
                </w:tcPr>
                <w:p w14:paraId="3F08F6A1" w14:textId="77777777" w:rsidR="008C7D70" w:rsidRPr="00DE05E9" w:rsidRDefault="008C7D70" w:rsidP="00FB71FD">
                  <w:pPr>
                    <w:spacing w:after="0" w:line="240" w:lineRule="auto"/>
                    <w:jc w:val="both"/>
                    <w:rPr>
                      <w:rFonts w:ascii="Times New Roman" w:eastAsia="Times New Roman" w:hAnsi="Times New Roman" w:cs="Times New Roman"/>
                      <w:b/>
                      <w:color w:val="000000"/>
                      <w:lang w:val="lv-LV"/>
                    </w:rPr>
                  </w:pPr>
                </w:p>
              </w:tc>
              <w:tc>
                <w:tcPr>
                  <w:tcW w:w="960" w:type="dxa"/>
                  <w:tcBorders>
                    <w:top w:val="nil"/>
                    <w:left w:val="nil"/>
                    <w:bottom w:val="nil"/>
                    <w:right w:val="nil"/>
                  </w:tcBorders>
                  <w:shd w:val="clear" w:color="auto" w:fill="auto"/>
                  <w:noWrap/>
                  <w:vAlign w:val="bottom"/>
                  <w:hideMark/>
                </w:tcPr>
                <w:p w14:paraId="55EA4E70" w14:textId="77777777" w:rsidR="008C7D70" w:rsidRPr="00DE05E9" w:rsidRDefault="008C7D70" w:rsidP="00FB71FD">
                  <w:pPr>
                    <w:spacing w:after="0" w:line="240" w:lineRule="auto"/>
                    <w:jc w:val="both"/>
                    <w:rPr>
                      <w:rFonts w:ascii="Times New Roman" w:eastAsia="Times New Roman" w:hAnsi="Times New Roman" w:cs="Times New Roman"/>
                      <w:b/>
                      <w:color w:val="000000"/>
                      <w:lang w:val="lv-LV"/>
                    </w:rPr>
                  </w:pPr>
                </w:p>
              </w:tc>
            </w:tr>
            <w:tr w:rsidR="008C7D70" w:rsidRPr="00DE05E9" w14:paraId="546AD40F" w14:textId="77777777" w:rsidTr="00D906DC">
              <w:trPr>
                <w:trHeight w:val="300"/>
              </w:trPr>
              <w:tc>
                <w:tcPr>
                  <w:tcW w:w="5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75142"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14:paraId="22A53A7A"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Virs ES līgumcenu sliekšņa</w:t>
                  </w:r>
                </w:p>
              </w:tc>
              <w:tc>
                <w:tcPr>
                  <w:tcW w:w="2600" w:type="dxa"/>
                  <w:tcBorders>
                    <w:top w:val="single" w:sz="4" w:space="0" w:color="auto"/>
                    <w:left w:val="nil"/>
                    <w:bottom w:val="single" w:sz="4" w:space="0" w:color="auto"/>
                    <w:right w:val="single" w:sz="4" w:space="0" w:color="auto"/>
                  </w:tcBorders>
                  <w:shd w:val="clear" w:color="auto" w:fill="auto"/>
                  <w:noWrap/>
                  <w:vAlign w:val="bottom"/>
                  <w:hideMark/>
                </w:tcPr>
                <w:p w14:paraId="37C12A92"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Zem ES līgumcenu sliekšņa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88AEB20"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Kopā</w:t>
                  </w:r>
                </w:p>
              </w:tc>
            </w:tr>
            <w:tr w:rsidR="008C7D70" w:rsidRPr="00DE05E9" w14:paraId="298BBC9B" w14:textId="77777777" w:rsidTr="00D906DC">
              <w:trPr>
                <w:trHeight w:val="300"/>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14:paraId="21562E73" w14:textId="39500267" w:rsidR="008C7D70" w:rsidRPr="00DE05E9" w:rsidRDefault="008C7D70" w:rsidP="00B60912">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xml:space="preserve">Paziņojumu skaits (sākums), līgumi (bez </w:t>
                  </w:r>
                  <w:r w:rsidR="00B60912" w:rsidRPr="00DE05E9">
                    <w:rPr>
                      <w:rFonts w:ascii="Times New Roman" w:eastAsia="Times New Roman" w:hAnsi="Times New Roman" w:cs="Times New Roman"/>
                      <w:color w:val="000000"/>
                      <w:lang w:val="lv-LV"/>
                    </w:rPr>
                    <w:t>vispārīgās vienošanās</w:t>
                  </w:r>
                  <w:r w:rsidRPr="00DE05E9">
                    <w:rPr>
                      <w:rFonts w:ascii="Times New Roman" w:eastAsia="Times New Roman" w:hAnsi="Times New Roman" w:cs="Times New Roman"/>
                      <w:color w:val="000000"/>
                      <w:lang w:val="lv-LV"/>
                    </w:rPr>
                    <w:t>.)</w:t>
                  </w:r>
                </w:p>
              </w:tc>
              <w:tc>
                <w:tcPr>
                  <w:tcW w:w="2560" w:type="dxa"/>
                  <w:tcBorders>
                    <w:top w:val="nil"/>
                    <w:left w:val="nil"/>
                    <w:bottom w:val="single" w:sz="4" w:space="0" w:color="auto"/>
                    <w:right w:val="single" w:sz="4" w:space="0" w:color="auto"/>
                  </w:tcBorders>
                  <w:shd w:val="clear" w:color="auto" w:fill="auto"/>
                  <w:noWrap/>
                  <w:vAlign w:val="bottom"/>
                  <w:hideMark/>
                </w:tcPr>
                <w:p w14:paraId="0240B3F1"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932</w:t>
                  </w:r>
                </w:p>
              </w:tc>
              <w:tc>
                <w:tcPr>
                  <w:tcW w:w="2600" w:type="dxa"/>
                  <w:tcBorders>
                    <w:top w:val="nil"/>
                    <w:left w:val="nil"/>
                    <w:bottom w:val="single" w:sz="4" w:space="0" w:color="auto"/>
                    <w:right w:val="single" w:sz="4" w:space="0" w:color="auto"/>
                  </w:tcBorders>
                  <w:shd w:val="clear" w:color="auto" w:fill="auto"/>
                  <w:noWrap/>
                  <w:vAlign w:val="bottom"/>
                  <w:hideMark/>
                </w:tcPr>
                <w:p w14:paraId="0743E6F1"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2300</w:t>
                  </w:r>
                </w:p>
              </w:tc>
              <w:tc>
                <w:tcPr>
                  <w:tcW w:w="960" w:type="dxa"/>
                  <w:tcBorders>
                    <w:top w:val="nil"/>
                    <w:left w:val="nil"/>
                    <w:bottom w:val="single" w:sz="4" w:space="0" w:color="auto"/>
                    <w:right w:val="single" w:sz="4" w:space="0" w:color="auto"/>
                  </w:tcBorders>
                  <w:shd w:val="clear" w:color="auto" w:fill="auto"/>
                  <w:noWrap/>
                  <w:vAlign w:val="bottom"/>
                  <w:hideMark/>
                </w:tcPr>
                <w:p w14:paraId="52FF5C7B"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3232</w:t>
                  </w:r>
                </w:p>
              </w:tc>
            </w:tr>
            <w:tr w:rsidR="008C7D70" w:rsidRPr="00DE05E9" w14:paraId="533A07B8" w14:textId="77777777" w:rsidTr="00D906DC">
              <w:trPr>
                <w:trHeight w:val="300"/>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14:paraId="70CF605F"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Paziņojumu skaits (sākums), vispārīgā vienošanās</w:t>
                  </w:r>
                </w:p>
              </w:tc>
              <w:tc>
                <w:tcPr>
                  <w:tcW w:w="2560" w:type="dxa"/>
                  <w:tcBorders>
                    <w:top w:val="nil"/>
                    <w:left w:val="nil"/>
                    <w:bottom w:val="single" w:sz="4" w:space="0" w:color="auto"/>
                    <w:right w:val="single" w:sz="4" w:space="0" w:color="auto"/>
                  </w:tcBorders>
                  <w:shd w:val="clear" w:color="auto" w:fill="auto"/>
                  <w:noWrap/>
                  <w:vAlign w:val="bottom"/>
                  <w:hideMark/>
                </w:tcPr>
                <w:p w14:paraId="5EB10316"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233</w:t>
                  </w:r>
                </w:p>
              </w:tc>
              <w:tc>
                <w:tcPr>
                  <w:tcW w:w="2600" w:type="dxa"/>
                  <w:tcBorders>
                    <w:top w:val="nil"/>
                    <w:left w:val="nil"/>
                    <w:bottom w:val="single" w:sz="4" w:space="0" w:color="auto"/>
                    <w:right w:val="single" w:sz="4" w:space="0" w:color="auto"/>
                  </w:tcBorders>
                  <w:shd w:val="clear" w:color="auto" w:fill="auto"/>
                  <w:noWrap/>
                  <w:vAlign w:val="bottom"/>
                  <w:hideMark/>
                </w:tcPr>
                <w:p w14:paraId="47D05675"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121</w:t>
                  </w:r>
                </w:p>
              </w:tc>
              <w:tc>
                <w:tcPr>
                  <w:tcW w:w="960" w:type="dxa"/>
                  <w:tcBorders>
                    <w:top w:val="nil"/>
                    <w:left w:val="nil"/>
                    <w:bottom w:val="single" w:sz="4" w:space="0" w:color="auto"/>
                    <w:right w:val="single" w:sz="4" w:space="0" w:color="auto"/>
                  </w:tcBorders>
                  <w:shd w:val="clear" w:color="auto" w:fill="auto"/>
                  <w:noWrap/>
                  <w:vAlign w:val="bottom"/>
                  <w:hideMark/>
                </w:tcPr>
                <w:p w14:paraId="1E919CD3"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354</w:t>
                  </w:r>
                </w:p>
              </w:tc>
            </w:tr>
            <w:tr w:rsidR="008C7D70" w:rsidRPr="00DE05E9" w14:paraId="3D825379" w14:textId="77777777" w:rsidTr="00D906DC">
              <w:trPr>
                <w:trHeight w:val="300"/>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14:paraId="7446F91B" w14:textId="53CA1AFB"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lastRenderedPageBreak/>
                    <w:t xml:space="preserve">Paziņojumu skaits (rezultāti), līgumi (bez </w:t>
                  </w:r>
                  <w:r w:rsidR="00B60912" w:rsidRPr="00DE05E9">
                    <w:rPr>
                      <w:rFonts w:ascii="Times New Roman" w:eastAsia="Times New Roman" w:hAnsi="Times New Roman" w:cs="Times New Roman"/>
                      <w:color w:val="000000"/>
                      <w:lang w:val="lv-LV"/>
                    </w:rPr>
                    <w:t>vispārīgās vienošanās</w:t>
                  </w:r>
                  <w:r w:rsidRPr="00DE05E9">
                    <w:rPr>
                      <w:rFonts w:ascii="Times New Roman" w:eastAsia="Times New Roman" w:hAnsi="Times New Roman" w:cs="Times New Roman"/>
                      <w:color w:val="000000"/>
                      <w:lang w:val="lv-LV"/>
                    </w:rPr>
                    <w:t>.)</w:t>
                  </w:r>
                </w:p>
              </w:tc>
              <w:tc>
                <w:tcPr>
                  <w:tcW w:w="2560" w:type="dxa"/>
                  <w:tcBorders>
                    <w:top w:val="nil"/>
                    <w:left w:val="nil"/>
                    <w:bottom w:val="single" w:sz="4" w:space="0" w:color="auto"/>
                    <w:right w:val="single" w:sz="4" w:space="0" w:color="auto"/>
                  </w:tcBorders>
                  <w:shd w:val="clear" w:color="auto" w:fill="auto"/>
                  <w:noWrap/>
                  <w:vAlign w:val="bottom"/>
                  <w:hideMark/>
                </w:tcPr>
                <w:p w14:paraId="61CF63CA"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885</w:t>
                  </w:r>
                </w:p>
              </w:tc>
              <w:tc>
                <w:tcPr>
                  <w:tcW w:w="2600" w:type="dxa"/>
                  <w:tcBorders>
                    <w:top w:val="nil"/>
                    <w:left w:val="nil"/>
                    <w:bottom w:val="single" w:sz="4" w:space="0" w:color="auto"/>
                    <w:right w:val="single" w:sz="4" w:space="0" w:color="auto"/>
                  </w:tcBorders>
                  <w:shd w:val="clear" w:color="auto" w:fill="auto"/>
                  <w:noWrap/>
                  <w:vAlign w:val="bottom"/>
                  <w:hideMark/>
                </w:tcPr>
                <w:p w14:paraId="6C341445"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1718</w:t>
                  </w:r>
                </w:p>
              </w:tc>
              <w:tc>
                <w:tcPr>
                  <w:tcW w:w="960" w:type="dxa"/>
                  <w:tcBorders>
                    <w:top w:val="nil"/>
                    <w:left w:val="nil"/>
                    <w:bottom w:val="single" w:sz="4" w:space="0" w:color="auto"/>
                    <w:right w:val="single" w:sz="4" w:space="0" w:color="auto"/>
                  </w:tcBorders>
                  <w:shd w:val="clear" w:color="auto" w:fill="auto"/>
                  <w:noWrap/>
                  <w:vAlign w:val="bottom"/>
                  <w:hideMark/>
                </w:tcPr>
                <w:p w14:paraId="24FA9DBE"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2603</w:t>
                  </w:r>
                </w:p>
              </w:tc>
            </w:tr>
            <w:tr w:rsidR="008C7D70" w:rsidRPr="00DE05E9" w14:paraId="6AFA0715" w14:textId="77777777" w:rsidTr="00D906DC">
              <w:trPr>
                <w:trHeight w:val="300"/>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14:paraId="4BC90D71"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t.sk.līgumi vispārīgās vienošanās ietvaros</w:t>
                  </w:r>
                </w:p>
              </w:tc>
              <w:tc>
                <w:tcPr>
                  <w:tcW w:w="2560" w:type="dxa"/>
                  <w:tcBorders>
                    <w:top w:val="nil"/>
                    <w:left w:val="nil"/>
                    <w:bottom w:val="single" w:sz="4" w:space="0" w:color="auto"/>
                    <w:right w:val="single" w:sz="4" w:space="0" w:color="auto"/>
                  </w:tcBorders>
                  <w:shd w:val="clear" w:color="auto" w:fill="auto"/>
                  <w:noWrap/>
                  <w:vAlign w:val="bottom"/>
                  <w:hideMark/>
                </w:tcPr>
                <w:p w14:paraId="7B1582A3"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13</w:t>
                  </w:r>
                </w:p>
              </w:tc>
              <w:tc>
                <w:tcPr>
                  <w:tcW w:w="2600" w:type="dxa"/>
                  <w:tcBorders>
                    <w:top w:val="nil"/>
                    <w:left w:val="nil"/>
                    <w:bottom w:val="single" w:sz="4" w:space="0" w:color="auto"/>
                    <w:right w:val="single" w:sz="4" w:space="0" w:color="auto"/>
                  </w:tcBorders>
                  <w:shd w:val="clear" w:color="auto" w:fill="auto"/>
                  <w:noWrap/>
                  <w:vAlign w:val="bottom"/>
                  <w:hideMark/>
                </w:tcPr>
                <w:p w14:paraId="03419836"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w:t>
                  </w:r>
                </w:p>
              </w:tc>
              <w:tc>
                <w:tcPr>
                  <w:tcW w:w="960" w:type="dxa"/>
                  <w:tcBorders>
                    <w:top w:val="nil"/>
                    <w:left w:val="nil"/>
                    <w:bottom w:val="single" w:sz="4" w:space="0" w:color="auto"/>
                    <w:right w:val="single" w:sz="4" w:space="0" w:color="auto"/>
                  </w:tcBorders>
                  <w:shd w:val="clear" w:color="auto" w:fill="auto"/>
                  <w:noWrap/>
                  <w:vAlign w:val="bottom"/>
                  <w:hideMark/>
                </w:tcPr>
                <w:p w14:paraId="0678FFCD"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15</w:t>
                  </w:r>
                </w:p>
              </w:tc>
            </w:tr>
            <w:tr w:rsidR="008C7D70" w:rsidRPr="00DE05E9" w14:paraId="5B78FC7B" w14:textId="77777777" w:rsidTr="00D906DC">
              <w:trPr>
                <w:trHeight w:val="300"/>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14:paraId="14EE9686"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Paziņojumu skaits (rezultāti), vispārīgā vienošanās</w:t>
                  </w:r>
                </w:p>
              </w:tc>
              <w:tc>
                <w:tcPr>
                  <w:tcW w:w="2560" w:type="dxa"/>
                  <w:tcBorders>
                    <w:top w:val="nil"/>
                    <w:left w:val="nil"/>
                    <w:bottom w:val="single" w:sz="4" w:space="0" w:color="auto"/>
                    <w:right w:val="single" w:sz="4" w:space="0" w:color="auto"/>
                  </w:tcBorders>
                  <w:shd w:val="clear" w:color="auto" w:fill="auto"/>
                  <w:noWrap/>
                  <w:vAlign w:val="bottom"/>
                  <w:hideMark/>
                </w:tcPr>
                <w:p w14:paraId="20115E96"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286</w:t>
                  </w:r>
                </w:p>
              </w:tc>
              <w:tc>
                <w:tcPr>
                  <w:tcW w:w="2600" w:type="dxa"/>
                  <w:tcBorders>
                    <w:top w:val="nil"/>
                    <w:left w:val="nil"/>
                    <w:bottom w:val="single" w:sz="4" w:space="0" w:color="auto"/>
                    <w:right w:val="single" w:sz="4" w:space="0" w:color="auto"/>
                  </w:tcBorders>
                  <w:shd w:val="clear" w:color="auto" w:fill="auto"/>
                  <w:noWrap/>
                  <w:vAlign w:val="bottom"/>
                  <w:hideMark/>
                </w:tcPr>
                <w:p w14:paraId="5566540B"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113</w:t>
                  </w:r>
                </w:p>
              </w:tc>
              <w:tc>
                <w:tcPr>
                  <w:tcW w:w="960" w:type="dxa"/>
                  <w:tcBorders>
                    <w:top w:val="nil"/>
                    <w:left w:val="nil"/>
                    <w:bottom w:val="single" w:sz="4" w:space="0" w:color="auto"/>
                    <w:right w:val="single" w:sz="4" w:space="0" w:color="auto"/>
                  </w:tcBorders>
                  <w:shd w:val="clear" w:color="auto" w:fill="auto"/>
                  <w:noWrap/>
                  <w:vAlign w:val="bottom"/>
                  <w:hideMark/>
                </w:tcPr>
                <w:p w14:paraId="51B302A3"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399</w:t>
                  </w:r>
                </w:p>
              </w:tc>
            </w:tr>
            <w:tr w:rsidR="008C7D70" w:rsidRPr="00DE05E9" w14:paraId="6E4E45AC" w14:textId="77777777" w:rsidTr="00D906DC">
              <w:trPr>
                <w:trHeight w:val="300"/>
              </w:trPr>
              <w:tc>
                <w:tcPr>
                  <w:tcW w:w="5100" w:type="dxa"/>
                  <w:tcBorders>
                    <w:top w:val="nil"/>
                    <w:left w:val="nil"/>
                    <w:bottom w:val="nil"/>
                    <w:right w:val="nil"/>
                  </w:tcBorders>
                  <w:shd w:val="clear" w:color="auto" w:fill="auto"/>
                  <w:noWrap/>
                  <w:vAlign w:val="bottom"/>
                  <w:hideMark/>
                </w:tcPr>
                <w:p w14:paraId="4B7AEFA5"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p>
              </w:tc>
              <w:tc>
                <w:tcPr>
                  <w:tcW w:w="2560" w:type="dxa"/>
                  <w:tcBorders>
                    <w:top w:val="nil"/>
                    <w:left w:val="nil"/>
                    <w:bottom w:val="nil"/>
                    <w:right w:val="nil"/>
                  </w:tcBorders>
                  <w:shd w:val="clear" w:color="auto" w:fill="auto"/>
                  <w:noWrap/>
                  <w:vAlign w:val="bottom"/>
                  <w:hideMark/>
                </w:tcPr>
                <w:p w14:paraId="46487B89" w14:textId="77777777" w:rsidR="008C7D70" w:rsidRPr="00DE05E9" w:rsidRDefault="008C7D70" w:rsidP="00FB71FD">
                  <w:pPr>
                    <w:spacing w:after="0" w:line="240" w:lineRule="auto"/>
                    <w:jc w:val="both"/>
                    <w:rPr>
                      <w:rFonts w:ascii="Times New Roman" w:eastAsia="Times New Roman" w:hAnsi="Times New Roman" w:cs="Times New Roman"/>
                      <w:lang w:val="lv-LV"/>
                    </w:rPr>
                  </w:pPr>
                </w:p>
              </w:tc>
              <w:tc>
                <w:tcPr>
                  <w:tcW w:w="2600" w:type="dxa"/>
                  <w:tcBorders>
                    <w:top w:val="nil"/>
                    <w:left w:val="nil"/>
                    <w:bottom w:val="nil"/>
                    <w:right w:val="nil"/>
                  </w:tcBorders>
                  <w:shd w:val="clear" w:color="auto" w:fill="auto"/>
                  <w:noWrap/>
                  <w:vAlign w:val="bottom"/>
                  <w:hideMark/>
                </w:tcPr>
                <w:p w14:paraId="65B81481" w14:textId="77777777" w:rsidR="008C7D70" w:rsidRPr="00DE05E9" w:rsidRDefault="008C7D70" w:rsidP="00FB71FD">
                  <w:pPr>
                    <w:spacing w:after="0" w:line="240" w:lineRule="auto"/>
                    <w:jc w:val="both"/>
                    <w:rPr>
                      <w:rFonts w:ascii="Times New Roman" w:eastAsia="Times New Roman" w:hAnsi="Times New Roman" w:cs="Times New Roman"/>
                      <w:lang w:val="lv-LV"/>
                    </w:rPr>
                  </w:pPr>
                </w:p>
              </w:tc>
              <w:tc>
                <w:tcPr>
                  <w:tcW w:w="960" w:type="dxa"/>
                  <w:tcBorders>
                    <w:top w:val="nil"/>
                    <w:left w:val="nil"/>
                    <w:bottom w:val="nil"/>
                    <w:right w:val="nil"/>
                  </w:tcBorders>
                  <w:shd w:val="clear" w:color="auto" w:fill="auto"/>
                  <w:noWrap/>
                  <w:vAlign w:val="bottom"/>
                  <w:hideMark/>
                </w:tcPr>
                <w:p w14:paraId="61F77B9E" w14:textId="77777777" w:rsidR="008C7D70" w:rsidRPr="00DE05E9" w:rsidRDefault="008C7D70" w:rsidP="00FB71FD">
                  <w:pPr>
                    <w:spacing w:after="0" w:line="240" w:lineRule="auto"/>
                    <w:jc w:val="both"/>
                    <w:rPr>
                      <w:rFonts w:ascii="Times New Roman" w:eastAsia="Times New Roman" w:hAnsi="Times New Roman" w:cs="Times New Roman"/>
                      <w:lang w:val="lv-LV"/>
                    </w:rPr>
                  </w:pPr>
                </w:p>
              </w:tc>
            </w:tr>
            <w:tr w:rsidR="008C7D70" w:rsidRPr="00DE05E9" w14:paraId="0858CE35" w14:textId="77777777" w:rsidTr="00D906DC">
              <w:trPr>
                <w:trHeight w:val="375"/>
              </w:trPr>
              <w:tc>
                <w:tcPr>
                  <w:tcW w:w="5100" w:type="dxa"/>
                  <w:tcBorders>
                    <w:top w:val="nil"/>
                    <w:left w:val="nil"/>
                    <w:bottom w:val="nil"/>
                    <w:right w:val="nil"/>
                  </w:tcBorders>
                  <w:shd w:val="clear" w:color="auto" w:fill="auto"/>
                  <w:noWrap/>
                  <w:vAlign w:val="bottom"/>
                  <w:hideMark/>
                </w:tcPr>
                <w:p w14:paraId="4BD3B931" w14:textId="77777777" w:rsidR="008C7D70" w:rsidRPr="00DE05E9" w:rsidRDefault="008C7D70" w:rsidP="00FB71FD">
                  <w:pPr>
                    <w:spacing w:after="0" w:line="240" w:lineRule="auto"/>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t>B daļa un sociālie pakalpojumi:</w:t>
                  </w:r>
                </w:p>
              </w:tc>
              <w:tc>
                <w:tcPr>
                  <w:tcW w:w="2560" w:type="dxa"/>
                  <w:tcBorders>
                    <w:top w:val="nil"/>
                    <w:left w:val="nil"/>
                    <w:bottom w:val="nil"/>
                    <w:right w:val="nil"/>
                  </w:tcBorders>
                  <w:shd w:val="clear" w:color="auto" w:fill="auto"/>
                  <w:noWrap/>
                  <w:vAlign w:val="bottom"/>
                  <w:hideMark/>
                </w:tcPr>
                <w:p w14:paraId="1474613F" w14:textId="77777777" w:rsidR="008C7D70" w:rsidRPr="00DE05E9" w:rsidRDefault="008C7D70" w:rsidP="00FB71FD">
                  <w:pPr>
                    <w:spacing w:after="0" w:line="240" w:lineRule="auto"/>
                    <w:jc w:val="both"/>
                    <w:rPr>
                      <w:rFonts w:ascii="Times New Roman" w:eastAsia="Times New Roman" w:hAnsi="Times New Roman" w:cs="Times New Roman"/>
                      <w:b/>
                      <w:color w:val="000000"/>
                      <w:lang w:val="lv-LV"/>
                    </w:rPr>
                  </w:pPr>
                </w:p>
              </w:tc>
              <w:tc>
                <w:tcPr>
                  <w:tcW w:w="2600" w:type="dxa"/>
                  <w:tcBorders>
                    <w:top w:val="nil"/>
                    <w:left w:val="nil"/>
                    <w:bottom w:val="nil"/>
                    <w:right w:val="nil"/>
                  </w:tcBorders>
                  <w:shd w:val="clear" w:color="auto" w:fill="auto"/>
                  <w:noWrap/>
                  <w:vAlign w:val="bottom"/>
                  <w:hideMark/>
                </w:tcPr>
                <w:p w14:paraId="4FC37C90" w14:textId="77777777" w:rsidR="008C7D70" w:rsidRPr="00DE05E9" w:rsidRDefault="008C7D70" w:rsidP="00FB71FD">
                  <w:pPr>
                    <w:spacing w:after="0" w:line="240" w:lineRule="auto"/>
                    <w:jc w:val="both"/>
                    <w:rPr>
                      <w:rFonts w:ascii="Times New Roman" w:eastAsia="Times New Roman" w:hAnsi="Times New Roman" w:cs="Times New Roman"/>
                      <w:b/>
                      <w:color w:val="000000"/>
                      <w:lang w:val="lv-LV"/>
                    </w:rPr>
                  </w:pPr>
                </w:p>
              </w:tc>
              <w:tc>
                <w:tcPr>
                  <w:tcW w:w="960" w:type="dxa"/>
                  <w:tcBorders>
                    <w:top w:val="nil"/>
                    <w:left w:val="nil"/>
                    <w:bottom w:val="nil"/>
                    <w:right w:val="nil"/>
                  </w:tcBorders>
                  <w:shd w:val="clear" w:color="auto" w:fill="auto"/>
                  <w:noWrap/>
                  <w:vAlign w:val="bottom"/>
                  <w:hideMark/>
                </w:tcPr>
                <w:p w14:paraId="198E6F84" w14:textId="77777777" w:rsidR="008C7D70" w:rsidRPr="00DE05E9" w:rsidRDefault="008C7D70" w:rsidP="00FB71FD">
                  <w:pPr>
                    <w:spacing w:after="0" w:line="240" w:lineRule="auto"/>
                    <w:jc w:val="both"/>
                    <w:rPr>
                      <w:rFonts w:ascii="Times New Roman" w:eastAsia="Times New Roman" w:hAnsi="Times New Roman" w:cs="Times New Roman"/>
                      <w:b/>
                      <w:color w:val="000000"/>
                      <w:lang w:val="lv-LV"/>
                    </w:rPr>
                  </w:pPr>
                </w:p>
              </w:tc>
            </w:tr>
            <w:tr w:rsidR="008C7D70" w:rsidRPr="00DE05E9" w14:paraId="32BD101F" w14:textId="77777777" w:rsidTr="00D906DC">
              <w:trPr>
                <w:trHeight w:val="300"/>
              </w:trPr>
              <w:tc>
                <w:tcPr>
                  <w:tcW w:w="5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B8405"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14:paraId="53349991"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Virs ES līgumcenu sliekšņa</w:t>
                  </w:r>
                </w:p>
              </w:tc>
              <w:tc>
                <w:tcPr>
                  <w:tcW w:w="2600" w:type="dxa"/>
                  <w:tcBorders>
                    <w:top w:val="single" w:sz="4" w:space="0" w:color="auto"/>
                    <w:left w:val="nil"/>
                    <w:bottom w:val="single" w:sz="4" w:space="0" w:color="auto"/>
                    <w:right w:val="single" w:sz="4" w:space="0" w:color="auto"/>
                  </w:tcBorders>
                  <w:shd w:val="clear" w:color="auto" w:fill="auto"/>
                  <w:noWrap/>
                  <w:vAlign w:val="bottom"/>
                  <w:hideMark/>
                </w:tcPr>
                <w:p w14:paraId="23F44324"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Zem ES līgumcenu sliekšņa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CC09265"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Kopā</w:t>
                  </w:r>
                </w:p>
              </w:tc>
            </w:tr>
            <w:tr w:rsidR="008C7D70" w:rsidRPr="00DE05E9" w14:paraId="59592C4E" w14:textId="77777777" w:rsidTr="00D906DC">
              <w:trPr>
                <w:trHeight w:val="300"/>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14:paraId="1A20509A" w14:textId="07CFD6FD"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xml:space="preserve">Paziņojumu skaits (sākums), līgumi (bez </w:t>
                  </w:r>
                  <w:r w:rsidR="00B60912" w:rsidRPr="00DE05E9">
                    <w:rPr>
                      <w:rFonts w:ascii="Times New Roman" w:eastAsia="Times New Roman" w:hAnsi="Times New Roman" w:cs="Times New Roman"/>
                      <w:color w:val="000000"/>
                      <w:lang w:val="lv-LV"/>
                    </w:rPr>
                    <w:t>vispārīgās vienošanās</w:t>
                  </w:r>
                  <w:r w:rsidRPr="00DE05E9">
                    <w:rPr>
                      <w:rFonts w:ascii="Times New Roman" w:eastAsia="Times New Roman" w:hAnsi="Times New Roman" w:cs="Times New Roman"/>
                      <w:color w:val="000000"/>
                      <w:lang w:val="lv-LV"/>
                    </w:rPr>
                    <w:t>.)</w:t>
                  </w:r>
                </w:p>
              </w:tc>
              <w:tc>
                <w:tcPr>
                  <w:tcW w:w="2560" w:type="dxa"/>
                  <w:tcBorders>
                    <w:top w:val="nil"/>
                    <w:left w:val="nil"/>
                    <w:bottom w:val="single" w:sz="4" w:space="0" w:color="auto"/>
                    <w:right w:val="single" w:sz="4" w:space="0" w:color="auto"/>
                  </w:tcBorders>
                  <w:shd w:val="clear" w:color="auto" w:fill="auto"/>
                  <w:noWrap/>
                  <w:vAlign w:val="bottom"/>
                  <w:hideMark/>
                </w:tcPr>
                <w:p w14:paraId="64C0E787"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20</w:t>
                  </w:r>
                </w:p>
              </w:tc>
              <w:tc>
                <w:tcPr>
                  <w:tcW w:w="2600" w:type="dxa"/>
                  <w:tcBorders>
                    <w:top w:val="nil"/>
                    <w:left w:val="nil"/>
                    <w:bottom w:val="single" w:sz="4" w:space="0" w:color="auto"/>
                    <w:right w:val="single" w:sz="4" w:space="0" w:color="auto"/>
                  </w:tcBorders>
                  <w:shd w:val="clear" w:color="auto" w:fill="auto"/>
                  <w:noWrap/>
                  <w:vAlign w:val="bottom"/>
                  <w:hideMark/>
                </w:tcPr>
                <w:p w14:paraId="577F201A"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258</w:t>
                  </w:r>
                </w:p>
              </w:tc>
              <w:tc>
                <w:tcPr>
                  <w:tcW w:w="960" w:type="dxa"/>
                  <w:tcBorders>
                    <w:top w:val="nil"/>
                    <w:left w:val="nil"/>
                    <w:bottom w:val="single" w:sz="4" w:space="0" w:color="auto"/>
                    <w:right w:val="single" w:sz="4" w:space="0" w:color="auto"/>
                  </w:tcBorders>
                  <w:shd w:val="clear" w:color="auto" w:fill="auto"/>
                  <w:noWrap/>
                  <w:vAlign w:val="bottom"/>
                  <w:hideMark/>
                </w:tcPr>
                <w:p w14:paraId="42FF5B2A"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278</w:t>
                  </w:r>
                </w:p>
              </w:tc>
            </w:tr>
            <w:tr w:rsidR="008C7D70" w:rsidRPr="00DE05E9" w14:paraId="6FA65DE0" w14:textId="77777777" w:rsidTr="00D906DC">
              <w:trPr>
                <w:trHeight w:val="300"/>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14:paraId="4D058234"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Paziņojumu skaits (sākums), vispārīgā vienošanās</w:t>
                  </w:r>
                </w:p>
              </w:tc>
              <w:tc>
                <w:tcPr>
                  <w:tcW w:w="2560" w:type="dxa"/>
                  <w:tcBorders>
                    <w:top w:val="nil"/>
                    <w:left w:val="nil"/>
                    <w:bottom w:val="single" w:sz="4" w:space="0" w:color="auto"/>
                    <w:right w:val="single" w:sz="4" w:space="0" w:color="auto"/>
                  </w:tcBorders>
                  <w:shd w:val="clear" w:color="auto" w:fill="auto"/>
                  <w:noWrap/>
                  <w:vAlign w:val="bottom"/>
                  <w:hideMark/>
                </w:tcPr>
                <w:p w14:paraId="6760E4DF"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c>
                <w:tcPr>
                  <w:tcW w:w="2600" w:type="dxa"/>
                  <w:tcBorders>
                    <w:top w:val="nil"/>
                    <w:left w:val="nil"/>
                    <w:bottom w:val="single" w:sz="4" w:space="0" w:color="auto"/>
                    <w:right w:val="single" w:sz="4" w:space="0" w:color="auto"/>
                  </w:tcBorders>
                  <w:shd w:val="clear" w:color="auto" w:fill="auto"/>
                  <w:noWrap/>
                  <w:vAlign w:val="bottom"/>
                  <w:hideMark/>
                </w:tcPr>
                <w:p w14:paraId="0B393301"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c>
                <w:tcPr>
                  <w:tcW w:w="960" w:type="dxa"/>
                  <w:tcBorders>
                    <w:top w:val="nil"/>
                    <w:left w:val="nil"/>
                    <w:bottom w:val="single" w:sz="4" w:space="0" w:color="auto"/>
                    <w:right w:val="single" w:sz="4" w:space="0" w:color="auto"/>
                  </w:tcBorders>
                  <w:shd w:val="clear" w:color="auto" w:fill="auto"/>
                  <w:noWrap/>
                  <w:vAlign w:val="bottom"/>
                  <w:hideMark/>
                </w:tcPr>
                <w:p w14:paraId="2C6667BC"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r>
            <w:tr w:rsidR="008C7D70" w:rsidRPr="00DE05E9" w14:paraId="12F58BA8" w14:textId="77777777" w:rsidTr="00D906DC">
              <w:trPr>
                <w:trHeight w:val="300"/>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14:paraId="5C6C5E9F" w14:textId="3650DEED"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xml:space="preserve">Paziņojumu skaits (rezultāti), līgumi (bez </w:t>
                  </w:r>
                  <w:r w:rsidR="00B60912" w:rsidRPr="00DE05E9">
                    <w:rPr>
                      <w:rFonts w:ascii="Times New Roman" w:eastAsia="Times New Roman" w:hAnsi="Times New Roman" w:cs="Times New Roman"/>
                      <w:color w:val="000000"/>
                      <w:lang w:val="lv-LV"/>
                    </w:rPr>
                    <w:t>vispārīgās vienošanās</w:t>
                  </w:r>
                  <w:r w:rsidRPr="00DE05E9">
                    <w:rPr>
                      <w:rFonts w:ascii="Times New Roman" w:eastAsia="Times New Roman" w:hAnsi="Times New Roman" w:cs="Times New Roman"/>
                      <w:color w:val="000000"/>
                      <w:lang w:val="lv-LV"/>
                    </w:rPr>
                    <w:t>.)</w:t>
                  </w:r>
                </w:p>
              </w:tc>
              <w:tc>
                <w:tcPr>
                  <w:tcW w:w="2560" w:type="dxa"/>
                  <w:tcBorders>
                    <w:top w:val="nil"/>
                    <w:left w:val="nil"/>
                    <w:bottom w:val="single" w:sz="4" w:space="0" w:color="auto"/>
                    <w:right w:val="single" w:sz="4" w:space="0" w:color="auto"/>
                  </w:tcBorders>
                  <w:shd w:val="clear" w:color="auto" w:fill="auto"/>
                  <w:noWrap/>
                  <w:vAlign w:val="bottom"/>
                  <w:hideMark/>
                </w:tcPr>
                <w:p w14:paraId="4476EA87"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32</w:t>
                  </w:r>
                </w:p>
              </w:tc>
              <w:tc>
                <w:tcPr>
                  <w:tcW w:w="2600" w:type="dxa"/>
                  <w:tcBorders>
                    <w:top w:val="nil"/>
                    <w:left w:val="nil"/>
                    <w:bottom w:val="single" w:sz="4" w:space="0" w:color="auto"/>
                    <w:right w:val="single" w:sz="4" w:space="0" w:color="auto"/>
                  </w:tcBorders>
                  <w:shd w:val="clear" w:color="auto" w:fill="auto"/>
                  <w:noWrap/>
                  <w:vAlign w:val="bottom"/>
                  <w:hideMark/>
                </w:tcPr>
                <w:p w14:paraId="2110250C"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233</w:t>
                  </w:r>
                </w:p>
              </w:tc>
              <w:tc>
                <w:tcPr>
                  <w:tcW w:w="960" w:type="dxa"/>
                  <w:tcBorders>
                    <w:top w:val="nil"/>
                    <w:left w:val="nil"/>
                    <w:bottom w:val="single" w:sz="4" w:space="0" w:color="auto"/>
                    <w:right w:val="single" w:sz="4" w:space="0" w:color="auto"/>
                  </w:tcBorders>
                  <w:shd w:val="clear" w:color="auto" w:fill="auto"/>
                  <w:noWrap/>
                  <w:vAlign w:val="bottom"/>
                  <w:hideMark/>
                </w:tcPr>
                <w:p w14:paraId="0369F556"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265</w:t>
                  </w:r>
                </w:p>
              </w:tc>
            </w:tr>
            <w:tr w:rsidR="008C7D70" w:rsidRPr="00DE05E9" w14:paraId="14E75649" w14:textId="77777777" w:rsidTr="00D906DC">
              <w:trPr>
                <w:trHeight w:val="300"/>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14:paraId="70FB7456"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t.sk.līgumi vispārīgās vienošanās ietvaros</w:t>
                  </w:r>
                </w:p>
              </w:tc>
              <w:tc>
                <w:tcPr>
                  <w:tcW w:w="2560" w:type="dxa"/>
                  <w:tcBorders>
                    <w:top w:val="nil"/>
                    <w:left w:val="nil"/>
                    <w:bottom w:val="single" w:sz="4" w:space="0" w:color="auto"/>
                    <w:right w:val="single" w:sz="4" w:space="0" w:color="auto"/>
                  </w:tcBorders>
                  <w:shd w:val="clear" w:color="auto" w:fill="auto"/>
                  <w:noWrap/>
                  <w:vAlign w:val="bottom"/>
                  <w:hideMark/>
                </w:tcPr>
                <w:p w14:paraId="79AAEBF1"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c>
                <w:tcPr>
                  <w:tcW w:w="2600" w:type="dxa"/>
                  <w:tcBorders>
                    <w:top w:val="nil"/>
                    <w:left w:val="nil"/>
                    <w:bottom w:val="single" w:sz="4" w:space="0" w:color="auto"/>
                    <w:right w:val="single" w:sz="4" w:space="0" w:color="auto"/>
                  </w:tcBorders>
                  <w:shd w:val="clear" w:color="auto" w:fill="auto"/>
                  <w:noWrap/>
                  <w:vAlign w:val="bottom"/>
                  <w:hideMark/>
                </w:tcPr>
                <w:p w14:paraId="2D2A818D"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c>
                <w:tcPr>
                  <w:tcW w:w="960" w:type="dxa"/>
                  <w:tcBorders>
                    <w:top w:val="nil"/>
                    <w:left w:val="nil"/>
                    <w:bottom w:val="single" w:sz="4" w:space="0" w:color="auto"/>
                    <w:right w:val="single" w:sz="4" w:space="0" w:color="auto"/>
                  </w:tcBorders>
                  <w:shd w:val="clear" w:color="auto" w:fill="auto"/>
                  <w:noWrap/>
                  <w:vAlign w:val="bottom"/>
                  <w:hideMark/>
                </w:tcPr>
                <w:p w14:paraId="52B8C195"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r>
            <w:tr w:rsidR="008C7D70" w:rsidRPr="00DE05E9" w14:paraId="336BF379" w14:textId="77777777" w:rsidTr="00D906DC">
              <w:trPr>
                <w:trHeight w:val="300"/>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14:paraId="09E5EA3E"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Paziņojumu skaits (rezultāti), vispārīgā vienošanās</w:t>
                  </w:r>
                </w:p>
              </w:tc>
              <w:tc>
                <w:tcPr>
                  <w:tcW w:w="2560" w:type="dxa"/>
                  <w:tcBorders>
                    <w:top w:val="nil"/>
                    <w:left w:val="nil"/>
                    <w:bottom w:val="single" w:sz="4" w:space="0" w:color="auto"/>
                    <w:right w:val="single" w:sz="4" w:space="0" w:color="auto"/>
                  </w:tcBorders>
                  <w:shd w:val="clear" w:color="auto" w:fill="auto"/>
                  <w:noWrap/>
                  <w:vAlign w:val="bottom"/>
                  <w:hideMark/>
                </w:tcPr>
                <w:p w14:paraId="5457F715"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10</w:t>
                  </w:r>
                </w:p>
              </w:tc>
              <w:tc>
                <w:tcPr>
                  <w:tcW w:w="2600" w:type="dxa"/>
                  <w:tcBorders>
                    <w:top w:val="nil"/>
                    <w:left w:val="nil"/>
                    <w:bottom w:val="single" w:sz="4" w:space="0" w:color="auto"/>
                    <w:right w:val="single" w:sz="4" w:space="0" w:color="auto"/>
                  </w:tcBorders>
                  <w:shd w:val="clear" w:color="auto" w:fill="auto"/>
                  <w:noWrap/>
                  <w:vAlign w:val="bottom"/>
                  <w:hideMark/>
                </w:tcPr>
                <w:p w14:paraId="4DAEC110"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25</w:t>
                  </w:r>
                </w:p>
              </w:tc>
              <w:tc>
                <w:tcPr>
                  <w:tcW w:w="960" w:type="dxa"/>
                  <w:tcBorders>
                    <w:top w:val="nil"/>
                    <w:left w:val="nil"/>
                    <w:bottom w:val="single" w:sz="4" w:space="0" w:color="auto"/>
                    <w:right w:val="single" w:sz="4" w:space="0" w:color="auto"/>
                  </w:tcBorders>
                  <w:shd w:val="clear" w:color="auto" w:fill="auto"/>
                  <w:noWrap/>
                  <w:vAlign w:val="bottom"/>
                  <w:hideMark/>
                </w:tcPr>
                <w:p w14:paraId="443153E3"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35</w:t>
                  </w:r>
                </w:p>
              </w:tc>
            </w:tr>
            <w:tr w:rsidR="008C7D70" w:rsidRPr="00DE05E9" w14:paraId="6639B239" w14:textId="77777777" w:rsidTr="00D906DC">
              <w:trPr>
                <w:trHeight w:val="300"/>
              </w:trPr>
              <w:tc>
                <w:tcPr>
                  <w:tcW w:w="5100" w:type="dxa"/>
                  <w:tcBorders>
                    <w:top w:val="nil"/>
                    <w:left w:val="nil"/>
                    <w:bottom w:val="nil"/>
                    <w:right w:val="nil"/>
                  </w:tcBorders>
                  <w:shd w:val="clear" w:color="auto" w:fill="auto"/>
                  <w:noWrap/>
                  <w:vAlign w:val="bottom"/>
                  <w:hideMark/>
                </w:tcPr>
                <w:p w14:paraId="4F6831C9"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p>
              </w:tc>
              <w:tc>
                <w:tcPr>
                  <w:tcW w:w="2560" w:type="dxa"/>
                  <w:tcBorders>
                    <w:top w:val="nil"/>
                    <w:left w:val="nil"/>
                    <w:bottom w:val="nil"/>
                    <w:right w:val="nil"/>
                  </w:tcBorders>
                  <w:shd w:val="clear" w:color="auto" w:fill="auto"/>
                  <w:noWrap/>
                  <w:vAlign w:val="bottom"/>
                  <w:hideMark/>
                </w:tcPr>
                <w:p w14:paraId="6B4ADB23" w14:textId="77777777" w:rsidR="008C7D70" w:rsidRPr="00DE05E9" w:rsidRDefault="008C7D70" w:rsidP="00FB71FD">
                  <w:pPr>
                    <w:spacing w:after="0" w:line="240" w:lineRule="auto"/>
                    <w:jc w:val="both"/>
                    <w:rPr>
                      <w:rFonts w:ascii="Times New Roman" w:eastAsia="Times New Roman" w:hAnsi="Times New Roman" w:cs="Times New Roman"/>
                      <w:lang w:val="lv-LV"/>
                    </w:rPr>
                  </w:pPr>
                </w:p>
              </w:tc>
              <w:tc>
                <w:tcPr>
                  <w:tcW w:w="2600" w:type="dxa"/>
                  <w:tcBorders>
                    <w:top w:val="nil"/>
                    <w:left w:val="nil"/>
                    <w:bottom w:val="nil"/>
                    <w:right w:val="nil"/>
                  </w:tcBorders>
                  <w:shd w:val="clear" w:color="auto" w:fill="auto"/>
                  <w:noWrap/>
                  <w:vAlign w:val="bottom"/>
                  <w:hideMark/>
                </w:tcPr>
                <w:p w14:paraId="31C5B5DE" w14:textId="77777777" w:rsidR="008C7D70" w:rsidRPr="00DE05E9" w:rsidRDefault="008C7D70" w:rsidP="00FB71FD">
                  <w:pPr>
                    <w:spacing w:after="0" w:line="240" w:lineRule="auto"/>
                    <w:jc w:val="both"/>
                    <w:rPr>
                      <w:rFonts w:ascii="Times New Roman" w:eastAsia="Times New Roman" w:hAnsi="Times New Roman" w:cs="Times New Roman"/>
                      <w:lang w:val="lv-LV"/>
                    </w:rPr>
                  </w:pPr>
                </w:p>
              </w:tc>
              <w:tc>
                <w:tcPr>
                  <w:tcW w:w="960" w:type="dxa"/>
                  <w:tcBorders>
                    <w:top w:val="nil"/>
                    <w:left w:val="nil"/>
                    <w:bottom w:val="nil"/>
                    <w:right w:val="nil"/>
                  </w:tcBorders>
                  <w:shd w:val="clear" w:color="auto" w:fill="auto"/>
                  <w:noWrap/>
                  <w:vAlign w:val="bottom"/>
                  <w:hideMark/>
                </w:tcPr>
                <w:p w14:paraId="08DECBB6" w14:textId="77777777" w:rsidR="008C7D70" w:rsidRPr="00DE05E9" w:rsidRDefault="008C7D70" w:rsidP="00FB71FD">
                  <w:pPr>
                    <w:spacing w:after="0" w:line="240" w:lineRule="auto"/>
                    <w:jc w:val="both"/>
                    <w:rPr>
                      <w:rFonts w:ascii="Times New Roman" w:eastAsia="Times New Roman" w:hAnsi="Times New Roman" w:cs="Times New Roman"/>
                      <w:lang w:val="lv-LV"/>
                    </w:rPr>
                  </w:pPr>
                </w:p>
              </w:tc>
            </w:tr>
            <w:tr w:rsidR="008C7D70" w:rsidRPr="00DE05E9" w14:paraId="69B742AC" w14:textId="77777777" w:rsidTr="00D906DC">
              <w:trPr>
                <w:trHeight w:val="375"/>
              </w:trPr>
              <w:tc>
                <w:tcPr>
                  <w:tcW w:w="5100" w:type="dxa"/>
                  <w:tcBorders>
                    <w:top w:val="nil"/>
                    <w:left w:val="nil"/>
                    <w:bottom w:val="nil"/>
                    <w:right w:val="nil"/>
                  </w:tcBorders>
                  <w:shd w:val="clear" w:color="auto" w:fill="auto"/>
                  <w:noWrap/>
                  <w:vAlign w:val="bottom"/>
                  <w:hideMark/>
                </w:tcPr>
                <w:p w14:paraId="4E771BE2" w14:textId="77777777" w:rsidR="008C7D70" w:rsidRPr="00DE05E9" w:rsidRDefault="008C7D70" w:rsidP="00FB71FD">
                  <w:pPr>
                    <w:spacing w:after="0" w:line="240" w:lineRule="auto"/>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t>Sarunu procedūra, nepublicējot paziņojumu par līgumu:</w:t>
                  </w:r>
                </w:p>
              </w:tc>
              <w:tc>
                <w:tcPr>
                  <w:tcW w:w="2560" w:type="dxa"/>
                  <w:tcBorders>
                    <w:top w:val="nil"/>
                    <w:left w:val="nil"/>
                    <w:bottom w:val="nil"/>
                    <w:right w:val="nil"/>
                  </w:tcBorders>
                  <w:shd w:val="clear" w:color="auto" w:fill="auto"/>
                  <w:noWrap/>
                  <w:vAlign w:val="bottom"/>
                  <w:hideMark/>
                </w:tcPr>
                <w:p w14:paraId="4A758B83" w14:textId="77777777" w:rsidR="008C7D70" w:rsidRPr="00DE05E9" w:rsidRDefault="008C7D70" w:rsidP="00FB71FD">
                  <w:pPr>
                    <w:spacing w:after="0" w:line="240" w:lineRule="auto"/>
                    <w:jc w:val="both"/>
                    <w:rPr>
                      <w:rFonts w:ascii="Times New Roman" w:eastAsia="Times New Roman" w:hAnsi="Times New Roman" w:cs="Times New Roman"/>
                      <w:b/>
                      <w:color w:val="000000"/>
                      <w:lang w:val="lv-LV"/>
                    </w:rPr>
                  </w:pPr>
                </w:p>
              </w:tc>
              <w:tc>
                <w:tcPr>
                  <w:tcW w:w="2600" w:type="dxa"/>
                  <w:tcBorders>
                    <w:top w:val="nil"/>
                    <w:left w:val="nil"/>
                    <w:bottom w:val="nil"/>
                    <w:right w:val="nil"/>
                  </w:tcBorders>
                  <w:shd w:val="clear" w:color="auto" w:fill="auto"/>
                  <w:noWrap/>
                  <w:vAlign w:val="bottom"/>
                  <w:hideMark/>
                </w:tcPr>
                <w:p w14:paraId="1A75F556" w14:textId="77777777" w:rsidR="008C7D70" w:rsidRPr="00DE05E9" w:rsidRDefault="008C7D70" w:rsidP="00FB71FD">
                  <w:pPr>
                    <w:spacing w:after="0" w:line="240" w:lineRule="auto"/>
                    <w:jc w:val="both"/>
                    <w:rPr>
                      <w:rFonts w:ascii="Times New Roman" w:eastAsia="Times New Roman" w:hAnsi="Times New Roman" w:cs="Times New Roman"/>
                      <w:b/>
                      <w:color w:val="000000"/>
                      <w:lang w:val="lv-LV"/>
                    </w:rPr>
                  </w:pPr>
                </w:p>
              </w:tc>
              <w:tc>
                <w:tcPr>
                  <w:tcW w:w="960" w:type="dxa"/>
                  <w:tcBorders>
                    <w:top w:val="nil"/>
                    <w:left w:val="nil"/>
                    <w:bottom w:val="nil"/>
                    <w:right w:val="nil"/>
                  </w:tcBorders>
                  <w:shd w:val="clear" w:color="auto" w:fill="auto"/>
                  <w:noWrap/>
                  <w:vAlign w:val="bottom"/>
                  <w:hideMark/>
                </w:tcPr>
                <w:p w14:paraId="3A51A86D" w14:textId="77777777" w:rsidR="008C7D70" w:rsidRPr="00DE05E9" w:rsidRDefault="008C7D70" w:rsidP="00FB71FD">
                  <w:pPr>
                    <w:spacing w:after="0" w:line="240" w:lineRule="auto"/>
                    <w:jc w:val="both"/>
                    <w:rPr>
                      <w:rFonts w:ascii="Times New Roman" w:eastAsia="Times New Roman" w:hAnsi="Times New Roman" w:cs="Times New Roman"/>
                      <w:b/>
                      <w:color w:val="000000"/>
                      <w:lang w:val="lv-LV"/>
                    </w:rPr>
                  </w:pPr>
                </w:p>
              </w:tc>
            </w:tr>
            <w:tr w:rsidR="008C7D70" w:rsidRPr="00DE05E9" w14:paraId="52BBBBA8" w14:textId="77777777" w:rsidTr="00D906DC">
              <w:trPr>
                <w:trHeight w:val="300"/>
              </w:trPr>
              <w:tc>
                <w:tcPr>
                  <w:tcW w:w="5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5C1F6"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14:paraId="446ECF69"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Virs ES līgumcenu sliekšņa</w:t>
                  </w:r>
                </w:p>
              </w:tc>
              <w:tc>
                <w:tcPr>
                  <w:tcW w:w="2600" w:type="dxa"/>
                  <w:tcBorders>
                    <w:top w:val="single" w:sz="4" w:space="0" w:color="auto"/>
                    <w:left w:val="nil"/>
                    <w:bottom w:val="single" w:sz="4" w:space="0" w:color="auto"/>
                    <w:right w:val="single" w:sz="4" w:space="0" w:color="auto"/>
                  </w:tcBorders>
                  <w:shd w:val="clear" w:color="auto" w:fill="auto"/>
                  <w:noWrap/>
                  <w:vAlign w:val="bottom"/>
                  <w:hideMark/>
                </w:tcPr>
                <w:p w14:paraId="6A17CF33"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Zem ES līgumcenu sliekšņa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E74D27C"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Kopā</w:t>
                  </w:r>
                </w:p>
              </w:tc>
            </w:tr>
            <w:tr w:rsidR="008C7D70" w:rsidRPr="00DE05E9" w14:paraId="14FE7EB3" w14:textId="77777777" w:rsidTr="00D906DC">
              <w:trPr>
                <w:trHeight w:val="300"/>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14:paraId="071B095B" w14:textId="37FD373D"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xml:space="preserve">Paziņojumu skaits (rezultāti), līgumi (bez </w:t>
                  </w:r>
                  <w:r w:rsidR="00B60912" w:rsidRPr="00DE05E9">
                    <w:rPr>
                      <w:rFonts w:ascii="Times New Roman" w:eastAsia="Times New Roman" w:hAnsi="Times New Roman" w:cs="Times New Roman"/>
                      <w:color w:val="000000"/>
                      <w:lang w:val="lv-LV"/>
                    </w:rPr>
                    <w:t>vispārīgās vienošanās</w:t>
                  </w:r>
                  <w:r w:rsidRPr="00DE05E9">
                    <w:rPr>
                      <w:rFonts w:ascii="Times New Roman" w:eastAsia="Times New Roman" w:hAnsi="Times New Roman" w:cs="Times New Roman"/>
                      <w:color w:val="000000"/>
                      <w:lang w:val="lv-LV"/>
                    </w:rPr>
                    <w:t>.)</w:t>
                  </w:r>
                </w:p>
              </w:tc>
              <w:tc>
                <w:tcPr>
                  <w:tcW w:w="2560" w:type="dxa"/>
                  <w:tcBorders>
                    <w:top w:val="nil"/>
                    <w:left w:val="nil"/>
                    <w:bottom w:val="single" w:sz="4" w:space="0" w:color="auto"/>
                    <w:right w:val="single" w:sz="4" w:space="0" w:color="auto"/>
                  </w:tcBorders>
                  <w:shd w:val="clear" w:color="auto" w:fill="auto"/>
                  <w:noWrap/>
                  <w:vAlign w:val="bottom"/>
                  <w:hideMark/>
                </w:tcPr>
                <w:p w14:paraId="33429C0F"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109</w:t>
                  </w:r>
                </w:p>
              </w:tc>
              <w:tc>
                <w:tcPr>
                  <w:tcW w:w="2600" w:type="dxa"/>
                  <w:tcBorders>
                    <w:top w:val="nil"/>
                    <w:left w:val="nil"/>
                    <w:bottom w:val="single" w:sz="4" w:space="0" w:color="auto"/>
                    <w:right w:val="single" w:sz="4" w:space="0" w:color="auto"/>
                  </w:tcBorders>
                  <w:shd w:val="clear" w:color="auto" w:fill="auto"/>
                  <w:noWrap/>
                  <w:vAlign w:val="bottom"/>
                  <w:hideMark/>
                </w:tcPr>
                <w:p w14:paraId="1D69C78A"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122</w:t>
                  </w:r>
                </w:p>
              </w:tc>
              <w:tc>
                <w:tcPr>
                  <w:tcW w:w="960" w:type="dxa"/>
                  <w:tcBorders>
                    <w:top w:val="nil"/>
                    <w:left w:val="nil"/>
                    <w:bottom w:val="single" w:sz="4" w:space="0" w:color="auto"/>
                    <w:right w:val="single" w:sz="4" w:space="0" w:color="auto"/>
                  </w:tcBorders>
                  <w:shd w:val="clear" w:color="auto" w:fill="auto"/>
                  <w:noWrap/>
                  <w:vAlign w:val="bottom"/>
                  <w:hideMark/>
                </w:tcPr>
                <w:p w14:paraId="7E18B5AC"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231</w:t>
                  </w:r>
                </w:p>
              </w:tc>
            </w:tr>
            <w:tr w:rsidR="008C7D70" w:rsidRPr="00DE05E9" w14:paraId="3C68C5D6" w14:textId="77777777" w:rsidTr="00D906DC">
              <w:trPr>
                <w:trHeight w:val="300"/>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14:paraId="024F4C35" w14:textId="34C6C557" w:rsidR="008C7D70" w:rsidRPr="00DE05E9" w:rsidRDefault="00B60912"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xml:space="preserve">tai skaitā </w:t>
                  </w:r>
                  <w:r w:rsidR="008C7D70" w:rsidRPr="00DE05E9">
                    <w:rPr>
                      <w:rFonts w:ascii="Times New Roman" w:eastAsia="Times New Roman" w:hAnsi="Times New Roman" w:cs="Times New Roman"/>
                      <w:color w:val="000000"/>
                      <w:lang w:val="lv-LV"/>
                    </w:rPr>
                    <w:t>līgumi vispārīgās vienošanās ietvaros</w:t>
                  </w:r>
                </w:p>
              </w:tc>
              <w:tc>
                <w:tcPr>
                  <w:tcW w:w="2560" w:type="dxa"/>
                  <w:tcBorders>
                    <w:top w:val="nil"/>
                    <w:left w:val="nil"/>
                    <w:bottom w:val="single" w:sz="4" w:space="0" w:color="auto"/>
                    <w:right w:val="single" w:sz="4" w:space="0" w:color="auto"/>
                  </w:tcBorders>
                  <w:shd w:val="clear" w:color="auto" w:fill="auto"/>
                  <w:noWrap/>
                  <w:vAlign w:val="bottom"/>
                  <w:hideMark/>
                </w:tcPr>
                <w:p w14:paraId="372B430E"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c>
                <w:tcPr>
                  <w:tcW w:w="2600" w:type="dxa"/>
                  <w:tcBorders>
                    <w:top w:val="nil"/>
                    <w:left w:val="nil"/>
                    <w:bottom w:val="single" w:sz="4" w:space="0" w:color="auto"/>
                    <w:right w:val="single" w:sz="4" w:space="0" w:color="auto"/>
                  </w:tcBorders>
                  <w:shd w:val="clear" w:color="auto" w:fill="auto"/>
                  <w:noWrap/>
                  <w:vAlign w:val="bottom"/>
                  <w:hideMark/>
                </w:tcPr>
                <w:p w14:paraId="11B8339A"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c>
                <w:tcPr>
                  <w:tcW w:w="960" w:type="dxa"/>
                  <w:tcBorders>
                    <w:top w:val="nil"/>
                    <w:left w:val="nil"/>
                    <w:bottom w:val="single" w:sz="4" w:space="0" w:color="auto"/>
                    <w:right w:val="single" w:sz="4" w:space="0" w:color="auto"/>
                  </w:tcBorders>
                  <w:shd w:val="clear" w:color="auto" w:fill="auto"/>
                  <w:noWrap/>
                  <w:vAlign w:val="bottom"/>
                  <w:hideMark/>
                </w:tcPr>
                <w:p w14:paraId="62A0584F"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r>
            <w:tr w:rsidR="008C7D70" w:rsidRPr="00DE05E9" w14:paraId="5201852E" w14:textId="77777777" w:rsidTr="00D906DC">
              <w:trPr>
                <w:trHeight w:val="300"/>
              </w:trPr>
              <w:tc>
                <w:tcPr>
                  <w:tcW w:w="5100" w:type="dxa"/>
                  <w:tcBorders>
                    <w:top w:val="nil"/>
                    <w:left w:val="single" w:sz="4" w:space="0" w:color="auto"/>
                    <w:bottom w:val="single" w:sz="4" w:space="0" w:color="auto"/>
                    <w:right w:val="single" w:sz="4" w:space="0" w:color="auto"/>
                  </w:tcBorders>
                  <w:shd w:val="clear" w:color="auto" w:fill="auto"/>
                  <w:noWrap/>
                  <w:vAlign w:val="bottom"/>
                  <w:hideMark/>
                </w:tcPr>
                <w:p w14:paraId="1A7A753E"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Paziņojumu skaits (rezultāti), vispārīgā vienošanās</w:t>
                  </w:r>
                </w:p>
              </w:tc>
              <w:tc>
                <w:tcPr>
                  <w:tcW w:w="2560" w:type="dxa"/>
                  <w:tcBorders>
                    <w:top w:val="nil"/>
                    <w:left w:val="nil"/>
                    <w:bottom w:val="single" w:sz="4" w:space="0" w:color="auto"/>
                    <w:right w:val="single" w:sz="4" w:space="0" w:color="auto"/>
                  </w:tcBorders>
                  <w:shd w:val="clear" w:color="auto" w:fill="auto"/>
                  <w:noWrap/>
                  <w:vAlign w:val="bottom"/>
                  <w:hideMark/>
                </w:tcPr>
                <w:p w14:paraId="66F07E79"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7</w:t>
                  </w:r>
                </w:p>
              </w:tc>
              <w:tc>
                <w:tcPr>
                  <w:tcW w:w="2600" w:type="dxa"/>
                  <w:tcBorders>
                    <w:top w:val="nil"/>
                    <w:left w:val="nil"/>
                    <w:bottom w:val="single" w:sz="4" w:space="0" w:color="auto"/>
                    <w:right w:val="single" w:sz="4" w:space="0" w:color="auto"/>
                  </w:tcBorders>
                  <w:shd w:val="clear" w:color="auto" w:fill="auto"/>
                  <w:noWrap/>
                  <w:vAlign w:val="bottom"/>
                  <w:hideMark/>
                </w:tcPr>
                <w:p w14:paraId="3330D594"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6</w:t>
                  </w:r>
                </w:p>
              </w:tc>
              <w:tc>
                <w:tcPr>
                  <w:tcW w:w="960" w:type="dxa"/>
                  <w:tcBorders>
                    <w:top w:val="nil"/>
                    <w:left w:val="nil"/>
                    <w:bottom w:val="single" w:sz="4" w:space="0" w:color="auto"/>
                    <w:right w:val="single" w:sz="4" w:space="0" w:color="auto"/>
                  </w:tcBorders>
                  <w:shd w:val="clear" w:color="auto" w:fill="auto"/>
                  <w:noWrap/>
                  <w:vAlign w:val="bottom"/>
                  <w:hideMark/>
                </w:tcPr>
                <w:p w14:paraId="737E5EA3" w14:textId="77777777" w:rsidR="008C7D70" w:rsidRPr="00DE05E9" w:rsidRDefault="008C7D70"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13</w:t>
                  </w:r>
                </w:p>
              </w:tc>
            </w:tr>
          </w:tbl>
          <w:p w14:paraId="5864531F" w14:textId="77777777" w:rsidR="008C7D70" w:rsidRPr="00DE05E9" w:rsidRDefault="008C7D70" w:rsidP="00FB71FD">
            <w:pPr>
              <w:pStyle w:val="NoSpacing"/>
              <w:jc w:val="both"/>
              <w:rPr>
                <w:rFonts w:ascii="Times New Roman" w:hAnsi="Times New Roman" w:cs="Times New Roman"/>
                <w:b/>
                <w:u w:val="single"/>
              </w:rPr>
            </w:pPr>
          </w:p>
          <w:p w14:paraId="703ED921" w14:textId="77777777" w:rsidR="008C7D70" w:rsidRPr="00DE05E9" w:rsidRDefault="008C7D70" w:rsidP="00FB71FD">
            <w:pPr>
              <w:pStyle w:val="NoSpacing"/>
              <w:jc w:val="both"/>
              <w:rPr>
                <w:rFonts w:ascii="Times New Roman" w:hAnsi="Times New Roman" w:cs="Times New Roman"/>
                <w:b/>
                <w:u w:val="single"/>
              </w:rPr>
            </w:pPr>
          </w:p>
          <w:p w14:paraId="0E8AD16A" w14:textId="1D2D396D" w:rsidR="008C7D70" w:rsidRPr="00DE05E9" w:rsidRDefault="008147D5" w:rsidP="00FB71FD">
            <w:pPr>
              <w:pStyle w:val="NoSpacing"/>
              <w:jc w:val="both"/>
              <w:rPr>
                <w:rFonts w:ascii="Times New Roman" w:hAnsi="Times New Roman" w:cs="Times New Roman"/>
                <w:b/>
                <w:u w:val="single"/>
              </w:rPr>
            </w:pPr>
            <w:r w:rsidRPr="00DE05E9">
              <w:rPr>
                <w:rFonts w:ascii="Times New Roman" w:hAnsi="Times New Roman" w:cs="Times New Roman"/>
                <w:b/>
                <w:u w:val="single"/>
              </w:rPr>
              <w:t xml:space="preserve">Informācija par iepirkumiem, kas veikti saskaņā ar </w:t>
            </w:r>
            <w:r w:rsidR="008C7D70" w:rsidRPr="00DE05E9">
              <w:rPr>
                <w:rFonts w:ascii="Times New Roman" w:hAnsi="Times New Roman" w:cs="Times New Roman"/>
                <w:b/>
                <w:u w:val="single"/>
              </w:rPr>
              <w:t>Sabiedrisko pakalpojumu sniedzēju iepirkumu likum</w:t>
            </w:r>
            <w:r w:rsidRPr="00DE05E9">
              <w:rPr>
                <w:rFonts w:ascii="Times New Roman" w:hAnsi="Times New Roman" w:cs="Times New Roman"/>
                <w:b/>
                <w:u w:val="single"/>
              </w:rPr>
              <w:t>u</w:t>
            </w:r>
          </w:p>
          <w:p w14:paraId="77065394" w14:textId="6584559F" w:rsidR="008C7D70" w:rsidRPr="00DE05E9" w:rsidRDefault="008C7D70" w:rsidP="00FB71FD">
            <w:pPr>
              <w:spacing w:after="160" w:line="259"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“Procedūras</w:t>
            </w:r>
            <w:r w:rsidR="00213298" w:rsidRPr="00DE05E9">
              <w:rPr>
                <w:rFonts w:ascii="Times New Roman" w:eastAsia="Times New Roman" w:hAnsi="Times New Roman" w:cs="Times New Roman"/>
                <w:color w:val="000000"/>
                <w:lang w:val="lv-LV"/>
              </w:rPr>
              <w:t>,</w:t>
            </w:r>
            <w:r w:rsidRPr="00DE05E9">
              <w:rPr>
                <w:rFonts w:ascii="Times New Roman" w:eastAsia="Times New Roman" w:hAnsi="Times New Roman" w:cs="Times New Roman"/>
                <w:color w:val="000000"/>
                <w:lang w:val="lv-LV"/>
              </w:rPr>
              <w:t xml:space="preserve"> publicējot paziņojumu par līgumu”, “Sarunu procedūras</w:t>
            </w:r>
            <w:r w:rsidR="00213298" w:rsidRPr="00DE05E9">
              <w:rPr>
                <w:rFonts w:ascii="Times New Roman" w:eastAsia="Times New Roman" w:hAnsi="Times New Roman" w:cs="Times New Roman"/>
                <w:color w:val="000000"/>
                <w:lang w:val="lv-LV"/>
              </w:rPr>
              <w:t>,</w:t>
            </w:r>
            <w:r w:rsidRPr="00DE05E9">
              <w:rPr>
                <w:rFonts w:ascii="Times New Roman" w:eastAsia="Times New Roman" w:hAnsi="Times New Roman" w:cs="Times New Roman"/>
                <w:color w:val="000000"/>
                <w:lang w:val="lv-LV"/>
              </w:rPr>
              <w:t xml:space="preserve"> nepublicējot paziņojumu par līgumu” – dati apkopoti no Iepirkumu uzraudzības biroja tīmekļvietnē publicētajiem paziņojumiem par iepirkuma procedūru paziņojumu skaitu par periodu no 2017. gada 1. janvāra līdz 2017. gada 31. decembrim, kur „Virs ES līgumcenu sliekšņa” piegādēm un pakalpojumiem no 418 000 EUR, būvdarbiem no 5 225 000 EUR.</w:t>
            </w:r>
          </w:p>
          <w:p w14:paraId="48C13FD7" w14:textId="0CD7E97E" w:rsidR="008C7D70" w:rsidRPr="00DE05E9" w:rsidRDefault="008C7D70" w:rsidP="00FB71FD">
            <w:pPr>
              <w:spacing w:after="160" w:line="259"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xml:space="preserve">„B daļa un sociālie pakalpojumi” – dati apkopoti no Iepirkumu uzraudzības biroja tīmekļvietnē publicētajiem paziņojumiem par paziņojumu skaitu par periodu no 2017. gada 1. janvāra līdz 2017. gada 31. decembrim, kur Sabiedrisko pakalpojumu sniedzēju iepirkumu likuma (spēkā līdz 2017. gada 31. martam) 2. </w:t>
            </w:r>
            <w:r w:rsidRPr="00DE05E9">
              <w:rPr>
                <w:rFonts w:ascii="Times New Roman" w:eastAsia="Times New Roman" w:hAnsi="Times New Roman" w:cs="Times New Roman"/>
                <w:color w:val="000000"/>
                <w:lang w:val="lv-LV"/>
              </w:rPr>
              <w:lastRenderedPageBreak/>
              <w:t>pielikumā minētajiem B daļas pakalpojumiem: „Virs ES līgumcenu sliekšņa” pakalpojumiem no 418 000 EUR; Sabiedrisko pakalpojumu sniedzēju iepirkumu likuma 34.</w:t>
            </w:r>
            <w:r w:rsidRPr="00DE05E9">
              <w:rPr>
                <w:rFonts w:ascii="Times New Roman" w:eastAsia="Calibri" w:hAnsi="Times New Roman" w:cs="Times New Roman"/>
                <w:lang w:val="lv-LV"/>
              </w:rPr>
              <w:t xml:space="preserve"> </w:t>
            </w:r>
            <w:r w:rsidRPr="00DE05E9">
              <w:rPr>
                <w:rFonts w:ascii="Times New Roman" w:eastAsia="Times New Roman" w:hAnsi="Times New Roman" w:cs="Times New Roman"/>
                <w:color w:val="000000"/>
                <w:lang w:val="lv-LV"/>
              </w:rPr>
              <w:t>panta iepirkumiem (spēkā no 2017. gada 1. aprīļa): „Virs ES līgumcenu sliekšņa” pakalpojumiem no 1 000 000 EUR.</w:t>
            </w:r>
          </w:p>
          <w:p w14:paraId="52253DFF" w14:textId="77777777" w:rsidR="00FB71FD" w:rsidRPr="00DE05E9" w:rsidRDefault="00FB71FD" w:rsidP="00FB71FD">
            <w:pPr>
              <w:spacing w:after="160" w:line="259" w:lineRule="auto"/>
              <w:jc w:val="both"/>
              <w:rPr>
                <w:rFonts w:ascii="Times New Roman" w:eastAsia="Times New Roman" w:hAnsi="Times New Roman" w:cs="Times New Roman"/>
                <w:color w:val="000000"/>
                <w:lang w:val="lv-LV"/>
              </w:rPr>
            </w:pPr>
          </w:p>
          <w:tbl>
            <w:tblPr>
              <w:tblW w:w="9980" w:type="dxa"/>
              <w:tblLook w:val="04A0" w:firstRow="1" w:lastRow="0" w:firstColumn="1" w:lastColumn="0" w:noHBand="0" w:noVBand="1"/>
            </w:tblPr>
            <w:tblGrid>
              <w:gridCol w:w="4900"/>
              <w:gridCol w:w="2540"/>
              <w:gridCol w:w="2540"/>
            </w:tblGrid>
            <w:tr w:rsidR="00FB71FD" w:rsidRPr="00DE05E9" w14:paraId="40F3B528" w14:textId="77777777" w:rsidTr="00FB71FD">
              <w:trPr>
                <w:trHeight w:val="375"/>
              </w:trPr>
              <w:tc>
                <w:tcPr>
                  <w:tcW w:w="4900" w:type="dxa"/>
                  <w:tcBorders>
                    <w:top w:val="nil"/>
                    <w:left w:val="nil"/>
                    <w:bottom w:val="nil"/>
                    <w:right w:val="nil"/>
                  </w:tcBorders>
                  <w:shd w:val="clear" w:color="auto" w:fill="auto"/>
                  <w:noWrap/>
                  <w:vAlign w:val="bottom"/>
                  <w:hideMark/>
                </w:tcPr>
                <w:p w14:paraId="38BAE450" w14:textId="3A09717A" w:rsidR="00FB71FD" w:rsidRPr="00DE05E9" w:rsidRDefault="00FB71FD" w:rsidP="00FB71FD">
                  <w:pPr>
                    <w:spacing w:after="0" w:line="240" w:lineRule="auto"/>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t>Procedūras</w:t>
                  </w:r>
                  <w:r w:rsidR="00213298" w:rsidRPr="00DE05E9">
                    <w:rPr>
                      <w:rFonts w:ascii="Times New Roman" w:eastAsia="Times New Roman" w:hAnsi="Times New Roman" w:cs="Times New Roman"/>
                      <w:b/>
                      <w:color w:val="000000"/>
                      <w:lang w:val="lv-LV"/>
                    </w:rPr>
                    <w:t>,</w:t>
                  </w:r>
                  <w:r w:rsidRPr="00DE05E9">
                    <w:rPr>
                      <w:rFonts w:ascii="Times New Roman" w:eastAsia="Times New Roman" w:hAnsi="Times New Roman" w:cs="Times New Roman"/>
                      <w:b/>
                      <w:color w:val="000000"/>
                      <w:lang w:val="lv-LV"/>
                    </w:rPr>
                    <w:t xml:space="preserve"> publicējot paziņojumu par līgumu:</w:t>
                  </w:r>
                </w:p>
              </w:tc>
              <w:tc>
                <w:tcPr>
                  <w:tcW w:w="2540" w:type="dxa"/>
                  <w:tcBorders>
                    <w:top w:val="nil"/>
                    <w:left w:val="nil"/>
                    <w:bottom w:val="nil"/>
                    <w:right w:val="nil"/>
                  </w:tcBorders>
                </w:tcPr>
                <w:p w14:paraId="778909A6" w14:textId="77777777" w:rsidR="00FB71FD" w:rsidRPr="00DE05E9" w:rsidRDefault="00FB71FD" w:rsidP="00FB71FD">
                  <w:pPr>
                    <w:spacing w:after="0" w:line="240" w:lineRule="auto"/>
                    <w:jc w:val="both"/>
                    <w:rPr>
                      <w:rFonts w:ascii="Times New Roman" w:eastAsia="Times New Roman" w:hAnsi="Times New Roman" w:cs="Times New Roman"/>
                      <w:b/>
                      <w:color w:val="000000"/>
                      <w:lang w:val="lv-LV"/>
                    </w:rPr>
                  </w:pPr>
                </w:p>
              </w:tc>
              <w:tc>
                <w:tcPr>
                  <w:tcW w:w="2540" w:type="dxa"/>
                  <w:tcBorders>
                    <w:top w:val="nil"/>
                    <w:left w:val="nil"/>
                    <w:bottom w:val="nil"/>
                    <w:right w:val="nil"/>
                  </w:tcBorders>
                  <w:shd w:val="clear" w:color="auto" w:fill="auto"/>
                  <w:noWrap/>
                  <w:vAlign w:val="bottom"/>
                  <w:hideMark/>
                </w:tcPr>
                <w:p w14:paraId="74D5964B" w14:textId="3247620B" w:rsidR="00FB71FD" w:rsidRPr="00DE05E9" w:rsidRDefault="00FB71FD" w:rsidP="00FB71FD">
                  <w:pPr>
                    <w:spacing w:after="0" w:line="240" w:lineRule="auto"/>
                    <w:jc w:val="both"/>
                    <w:rPr>
                      <w:rFonts w:ascii="Times New Roman" w:eastAsia="Times New Roman" w:hAnsi="Times New Roman" w:cs="Times New Roman"/>
                      <w:b/>
                      <w:color w:val="000000"/>
                      <w:lang w:val="lv-LV"/>
                    </w:rPr>
                  </w:pPr>
                </w:p>
              </w:tc>
            </w:tr>
            <w:tr w:rsidR="00FB71FD" w:rsidRPr="00DE05E9" w14:paraId="4266D5B4" w14:textId="77777777" w:rsidTr="00FB71FD">
              <w:trPr>
                <w:trHeight w:val="300"/>
              </w:trPr>
              <w:tc>
                <w:tcPr>
                  <w:tcW w:w="4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98763" w14:textId="77777777"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w:t>
                  </w:r>
                </w:p>
              </w:tc>
              <w:tc>
                <w:tcPr>
                  <w:tcW w:w="2540" w:type="dxa"/>
                  <w:tcBorders>
                    <w:top w:val="single" w:sz="4" w:space="0" w:color="auto"/>
                    <w:left w:val="nil"/>
                    <w:bottom w:val="single" w:sz="4" w:space="0" w:color="auto"/>
                    <w:right w:val="nil"/>
                  </w:tcBorders>
                </w:tcPr>
                <w:p w14:paraId="51CD7BAA" w14:textId="2DB9D826" w:rsidR="00FB71FD" w:rsidRPr="00DE05E9" w:rsidRDefault="00F22C59"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Virs ES līgumcenu sliekšņa</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314BC239" w14:textId="322D9609" w:rsidR="00FB71FD" w:rsidRPr="00DE05E9" w:rsidRDefault="00FB71FD" w:rsidP="00F22C59">
                  <w:pPr>
                    <w:spacing w:after="0" w:line="240" w:lineRule="auto"/>
                    <w:rPr>
                      <w:rFonts w:ascii="Times New Roman" w:eastAsia="Times New Roman" w:hAnsi="Times New Roman" w:cs="Times New Roman"/>
                      <w:color w:val="000000"/>
                      <w:lang w:val="lv-LV"/>
                    </w:rPr>
                  </w:pPr>
                </w:p>
              </w:tc>
            </w:tr>
            <w:tr w:rsidR="00FB71FD" w:rsidRPr="00DE05E9" w14:paraId="7843FC7B" w14:textId="77777777" w:rsidTr="00FB71FD">
              <w:trPr>
                <w:trHeight w:val="300"/>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7E2141CA" w14:textId="3DEFC605"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xml:space="preserve">Paziņojumu skaits (sākums), līgumi (bez </w:t>
                  </w:r>
                  <w:r w:rsidR="00B60912" w:rsidRPr="00DE05E9">
                    <w:rPr>
                      <w:rFonts w:ascii="Times New Roman" w:eastAsia="Times New Roman" w:hAnsi="Times New Roman" w:cs="Times New Roman"/>
                      <w:color w:val="000000"/>
                      <w:lang w:val="lv-LV"/>
                    </w:rPr>
                    <w:t>vispārīgās vienošanās</w:t>
                  </w:r>
                  <w:r w:rsidRPr="00DE05E9">
                    <w:rPr>
                      <w:rFonts w:ascii="Times New Roman" w:eastAsia="Times New Roman" w:hAnsi="Times New Roman" w:cs="Times New Roman"/>
                      <w:color w:val="000000"/>
                      <w:lang w:val="lv-LV"/>
                    </w:rPr>
                    <w:t>.)</w:t>
                  </w:r>
                </w:p>
              </w:tc>
              <w:tc>
                <w:tcPr>
                  <w:tcW w:w="2540" w:type="dxa"/>
                  <w:tcBorders>
                    <w:top w:val="nil"/>
                    <w:left w:val="nil"/>
                    <w:bottom w:val="single" w:sz="4" w:space="0" w:color="auto"/>
                    <w:right w:val="nil"/>
                  </w:tcBorders>
                </w:tcPr>
                <w:p w14:paraId="5B3E9C7C" w14:textId="77777777" w:rsidR="00FB71FD" w:rsidRPr="00DE05E9" w:rsidRDefault="00FB71FD" w:rsidP="00FB71FD">
                  <w:pPr>
                    <w:spacing w:after="0" w:line="240" w:lineRule="auto"/>
                    <w:jc w:val="both"/>
                    <w:rPr>
                      <w:rFonts w:ascii="Times New Roman" w:eastAsia="Times New Roman" w:hAnsi="Times New Roman" w:cs="Times New Roman"/>
                      <w:color w:val="000000"/>
                      <w:lang w:val="lv-LV"/>
                    </w:rPr>
                  </w:pPr>
                </w:p>
              </w:tc>
              <w:tc>
                <w:tcPr>
                  <w:tcW w:w="2540" w:type="dxa"/>
                  <w:tcBorders>
                    <w:top w:val="nil"/>
                    <w:left w:val="nil"/>
                    <w:bottom w:val="single" w:sz="4" w:space="0" w:color="auto"/>
                    <w:right w:val="single" w:sz="4" w:space="0" w:color="auto"/>
                  </w:tcBorders>
                  <w:shd w:val="clear" w:color="auto" w:fill="auto"/>
                  <w:noWrap/>
                  <w:vAlign w:val="bottom"/>
                  <w:hideMark/>
                </w:tcPr>
                <w:p w14:paraId="5CE5D5B2" w14:textId="530E00B9"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103</w:t>
                  </w:r>
                </w:p>
              </w:tc>
            </w:tr>
            <w:tr w:rsidR="00FB71FD" w:rsidRPr="00DE05E9" w14:paraId="332E01A3" w14:textId="77777777" w:rsidTr="00FB71FD">
              <w:trPr>
                <w:trHeight w:val="300"/>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6339ED52" w14:textId="77777777"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Paziņojumu skaits (sākums), vispārīgā vienošanās</w:t>
                  </w:r>
                </w:p>
              </w:tc>
              <w:tc>
                <w:tcPr>
                  <w:tcW w:w="2540" w:type="dxa"/>
                  <w:tcBorders>
                    <w:top w:val="nil"/>
                    <w:left w:val="nil"/>
                    <w:bottom w:val="single" w:sz="4" w:space="0" w:color="auto"/>
                    <w:right w:val="nil"/>
                  </w:tcBorders>
                </w:tcPr>
                <w:p w14:paraId="6521FB84" w14:textId="77777777" w:rsidR="00FB71FD" w:rsidRPr="00DE05E9" w:rsidRDefault="00FB71FD" w:rsidP="00FB71FD">
                  <w:pPr>
                    <w:spacing w:after="0" w:line="240" w:lineRule="auto"/>
                    <w:jc w:val="both"/>
                    <w:rPr>
                      <w:rFonts w:ascii="Times New Roman" w:eastAsia="Times New Roman" w:hAnsi="Times New Roman" w:cs="Times New Roman"/>
                      <w:color w:val="000000"/>
                      <w:lang w:val="lv-LV"/>
                    </w:rPr>
                  </w:pPr>
                </w:p>
              </w:tc>
              <w:tc>
                <w:tcPr>
                  <w:tcW w:w="2540" w:type="dxa"/>
                  <w:tcBorders>
                    <w:top w:val="nil"/>
                    <w:left w:val="nil"/>
                    <w:bottom w:val="single" w:sz="4" w:space="0" w:color="auto"/>
                    <w:right w:val="single" w:sz="4" w:space="0" w:color="auto"/>
                  </w:tcBorders>
                  <w:shd w:val="clear" w:color="auto" w:fill="auto"/>
                  <w:noWrap/>
                  <w:vAlign w:val="bottom"/>
                  <w:hideMark/>
                </w:tcPr>
                <w:p w14:paraId="40525FB2" w14:textId="0C0634BD"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34</w:t>
                  </w:r>
                </w:p>
              </w:tc>
            </w:tr>
            <w:tr w:rsidR="00FB71FD" w:rsidRPr="00DE05E9" w14:paraId="54864DD4" w14:textId="77777777" w:rsidTr="00FB71FD">
              <w:trPr>
                <w:trHeight w:val="300"/>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0701991E" w14:textId="36F987C2"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xml:space="preserve">Paziņojumu skaits (rezultāti), līgumi (bez </w:t>
                  </w:r>
                  <w:r w:rsidR="00B60912" w:rsidRPr="00DE05E9">
                    <w:rPr>
                      <w:rFonts w:ascii="Times New Roman" w:eastAsia="Times New Roman" w:hAnsi="Times New Roman" w:cs="Times New Roman"/>
                      <w:color w:val="000000"/>
                      <w:lang w:val="lv-LV"/>
                    </w:rPr>
                    <w:t>vispārīgās vienošanās</w:t>
                  </w:r>
                  <w:r w:rsidRPr="00DE05E9">
                    <w:rPr>
                      <w:rFonts w:ascii="Times New Roman" w:eastAsia="Times New Roman" w:hAnsi="Times New Roman" w:cs="Times New Roman"/>
                      <w:color w:val="000000"/>
                      <w:lang w:val="lv-LV"/>
                    </w:rPr>
                    <w:t>.)</w:t>
                  </w:r>
                </w:p>
              </w:tc>
              <w:tc>
                <w:tcPr>
                  <w:tcW w:w="2540" w:type="dxa"/>
                  <w:tcBorders>
                    <w:top w:val="nil"/>
                    <w:left w:val="nil"/>
                    <w:bottom w:val="single" w:sz="4" w:space="0" w:color="auto"/>
                    <w:right w:val="nil"/>
                  </w:tcBorders>
                </w:tcPr>
                <w:p w14:paraId="163E2FFE" w14:textId="77777777" w:rsidR="00FB71FD" w:rsidRPr="00DE05E9" w:rsidRDefault="00FB71FD" w:rsidP="00FB71FD">
                  <w:pPr>
                    <w:spacing w:after="0" w:line="240" w:lineRule="auto"/>
                    <w:jc w:val="both"/>
                    <w:rPr>
                      <w:rFonts w:ascii="Times New Roman" w:eastAsia="Times New Roman" w:hAnsi="Times New Roman" w:cs="Times New Roman"/>
                      <w:color w:val="000000"/>
                      <w:lang w:val="lv-LV"/>
                    </w:rPr>
                  </w:pPr>
                </w:p>
              </w:tc>
              <w:tc>
                <w:tcPr>
                  <w:tcW w:w="2540" w:type="dxa"/>
                  <w:tcBorders>
                    <w:top w:val="nil"/>
                    <w:left w:val="nil"/>
                    <w:bottom w:val="single" w:sz="4" w:space="0" w:color="auto"/>
                    <w:right w:val="single" w:sz="4" w:space="0" w:color="auto"/>
                  </w:tcBorders>
                  <w:shd w:val="clear" w:color="auto" w:fill="auto"/>
                  <w:noWrap/>
                  <w:vAlign w:val="bottom"/>
                  <w:hideMark/>
                </w:tcPr>
                <w:p w14:paraId="635BD1A3" w14:textId="63BAF462"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61</w:t>
                  </w:r>
                </w:p>
              </w:tc>
            </w:tr>
            <w:tr w:rsidR="00FB71FD" w:rsidRPr="00DE05E9" w14:paraId="538CF5A0" w14:textId="77777777" w:rsidTr="00FB71FD">
              <w:trPr>
                <w:trHeight w:val="300"/>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3F64A245" w14:textId="0F56E99B" w:rsidR="00FB71FD" w:rsidRPr="00DE05E9" w:rsidRDefault="00B60912" w:rsidP="00B60912">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xml:space="preserve">tai skaitā </w:t>
                  </w:r>
                  <w:r w:rsidR="00FB71FD" w:rsidRPr="00DE05E9">
                    <w:rPr>
                      <w:rFonts w:ascii="Times New Roman" w:eastAsia="Times New Roman" w:hAnsi="Times New Roman" w:cs="Times New Roman"/>
                      <w:color w:val="000000"/>
                      <w:lang w:val="lv-LV"/>
                    </w:rPr>
                    <w:t>līgumi vispārīgās vienošanās ietvaros</w:t>
                  </w:r>
                </w:p>
              </w:tc>
              <w:tc>
                <w:tcPr>
                  <w:tcW w:w="2540" w:type="dxa"/>
                  <w:tcBorders>
                    <w:top w:val="nil"/>
                    <w:left w:val="nil"/>
                    <w:bottom w:val="single" w:sz="4" w:space="0" w:color="auto"/>
                    <w:right w:val="nil"/>
                  </w:tcBorders>
                </w:tcPr>
                <w:p w14:paraId="75DBB7E0" w14:textId="77777777" w:rsidR="00FB71FD" w:rsidRPr="00DE05E9" w:rsidRDefault="00FB71FD" w:rsidP="00FB71FD">
                  <w:pPr>
                    <w:spacing w:after="0" w:line="240" w:lineRule="auto"/>
                    <w:jc w:val="both"/>
                    <w:rPr>
                      <w:rFonts w:ascii="Times New Roman" w:eastAsia="Times New Roman" w:hAnsi="Times New Roman" w:cs="Times New Roman"/>
                      <w:color w:val="000000"/>
                      <w:lang w:val="lv-LV"/>
                    </w:rPr>
                  </w:pPr>
                </w:p>
              </w:tc>
              <w:tc>
                <w:tcPr>
                  <w:tcW w:w="2540" w:type="dxa"/>
                  <w:tcBorders>
                    <w:top w:val="nil"/>
                    <w:left w:val="nil"/>
                    <w:bottom w:val="single" w:sz="4" w:space="0" w:color="auto"/>
                    <w:right w:val="single" w:sz="4" w:space="0" w:color="auto"/>
                  </w:tcBorders>
                  <w:shd w:val="clear" w:color="auto" w:fill="auto"/>
                  <w:noWrap/>
                  <w:vAlign w:val="bottom"/>
                  <w:hideMark/>
                </w:tcPr>
                <w:p w14:paraId="12B20C42" w14:textId="6AC3D553"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r>
            <w:tr w:rsidR="00FB71FD" w:rsidRPr="00DE05E9" w14:paraId="0E61B2C0" w14:textId="77777777" w:rsidTr="00FB71FD">
              <w:trPr>
                <w:trHeight w:val="300"/>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61B7D70F" w14:textId="77777777"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Paziņojumu skaits (rezultāti), vispārīgā vienošanās</w:t>
                  </w:r>
                </w:p>
              </w:tc>
              <w:tc>
                <w:tcPr>
                  <w:tcW w:w="2540" w:type="dxa"/>
                  <w:tcBorders>
                    <w:top w:val="nil"/>
                    <w:left w:val="nil"/>
                    <w:bottom w:val="single" w:sz="4" w:space="0" w:color="auto"/>
                    <w:right w:val="nil"/>
                  </w:tcBorders>
                </w:tcPr>
                <w:p w14:paraId="2D5C79A6" w14:textId="77777777" w:rsidR="00FB71FD" w:rsidRPr="00DE05E9" w:rsidRDefault="00FB71FD" w:rsidP="00FB71FD">
                  <w:pPr>
                    <w:spacing w:after="0" w:line="240" w:lineRule="auto"/>
                    <w:jc w:val="both"/>
                    <w:rPr>
                      <w:rFonts w:ascii="Times New Roman" w:eastAsia="Times New Roman" w:hAnsi="Times New Roman" w:cs="Times New Roman"/>
                      <w:color w:val="000000"/>
                      <w:lang w:val="lv-LV"/>
                    </w:rPr>
                  </w:pPr>
                </w:p>
              </w:tc>
              <w:tc>
                <w:tcPr>
                  <w:tcW w:w="2540" w:type="dxa"/>
                  <w:tcBorders>
                    <w:top w:val="nil"/>
                    <w:left w:val="nil"/>
                    <w:bottom w:val="single" w:sz="4" w:space="0" w:color="auto"/>
                    <w:right w:val="single" w:sz="4" w:space="0" w:color="auto"/>
                  </w:tcBorders>
                  <w:shd w:val="clear" w:color="auto" w:fill="auto"/>
                  <w:noWrap/>
                  <w:vAlign w:val="bottom"/>
                  <w:hideMark/>
                </w:tcPr>
                <w:p w14:paraId="64C255C7" w14:textId="092A0DB4"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28</w:t>
                  </w:r>
                </w:p>
              </w:tc>
            </w:tr>
            <w:tr w:rsidR="00FB71FD" w:rsidRPr="00DE05E9" w14:paraId="3702D30E" w14:textId="77777777" w:rsidTr="00FB71FD">
              <w:trPr>
                <w:trHeight w:val="300"/>
              </w:trPr>
              <w:tc>
                <w:tcPr>
                  <w:tcW w:w="4900" w:type="dxa"/>
                  <w:tcBorders>
                    <w:top w:val="nil"/>
                    <w:left w:val="nil"/>
                    <w:bottom w:val="nil"/>
                    <w:right w:val="nil"/>
                  </w:tcBorders>
                  <w:shd w:val="clear" w:color="auto" w:fill="auto"/>
                  <w:noWrap/>
                  <w:vAlign w:val="bottom"/>
                  <w:hideMark/>
                </w:tcPr>
                <w:p w14:paraId="5513221A" w14:textId="77777777" w:rsidR="00FB71FD" w:rsidRPr="00DE05E9" w:rsidRDefault="00FB71FD" w:rsidP="00FB71FD">
                  <w:pPr>
                    <w:spacing w:after="0" w:line="240" w:lineRule="auto"/>
                    <w:jc w:val="both"/>
                    <w:rPr>
                      <w:rFonts w:ascii="Times New Roman" w:eastAsia="Times New Roman" w:hAnsi="Times New Roman" w:cs="Times New Roman"/>
                      <w:color w:val="000000"/>
                      <w:lang w:val="lv-LV"/>
                    </w:rPr>
                  </w:pPr>
                </w:p>
              </w:tc>
              <w:tc>
                <w:tcPr>
                  <w:tcW w:w="2540" w:type="dxa"/>
                  <w:tcBorders>
                    <w:top w:val="nil"/>
                    <w:left w:val="nil"/>
                    <w:bottom w:val="nil"/>
                    <w:right w:val="nil"/>
                  </w:tcBorders>
                </w:tcPr>
                <w:p w14:paraId="39D4A150" w14:textId="77777777" w:rsidR="00FB71FD" w:rsidRPr="00DE05E9" w:rsidRDefault="00FB71FD" w:rsidP="00FB71FD">
                  <w:pPr>
                    <w:spacing w:after="0" w:line="240" w:lineRule="auto"/>
                    <w:jc w:val="both"/>
                    <w:rPr>
                      <w:rFonts w:ascii="Times New Roman" w:eastAsia="Times New Roman" w:hAnsi="Times New Roman" w:cs="Times New Roman"/>
                      <w:lang w:val="lv-LV"/>
                    </w:rPr>
                  </w:pPr>
                </w:p>
              </w:tc>
              <w:tc>
                <w:tcPr>
                  <w:tcW w:w="2540" w:type="dxa"/>
                  <w:tcBorders>
                    <w:top w:val="nil"/>
                    <w:left w:val="nil"/>
                    <w:bottom w:val="nil"/>
                    <w:right w:val="nil"/>
                  </w:tcBorders>
                  <w:shd w:val="clear" w:color="auto" w:fill="auto"/>
                  <w:noWrap/>
                  <w:vAlign w:val="bottom"/>
                  <w:hideMark/>
                </w:tcPr>
                <w:p w14:paraId="5A101BAE" w14:textId="4FB3A52D" w:rsidR="00FB71FD" w:rsidRPr="00DE05E9" w:rsidRDefault="00FB71FD" w:rsidP="00FB71FD">
                  <w:pPr>
                    <w:spacing w:after="0" w:line="240" w:lineRule="auto"/>
                    <w:jc w:val="both"/>
                    <w:rPr>
                      <w:rFonts w:ascii="Times New Roman" w:eastAsia="Times New Roman" w:hAnsi="Times New Roman" w:cs="Times New Roman"/>
                      <w:lang w:val="lv-LV"/>
                    </w:rPr>
                  </w:pPr>
                </w:p>
              </w:tc>
            </w:tr>
            <w:tr w:rsidR="00FB71FD" w:rsidRPr="00DE05E9" w14:paraId="1B603E1C" w14:textId="77777777" w:rsidTr="00FB71FD">
              <w:trPr>
                <w:trHeight w:val="375"/>
              </w:trPr>
              <w:tc>
                <w:tcPr>
                  <w:tcW w:w="4900" w:type="dxa"/>
                  <w:tcBorders>
                    <w:top w:val="nil"/>
                    <w:left w:val="nil"/>
                    <w:bottom w:val="nil"/>
                    <w:right w:val="nil"/>
                  </w:tcBorders>
                  <w:shd w:val="clear" w:color="auto" w:fill="auto"/>
                  <w:noWrap/>
                  <w:vAlign w:val="bottom"/>
                  <w:hideMark/>
                </w:tcPr>
                <w:p w14:paraId="026788B2" w14:textId="77777777" w:rsidR="00FB71FD" w:rsidRPr="00DE05E9" w:rsidRDefault="00FB71FD" w:rsidP="00FB71FD">
                  <w:pPr>
                    <w:spacing w:after="0" w:line="240" w:lineRule="auto"/>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t>B daļa un sociālie pakalpojumi:</w:t>
                  </w:r>
                </w:p>
              </w:tc>
              <w:tc>
                <w:tcPr>
                  <w:tcW w:w="2540" w:type="dxa"/>
                  <w:tcBorders>
                    <w:top w:val="nil"/>
                    <w:left w:val="nil"/>
                    <w:bottom w:val="nil"/>
                    <w:right w:val="nil"/>
                  </w:tcBorders>
                </w:tcPr>
                <w:p w14:paraId="265DE45B" w14:textId="77777777" w:rsidR="00FB71FD" w:rsidRPr="00DE05E9" w:rsidRDefault="00FB71FD" w:rsidP="00FB71FD">
                  <w:pPr>
                    <w:spacing w:after="0" w:line="240" w:lineRule="auto"/>
                    <w:jc w:val="both"/>
                    <w:rPr>
                      <w:rFonts w:ascii="Times New Roman" w:eastAsia="Times New Roman" w:hAnsi="Times New Roman" w:cs="Times New Roman"/>
                      <w:b/>
                      <w:color w:val="000000"/>
                      <w:lang w:val="lv-LV"/>
                    </w:rPr>
                  </w:pPr>
                </w:p>
              </w:tc>
              <w:tc>
                <w:tcPr>
                  <w:tcW w:w="2540" w:type="dxa"/>
                  <w:tcBorders>
                    <w:top w:val="nil"/>
                    <w:left w:val="nil"/>
                    <w:bottom w:val="nil"/>
                    <w:right w:val="nil"/>
                  </w:tcBorders>
                  <w:shd w:val="clear" w:color="auto" w:fill="auto"/>
                  <w:noWrap/>
                  <w:vAlign w:val="bottom"/>
                  <w:hideMark/>
                </w:tcPr>
                <w:p w14:paraId="58F3C883" w14:textId="2D3D5E78" w:rsidR="00FB71FD" w:rsidRPr="00DE05E9" w:rsidRDefault="00FB71FD" w:rsidP="00FB71FD">
                  <w:pPr>
                    <w:spacing w:after="0" w:line="240" w:lineRule="auto"/>
                    <w:jc w:val="both"/>
                    <w:rPr>
                      <w:rFonts w:ascii="Times New Roman" w:eastAsia="Times New Roman" w:hAnsi="Times New Roman" w:cs="Times New Roman"/>
                      <w:b/>
                      <w:color w:val="000000"/>
                      <w:lang w:val="lv-LV"/>
                    </w:rPr>
                  </w:pPr>
                </w:p>
              </w:tc>
            </w:tr>
            <w:tr w:rsidR="00FB71FD" w:rsidRPr="00DE05E9" w14:paraId="2AF6615E" w14:textId="77777777" w:rsidTr="00FB71FD">
              <w:trPr>
                <w:trHeight w:val="300"/>
              </w:trPr>
              <w:tc>
                <w:tcPr>
                  <w:tcW w:w="4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B6D98" w14:textId="77777777"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w:t>
                  </w:r>
                </w:p>
              </w:tc>
              <w:tc>
                <w:tcPr>
                  <w:tcW w:w="2540" w:type="dxa"/>
                  <w:tcBorders>
                    <w:top w:val="single" w:sz="4" w:space="0" w:color="auto"/>
                    <w:left w:val="nil"/>
                    <w:bottom w:val="single" w:sz="4" w:space="0" w:color="auto"/>
                    <w:right w:val="nil"/>
                  </w:tcBorders>
                </w:tcPr>
                <w:p w14:paraId="6E5983B3" w14:textId="0ADD0382" w:rsidR="00FB71FD" w:rsidRPr="00DE05E9" w:rsidRDefault="00F22C59"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Virs ES līgumcenu sliekšņa</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40E84D9D" w14:textId="0AE3446E" w:rsidR="00FB71FD" w:rsidRPr="00DE05E9" w:rsidRDefault="00FB71FD" w:rsidP="00FB71FD">
                  <w:pPr>
                    <w:spacing w:after="0" w:line="240" w:lineRule="auto"/>
                    <w:jc w:val="both"/>
                    <w:rPr>
                      <w:rFonts w:ascii="Times New Roman" w:eastAsia="Times New Roman" w:hAnsi="Times New Roman" w:cs="Times New Roman"/>
                      <w:color w:val="000000"/>
                      <w:lang w:val="lv-LV"/>
                    </w:rPr>
                  </w:pPr>
                </w:p>
              </w:tc>
            </w:tr>
            <w:tr w:rsidR="00FB71FD" w:rsidRPr="00DE05E9" w14:paraId="00A35142" w14:textId="77777777" w:rsidTr="00FB71FD">
              <w:trPr>
                <w:trHeight w:val="300"/>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49022B1D" w14:textId="609FAC0E"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xml:space="preserve">Paziņojumu skaits (sākums), līgumi (bez </w:t>
                  </w:r>
                  <w:r w:rsidR="00B60912" w:rsidRPr="00DE05E9">
                    <w:rPr>
                      <w:rFonts w:ascii="Times New Roman" w:eastAsia="Times New Roman" w:hAnsi="Times New Roman" w:cs="Times New Roman"/>
                      <w:color w:val="000000"/>
                      <w:lang w:val="lv-LV"/>
                    </w:rPr>
                    <w:t>vispārīgās vienošanās</w:t>
                  </w:r>
                  <w:r w:rsidRPr="00DE05E9">
                    <w:rPr>
                      <w:rFonts w:ascii="Times New Roman" w:eastAsia="Times New Roman" w:hAnsi="Times New Roman" w:cs="Times New Roman"/>
                      <w:color w:val="000000"/>
                      <w:lang w:val="lv-LV"/>
                    </w:rPr>
                    <w:t>.)</w:t>
                  </w:r>
                </w:p>
              </w:tc>
              <w:tc>
                <w:tcPr>
                  <w:tcW w:w="2540" w:type="dxa"/>
                  <w:tcBorders>
                    <w:top w:val="nil"/>
                    <w:left w:val="nil"/>
                    <w:bottom w:val="single" w:sz="4" w:space="0" w:color="auto"/>
                    <w:right w:val="nil"/>
                  </w:tcBorders>
                </w:tcPr>
                <w:p w14:paraId="5717FF9D" w14:textId="77777777" w:rsidR="00FB71FD" w:rsidRPr="00DE05E9" w:rsidRDefault="00FB71FD" w:rsidP="00FB71FD">
                  <w:pPr>
                    <w:spacing w:after="0" w:line="240" w:lineRule="auto"/>
                    <w:jc w:val="both"/>
                    <w:rPr>
                      <w:rFonts w:ascii="Times New Roman" w:eastAsia="Times New Roman" w:hAnsi="Times New Roman" w:cs="Times New Roman"/>
                      <w:color w:val="000000"/>
                      <w:lang w:val="lv-LV"/>
                    </w:rPr>
                  </w:pPr>
                </w:p>
              </w:tc>
              <w:tc>
                <w:tcPr>
                  <w:tcW w:w="2540" w:type="dxa"/>
                  <w:tcBorders>
                    <w:top w:val="nil"/>
                    <w:left w:val="nil"/>
                    <w:bottom w:val="single" w:sz="4" w:space="0" w:color="auto"/>
                    <w:right w:val="single" w:sz="4" w:space="0" w:color="auto"/>
                  </w:tcBorders>
                  <w:shd w:val="clear" w:color="auto" w:fill="auto"/>
                  <w:noWrap/>
                  <w:vAlign w:val="bottom"/>
                  <w:hideMark/>
                </w:tcPr>
                <w:p w14:paraId="733CDAD0" w14:textId="7B1E5E63"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w:t>
                  </w:r>
                </w:p>
              </w:tc>
            </w:tr>
            <w:tr w:rsidR="00FB71FD" w:rsidRPr="00DE05E9" w14:paraId="4C62EA11" w14:textId="77777777" w:rsidTr="00FB71FD">
              <w:trPr>
                <w:trHeight w:val="300"/>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1470EF7A" w14:textId="77777777"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Paziņojumu skaits (sākums), vispārīgā vienošanās</w:t>
                  </w:r>
                </w:p>
              </w:tc>
              <w:tc>
                <w:tcPr>
                  <w:tcW w:w="2540" w:type="dxa"/>
                  <w:tcBorders>
                    <w:top w:val="nil"/>
                    <w:left w:val="nil"/>
                    <w:bottom w:val="single" w:sz="4" w:space="0" w:color="auto"/>
                    <w:right w:val="nil"/>
                  </w:tcBorders>
                </w:tcPr>
                <w:p w14:paraId="3894307A" w14:textId="77777777" w:rsidR="00FB71FD" w:rsidRPr="00DE05E9" w:rsidRDefault="00FB71FD" w:rsidP="00FB71FD">
                  <w:pPr>
                    <w:spacing w:after="0" w:line="240" w:lineRule="auto"/>
                    <w:jc w:val="both"/>
                    <w:rPr>
                      <w:rFonts w:ascii="Times New Roman" w:eastAsia="Times New Roman" w:hAnsi="Times New Roman" w:cs="Times New Roman"/>
                      <w:color w:val="000000"/>
                      <w:lang w:val="lv-LV"/>
                    </w:rPr>
                  </w:pPr>
                </w:p>
              </w:tc>
              <w:tc>
                <w:tcPr>
                  <w:tcW w:w="2540" w:type="dxa"/>
                  <w:tcBorders>
                    <w:top w:val="nil"/>
                    <w:left w:val="nil"/>
                    <w:bottom w:val="single" w:sz="4" w:space="0" w:color="auto"/>
                    <w:right w:val="single" w:sz="4" w:space="0" w:color="auto"/>
                  </w:tcBorders>
                  <w:shd w:val="clear" w:color="auto" w:fill="auto"/>
                  <w:noWrap/>
                  <w:vAlign w:val="bottom"/>
                  <w:hideMark/>
                </w:tcPr>
                <w:p w14:paraId="4B9FCC06" w14:textId="4EB6096B"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r>
            <w:tr w:rsidR="00FB71FD" w:rsidRPr="00DE05E9" w14:paraId="05A662AA" w14:textId="77777777" w:rsidTr="00FB71FD">
              <w:trPr>
                <w:trHeight w:val="300"/>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09BA7548" w14:textId="702534EA"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xml:space="preserve">Paziņojumu skaits (rezultāti), līgumi (bez </w:t>
                  </w:r>
                  <w:r w:rsidR="00B60912" w:rsidRPr="00DE05E9">
                    <w:rPr>
                      <w:rFonts w:ascii="Times New Roman" w:eastAsia="Times New Roman" w:hAnsi="Times New Roman" w:cs="Times New Roman"/>
                      <w:color w:val="000000"/>
                      <w:lang w:val="lv-LV"/>
                    </w:rPr>
                    <w:t>vispārīgās vienošanās</w:t>
                  </w:r>
                  <w:r w:rsidRPr="00DE05E9">
                    <w:rPr>
                      <w:rFonts w:ascii="Times New Roman" w:eastAsia="Times New Roman" w:hAnsi="Times New Roman" w:cs="Times New Roman"/>
                      <w:color w:val="000000"/>
                      <w:lang w:val="lv-LV"/>
                    </w:rPr>
                    <w:t>.)</w:t>
                  </w:r>
                </w:p>
              </w:tc>
              <w:tc>
                <w:tcPr>
                  <w:tcW w:w="2540" w:type="dxa"/>
                  <w:tcBorders>
                    <w:top w:val="nil"/>
                    <w:left w:val="nil"/>
                    <w:bottom w:val="single" w:sz="4" w:space="0" w:color="auto"/>
                    <w:right w:val="nil"/>
                  </w:tcBorders>
                </w:tcPr>
                <w:p w14:paraId="38717DFB" w14:textId="77777777" w:rsidR="00FB71FD" w:rsidRPr="00DE05E9" w:rsidRDefault="00FB71FD" w:rsidP="00FB71FD">
                  <w:pPr>
                    <w:spacing w:after="0" w:line="240" w:lineRule="auto"/>
                    <w:jc w:val="both"/>
                    <w:rPr>
                      <w:rFonts w:ascii="Times New Roman" w:eastAsia="Times New Roman" w:hAnsi="Times New Roman" w:cs="Times New Roman"/>
                      <w:color w:val="000000"/>
                      <w:lang w:val="lv-LV"/>
                    </w:rPr>
                  </w:pPr>
                </w:p>
              </w:tc>
              <w:tc>
                <w:tcPr>
                  <w:tcW w:w="2540" w:type="dxa"/>
                  <w:tcBorders>
                    <w:top w:val="nil"/>
                    <w:left w:val="nil"/>
                    <w:bottom w:val="single" w:sz="4" w:space="0" w:color="auto"/>
                    <w:right w:val="single" w:sz="4" w:space="0" w:color="auto"/>
                  </w:tcBorders>
                  <w:shd w:val="clear" w:color="auto" w:fill="auto"/>
                  <w:noWrap/>
                  <w:vAlign w:val="bottom"/>
                  <w:hideMark/>
                </w:tcPr>
                <w:p w14:paraId="5131FC3C" w14:textId="281493A9"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r>
            <w:tr w:rsidR="00FB71FD" w:rsidRPr="00DE05E9" w14:paraId="08BD7327" w14:textId="77777777" w:rsidTr="00FB71FD">
              <w:trPr>
                <w:trHeight w:val="300"/>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5B23D791" w14:textId="74622325" w:rsidR="00FB71FD" w:rsidRPr="00DE05E9" w:rsidRDefault="00B60912"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xml:space="preserve">tai sakitā </w:t>
                  </w:r>
                  <w:r w:rsidR="00FB71FD" w:rsidRPr="00DE05E9">
                    <w:rPr>
                      <w:rFonts w:ascii="Times New Roman" w:eastAsia="Times New Roman" w:hAnsi="Times New Roman" w:cs="Times New Roman"/>
                      <w:color w:val="000000"/>
                      <w:lang w:val="lv-LV"/>
                    </w:rPr>
                    <w:t>līgumi vispārīgās vienošanās ietvaros</w:t>
                  </w:r>
                </w:p>
              </w:tc>
              <w:tc>
                <w:tcPr>
                  <w:tcW w:w="2540" w:type="dxa"/>
                  <w:tcBorders>
                    <w:top w:val="nil"/>
                    <w:left w:val="nil"/>
                    <w:bottom w:val="single" w:sz="4" w:space="0" w:color="auto"/>
                    <w:right w:val="nil"/>
                  </w:tcBorders>
                </w:tcPr>
                <w:p w14:paraId="56856275" w14:textId="77777777" w:rsidR="00FB71FD" w:rsidRPr="00DE05E9" w:rsidRDefault="00FB71FD" w:rsidP="00FB71FD">
                  <w:pPr>
                    <w:spacing w:after="0" w:line="240" w:lineRule="auto"/>
                    <w:jc w:val="both"/>
                    <w:rPr>
                      <w:rFonts w:ascii="Times New Roman" w:eastAsia="Times New Roman" w:hAnsi="Times New Roman" w:cs="Times New Roman"/>
                      <w:color w:val="000000"/>
                      <w:lang w:val="lv-LV"/>
                    </w:rPr>
                  </w:pPr>
                </w:p>
              </w:tc>
              <w:tc>
                <w:tcPr>
                  <w:tcW w:w="2540" w:type="dxa"/>
                  <w:tcBorders>
                    <w:top w:val="nil"/>
                    <w:left w:val="nil"/>
                    <w:bottom w:val="single" w:sz="4" w:space="0" w:color="auto"/>
                    <w:right w:val="single" w:sz="4" w:space="0" w:color="auto"/>
                  </w:tcBorders>
                  <w:shd w:val="clear" w:color="auto" w:fill="auto"/>
                  <w:noWrap/>
                  <w:vAlign w:val="bottom"/>
                  <w:hideMark/>
                </w:tcPr>
                <w:p w14:paraId="0911BE48" w14:textId="74FAD9E0"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r>
            <w:tr w:rsidR="00FB71FD" w:rsidRPr="00DE05E9" w14:paraId="51A87128" w14:textId="77777777" w:rsidTr="00FB71FD">
              <w:trPr>
                <w:trHeight w:val="300"/>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66F74BF9" w14:textId="77777777"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Paziņojumu skaits (rezultāti), vispārīgā vienošanās</w:t>
                  </w:r>
                </w:p>
              </w:tc>
              <w:tc>
                <w:tcPr>
                  <w:tcW w:w="2540" w:type="dxa"/>
                  <w:tcBorders>
                    <w:top w:val="nil"/>
                    <w:left w:val="nil"/>
                    <w:bottom w:val="single" w:sz="4" w:space="0" w:color="auto"/>
                    <w:right w:val="nil"/>
                  </w:tcBorders>
                </w:tcPr>
                <w:p w14:paraId="7C989B16" w14:textId="77777777" w:rsidR="00FB71FD" w:rsidRPr="00DE05E9" w:rsidRDefault="00FB71FD" w:rsidP="00FB71FD">
                  <w:pPr>
                    <w:spacing w:after="0" w:line="240" w:lineRule="auto"/>
                    <w:jc w:val="both"/>
                    <w:rPr>
                      <w:rFonts w:ascii="Times New Roman" w:eastAsia="Times New Roman" w:hAnsi="Times New Roman" w:cs="Times New Roman"/>
                      <w:color w:val="000000"/>
                      <w:lang w:val="lv-LV"/>
                    </w:rPr>
                  </w:pPr>
                </w:p>
              </w:tc>
              <w:tc>
                <w:tcPr>
                  <w:tcW w:w="2540" w:type="dxa"/>
                  <w:tcBorders>
                    <w:top w:val="nil"/>
                    <w:left w:val="nil"/>
                    <w:bottom w:val="single" w:sz="4" w:space="0" w:color="auto"/>
                    <w:right w:val="single" w:sz="4" w:space="0" w:color="auto"/>
                  </w:tcBorders>
                  <w:shd w:val="clear" w:color="auto" w:fill="auto"/>
                  <w:noWrap/>
                  <w:vAlign w:val="bottom"/>
                  <w:hideMark/>
                </w:tcPr>
                <w:p w14:paraId="382A8120" w14:textId="561EF48D"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r>
            <w:tr w:rsidR="00FB71FD" w:rsidRPr="00DE05E9" w14:paraId="369D6116" w14:textId="77777777" w:rsidTr="00FB71FD">
              <w:trPr>
                <w:trHeight w:val="300"/>
              </w:trPr>
              <w:tc>
                <w:tcPr>
                  <w:tcW w:w="4900" w:type="dxa"/>
                  <w:tcBorders>
                    <w:top w:val="nil"/>
                    <w:left w:val="nil"/>
                    <w:bottom w:val="nil"/>
                    <w:right w:val="nil"/>
                  </w:tcBorders>
                  <w:shd w:val="clear" w:color="auto" w:fill="auto"/>
                  <w:noWrap/>
                  <w:vAlign w:val="bottom"/>
                  <w:hideMark/>
                </w:tcPr>
                <w:p w14:paraId="4609DEC7" w14:textId="77777777" w:rsidR="00FB71FD" w:rsidRPr="00DE05E9" w:rsidRDefault="00FB71FD" w:rsidP="00FB71FD">
                  <w:pPr>
                    <w:spacing w:after="0" w:line="240" w:lineRule="auto"/>
                    <w:jc w:val="both"/>
                    <w:rPr>
                      <w:rFonts w:ascii="Times New Roman" w:eastAsia="Times New Roman" w:hAnsi="Times New Roman" w:cs="Times New Roman"/>
                      <w:color w:val="000000"/>
                      <w:lang w:val="lv-LV"/>
                    </w:rPr>
                  </w:pPr>
                </w:p>
              </w:tc>
              <w:tc>
                <w:tcPr>
                  <w:tcW w:w="2540" w:type="dxa"/>
                  <w:tcBorders>
                    <w:top w:val="nil"/>
                    <w:left w:val="nil"/>
                    <w:bottom w:val="nil"/>
                    <w:right w:val="nil"/>
                  </w:tcBorders>
                </w:tcPr>
                <w:p w14:paraId="7F74544D" w14:textId="77777777" w:rsidR="00FB71FD" w:rsidRPr="00DE05E9" w:rsidRDefault="00FB71FD" w:rsidP="00FB71FD">
                  <w:pPr>
                    <w:spacing w:after="0" w:line="240" w:lineRule="auto"/>
                    <w:jc w:val="both"/>
                    <w:rPr>
                      <w:rFonts w:ascii="Times New Roman" w:eastAsia="Times New Roman" w:hAnsi="Times New Roman" w:cs="Times New Roman"/>
                      <w:lang w:val="lv-LV"/>
                    </w:rPr>
                  </w:pPr>
                </w:p>
              </w:tc>
              <w:tc>
                <w:tcPr>
                  <w:tcW w:w="2540" w:type="dxa"/>
                  <w:tcBorders>
                    <w:top w:val="nil"/>
                    <w:left w:val="nil"/>
                    <w:bottom w:val="nil"/>
                    <w:right w:val="nil"/>
                  </w:tcBorders>
                  <w:shd w:val="clear" w:color="auto" w:fill="auto"/>
                  <w:noWrap/>
                  <w:vAlign w:val="bottom"/>
                  <w:hideMark/>
                </w:tcPr>
                <w:p w14:paraId="03B44A91" w14:textId="0582A158" w:rsidR="00FB71FD" w:rsidRPr="00DE05E9" w:rsidRDefault="00FB71FD" w:rsidP="00FB71FD">
                  <w:pPr>
                    <w:spacing w:after="0" w:line="240" w:lineRule="auto"/>
                    <w:jc w:val="both"/>
                    <w:rPr>
                      <w:rFonts w:ascii="Times New Roman" w:eastAsia="Times New Roman" w:hAnsi="Times New Roman" w:cs="Times New Roman"/>
                      <w:lang w:val="lv-LV"/>
                    </w:rPr>
                  </w:pPr>
                </w:p>
              </w:tc>
            </w:tr>
            <w:tr w:rsidR="00FB71FD" w:rsidRPr="00DE05E9" w14:paraId="1B621231" w14:textId="77777777" w:rsidTr="00FB71FD">
              <w:trPr>
                <w:trHeight w:val="375"/>
              </w:trPr>
              <w:tc>
                <w:tcPr>
                  <w:tcW w:w="4900" w:type="dxa"/>
                  <w:tcBorders>
                    <w:top w:val="nil"/>
                    <w:left w:val="nil"/>
                    <w:bottom w:val="nil"/>
                    <w:right w:val="nil"/>
                  </w:tcBorders>
                  <w:shd w:val="clear" w:color="auto" w:fill="auto"/>
                  <w:noWrap/>
                  <w:vAlign w:val="bottom"/>
                  <w:hideMark/>
                </w:tcPr>
                <w:p w14:paraId="4EA25C9D" w14:textId="2724095B" w:rsidR="00FB71FD" w:rsidRPr="00DE05E9" w:rsidRDefault="00FB71FD" w:rsidP="00FB71FD">
                  <w:pPr>
                    <w:spacing w:after="0" w:line="240" w:lineRule="auto"/>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t>Sarunu procedūras</w:t>
                  </w:r>
                  <w:r w:rsidR="00213298" w:rsidRPr="00DE05E9">
                    <w:rPr>
                      <w:rFonts w:ascii="Times New Roman" w:eastAsia="Times New Roman" w:hAnsi="Times New Roman" w:cs="Times New Roman"/>
                      <w:b/>
                      <w:color w:val="000000"/>
                      <w:lang w:val="lv-LV"/>
                    </w:rPr>
                    <w:t>,</w:t>
                  </w:r>
                  <w:r w:rsidRPr="00DE05E9">
                    <w:rPr>
                      <w:rFonts w:ascii="Times New Roman" w:eastAsia="Times New Roman" w:hAnsi="Times New Roman" w:cs="Times New Roman"/>
                      <w:b/>
                      <w:color w:val="000000"/>
                      <w:lang w:val="lv-LV"/>
                    </w:rPr>
                    <w:t xml:space="preserve"> nepublicējot paziņojumu par līgumu:</w:t>
                  </w:r>
                </w:p>
              </w:tc>
              <w:tc>
                <w:tcPr>
                  <w:tcW w:w="2540" w:type="dxa"/>
                  <w:tcBorders>
                    <w:top w:val="nil"/>
                    <w:left w:val="nil"/>
                    <w:bottom w:val="nil"/>
                    <w:right w:val="nil"/>
                  </w:tcBorders>
                </w:tcPr>
                <w:p w14:paraId="39E76E18" w14:textId="77777777" w:rsidR="00FB71FD" w:rsidRPr="00DE05E9" w:rsidRDefault="00FB71FD" w:rsidP="00FB71FD">
                  <w:pPr>
                    <w:spacing w:after="0" w:line="240" w:lineRule="auto"/>
                    <w:jc w:val="both"/>
                    <w:rPr>
                      <w:rFonts w:ascii="Times New Roman" w:eastAsia="Times New Roman" w:hAnsi="Times New Roman" w:cs="Times New Roman"/>
                      <w:b/>
                      <w:color w:val="000000"/>
                      <w:lang w:val="lv-LV"/>
                    </w:rPr>
                  </w:pPr>
                </w:p>
              </w:tc>
              <w:tc>
                <w:tcPr>
                  <w:tcW w:w="2540" w:type="dxa"/>
                  <w:tcBorders>
                    <w:top w:val="nil"/>
                    <w:left w:val="nil"/>
                    <w:bottom w:val="nil"/>
                    <w:right w:val="nil"/>
                  </w:tcBorders>
                  <w:shd w:val="clear" w:color="auto" w:fill="auto"/>
                  <w:noWrap/>
                  <w:vAlign w:val="bottom"/>
                  <w:hideMark/>
                </w:tcPr>
                <w:p w14:paraId="45C7C1C9" w14:textId="2CD31C0A" w:rsidR="00FB71FD" w:rsidRPr="00DE05E9" w:rsidRDefault="00FB71FD" w:rsidP="00FB71FD">
                  <w:pPr>
                    <w:spacing w:after="0" w:line="240" w:lineRule="auto"/>
                    <w:jc w:val="both"/>
                    <w:rPr>
                      <w:rFonts w:ascii="Times New Roman" w:eastAsia="Times New Roman" w:hAnsi="Times New Roman" w:cs="Times New Roman"/>
                      <w:b/>
                      <w:color w:val="000000"/>
                      <w:lang w:val="lv-LV"/>
                    </w:rPr>
                  </w:pPr>
                </w:p>
              </w:tc>
            </w:tr>
            <w:tr w:rsidR="00FB71FD" w:rsidRPr="00DE05E9" w14:paraId="32E42EF6" w14:textId="77777777" w:rsidTr="00FB71FD">
              <w:trPr>
                <w:trHeight w:val="300"/>
              </w:trPr>
              <w:tc>
                <w:tcPr>
                  <w:tcW w:w="4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090EF" w14:textId="77777777"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w:t>
                  </w:r>
                </w:p>
              </w:tc>
              <w:tc>
                <w:tcPr>
                  <w:tcW w:w="2540" w:type="dxa"/>
                  <w:tcBorders>
                    <w:top w:val="single" w:sz="4" w:space="0" w:color="auto"/>
                    <w:left w:val="nil"/>
                    <w:bottom w:val="single" w:sz="4" w:space="0" w:color="auto"/>
                    <w:right w:val="nil"/>
                  </w:tcBorders>
                </w:tcPr>
                <w:p w14:paraId="469C9FFE" w14:textId="3B43AF68" w:rsidR="00FB71FD" w:rsidRPr="00DE05E9" w:rsidRDefault="00F22C59"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Virs ES līgumcenu sliekšņa</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14:paraId="3FA4DDF7" w14:textId="6C0C9F2F" w:rsidR="00FB71FD" w:rsidRPr="00DE05E9" w:rsidRDefault="00FB71FD" w:rsidP="00FB71FD">
                  <w:pPr>
                    <w:spacing w:after="0" w:line="240" w:lineRule="auto"/>
                    <w:jc w:val="both"/>
                    <w:rPr>
                      <w:rFonts w:ascii="Times New Roman" w:eastAsia="Times New Roman" w:hAnsi="Times New Roman" w:cs="Times New Roman"/>
                      <w:color w:val="000000"/>
                      <w:lang w:val="lv-LV"/>
                    </w:rPr>
                  </w:pPr>
                </w:p>
              </w:tc>
            </w:tr>
            <w:tr w:rsidR="00FB71FD" w:rsidRPr="00DE05E9" w14:paraId="267D233D" w14:textId="77777777" w:rsidTr="00FB71FD">
              <w:trPr>
                <w:trHeight w:val="300"/>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76EA7239" w14:textId="4E5AD699"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xml:space="preserve">Paziņojumu skaits (rezultāti), līgumi (bez </w:t>
                  </w:r>
                  <w:r w:rsidR="00B60912" w:rsidRPr="00DE05E9">
                    <w:rPr>
                      <w:rFonts w:ascii="Times New Roman" w:eastAsia="Times New Roman" w:hAnsi="Times New Roman" w:cs="Times New Roman"/>
                      <w:color w:val="000000"/>
                      <w:lang w:val="lv-LV"/>
                    </w:rPr>
                    <w:t>vispārīgās vienošanās</w:t>
                  </w:r>
                  <w:r w:rsidRPr="00DE05E9">
                    <w:rPr>
                      <w:rFonts w:ascii="Times New Roman" w:eastAsia="Times New Roman" w:hAnsi="Times New Roman" w:cs="Times New Roman"/>
                      <w:color w:val="000000"/>
                      <w:lang w:val="lv-LV"/>
                    </w:rPr>
                    <w:t>.)</w:t>
                  </w:r>
                </w:p>
              </w:tc>
              <w:tc>
                <w:tcPr>
                  <w:tcW w:w="2540" w:type="dxa"/>
                  <w:tcBorders>
                    <w:top w:val="nil"/>
                    <w:left w:val="nil"/>
                    <w:bottom w:val="single" w:sz="4" w:space="0" w:color="auto"/>
                    <w:right w:val="nil"/>
                  </w:tcBorders>
                </w:tcPr>
                <w:p w14:paraId="3CA85A3A" w14:textId="77777777" w:rsidR="00FB71FD" w:rsidRPr="00DE05E9" w:rsidRDefault="00FB71FD" w:rsidP="00FB71FD">
                  <w:pPr>
                    <w:spacing w:after="0" w:line="240" w:lineRule="auto"/>
                    <w:jc w:val="both"/>
                    <w:rPr>
                      <w:rFonts w:ascii="Times New Roman" w:eastAsia="Times New Roman" w:hAnsi="Times New Roman" w:cs="Times New Roman"/>
                      <w:color w:val="000000"/>
                      <w:lang w:val="lv-LV"/>
                    </w:rPr>
                  </w:pPr>
                </w:p>
              </w:tc>
              <w:tc>
                <w:tcPr>
                  <w:tcW w:w="2540" w:type="dxa"/>
                  <w:tcBorders>
                    <w:top w:val="nil"/>
                    <w:left w:val="nil"/>
                    <w:bottom w:val="single" w:sz="4" w:space="0" w:color="auto"/>
                    <w:right w:val="single" w:sz="4" w:space="0" w:color="auto"/>
                  </w:tcBorders>
                  <w:shd w:val="clear" w:color="auto" w:fill="auto"/>
                  <w:noWrap/>
                  <w:vAlign w:val="bottom"/>
                  <w:hideMark/>
                </w:tcPr>
                <w:p w14:paraId="1B2CF343" w14:textId="01B29FC8"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11</w:t>
                  </w:r>
                </w:p>
              </w:tc>
            </w:tr>
            <w:tr w:rsidR="00FB71FD" w:rsidRPr="00DE05E9" w14:paraId="41ABCE01" w14:textId="77777777" w:rsidTr="00FB71FD">
              <w:trPr>
                <w:trHeight w:val="300"/>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29BDA318" w14:textId="646CBE42" w:rsidR="00FB71FD" w:rsidRPr="00DE05E9" w:rsidRDefault="00B60912" w:rsidP="00B60912">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lastRenderedPageBreak/>
                    <w:t xml:space="preserve">tai skaitā </w:t>
                  </w:r>
                  <w:r w:rsidR="00FB71FD" w:rsidRPr="00DE05E9">
                    <w:rPr>
                      <w:rFonts w:ascii="Times New Roman" w:eastAsia="Times New Roman" w:hAnsi="Times New Roman" w:cs="Times New Roman"/>
                      <w:color w:val="000000"/>
                      <w:lang w:val="lv-LV"/>
                    </w:rPr>
                    <w:t>līgumi vispārīgās vienošanās ietvaros</w:t>
                  </w:r>
                </w:p>
              </w:tc>
              <w:tc>
                <w:tcPr>
                  <w:tcW w:w="2540" w:type="dxa"/>
                  <w:tcBorders>
                    <w:top w:val="nil"/>
                    <w:left w:val="nil"/>
                    <w:bottom w:val="single" w:sz="4" w:space="0" w:color="auto"/>
                    <w:right w:val="nil"/>
                  </w:tcBorders>
                </w:tcPr>
                <w:p w14:paraId="35C09814" w14:textId="77777777" w:rsidR="00FB71FD" w:rsidRPr="00DE05E9" w:rsidRDefault="00FB71FD" w:rsidP="00FB71FD">
                  <w:pPr>
                    <w:spacing w:after="0" w:line="240" w:lineRule="auto"/>
                    <w:jc w:val="both"/>
                    <w:rPr>
                      <w:rFonts w:ascii="Times New Roman" w:eastAsia="Times New Roman" w:hAnsi="Times New Roman" w:cs="Times New Roman"/>
                      <w:color w:val="000000"/>
                      <w:lang w:val="lv-LV"/>
                    </w:rPr>
                  </w:pPr>
                </w:p>
              </w:tc>
              <w:tc>
                <w:tcPr>
                  <w:tcW w:w="2540" w:type="dxa"/>
                  <w:tcBorders>
                    <w:top w:val="nil"/>
                    <w:left w:val="nil"/>
                    <w:bottom w:val="single" w:sz="4" w:space="0" w:color="auto"/>
                    <w:right w:val="single" w:sz="4" w:space="0" w:color="auto"/>
                  </w:tcBorders>
                  <w:shd w:val="clear" w:color="auto" w:fill="auto"/>
                  <w:noWrap/>
                  <w:vAlign w:val="bottom"/>
                  <w:hideMark/>
                </w:tcPr>
                <w:p w14:paraId="6B269194" w14:textId="219A411C"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r>
            <w:tr w:rsidR="00FB71FD" w:rsidRPr="00DE05E9" w14:paraId="1DFCE34D" w14:textId="77777777" w:rsidTr="00FB71FD">
              <w:trPr>
                <w:trHeight w:val="300"/>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770AE449" w14:textId="77777777"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Paziņojumu skaits (rezultāti), vispārīgā vienošanās</w:t>
                  </w:r>
                </w:p>
              </w:tc>
              <w:tc>
                <w:tcPr>
                  <w:tcW w:w="2540" w:type="dxa"/>
                  <w:tcBorders>
                    <w:top w:val="nil"/>
                    <w:left w:val="nil"/>
                    <w:bottom w:val="single" w:sz="4" w:space="0" w:color="auto"/>
                    <w:right w:val="nil"/>
                  </w:tcBorders>
                </w:tcPr>
                <w:p w14:paraId="14F3FBF1" w14:textId="77777777" w:rsidR="00FB71FD" w:rsidRPr="00DE05E9" w:rsidRDefault="00FB71FD" w:rsidP="00FB71FD">
                  <w:pPr>
                    <w:spacing w:after="0" w:line="240" w:lineRule="auto"/>
                    <w:jc w:val="both"/>
                    <w:rPr>
                      <w:rFonts w:ascii="Times New Roman" w:eastAsia="Times New Roman" w:hAnsi="Times New Roman" w:cs="Times New Roman"/>
                      <w:color w:val="000000"/>
                      <w:lang w:val="lv-LV"/>
                    </w:rPr>
                  </w:pPr>
                </w:p>
              </w:tc>
              <w:tc>
                <w:tcPr>
                  <w:tcW w:w="2540" w:type="dxa"/>
                  <w:tcBorders>
                    <w:top w:val="nil"/>
                    <w:left w:val="nil"/>
                    <w:bottom w:val="single" w:sz="4" w:space="0" w:color="auto"/>
                    <w:right w:val="single" w:sz="4" w:space="0" w:color="auto"/>
                  </w:tcBorders>
                  <w:shd w:val="clear" w:color="auto" w:fill="auto"/>
                  <w:noWrap/>
                  <w:vAlign w:val="bottom"/>
                  <w:hideMark/>
                </w:tcPr>
                <w:p w14:paraId="77E4C23F" w14:textId="389706FD" w:rsidR="00FB71FD" w:rsidRPr="00DE05E9" w:rsidRDefault="00FB71F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r>
          </w:tbl>
          <w:p w14:paraId="76BCD39C" w14:textId="77777777" w:rsidR="008C7D70" w:rsidRPr="00DE05E9" w:rsidRDefault="008C7D70" w:rsidP="00FB71FD">
            <w:pPr>
              <w:pStyle w:val="NoSpacing"/>
              <w:jc w:val="both"/>
              <w:rPr>
                <w:rFonts w:ascii="Times New Roman" w:hAnsi="Times New Roman" w:cs="Times New Roman"/>
                <w:b/>
                <w:u w:val="single"/>
              </w:rPr>
            </w:pPr>
          </w:p>
          <w:p w14:paraId="495EA11D" w14:textId="77777777" w:rsidR="0011550B" w:rsidRPr="00DE05E9" w:rsidRDefault="0011550B" w:rsidP="0011550B">
            <w:pPr>
              <w:jc w:val="both"/>
              <w:rPr>
                <w:rFonts w:ascii="Times New Roman" w:eastAsia="Times New Roman" w:hAnsi="Times New Roman" w:cs="Times New Roman"/>
                <w:color w:val="000000"/>
                <w:lang w:val="lv-LV"/>
              </w:rPr>
            </w:pPr>
          </w:p>
          <w:p w14:paraId="7C7484D9" w14:textId="1FD22F05" w:rsidR="0011550B" w:rsidRPr="00DE05E9" w:rsidRDefault="004F225F" w:rsidP="0011550B">
            <w:pPr>
              <w:jc w:val="both"/>
              <w:rPr>
                <w:rFonts w:ascii="Times New Roman" w:eastAsia="Times New Roman" w:hAnsi="Times New Roman" w:cs="Times New Roman"/>
                <w:b/>
                <w:color w:val="000000"/>
                <w:lang w:val="lv-LV"/>
              </w:rPr>
            </w:pPr>
            <w:r>
              <w:rPr>
                <w:rFonts w:ascii="Times New Roman" w:eastAsia="Times New Roman" w:hAnsi="Times New Roman" w:cs="Times New Roman"/>
                <w:b/>
                <w:color w:val="000000"/>
                <w:lang w:val="lv-LV"/>
              </w:rPr>
              <w:t>L</w:t>
            </w:r>
            <w:r w:rsidR="0011550B" w:rsidRPr="00DE05E9">
              <w:rPr>
                <w:rFonts w:ascii="Times New Roman" w:eastAsia="Times New Roman" w:hAnsi="Times New Roman" w:cs="Times New Roman"/>
                <w:b/>
                <w:color w:val="000000"/>
                <w:lang w:val="lv-LV"/>
              </w:rPr>
              <w:t>aika posmā no 2017. gada 1. janvāra līdz 2017. gada 31. decembrim nav veikts neviens iepirkums atbilstoši Publiskās un privātās partnerības likuma (Direktīva</w:t>
            </w:r>
            <w:r>
              <w:rPr>
                <w:rFonts w:ascii="Times New Roman" w:eastAsia="Times New Roman" w:hAnsi="Times New Roman" w:cs="Times New Roman"/>
                <w:b/>
                <w:color w:val="000000"/>
                <w:lang w:val="lv-LV"/>
              </w:rPr>
              <w:t>s 2014/23/EU) regulējumam</w:t>
            </w:r>
            <w:r w:rsidR="0011550B" w:rsidRPr="00DE05E9">
              <w:rPr>
                <w:rFonts w:ascii="Times New Roman" w:eastAsia="Times New Roman" w:hAnsi="Times New Roman" w:cs="Times New Roman"/>
                <w:b/>
                <w:color w:val="000000"/>
                <w:lang w:val="lv-LV"/>
              </w:rPr>
              <w:t>.</w:t>
            </w:r>
          </w:p>
          <w:p w14:paraId="6B09F974" w14:textId="2BBE6ADF" w:rsidR="0011550B" w:rsidRPr="00DE05E9" w:rsidRDefault="0011550B" w:rsidP="00FB71FD">
            <w:pPr>
              <w:pStyle w:val="NoSpacing"/>
              <w:jc w:val="both"/>
              <w:rPr>
                <w:rFonts w:ascii="Times New Roman" w:hAnsi="Times New Roman" w:cs="Times New Roman"/>
                <w:b/>
                <w:u w:val="single"/>
              </w:rPr>
            </w:pPr>
          </w:p>
          <w:p w14:paraId="6035FAC3" w14:textId="4B0DC9F8" w:rsidR="0011550B" w:rsidRPr="00DE05E9" w:rsidRDefault="0011550B" w:rsidP="00FB71FD">
            <w:pPr>
              <w:pStyle w:val="NoSpacing"/>
              <w:jc w:val="both"/>
              <w:rPr>
                <w:rFonts w:ascii="Times New Roman" w:hAnsi="Times New Roman" w:cs="Times New Roman"/>
                <w:b/>
                <w:u w:val="single"/>
              </w:rPr>
            </w:pPr>
          </w:p>
        </w:tc>
      </w:tr>
      <w:tr w:rsidR="004954F8" w:rsidRPr="00DE05E9" w14:paraId="34AB7EDA" w14:textId="77777777" w:rsidTr="00267227">
        <w:trPr>
          <w:trHeight w:val="397"/>
        </w:trPr>
        <w:tc>
          <w:tcPr>
            <w:tcW w:w="0" w:type="auto"/>
          </w:tcPr>
          <w:p w14:paraId="34AB7ED9" w14:textId="112B3641" w:rsidR="004954F8" w:rsidRPr="00DE05E9" w:rsidRDefault="004954F8" w:rsidP="00FB71FD">
            <w:pPr>
              <w:jc w:val="both"/>
              <w:rPr>
                <w:rFonts w:ascii="Times New Roman" w:hAnsi="Times New Roman" w:cs="Times New Roman"/>
                <w:b/>
              </w:rPr>
            </w:pPr>
            <w:r w:rsidRPr="00DE05E9">
              <w:rPr>
                <w:rFonts w:ascii="Times New Roman" w:hAnsi="Times New Roman" w:cs="Times New Roman"/>
              </w:rPr>
              <w:lastRenderedPageBreak/>
              <w:t>I</w:t>
            </w:r>
            <w:r w:rsidRPr="00DE05E9">
              <w:rPr>
                <w:rFonts w:ascii="Times New Roman" w:hAnsi="Times New Roman" w:cs="Times New Roman"/>
                <w:b/>
              </w:rPr>
              <w:t>nformation on monitoring and reporting bodies</w:t>
            </w:r>
          </w:p>
        </w:tc>
      </w:tr>
      <w:tr w:rsidR="004954F8" w:rsidRPr="00DE05E9" w14:paraId="34AB7EDE" w14:textId="77777777" w:rsidTr="00267227">
        <w:trPr>
          <w:trHeight w:val="558"/>
        </w:trPr>
        <w:tc>
          <w:tcPr>
            <w:tcW w:w="0" w:type="auto"/>
          </w:tcPr>
          <w:p w14:paraId="34AB7EDD" w14:textId="674B2913" w:rsidR="004954F8" w:rsidRPr="00DE05E9" w:rsidRDefault="004954F8" w:rsidP="00FB71FD">
            <w:pPr>
              <w:pStyle w:val="NoSpacing"/>
              <w:jc w:val="both"/>
              <w:rPr>
                <w:rFonts w:ascii="Times New Roman" w:hAnsi="Times New Roman" w:cs="Times New Roman"/>
              </w:rPr>
            </w:pPr>
            <w:r w:rsidRPr="00DE05E9">
              <w:rPr>
                <w:rFonts w:ascii="Times New Roman" w:hAnsi="Times New Roman" w:cs="Times New Roman"/>
              </w:rPr>
              <w:t>This section should include a list of the body/bodies performing the public procurement monitoring activities required by the public procurement directives and the entities in charge with the drafting of the report to be provided to the European Commission on the results of the monitoring activities.</w:t>
            </w:r>
          </w:p>
        </w:tc>
      </w:tr>
      <w:tr w:rsidR="008B4E1D" w:rsidRPr="00DE05E9" w14:paraId="44CCF744" w14:textId="77777777" w:rsidTr="00266497">
        <w:trPr>
          <w:trHeight w:val="236"/>
        </w:trPr>
        <w:tc>
          <w:tcPr>
            <w:tcW w:w="0" w:type="auto"/>
          </w:tcPr>
          <w:p w14:paraId="669BCA61" w14:textId="4449E026" w:rsidR="0011550B" w:rsidRPr="00DE05E9" w:rsidRDefault="0011550B" w:rsidP="00FB71FD">
            <w:pPr>
              <w:jc w:val="both"/>
              <w:rPr>
                <w:rFonts w:ascii="Times New Roman" w:hAnsi="Times New Roman" w:cs="Times New Roman"/>
                <w:u w:val="single"/>
              </w:rPr>
            </w:pPr>
            <w:r w:rsidRPr="00DE05E9">
              <w:rPr>
                <w:rFonts w:ascii="Times New Roman" w:hAnsi="Times New Roman" w:cs="Times New Roman"/>
                <w:u w:val="single"/>
              </w:rPr>
              <w:t>Finanšu ministrija</w:t>
            </w:r>
            <w:r w:rsidR="0001056F">
              <w:rPr>
                <w:rFonts w:ascii="Times New Roman" w:hAnsi="Times New Roman" w:cs="Times New Roman"/>
                <w:u w:val="single"/>
              </w:rPr>
              <w:t>s</w:t>
            </w:r>
            <w:r w:rsidRPr="00DE05E9">
              <w:rPr>
                <w:rFonts w:ascii="Times New Roman" w:hAnsi="Times New Roman" w:cs="Times New Roman"/>
                <w:u w:val="single"/>
              </w:rPr>
              <w:t xml:space="preserve"> </w:t>
            </w:r>
            <w:r w:rsidRPr="00DE05E9">
              <w:rPr>
                <w:rFonts w:ascii="Times New Roman" w:hAnsi="Times New Roman" w:cs="Times New Roman"/>
              </w:rPr>
              <w:t>kompetencē ir izstrādāt politiku</w:t>
            </w:r>
            <w:r w:rsidR="0001056F">
              <w:rPr>
                <w:rFonts w:ascii="Times New Roman" w:hAnsi="Times New Roman" w:cs="Times New Roman"/>
              </w:rPr>
              <w:t xml:space="preserve"> un</w:t>
            </w:r>
            <w:r w:rsidRPr="00DE05E9">
              <w:rPr>
                <w:rFonts w:ascii="Times New Roman" w:hAnsi="Times New Roman" w:cs="Times New Roman"/>
              </w:rPr>
              <w:t xml:space="preserve"> </w:t>
            </w:r>
            <w:r w:rsidR="0001056F">
              <w:rPr>
                <w:rFonts w:ascii="Times New Roman" w:hAnsi="Times New Roman" w:cs="Times New Roman"/>
              </w:rPr>
              <w:t>veikt normatīvo aktu izstrādi</w:t>
            </w:r>
            <w:r w:rsidR="0001056F" w:rsidRPr="00DE05E9">
              <w:rPr>
                <w:rFonts w:ascii="Times New Roman" w:hAnsi="Times New Roman" w:cs="Times New Roman"/>
              </w:rPr>
              <w:t xml:space="preserve"> </w:t>
            </w:r>
            <w:r w:rsidRPr="00DE05E9">
              <w:rPr>
                <w:rFonts w:ascii="Times New Roman" w:hAnsi="Times New Roman" w:cs="Times New Roman"/>
              </w:rPr>
              <w:t>publisko iepirkumu jomā</w:t>
            </w:r>
            <w:r w:rsidR="00373FE6">
              <w:rPr>
                <w:rFonts w:ascii="Times New Roman" w:hAnsi="Times New Roman" w:cs="Times New Roman"/>
              </w:rPr>
              <w:t>.</w:t>
            </w:r>
          </w:p>
          <w:p w14:paraId="352085A7" w14:textId="419E07BE" w:rsidR="008B4E1D" w:rsidRPr="00DE05E9" w:rsidRDefault="00140A20" w:rsidP="00FB71FD">
            <w:pPr>
              <w:jc w:val="both"/>
              <w:rPr>
                <w:rFonts w:ascii="Times New Roman" w:hAnsi="Times New Roman" w:cs="Times New Roman"/>
              </w:rPr>
            </w:pPr>
            <w:r w:rsidRPr="00DE05E9">
              <w:rPr>
                <w:rFonts w:ascii="Times New Roman" w:hAnsi="Times New Roman" w:cs="Times New Roman"/>
                <w:u w:val="single"/>
              </w:rPr>
              <w:t>Iepirkumu uzraudzības biroja</w:t>
            </w:r>
            <w:r w:rsidRPr="00DE05E9">
              <w:rPr>
                <w:rFonts w:ascii="Times New Roman" w:hAnsi="Times New Roman" w:cs="Times New Roman"/>
              </w:rPr>
              <w:t xml:space="preserve"> kompetencē ir uzraudzīt pasūtītāju, sabiedrisko pakalpojumu sniedzēju, publisko partneru un publisko partneru pārstāvju veikto iepirkuma procedūru un koncesijas procedūru atbilstību normatīvajos aktos noteiktajām prasībām</w:t>
            </w:r>
            <w:r w:rsidR="00B60912" w:rsidRPr="00DE05E9">
              <w:rPr>
                <w:rFonts w:ascii="Times New Roman" w:hAnsi="Times New Roman" w:cs="Times New Roman"/>
              </w:rPr>
              <w:t>.</w:t>
            </w:r>
          </w:p>
          <w:p w14:paraId="56DA9534" w14:textId="4D7ED9D2" w:rsidR="00B60912" w:rsidRPr="00DE05E9" w:rsidRDefault="00B60912" w:rsidP="00B60912">
            <w:pPr>
              <w:rPr>
                <w:rFonts w:ascii="Times New Roman" w:hAnsi="Times New Roman" w:cs="Times New Roman"/>
              </w:rPr>
            </w:pPr>
            <w:r w:rsidRPr="00DE05E9">
              <w:rPr>
                <w:rFonts w:ascii="Times New Roman" w:hAnsi="Times New Roman" w:cs="Times New Roman"/>
                <w:u w:val="single"/>
              </w:rPr>
              <w:t>Korupcijas novēršanas un apkarošanas biroja</w:t>
            </w:r>
            <w:r w:rsidRPr="00DE05E9">
              <w:rPr>
                <w:rFonts w:ascii="Times New Roman" w:hAnsi="Times New Roman" w:cs="Times New Roman"/>
              </w:rPr>
              <w:t xml:space="preserve"> kompetencē ir kontrolēt likuma </w:t>
            </w:r>
            <w:r w:rsidR="00F96CCA" w:rsidRPr="00DE05E9">
              <w:rPr>
                <w:rFonts w:ascii="Times New Roman" w:hAnsi="Times New Roman" w:cs="Times New Roman"/>
              </w:rPr>
              <w:t>“</w:t>
            </w:r>
            <w:r w:rsidRPr="00DE05E9">
              <w:rPr>
                <w:rFonts w:ascii="Times New Roman" w:hAnsi="Times New Roman" w:cs="Times New Roman"/>
              </w:rPr>
              <w:t>Par interešu konflikta novēršanu valsts amatpersonu darbībā</w:t>
            </w:r>
            <w:r w:rsidR="00F96CCA" w:rsidRPr="00DE05E9">
              <w:rPr>
                <w:rFonts w:ascii="Times New Roman" w:hAnsi="Times New Roman" w:cs="Times New Roman"/>
              </w:rPr>
              <w:t>”</w:t>
            </w:r>
            <w:r w:rsidRPr="00DE05E9">
              <w:rPr>
                <w:rFonts w:ascii="Times New Roman" w:hAnsi="Times New Roman" w:cs="Times New Roman"/>
              </w:rPr>
              <w:t xml:space="preserve"> izpildi, kā arī citos normatīvajos aktos (tai skaitā publisko iepirkumu jomas normatīvajos aktos) valsts amatpersonām noteikto papildu ierobežojumu ievērošanu</w:t>
            </w:r>
            <w:r w:rsidR="0011550B" w:rsidRPr="00DE05E9">
              <w:rPr>
                <w:rFonts w:ascii="Times New Roman" w:hAnsi="Times New Roman" w:cs="Times New Roman"/>
              </w:rPr>
              <w:t xml:space="preserve"> interešu konfliktu novēršanas jomā</w:t>
            </w:r>
            <w:r w:rsidRPr="00DE05E9">
              <w:rPr>
                <w:rFonts w:ascii="Times New Roman" w:hAnsi="Times New Roman" w:cs="Times New Roman"/>
              </w:rPr>
              <w:t>.</w:t>
            </w:r>
          </w:p>
          <w:p w14:paraId="0909AD28" w14:textId="437627EA" w:rsidR="00B60912" w:rsidRPr="00DE05E9" w:rsidRDefault="00B60912" w:rsidP="00B60912">
            <w:pPr>
              <w:rPr>
                <w:rFonts w:ascii="Times New Roman" w:hAnsi="Times New Roman" w:cs="Times New Roman"/>
              </w:rPr>
            </w:pPr>
            <w:r w:rsidRPr="00DE05E9">
              <w:rPr>
                <w:rFonts w:ascii="Times New Roman" w:hAnsi="Times New Roman" w:cs="Times New Roman"/>
                <w:u w:val="single"/>
              </w:rPr>
              <w:t>Konkurences Padomes</w:t>
            </w:r>
            <w:r w:rsidRPr="00DE05E9">
              <w:rPr>
                <w:rFonts w:ascii="Times New Roman" w:hAnsi="Times New Roman" w:cs="Times New Roman"/>
              </w:rPr>
              <w:t xml:space="preserve"> kompetencē ir uzraudzīt, kā tiek ievērots tirgus dalībnieku dominējošā stāvokļa ļaunprātīgas izmantošanas un vienošanās aizliegumi, kas noteikti Konkurences likumā, citos normatīvajos aktos un starptautiskajos līgumos.</w:t>
            </w:r>
          </w:p>
          <w:p w14:paraId="565E65BE" w14:textId="0F6CD8A3" w:rsidR="008B4E1D" w:rsidRPr="00DE05E9" w:rsidRDefault="00B60912" w:rsidP="00B60912">
            <w:pPr>
              <w:rPr>
                <w:rFonts w:ascii="Times New Roman" w:hAnsi="Times New Roman" w:cs="Times New Roman"/>
              </w:rPr>
            </w:pPr>
            <w:r w:rsidRPr="00DE05E9">
              <w:rPr>
                <w:rFonts w:ascii="Times New Roman" w:hAnsi="Times New Roman" w:cs="Times New Roman"/>
                <w:u w:val="single"/>
              </w:rPr>
              <w:t>Centrālā finanšu un līgumu aģentūras</w:t>
            </w:r>
            <w:r w:rsidRPr="00DE05E9">
              <w:rPr>
                <w:rFonts w:ascii="Times New Roman" w:hAnsi="Times New Roman" w:cs="Times New Roman"/>
              </w:rPr>
              <w:t xml:space="preserve"> kompetencē ir īstenot un uzraudzīt tās kometencē esošās</w:t>
            </w:r>
            <w:r w:rsidR="0001056F">
              <w:rPr>
                <w:rFonts w:ascii="Times New Roman" w:hAnsi="Times New Roman" w:cs="Times New Roman"/>
              </w:rPr>
              <w:t xml:space="preserve"> Eiropas Savien</w:t>
            </w:r>
            <w:r w:rsidR="0011550B" w:rsidRPr="00DE05E9">
              <w:rPr>
                <w:rFonts w:ascii="Times New Roman" w:hAnsi="Times New Roman" w:cs="Times New Roman"/>
              </w:rPr>
              <w:t>ības fondu</w:t>
            </w:r>
            <w:r w:rsidRPr="00DE05E9">
              <w:rPr>
                <w:rFonts w:ascii="Times New Roman" w:hAnsi="Times New Roman" w:cs="Times New Roman"/>
              </w:rPr>
              <w:t xml:space="preserve"> programmas un projektus (tai skaitā programmā vai projektā veiktos iepirkumus</w:t>
            </w:r>
            <w:r w:rsidR="00373FE6" w:rsidRPr="00DE05E9">
              <w:rPr>
                <w:rFonts w:ascii="Times New Roman" w:hAnsi="Times New Roman" w:cs="Times New Roman"/>
              </w:rPr>
              <w:t>)</w:t>
            </w:r>
            <w:r w:rsidR="00373FE6">
              <w:rPr>
                <w:rFonts w:ascii="Times New Roman" w:hAnsi="Times New Roman" w:cs="Times New Roman"/>
              </w:rPr>
              <w:t>.</w:t>
            </w:r>
          </w:p>
          <w:p w14:paraId="032530C7" w14:textId="28557D2C" w:rsidR="0011550B" w:rsidRPr="00DE05E9" w:rsidRDefault="0011550B" w:rsidP="0001056F">
            <w:pPr>
              <w:rPr>
                <w:rFonts w:ascii="Times New Roman" w:hAnsi="Times New Roman" w:cs="Times New Roman"/>
              </w:rPr>
            </w:pPr>
            <w:r w:rsidRPr="00DE05E9">
              <w:rPr>
                <w:rFonts w:ascii="Times New Roman" w:hAnsi="Times New Roman" w:cs="Times New Roman"/>
                <w:sz w:val="24"/>
                <w:u w:val="single"/>
              </w:rPr>
              <w:t>Valsts reģionālās attīstības aģentūras</w:t>
            </w:r>
            <w:r w:rsidRPr="00DE05E9">
              <w:rPr>
                <w:rFonts w:ascii="Times New Roman" w:hAnsi="Times New Roman" w:cs="Times New Roman"/>
                <w:sz w:val="24"/>
              </w:rPr>
              <w:t xml:space="preserve"> kompetencē ir </w:t>
            </w:r>
            <w:r w:rsidR="0001056F">
              <w:rPr>
                <w:rFonts w:ascii="Times New Roman" w:hAnsi="Times New Roman" w:cs="Times New Roman"/>
                <w:sz w:val="24"/>
              </w:rPr>
              <w:t>elektronisko iepirkumu nodrošināšana</w:t>
            </w:r>
            <w:r w:rsidRPr="00DE05E9">
              <w:rPr>
                <w:rFonts w:ascii="Times New Roman" w:hAnsi="Times New Roman" w:cs="Times New Roman"/>
                <w:sz w:val="24"/>
              </w:rPr>
              <w:t>.</w:t>
            </w:r>
          </w:p>
        </w:tc>
      </w:tr>
    </w:tbl>
    <w:p w14:paraId="355CF502" w14:textId="3F66EA1B" w:rsidR="00870F03" w:rsidRPr="00DE05E9" w:rsidRDefault="00870F03" w:rsidP="00FB71FD">
      <w:pPr>
        <w:pStyle w:val="Heading1"/>
        <w:jc w:val="both"/>
        <w:rPr>
          <w:rFonts w:ascii="Times New Roman" w:hAnsi="Times New Roman" w:cs="Times New Roman"/>
          <w:sz w:val="22"/>
          <w:szCs w:val="22"/>
        </w:rPr>
      </w:pPr>
    </w:p>
    <w:p w14:paraId="6A2FDC55" w14:textId="76FE22C6" w:rsidR="009B40D2" w:rsidRPr="00DE05E9" w:rsidRDefault="00BC4C3D" w:rsidP="00FB71FD">
      <w:pPr>
        <w:pStyle w:val="Heading2"/>
        <w:jc w:val="both"/>
        <w:rPr>
          <w:rFonts w:ascii="Times New Roman" w:hAnsi="Times New Roman" w:cs="Times New Roman"/>
        </w:rPr>
      </w:pPr>
      <w:r w:rsidRPr="00DE05E9">
        <w:rPr>
          <w:rFonts w:ascii="Times New Roman" w:hAnsi="Times New Roman" w:cs="Times New Roman"/>
        </w:rPr>
        <w:t>Estimation of the aggregated total value of procurement which would have been covered by the directives if its value had exceeded the relevant thresholds</w:t>
      </w:r>
    </w:p>
    <w:p w14:paraId="148F7BBB" w14:textId="77777777" w:rsidR="00BC4C3D" w:rsidRPr="00DE05E9" w:rsidRDefault="00BC4C3D" w:rsidP="00FB71FD">
      <w:pPr>
        <w:pStyle w:val="NoSpacing"/>
        <w:jc w:val="both"/>
        <w:rPr>
          <w:rFonts w:ascii="Times New Roman" w:hAnsi="Times New Roman" w:cs="Times New Roman"/>
        </w:rPr>
      </w:pPr>
    </w:p>
    <w:tbl>
      <w:tblPr>
        <w:tblStyle w:val="TableGrid"/>
        <w:tblW w:w="5000" w:type="pct"/>
        <w:tblLook w:val="04A0" w:firstRow="1" w:lastRow="0" w:firstColumn="1" w:lastColumn="0" w:noHBand="0" w:noVBand="1"/>
      </w:tblPr>
      <w:tblGrid>
        <w:gridCol w:w="4570"/>
        <w:gridCol w:w="9424"/>
      </w:tblGrid>
      <w:tr w:rsidR="003F660D" w:rsidRPr="00DE05E9" w14:paraId="277A2679" w14:textId="344A3042" w:rsidTr="003844FF">
        <w:trPr>
          <w:trHeight w:val="1354"/>
        </w:trPr>
        <w:tc>
          <w:tcPr>
            <w:tcW w:w="1633" w:type="pct"/>
          </w:tcPr>
          <w:p w14:paraId="70AFE892" w14:textId="12AE1746" w:rsidR="003F660D" w:rsidRPr="00DE05E9" w:rsidRDefault="003F660D" w:rsidP="00FB71FD">
            <w:pPr>
              <w:jc w:val="both"/>
              <w:rPr>
                <w:rFonts w:ascii="Times New Roman" w:hAnsi="Times New Roman" w:cs="Times New Roman"/>
                <w:b/>
              </w:rPr>
            </w:pPr>
            <w:r w:rsidRPr="00DE05E9">
              <w:rPr>
                <w:rFonts w:ascii="Times New Roman" w:hAnsi="Times New Roman" w:cs="Times New Roman"/>
                <w:b/>
              </w:rPr>
              <w:t>Estimation of the aggregated total value of procurement which would have been covered by the directives if its value had exceeded the relevant thresholds</w:t>
            </w:r>
          </w:p>
        </w:tc>
        <w:tc>
          <w:tcPr>
            <w:tcW w:w="3367" w:type="pct"/>
          </w:tcPr>
          <w:p w14:paraId="7761050B" w14:textId="762604F1" w:rsidR="008147D5" w:rsidRPr="00DE05E9" w:rsidRDefault="008147D5" w:rsidP="00FB71FD">
            <w:pPr>
              <w:pStyle w:val="NoSpacing"/>
              <w:jc w:val="both"/>
              <w:rPr>
                <w:rFonts w:ascii="Times New Roman" w:hAnsi="Times New Roman" w:cs="Times New Roman"/>
              </w:rPr>
            </w:pPr>
            <w:r w:rsidRPr="00DE05E9">
              <w:rPr>
                <w:rFonts w:ascii="Times New Roman" w:hAnsi="Times New Roman" w:cs="Times New Roman"/>
                <w:b/>
                <w:u w:val="single"/>
              </w:rPr>
              <w:t>Informācija par iepirkumiem, kas veikti saskaņā ar Publsiko iepirkumu likum</w:t>
            </w:r>
            <w:r w:rsidR="0011550B" w:rsidRPr="00DE05E9">
              <w:rPr>
                <w:rFonts w:ascii="Times New Roman" w:hAnsi="Times New Roman" w:cs="Times New Roman"/>
                <w:b/>
                <w:u w:val="single"/>
              </w:rPr>
              <w:t>u</w:t>
            </w:r>
          </w:p>
          <w:p w14:paraId="600B7C11" w14:textId="0C79A42C" w:rsidR="008147D5" w:rsidRPr="00DE05E9" w:rsidRDefault="008147D5" w:rsidP="00FB71FD">
            <w:pPr>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“Procedūras</w:t>
            </w:r>
            <w:r w:rsidR="0011550B" w:rsidRPr="00DE05E9">
              <w:rPr>
                <w:rFonts w:ascii="Times New Roman" w:eastAsia="Times New Roman" w:hAnsi="Times New Roman" w:cs="Times New Roman"/>
                <w:color w:val="000000"/>
                <w:lang w:val="lv-LV"/>
              </w:rPr>
              <w:t>,</w:t>
            </w:r>
            <w:r w:rsidRPr="00DE05E9">
              <w:rPr>
                <w:rFonts w:ascii="Times New Roman" w:eastAsia="Times New Roman" w:hAnsi="Times New Roman" w:cs="Times New Roman"/>
                <w:color w:val="000000"/>
                <w:lang w:val="lv-LV"/>
              </w:rPr>
              <w:t xml:space="preserve"> publicējot paziņojumu par līgumu”, “Sarunu procedūras</w:t>
            </w:r>
            <w:r w:rsidR="0011550B" w:rsidRPr="00DE05E9">
              <w:rPr>
                <w:rFonts w:ascii="Times New Roman" w:eastAsia="Times New Roman" w:hAnsi="Times New Roman" w:cs="Times New Roman"/>
                <w:color w:val="000000"/>
                <w:lang w:val="lv-LV"/>
              </w:rPr>
              <w:t>,</w:t>
            </w:r>
            <w:r w:rsidRPr="00DE05E9">
              <w:rPr>
                <w:rFonts w:ascii="Times New Roman" w:eastAsia="Times New Roman" w:hAnsi="Times New Roman" w:cs="Times New Roman"/>
                <w:color w:val="000000"/>
                <w:lang w:val="lv-LV"/>
              </w:rPr>
              <w:t xml:space="preserve"> nepublicējot paziņojumu par līgumu”– dati apkopoti no Iepirkumu uzraudzības biroja tīmekļvietnē publicētajiem paziņojumiem par iepirkuma procedūru kopējo līgumcenu par periodu no 2017. gada 1. janvāra līdz 2017. gada 31. decembrim, kur „Kopējā līgumcena iepirkumiem zem ES līgumcenu sliekšņa” piegādēm un </w:t>
            </w:r>
            <w:r w:rsidRPr="00DE05E9">
              <w:rPr>
                <w:rFonts w:ascii="Times New Roman" w:eastAsia="Times New Roman" w:hAnsi="Times New Roman" w:cs="Times New Roman"/>
                <w:color w:val="000000"/>
                <w:lang w:val="lv-LV"/>
              </w:rPr>
              <w:lastRenderedPageBreak/>
              <w:t>pakalpojumiem no 42 000 EUR līdz 134 999,99 EUR, būvdarbiem no 170 000 EUR līdz 5 224 999,99 EUR.</w:t>
            </w:r>
          </w:p>
          <w:p w14:paraId="33A388CB" w14:textId="77777777" w:rsidR="008147D5" w:rsidRPr="00DE05E9" w:rsidRDefault="008147D5" w:rsidP="00FB71FD">
            <w:pPr>
              <w:jc w:val="both"/>
              <w:rPr>
                <w:rFonts w:ascii="Times New Roman" w:hAnsi="Times New Roman" w:cs="Times New Roman"/>
                <w:lang w:val="lv-LV"/>
              </w:rPr>
            </w:pPr>
            <w:r w:rsidRPr="00DE05E9">
              <w:rPr>
                <w:rFonts w:ascii="Times New Roman" w:eastAsia="Times New Roman" w:hAnsi="Times New Roman" w:cs="Times New Roman"/>
                <w:color w:val="000000"/>
                <w:lang w:val="lv-LV"/>
              </w:rPr>
              <w:t>„B daļa un sociālie pakalpojumi” – dati apkopoti no Iepirkumu uzraudzības biroja tīmekļvietnē publicētajiem paziņojumiem par iepirkumu kopējo līgumcenu par periodu no 2017. gada 1. janvāra līdz 2017. gada 31. decembrim, kur Publisko iepirkumu likuma (spēkā līdz 2017. gada 28. februārim) 2. pielikumā minētajiem B daļas pakalpojumiem: „Kopējā līgumcena iepirkumiem zem ES līgumcenu sliekšņa” pakalpojumiem no 42 000 EUR līdz 134 999,99 EUR; Publisko iepirkumu likuma 10.</w:t>
            </w:r>
            <w:r w:rsidRPr="00DE05E9">
              <w:rPr>
                <w:rFonts w:ascii="Times New Roman" w:hAnsi="Times New Roman" w:cs="Times New Roman"/>
                <w:lang w:val="lv-LV"/>
              </w:rPr>
              <w:t xml:space="preserve"> </w:t>
            </w:r>
            <w:r w:rsidRPr="00DE05E9">
              <w:rPr>
                <w:rFonts w:ascii="Times New Roman" w:eastAsia="Times New Roman" w:hAnsi="Times New Roman" w:cs="Times New Roman"/>
                <w:color w:val="000000"/>
                <w:lang w:val="lv-LV"/>
              </w:rPr>
              <w:t>panta iepirkumiem (spēkā no 2017. gada 1. marta): „Kopējā līgumcena iepirkumiem zem ES līgumcenu sliekšņa” pakalpojumiem no 42 000 EUR līdz 749 999,99 EUR.</w:t>
            </w:r>
          </w:p>
          <w:tbl>
            <w:tblPr>
              <w:tblW w:w="7371" w:type="dxa"/>
              <w:tblLook w:val="04A0" w:firstRow="1" w:lastRow="0" w:firstColumn="1" w:lastColumn="0" w:noHBand="0" w:noVBand="1"/>
            </w:tblPr>
            <w:tblGrid>
              <w:gridCol w:w="3760"/>
              <w:gridCol w:w="3611"/>
            </w:tblGrid>
            <w:tr w:rsidR="008147D5" w:rsidRPr="00DE05E9" w14:paraId="1D5CD352" w14:textId="77777777" w:rsidTr="00D906DC">
              <w:trPr>
                <w:trHeight w:val="375"/>
              </w:trPr>
              <w:tc>
                <w:tcPr>
                  <w:tcW w:w="3760" w:type="dxa"/>
                  <w:tcBorders>
                    <w:top w:val="nil"/>
                    <w:left w:val="nil"/>
                    <w:bottom w:val="nil"/>
                    <w:right w:val="nil"/>
                  </w:tcBorders>
                  <w:shd w:val="clear" w:color="auto" w:fill="auto"/>
                  <w:noWrap/>
                  <w:vAlign w:val="bottom"/>
                  <w:hideMark/>
                </w:tcPr>
                <w:p w14:paraId="23C3ADD0" w14:textId="52C2A51B" w:rsidR="008147D5" w:rsidRPr="00DE05E9" w:rsidRDefault="008147D5" w:rsidP="00FB71FD">
                  <w:pPr>
                    <w:spacing w:after="0" w:line="240" w:lineRule="auto"/>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t>Procedūras</w:t>
                  </w:r>
                  <w:r w:rsidR="00F22C59" w:rsidRPr="00DE05E9">
                    <w:rPr>
                      <w:rFonts w:ascii="Times New Roman" w:eastAsia="Times New Roman" w:hAnsi="Times New Roman" w:cs="Times New Roman"/>
                      <w:b/>
                      <w:color w:val="000000"/>
                      <w:lang w:val="lv-LV"/>
                    </w:rPr>
                    <w:t>,</w:t>
                  </w:r>
                  <w:r w:rsidRPr="00DE05E9">
                    <w:rPr>
                      <w:rFonts w:ascii="Times New Roman" w:eastAsia="Times New Roman" w:hAnsi="Times New Roman" w:cs="Times New Roman"/>
                      <w:b/>
                      <w:color w:val="000000"/>
                      <w:lang w:val="lv-LV"/>
                    </w:rPr>
                    <w:t xml:space="preserve"> publicējot paziņojumu par līgumu:</w:t>
                  </w:r>
                </w:p>
              </w:tc>
              <w:tc>
                <w:tcPr>
                  <w:tcW w:w="3611" w:type="dxa"/>
                  <w:tcBorders>
                    <w:top w:val="nil"/>
                    <w:left w:val="nil"/>
                    <w:bottom w:val="nil"/>
                    <w:right w:val="nil"/>
                  </w:tcBorders>
                  <w:shd w:val="clear" w:color="auto" w:fill="auto"/>
                  <w:noWrap/>
                  <w:vAlign w:val="bottom"/>
                  <w:hideMark/>
                </w:tcPr>
                <w:p w14:paraId="24EFC4C7" w14:textId="77777777" w:rsidR="008147D5" w:rsidRPr="00DE05E9" w:rsidRDefault="008147D5" w:rsidP="00FB71FD">
                  <w:pPr>
                    <w:spacing w:after="0" w:line="240" w:lineRule="auto"/>
                    <w:jc w:val="both"/>
                    <w:rPr>
                      <w:rFonts w:ascii="Times New Roman" w:eastAsia="Times New Roman" w:hAnsi="Times New Roman" w:cs="Times New Roman"/>
                      <w:b/>
                      <w:color w:val="000000"/>
                      <w:lang w:val="lv-LV"/>
                    </w:rPr>
                  </w:pPr>
                </w:p>
              </w:tc>
            </w:tr>
            <w:tr w:rsidR="008147D5" w:rsidRPr="00DE05E9" w14:paraId="18249998" w14:textId="77777777" w:rsidTr="00D906DC">
              <w:trPr>
                <w:trHeight w:val="585"/>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3C024"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w:t>
                  </w:r>
                </w:p>
              </w:tc>
              <w:tc>
                <w:tcPr>
                  <w:tcW w:w="3611" w:type="dxa"/>
                  <w:tcBorders>
                    <w:top w:val="single" w:sz="4" w:space="0" w:color="auto"/>
                    <w:left w:val="nil"/>
                    <w:bottom w:val="single" w:sz="4" w:space="0" w:color="auto"/>
                    <w:right w:val="single" w:sz="4" w:space="0" w:color="auto"/>
                  </w:tcBorders>
                  <w:shd w:val="clear" w:color="auto" w:fill="auto"/>
                  <w:vAlign w:val="bottom"/>
                  <w:hideMark/>
                </w:tcPr>
                <w:p w14:paraId="2F8EE644"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Kopējā līgumcena iepirkumiem zem ES līgumcenu sliekšņa (EUR bez PVN)</w:t>
                  </w:r>
                </w:p>
              </w:tc>
            </w:tr>
            <w:tr w:rsidR="008147D5" w:rsidRPr="00DE05E9" w14:paraId="52CE3127" w14:textId="77777777" w:rsidTr="00D906DC">
              <w:trPr>
                <w:trHeight w:val="300"/>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4F251C5B"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Summa (iepirkuma līgumi)</w:t>
                  </w:r>
                </w:p>
              </w:tc>
              <w:tc>
                <w:tcPr>
                  <w:tcW w:w="3611" w:type="dxa"/>
                  <w:tcBorders>
                    <w:top w:val="nil"/>
                    <w:left w:val="nil"/>
                    <w:bottom w:val="single" w:sz="4" w:space="0" w:color="auto"/>
                    <w:right w:val="single" w:sz="4" w:space="0" w:color="auto"/>
                  </w:tcBorders>
                  <w:shd w:val="clear" w:color="auto" w:fill="auto"/>
                  <w:noWrap/>
                  <w:vAlign w:val="center"/>
                  <w:hideMark/>
                </w:tcPr>
                <w:p w14:paraId="5DBDBB7A"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479248251,72</w:t>
                  </w:r>
                </w:p>
              </w:tc>
            </w:tr>
            <w:tr w:rsidR="008147D5" w:rsidRPr="00DE05E9" w14:paraId="02B05FFC" w14:textId="77777777" w:rsidTr="00D906DC">
              <w:trPr>
                <w:trHeight w:val="600"/>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4B408C58"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t.sk. Summa (iepirkuma līgumi vispārīgās vienošanās ietvaros)</w:t>
                  </w:r>
                </w:p>
              </w:tc>
              <w:tc>
                <w:tcPr>
                  <w:tcW w:w="3611" w:type="dxa"/>
                  <w:tcBorders>
                    <w:top w:val="nil"/>
                    <w:left w:val="nil"/>
                    <w:bottom w:val="single" w:sz="4" w:space="0" w:color="auto"/>
                    <w:right w:val="single" w:sz="4" w:space="0" w:color="auto"/>
                  </w:tcBorders>
                  <w:shd w:val="clear" w:color="auto" w:fill="auto"/>
                  <w:noWrap/>
                  <w:vAlign w:val="center"/>
                  <w:hideMark/>
                </w:tcPr>
                <w:p w14:paraId="0654EA62"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16187,51</w:t>
                  </w:r>
                </w:p>
              </w:tc>
            </w:tr>
            <w:tr w:rsidR="008147D5" w:rsidRPr="00DE05E9" w14:paraId="11CD9E35" w14:textId="77777777" w:rsidTr="00D906DC">
              <w:trPr>
                <w:trHeight w:val="300"/>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435F0ABB"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Summa (vispārīgās vienošanās)</w:t>
                  </w:r>
                </w:p>
              </w:tc>
              <w:tc>
                <w:tcPr>
                  <w:tcW w:w="3611" w:type="dxa"/>
                  <w:tcBorders>
                    <w:top w:val="nil"/>
                    <w:left w:val="nil"/>
                    <w:bottom w:val="single" w:sz="4" w:space="0" w:color="auto"/>
                    <w:right w:val="single" w:sz="4" w:space="0" w:color="auto"/>
                  </w:tcBorders>
                  <w:shd w:val="clear" w:color="auto" w:fill="auto"/>
                  <w:noWrap/>
                  <w:vAlign w:val="center"/>
                  <w:hideMark/>
                </w:tcPr>
                <w:p w14:paraId="302B8D04"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19107947,03</w:t>
                  </w:r>
                </w:p>
              </w:tc>
            </w:tr>
            <w:tr w:rsidR="008147D5" w:rsidRPr="00DE05E9" w14:paraId="77924AF1" w14:textId="77777777" w:rsidTr="00D906DC">
              <w:trPr>
                <w:trHeight w:val="300"/>
              </w:trPr>
              <w:tc>
                <w:tcPr>
                  <w:tcW w:w="3760" w:type="dxa"/>
                  <w:tcBorders>
                    <w:top w:val="nil"/>
                    <w:left w:val="single" w:sz="4" w:space="0" w:color="auto"/>
                    <w:bottom w:val="single" w:sz="4" w:space="0" w:color="auto"/>
                    <w:right w:val="single" w:sz="4" w:space="0" w:color="auto"/>
                  </w:tcBorders>
                  <w:shd w:val="clear" w:color="auto" w:fill="auto"/>
                  <w:vAlign w:val="center"/>
                  <w:hideMark/>
                </w:tcPr>
                <w:p w14:paraId="183B233C"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Kopā</w:t>
                  </w:r>
                </w:p>
              </w:tc>
              <w:tc>
                <w:tcPr>
                  <w:tcW w:w="3611" w:type="dxa"/>
                  <w:tcBorders>
                    <w:top w:val="nil"/>
                    <w:left w:val="nil"/>
                    <w:bottom w:val="single" w:sz="4" w:space="0" w:color="auto"/>
                    <w:right w:val="single" w:sz="4" w:space="0" w:color="auto"/>
                  </w:tcBorders>
                  <w:shd w:val="clear" w:color="auto" w:fill="auto"/>
                  <w:noWrap/>
                  <w:vAlign w:val="center"/>
                  <w:hideMark/>
                </w:tcPr>
                <w:p w14:paraId="2FC36F51"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498356198,75</w:t>
                  </w:r>
                </w:p>
              </w:tc>
            </w:tr>
            <w:tr w:rsidR="008147D5" w:rsidRPr="00DE05E9" w14:paraId="68A28E66" w14:textId="77777777" w:rsidTr="00D906DC">
              <w:trPr>
                <w:trHeight w:val="300"/>
              </w:trPr>
              <w:tc>
                <w:tcPr>
                  <w:tcW w:w="3760" w:type="dxa"/>
                  <w:tcBorders>
                    <w:top w:val="nil"/>
                    <w:left w:val="nil"/>
                    <w:bottom w:val="nil"/>
                    <w:right w:val="nil"/>
                  </w:tcBorders>
                  <w:shd w:val="clear" w:color="auto" w:fill="auto"/>
                  <w:noWrap/>
                  <w:vAlign w:val="bottom"/>
                  <w:hideMark/>
                </w:tcPr>
                <w:p w14:paraId="4251FB8F"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p>
              </w:tc>
              <w:tc>
                <w:tcPr>
                  <w:tcW w:w="3611" w:type="dxa"/>
                  <w:tcBorders>
                    <w:top w:val="nil"/>
                    <w:left w:val="nil"/>
                    <w:bottom w:val="nil"/>
                    <w:right w:val="nil"/>
                  </w:tcBorders>
                  <w:shd w:val="clear" w:color="auto" w:fill="auto"/>
                  <w:noWrap/>
                  <w:vAlign w:val="bottom"/>
                  <w:hideMark/>
                </w:tcPr>
                <w:p w14:paraId="5E2C681A" w14:textId="77777777" w:rsidR="008147D5" w:rsidRPr="00DE05E9" w:rsidRDefault="008147D5" w:rsidP="00FB71FD">
                  <w:pPr>
                    <w:spacing w:after="0" w:line="240" w:lineRule="auto"/>
                    <w:jc w:val="both"/>
                    <w:rPr>
                      <w:rFonts w:ascii="Times New Roman" w:eastAsia="Times New Roman" w:hAnsi="Times New Roman" w:cs="Times New Roman"/>
                      <w:lang w:val="lv-LV"/>
                    </w:rPr>
                  </w:pPr>
                </w:p>
              </w:tc>
            </w:tr>
            <w:tr w:rsidR="008147D5" w:rsidRPr="00DE05E9" w14:paraId="0187AB4B" w14:textId="77777777" w:rsidTr="00D906DC">
              <w:trPr>
                <w:trHeight w:val="375"/>
              </w:trPr>
              <w:tc>
                <w:tcPr>
                  <w:tcW w:w="3760" w:type="dxa"/>
                  <w:tcBorders>
                    <w:top w:val="nil"/>
                    <w:left w:val="nil"/>
                    <w:bottom w:val="nil"/>
                    <w:right w:val="nil"/>
                  </w:tcBorders>
                  <w:shd w:val="clear" w:color="auto" w:fill="auto"/>
                  <w:noWrap/>
                  <w:vAlign w:val="bottom"/>
                  <w:hideMark/>
                </w:tcPr>
                <w:p w14:paraId="3F3DE0E8" w14:textId="77777777" w:rsidR="008147D5" w:rsidRPr="00DE05E9" w:rsidRDefault="008147D5" w:rsidP="00FB71FD">
                  <w:pPr>
                    <w:spacing w:after="0" w:line="240" w:lineRule="auto"/>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t>B daļa un sociālie pakalpojumi:</w:t>
                  </w:r>
                </w:p>
              </w:tc>
              <w:tc>
                <w:tcPr>
                  <w:tcW w:w="3611" w:type="dxa"/>
                  <w:tcBorders>
                    <w:top w:val="nil"/>
                    <w:left w:val="nil"/>
                    <w:bottom w:val="nil"/>
                    <w:right w:val="nil"/>
                  </w:tcBorders>
                  <w:shd w:val="clear" w:color="auto" w:fill="auto"/>
                  <w:noWrap/>
                  <w:vAlign w:val="bottom"/>
                  <w:hideMark/>
                </w:tcPr>
                <w:p w14:paraId="43E9F5CE" w14:textId="77777777" w:rsidR="008147D5" w:rsidRPr="00DE05E9" w:rsidRDefault="008147D5" w:rsidP="00FB71FD">
                  <w:pPr>
                    <w:spacing w:after="0" w:line="240" w:lineRule="auto"/>
                    <w:jc w:val="both"/>
                    <w:rPr>
                      <w:rFonts w:ascii="Times New Roman" w:eastAsia="Times New Roman" w:hAnsi="Times New Roman" w:cs="Times New Roman"/>
                      <w:b/>
                      <w:color w:val="000000"/>
                      <w:lang w:val="lv-LV"/>
                    </w:rPr>
                  </w:pPr>
                </w:p>
              </w:tc>
            </w:tr>
            <w:tr w:rsidR="008147D5" w:rsidRPr="00DE05E9" w14:paraId="133DE884" w14:textId="77777777" w:rsidTr="00D906DC">
              <w:trPr>
                <w:trHeight w:val="600"/>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30C59"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w:t>
                  </w:r>
                </w:p>
              </w:tc>
              <w:tc>
                <w:tcPr>
                  <w:tcW w:w="3611" w:type="dxa"/>
                  <w:tcBorders>
                    <w:top w:val="single" w:sz="4" w:space="0" w:color="auto"/>
                    <w:left w:val="nil"/>
                    <w:bottom w:val="single" w:sz="4" w:space="0" w:color="auto"/>
                    <w:right w:val="single" w:sz="4" w:space="0" w:color="auto"/>
                  </w:tcBorders>
                  <w:shd w:val="clear" w:color="auto" w:fill="auto"/>
                  <w:vAlign w:val="bottom"/>
                  <w:hideMark/>
                </w:tcPr>
                <w:p w14:paraId="71BDA3B2"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Kopējā līgumcena iepirkumiem zem ES līgumcenu sliekšņa (EUR bez PVN)</w:t>
                  </w:r>
                </w:p>
              </w:tc>
            </w:tr>
            <w:tr w:rsidR="008147D5" w:rsidRPr="00DE05E9" w14:paraId="0323F567" w14:textId="77777777" w:rsidTr="00D906DC">
              <w:trPr>
                <w:trHeight w:val="300"/>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490DC560"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Summa (iepirkuma līgumi)</w:t>
                  </w:r>
                </w:p>
              </w:tc>
              <w:tc>
                <w:tcPr>
                  <w:tcW w:w="3611" w:type="dxa"/>
                  <w:tcBorders>
                    <w:top w:val="nil"/>
                    <w:left w:val="nil"/>
                    <w:bottom w:val="single" w:sz="4" w:space="0" w:color="auto"/>
                    <w:right w:val="single" w:sz="4" w:space="0" w:color="auto"/>
                  </w:tcBorders>
                  <w:shd w:val="clear" w:color="auto" w:fill="auto"/>
                  <w:noWrap/>
                  <w:vAlign w:val="center"/>
                  <w:hideMark/>
                </w:tcPr>
                <w:p w14:paraId="3059E146"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30365812,13</w:t>
                  </w:r>
                </w:p>
              </w:tc>
            </w:tr>
            <w:tr w:rsidR="008147D5" w:rsidRPr="00DE05E9" w14:paraId="37C58C69" w14:textId="77777777" w:rsidTr="00D906DC">
              <w:trPr>
                <w:trHeight w:val="600"/>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158A2206"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t.sk. Summa (iepirkuma līgumi vispārīgās vienošanās ietvaros)</w:t>
                  </w:r>
                </w:p>
              </w:tc>
              <w:tc>
                <w:tcPr>
                  <w:tcW w:w="3611" w:type="dxa"/>
                  <w:tcBorders>
                    <w:top w:val="nil"/>
                    <w:left w:val="nil"/>
                    <w:bottom w:val="single" w:sz="4" w:space="0" w:color="auto"/>
                    <w:right w:val="single" w:sz="4" w:space="0" w:color="auto"/>
                  </w:tcBorders>
                  <w:shd w:val="clear" w:color="auto" w:fill="auto"/>
                  <w:noWrap/>
                  <w:vAlign w:val="center"/>
                  <w:hideMark/>
                </w:tcPr>
                <w:p w14:paraId="6F47FD19"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0,00</w:t>
                  </w:r>
                </w:p>
              </w:tc>
            </w:tr>
            <w:tr w:rsidR="008147D5" w:rsidRPr="00DE05E9" w14:paraId="1C0F6B7D" w14:textId="77777777" w:rsidTr="00D906DC">
              <w:trPr>
                <w:trHeight w:val="300"/>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30A87A60"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Summa (vispārīgās vienošanās)</w:t>
                  </w:r>
                </w:p>
              </w:tc>
              <w:tc>
                <w:tcPr>
                  <w:tcW w:w="3611" w:type="dxa"/>
                  <w:tcBorders>
                    <w:top w:val="nil"/>
                    <w:left w:val="nil"/>
                    <w:bottom w:val="single" w:sz="4" w:space="0" w:color="auto"/>
                    <w:right w:val="single" w:sz="4" w:space="0" w:color="auto"/>
                  </w:tcBorders>
                  <w:shd w:val="clear" w:color="auto" w:fill="auto"/>
                  <w:noWrap/>
                  <w:vAlign w:val="center"/>
                  <w:hideMark/>
                </w:tcPr>
                <w:p w14:paraId="4A6B93BC"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1262626,58</w:t>
                  </w:r>
                </w:p>
              </w:tc>
            </w:tr>
            <w:tr w:rsidR="008147D5" w:rsidRPr="00DE05E9" w14:paraId="3F07D0D3" w14:textId="77777777" w:rsidTr="00D906DC">
              <w:trPr>
                <w:trHeight w:val="300"/>
              </w:trPr>
              <w:tc>
                <w:tcPr>
                  <w:tcW w:w="3760" w:type="dxa"/>
                  <w:tcBorders>
                    <w:top w:val="nil"/>
                    <w:left w:val="single" w:sz="4" w:space="0" w:color="auto"/>
                    <w:bottom w:val="single" w:sz="4" w:space="0" w:color="auto"/>
                    <w:right w:val="single" w:sz="4" w:space="0" w:color="auto"/>
                  </w:tcBorders>
                  <w:shd w:val="clear" w:color="auto" w:fill="auto"/>
                  <w:vAlign w:val="center"/>
                  <w:hideMark/>
                </w:tcPr>
                <w:p w14:paraId="169B6C3C"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Kopā</w:t>
                  </w:r>
                </w:p>
              </w:tc>
              <w:tc>
                <w:tcPr>
                  <w:tcW w:w="3611" w:type="dxa"/>
                  <w:tcBorders>
                    <w:top w:val="nil"/>
                    <w:left w:val="nil"/>
                    <w:bottom w:val="single" w:sz="4" w:space="0" w:color="auto"/>
                    <w:right w:val="single" w:sz="4" w:space="0" w:color="auto"/>
                  </w:tcBorders>
                  <w:shd w:val="clear" w:color="auto" w:fill="auto"/>
                  <w:noWrap/>
                  <w:vAlign w:val="center"/>
                  <w:hideMark/>
                </w:tcPr>
                <w:p w14:paraId="6393FAC2"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31628438,71</w:t>
                  </w:r>
                </w:p>
              </w:tc>
            </w:tr>
            <w:tr w:rsidR="008147D5" w:rsidRPr="00DE05E9" w14:paraId="75679D43" w14:textId="77777777" w:rsidTr="00D906DC">
              <w:trPr>
                <w:trHeight w:val="300"/>
              </w:trPr>
              <w:tc>
                <w:tcPr>
                  <w:tcW w:w="3760" w:type="dxa"/>
                  <w:tcBorders>
                    <w:top w:val="nil"/>
                    <w:left w:val="nil"/>
                    <w:bottom w:val="nil"/>
                    <w:right w:val="nil"/>
                  </w:tcBorders>
                  <w:shd w:val="clear" w:color="auto" w:fill="auto"/>
                  <w:noWrap/>
                  <w:vAlign w:val="bottom"/>
                  <w:hideMark/>
                </w:tcPr>
                <w:p w14:paraId="29E2FB28"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p>
              </w:tc>
              <w:tc>
                <w:tcPr>
                  <w:tcW w:w="3611" w:type="dxa"/>
                  <w:tcBorders>
                    <w:top w:val="nil"/>
                    <w:left w:val="nil"/>
                    <w:bottom w:val="nil"/>
                    <w:right w:val="nil"/>
                  </w:tcBorders>
                  <w:shd w:val="clear" w:color="auto" w:fill="auto"/>
                  <w:noWrap/>
                  <w:vAlign w:val="bottom"/>
                  <w:hideMark/>
                </w:tcPr>
                <w:p w14:paraId="03C9F278" w14:textId="77777777" w:rsidR="008147D5" w:rsidRPr="00DE05E9" w:rsidRDefault="008147D5" w:rsidP="00FB71FD">
                  <w:pPr>
                    <w:spacing w:after="0" w:line="240" w:lineRule="auto"/>
                    <w:jc w:val="both"/>
                    <w:rPr>
                      <w:rFonts w:ascii="Times New Roman" w:eastAsia="Times New Roman" w:hAnsi="Times New Roman" w:cs="Times New Roman"/>
                      <w:lang w:val="lv-LV"/>
                    </w:rPr>
                  </w:pPr>
                </w:p>
              </w:tc>
            </w:tr>
            <w:tr w:rsidR="008147D5" w:rsidRPr="00DE05E9" w14:paraId="2E033009" w14:textId="77777777" w:rsidTr="00D906DC">
              <w:trPr>
                <w:trHeight w:val="375"/>
              </w:trPr>
              <w:tc>
                <w:tcPr>
                  <w:tcW w:w="7371" w:type="dxa"/>
                  <w:gridSpan w:val="2"/>
                  <w:tcBorders>
                    <w:top w:val="nil"/>
                    <w:left w:val="nil"/>
                    <w:bottom w:val="nil"/>
                    <w:right w:val="nil"/>
                  </w:tcBorders>
                  <w:shd w:val="clear" w:color="auto" w:fill="auto"/>
                  <w:noWrap/>
                  <w:vAlign w:val="bottom"/>
                  <w:hideMark/>
                </w:tcPr>
                <w:p w14:paraId="230911F9" w14:textId="563F4764" w:rsidR="008147D5" w:rsidRPr="00DE05E9" w:rsidRDefault="008147D5" w:rsidP="00FB71FD">
                  <w:pPr>
                    <w:spacing w:after="0" w:line="240" w:lineRule="auto"/>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t>Sarunu procedūras</w:t>
                  </w:r>
                  <w:r w:rsidR="00213298" w:rsidRPr="00DE05E9">
                    <w:rPr>
                      <w:rFonts w:ascii="Times New Roman" w:eastAsia="Times New Roman" w:hAnsi="Times New Roman" w:cs="Times New Roman"/>
                      <w:b/>
                      <w:color w:val="000000"/>
                      <w:lang w:val="lv-LV"/>
                    </w:rPr>
                    <w:t>,</w:t>
                  </w:r>
                  <w:r w:rsidRPr="00DE05E9">
                    <w:rPr>
                      <w:rFonts w:ascii="Times New Roman" w:eastAsia="Times New Roman" w:hAnsi="Times New Roman" w:cs="Times New Roman"/>
                      <w:b/>
                      <w:color w:val="000000"/>
                      <w:lang w:val="lv-LV"/>
                    </w:rPr>
                    <w:t xml:space="preserve"> nepublicējot paziņojumu par līgumu:</w:t>
                  </w:r>
                </w:p>
              </w:tc>
            </w:tr>
            <w:tr w:rsidR="008147D5" w:rsidRPr="00DE05E9" w14:paraId="1BE125D6" w14:textId="77777777" w:rsidTr="00D906DC">
              <w:trPr>
                <w:trHeight w:val="600"/>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6940C"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lastRenderedPageBreak/>
                    <w:t> </w:t>
                  </w:r>
                </w:p>
              </w:tc>
              <w:tc>
                <w:tcPr>
                  <w:tcW w:w="3611" w:type="dxa"/>
                  <w:tcBorders>
                    <w:top w:val="single" w:sz="4" w:space="0" w:color="auto"/>
                    <w:left w:val="nil"/>
                    <w:bottom w:val="single" w:sz="4" w:space="0" w:color="auto"/>
                    <w:right w:val="single" w:sz="4" w:space="0" w:color="auto"/>
                  </w:tcBorders>
                  <w:shd w:val="clear" w:color="auto" w:fill="auto"/>
                  <w:vAlign w:val="bottom"/>
                  <w:hideMark/>
                </w:tcPr>
                <w:p w14:paraId="537A74D6"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Kopējā līgumcena iepirkumiem zem ES līgumcenu sliekšņa (EUR bez PVN)</w:t>
                  </w:r>
                </w:p>
              </w:tc>
            </w:tr>
            <w:tr w:rsidR="008147D5" w:rsidRPr="00DE05E9" w14:paraId="5D16FDBB" w14:textId="77777777" w:rsidTr="00D906DC">
              <w:trPr>
                <w:trHeight w:val="300"/>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27755265"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Summa (iepirkuma līgumi)</w:t>
                  </w:r>
                </w:p>
              </w:tc>
              <w:tc>
                <w:tcPr>
                  <w:tcW w:w="3611" w:type="dxa"/>
                  <w:tcBorders>
                    <w:top w:val="nil"/>
                    <w:left w:val="nil"/>
                    <w:bottom w:val="single" w:sz="4" w:space="0" w:color="auto"/>
                    <w:right w:val="single" w:sz="4" w:space="0" w:color="auto"/>
                  </w:tcBorders>
                  <w:shd w:val="clear" w:color="auto" w:fill="auto"/>
                  <w:noWrap/>
                  <w:vAlign w:val="center"/>
                  <w:hideMark/>
                </w:tcPr>
                <w:p w14:paraId="5AE6A363"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32343522,68</w:t>
                  </w:r>
                </w:p>
              </w:tc>
            </w:tr>
            <w:tr w:rsidR="008147D5" w:rsidRPr="00DE05E9" w14:paraId="60F28BAB" w14:textId="77777777" w:rsidTr="00D906DC">
              <w:trPr>
                <w:trHeight w:val="600"/>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5610D6EF"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t.sk. Summa (iepirkuma līgumi vispārīgās vienošanās ietvaros)</w:t>
                  </w:r>
                </w:p>
              </w:tc>
              <w:tc>
                <w:tcPr>
                  <w:tcW w:w="3611" w:type="dxa"/>
                  <w:tcBorders>
                    <w:top w:val="nil"/>
                    <w:left w:val="nil"/>
                    <w:bottom w:val="single" w:sz="4" w:space="0" w:color="auto"/>
                    <w:right w:val="single" w:sz="4" w:space="0" w:color="auto"/>
                  </w:tcBorders>
                  <w:shd w:val="clear" w:color="auto" w:fill="auto"/>
                  <w:noWrap/>
                  <w:vAlign w:val="center"/>
                  <w:hideMark/>
                </w:tcPr>
                <w:p w14:paraId="5F126D28"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0,00</w:t>
                  </w:r>
                </w:p>
              </w:tc>
            </w:tr>
            <w:tr w:rsidR="008147D5" w:rsidRPr="00DE05E9" w14:paraId="0E6AA1A1" w14:textId="77777777" w:rsidTr="00D906DC">
              <w:trPr>
                <w:trHeight w:val="300"/>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53E50DCA"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Summa (vispārīgās vienošanās)</w:t>
                  </w:r>
                </w:p>
              </w:tc>
              <w:tc>
                <w:tcPr>
                  <w:tcW w:w="3611" w:type="dxa"/>
                  <w:tcBorders>
                    <w:top w:val="nil"/>
                    <w:left w:val="nil"/>
                    <w:bottom w:val="single" w:sz="4" w:space="0" w:color="auto"/>
                    <w:right w:val="single" w:sz="4" w:space="0" w:color="auto"/>
                  </w:tcBorders>
                  <w:shd w:val="clear" w:color="auto" w:fill="auto"/>
                  <w:noWrap/>
                  <w:vAlign w:val="center"/>
                  <w:hideMark/>
                </w:tcPr>
                <w:p w14:paraId="154EE317"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5261999</w:t>
                  </w:r>
                </w:p>
              </w:tc>
            </w:tr>
            <w:tr w:rsidR="008147D5" w:rsidRPr="00DE05E9" w14:paraId="7B6BC0BC" w14:textId="77777777" w:rsidTr="00D906DC">
              <w:trPr>
                <w:trHeight w:val="300"/>
              </w:trPr>
              <w:tc>
                <w:tcPr>
                  <w:tcW w:w="3760" w:type="dxa"/>
                  <w:tcBorders>
                    <w:top w:val="nil"/>
                    <w:left w:val="single" w:sz="4" w:space="0" w:color="auto"/>
                    <w:bottom w:val="single" w:sz="4" w:space="0" w:color="auto"/>
                    <w:right w:val="single" w:sz="4" w:space="0" w:color="auto"/>
                  </w:tcBorders>
                  <w:shd w:val="clear" w:color="auto" w:fill="auto"/>
                  <w:vAlign w:val="center"/>
                  <w:hideMark/>
                </w:tcPr>
                <w:p w14:paraId="2BC760C7"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Kopā</w:t>
                  </w:r>
                </w:p>
              </w:tc>
              <w:tc>
                <w:tcPr>
                  <w:tcW w:w="3611" w:type="dxa"/>
                  <w:tcBorders>
                    <w:top w:val="nil"/>
                    <w:left w:val="nil"/>
                    <w:bottom w:val="single" w:sz="4" w:space="0" w:color="auto"/>
                    <w:right w:val="single" w:sz="4" w:space="0" w:color="auto"/>
                  </w:tcBorders>
                  <w:shd w:val="clear" w:color="auto" w:fill="auto"/>
                  <w:noWrap/>
                  <w:vAlign w:val="center"/>
                  <w:hideMark/>
                </w:tcPr>
                <w:p w14:paraId="1AD86A1E"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37605521,68</w:t>
                  </w:r>
                </w:p>
              </w:tc>
            </w:tr>
          </w:tbl>
          <w:p w14:paraId="00A84F7F" w14:textId="77777777" w:rsidR="008147D5" w:rsidRPr="00DE05E9" w:rsidRDefault="008147D5" w:rsidP="00FB71FD">
            <w:pPr>
              <w:pStyle w:val="NoSpacing"/>
              <w:jc w:val="both"/>
              <w:rPr>
                <w:rFonts w:ascii="Times New Roman" w:hAnsi="Times New Roman" w:cs="Times New Roman"/>
              </w:rPr>
            </w:pPr>
          </w:p>
          <w:p w14:paraId="7E7EC5D6" w14:textId="77777777" w:rsidR="008147D5" w:rsidRPr="00DE05E9" w:rsidRDefault="008147D5" w:rsidP="00FB71FD">
            <w:pPr>
              <w:pStyle w:val="NoSpacing"/>
              <w:jc w:val="both"/>
              <w:rPr>
                <w:rFonts w:ascii="Times New Roman" w:hAnsi="Times New Roman" w:cs="Times New Roman"/>
              </w:rPr>
            </w:pPr>
          </w:p>
          <w:p w14:paraId="1D2A3370" w14:textId="50664556" w:rsidR="008147D5" w:rsidRPr="00DE05E9" w:rsidRDefault="008147D5" w:rsidP="00FB71FD">
            <w:pPr>
              <w:pStyle w:val="NoSpacing"/>
              <w:jc w:val="both"/>
              <w:rPr>
                <w:rFonts w:ascii="Times New Roman" w:hAnsi="Times New Roman" w:cs="Times New Roman"/>
              </w:rPr>
            </w:pPr>
          </w:p>
        </w:tc>
      </w:tr>
    </w:tbl>
    <w:p w14:paraId="52BB74F2" w14:textId="4D019D22" w:rsidR="009B40D2" w:rsidRPr="00DE05E9" w:rsidRDefault="009B40D2" w:rsidP="00FB71FD">
      <w:pPr>
        <w:pStyle w:val="NoSpacing"/>
        <w:jc w:val="both"/>
        <w:rPr>
          <w:rFonts w:ascii="Times New Roman" w:hAnsi="Times New Roman" w:cs="Times New Roman"/>
        </w:rPr>
      </w:pPr>
    </w:p>
    <w:p w14:paraId="11B2FC22" w14:textId="77777777" w:rsidR="002F27BC" w:rsidRPr="00DE05E9" w:rsidRDefault="002F27BC" w:rsidP="00FB71FD">
      <w:pPr>
        <w:pStyle w:val="NoSpacing"/>
        <w:jc w:val="both"/>
        <w:rPr>
          <w:rFonts w:ascii="Times New Roman" w:hAnsi="Times New Roman" w:cs="Times New Roman"/>
        </w:rPr>
      </w:pPr>
    </w:p>
    <w:p w14:paraId="34AB7EE8" w14:textId="77777777" w:rsidR="0057733C" w:rsidRPr="00DE05E9" w:rsidRDefault="00F122C4" w:rsidP="00FB71FD">
      <w:pPr>
        <w:pStyle w:val="Heading2"/>
        <w:jc w:val="both"/>
        <w:rPr>
          <w:rFonts w:ascii="Times New Roman" w:hAnsi="Times New Roman" w:cs="Times New Roman"/>
        </w:rPr>
      </w:pPr>
      <w:r w:rsidRPr="00DE05E9">
        <w:rPr>
          <w:rFonts w:ascii="Times New Roman" w:hAnsi="Times New Roman" w:cs="Times New Roman"/>
        </w:rPr>
        <w:t>Most frequent sources of wrong application or of legal uncertainty, including possible structural or recurring problems in the application of the rules</w:t>
      </w:r>
    </w:p>
    <w:p w14:paraId="34AB7EE9" w14:textId="77777777" w:rsidR="00A051EB" w:rsidRPr="00DE05E9" w:rsidRDefault="00A051EB" w:rsidP="00FB71FD">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4485"/>
        <w:gridCol w:w="9509"/>
      </w:tblGrid>
      <w:tr w:rsidR="00253552" w:rsidRPr="00DE05E9" w14:paraId="3550B523" w14:textId="77777777" w:rsidTr="001D79E5">
        <w:tc>
          <w:tcPr>
            <w:tcW w:w="4485" w:type="dxa"/>
          </w:tcPr>
          <w:p w14:paraId="0C1AA974" w14:textId="25DBEC5D" w:rsidR="00253552" w:rsidRPr="00DE05E9" w:rsidRDefault="00620C02" w:rsidP="00FB71FD">
            <w:pPr>
              <w:pStyle w:val="NoSpacing"/>
              <w:jc w:val="both"/>
              <w:rPr>
                <w:rFonts w:ascii="Times New Roman" w:hAnsi="Times New Roman" w:cs="Times New Roman"/>
              </w:rPr>
            </w:pPr>
            <w:r w:rsidRPr="00DE05E9">
              <w:rPr>
                <w:rFonts w:ascii="Times New Roman" w:hAnsi="Times New Roman" w:cs="Times New Roman"/>
                <w:b/>
              </w:rPr>
              <w:t>II</w:t>
            </w:r>
            <w:r w:rsidR="00253552" w:rsidRPr="00DE05E9">
              <w:rPr>
                <w:rFonts w:ascii="Times New Roman" w:hAnsi="Times New Roman" w:cs="Times New Roman"/>
                <w:b/>
              </w:rPr>
              <w:t>.1.</w:t>
            </w:r>
            <w:r w:rsidR="00253552" w:rsidRPr="00DE05E9">
              <w:rPr>
                <w:rFonts w:ascii="Times New Roman" w:hAnsi="Times New Roman" w:cs="Times New Roman"/>
              </w:rPr>
              <w:t xml:space="preserve"> </w:t>
            </w:r>
            <w:r w:rsidR="00253552" w:rsidRPr="00DE05E9">
              <w:rPr>
                <w:rFonts w:ascii="Times New Roman" w:hAnsi="Times New Roman" w:cs="Times New Roman"/>
                <w:b/>
              </w:rPr>
              <w:t xml:space="preserve">Qualitative reporting </w:t>
            </w:r>
            <w:r w:rsidR="001D4DCD" w:rsidRPr="00DE05E9">
              <w:rPr>
                <w:rFonts w:ascii="Times New Roman" w:hAnsi="Times New Roman" w:cs="Times New Roman"/>
                <w:b/>
              </w:rPr>
              <w:t>on</w:t>
            </w:r>
            <w:r w:rsidR="00253552" w:rsidRPr="00DE05E9">
              <w:rPr>
                <w:rFonts w:ascii="Times New Roman" w:hAnsi="Times New Roman" w:cs="Times New Roman"/>
                <w:b/>
              </w:rPr>
              <w:t xml:space="preserve"> application of public procurement rules</w:t>
            </w:r>
          </w:p>
        </w:tc>
        <w:tc>
          <w:tcPr>
            <w:tcW w:w="9509" w:type="dxa"/>
          </w:tcPr>
          <w:p w14:paraId="75E38ACC" w14:textId="77777777" w:rsidR="00253552" w:rsidRPr="00DE05E9" w:rsidRDefault="00253552" w:rsidP="00FB71FD">
            <w:pPr>
              <w:pStyle w:val="NoSpacing"/>
              <w:jc w:val="both"/>
              <w:rPr>
                <w:rFonts w:ascii="Times New Roman" w:hAnsi="Times New Roman" w:cs="Times New Roman"/>
              </w:rPr>
            </w:pPr>
          </w:p>
        </w:tc>
      </w:tr>
      <w:tr w:rsidR="00253552" w:rsidRPr="00DE05E9" w14:paraId="1AEF9F61" w14:textId="77777777" w:rsidTr="001D79E5">
        <w:tc>
          <w:tcPr>
            <w:tcW w:w="4485" w:type="dxa"/>
          </w:tcPr>
          <w:p w14:paraId="24EB57A5" w14:textId="169C6581" w:rsidR="00253552" w:rsidRPr="00DE05E9" w:rsidRDefault="00253552" w:rsidP="00FB71FD">
            <w:pPr>
              <w:pStyle w:val="NoSpacing"/>
              <w:jc w:val="both"/>
              <w:rPr>
                <w:rFonts w:ascii="Times New Roman" w:hAnsi="Times New Roman" w:cs="Times New Roman"/>
              </w:rPr>
            </w:pPr>
            <w:r w:rsidRPr="00DE05E9">
              <w:rPr>
                <w:rFonts w:ascii="Times New Roman" w:hAnsi="Times New Roman" w:cs="Times New Roman"/>
              </w:rPr>
              <w:t>Main sources of wrong application or of legal uncertainty</w:t>
            </w:r>
          </w:p>
        </w:tc>
        <w:tc>
          <w:tcPr>
            <w:tcW w:w="9509" w:type="dxa"/>
          </w:tcPr>
          <w:p w14:paraId="6A313625" w14:textId="2D3E8F06" w:rsidR="00EF4AD9" w:rsidRPr="00DE05E9" w:rsidRDefault="00EF4AD9" w:rsidP="00EF4AD9">
            <w:pPr>
              <w:jc w:val="both"/>
              <w:rPr>
                <w:rFonts w:ascii="Times New Roman" w:hAnsi="Times New Roman" w:cs="Times New Roman"/>
              </w:rPr>
            </w:pPr>
            <w:r w:rsidRPr="00ED0278">
              <w:rPr>
                <w:rFonts w:ascii="Times New Roman" w:hAnsi="Times New Roman" w:cs="Times New Roman"/>
                <w:lang w:val="lv-LV"/>
              </w:rPr>
              <w:t>Biežāk konstatētās kļūdas un neatbilstības</w:t>
            </w:r>
            <w:r w:rsidRPr="00DE05E9">
              <w:rPr>
                <w:rFonts w:ascii="Times New Roman" w:hAnsi="Times New Roman" w:cs="Times New Roman"/>
              </w:rPr>
              <w:t>:</w:t>
            </w:r>
          </w:p>
          <w:p w14:paraId="7CF728F7" w14:textId="77777777" w:rsidR="00EF4AD9" w:rsidRPr="00DE05E9" w:rsidRDefault="00EF4AD9" w:rsidP="00EF4AD9">
            <w:pPr>
              <w:pStyle w:val="ListParagraph"/>
              <w:numPr>
                <w:ilvl w:val="0"/>
                <w:numId w:val="23"/>
              </w:numPr>
              <w:jc w:val="both"/>
              <w:rPr>
                <w:rFonts w:ascii="Times New Roman" w:hAnsi="Times New Roman" w:cs="Times New Roman"/>
              </w:rPr>
            </w:pPr>
            <w:r w:rsidRPr="00DE05E9">
              <w:rPr>
                <w:rFonts w:ascii="Times New Roman" w:hAnsi="Times New Roman" w:cs="Times New Roman"/>
              </w:rPr>
              <w:t>nav vienotas izpratnes, kad grozījumi iepirkuma procedūras dokumentos ir tik būtiski, ka iepirkuma procedūra jāpārtrauc, bet kad pietiek ar piedāvājumu iesniegšanas termiņa pagarināšanu, publicējot attiecīgu paziņojumu; grūtības rodas, jo grozījumu būtiskuma pamatojums ir balstīts uz novērtējumu par grozījumu iespējamu ietekmi uz pretendentu loku vai iesniedzamo piedāvājumu, šāda novērtējuma kvalitāte ir atkarīga no iepirkuma veicēju pieredzes un zināšanām par attiecīgo tirgu;</w:t>
            </w:r>
          </w:p>
          <w:p w14:paraId="30EB91C7" w14:textId="2CEB21A9" w:rsidR="00EF4AD9" w:rsidRPr="00DE05E9" w:rsidRDefault="00EF4AD9" w:rsidP="00EF4AD9">
            <w:pPr>
              <w:pStyle w:val="ListParagraph"/>
              <w:numPr>
                <w:ilvl w:val="0"/>
                <w:numId w:val="23"/>
              </w:numPr>
              <w:jc w:val="both"/>
              <w:rPr>
                <w:rFonts w:ascii="Times New Roman" w:hAnsi="Times New Roman" w:cs="Times New Roman"/>
              </w:rPr>
            </w:pPr>
            <w:r w:rsidRPr="00DE05E9">
              <w:rPr>
                <w:rFonts w:ascii="Times New Roman" w:hAnsi="Times New Roman" w:cs="Times New Roman"/>
              </w:rPr>
              <w:t xml:space="preserve">tiek izdarīti būtiski grozījumi noslēgtā iepirkuma līgumā; līdzīgi kā attiecībā uz grozījumiem iepirkumu procedūras dokumentos, arī šajā gadījumā kļūdas tiek pieļautas, nespējot novērtēt grozījumu iespējamo ietekmi </w:t>
            </w:r>
            <w:r w:rsidR="00A24C93">
              <w:rPr>
                <w:rFonts w:ascii="Times New Roman" w:hAnsi="Times New Roman" w:cs="Times New Roman"/>
              </w:rPr>
              <w:t xml:space="preserve">uz </w:t>
            </w:r>
            <w:r w:rsidRPr="00DE05E9">
              <w:rPr>
                <w:rFonts w:ascii="Times New Roman" w:hAnsi="Times New Roman" w:cs="Times New Roman"/>
              </w:rPr>
              <w:t>iepirkuma procedūras rezultātu, kā arī nereti tas saistīts ar problēmām projekta realizācijas termiņos; kļūdaini tiek aprēķināts pieļaujamais iepirkuma līguma grozījumu apjoms, it īpaši gadījumos, kad iepirkuma līguma fiziskais apjoms tiek vienlaikus gan samazināts, izslēdzot vienus darbus vai pakalpojumus, gan palielināts, iekļaujot citus;</w:t>
            </w:r>
          </w:p>
          <w:p w14:paraId="5844577B" w14:textId="538D2C90" w:rsidR="00EF4AD9" w:rsidRPr="00DE05E9" w:rsidRDefault="00EF4AD9" w:rsidP="00EF4AD9">
            <w:pPr>
              <w:pStyle w:val="ListParagraph"/>
              <w:numPr>
                <w:ilvl w:val="0"/>
                <w:numId w:val="23"/>
              </w:numPr>
              <w:jc w:val="both"/>
              <w:rPr>
                <w:rFonts w:ascii="Times New Roman" w:hAnsi="Times New Roman" w:cs="Times New Roman"/>
              </w:rPr>
            </w:pPr>
            <w:r w:rsidRPr="00DE05E9">
              <w:rPr>
                <w:rFonts w:ascii="Times New Roman" w:hAnsi="Times New Roman" w:cs="Times New Roman"/>
              </w:rPr>
              <w:t>tiesiskais regulējums nedod skaidru atbildi, cik lielā mērā pasūtītājs ir tiesīgs specif</w:t>
            </w:r>
            <w:r w:rsidR="00A24C93">
              <w:rPr>
                <w:rFonts w:ascii="Times New Roman" w:hAnsi="Times New Roman" w:cs="Times New Roman"/>
              </w:rPr>
              <w:t>iz</w:t>
            </w:r>
            <w:r w:rsidRPr="00DE05E9">
              <w:rPr>
                <w:rFonts w:ascii="Times New Roman" w:hAnsi="Times New Roman" w:cs="Times New Roman"/>
              </w:rPr>
              <w:t>ēt nosacījumus, kā piegādātāju apvienībām jāizpilda kvalifikācijas prasības (direktīvas 2014/24/ES 19.panta 2.daļa);</w:t>
            </w:r>
          </w:p>
          <w:p w14:paraId="50DD01DE" w14:textId="77777777" w:rsidR="00EF4AD9" w:rsidRPr="00DE05E9" w:rsidRDefault="00EF4AD9" w:rsidP="00EF4AD9">
            <w:pPr>
              <w:pStyle w:val="ListParagraph"/>
              <w:numPr>
                <w:ilvl w:val="0"/>
                <w:numId w:val="23"/>
              </w:numPr>
              <w:jc w:val="both"/>
              <w:rPr>
                <w:rFonts w:ascii="Times New Roman" w:hAnsi="Times New Roman" w:cs="Times New Roman"/>
              </w:rPr>
            </w:pPr>
            <w:r w:rsidRPr="00DE05E9">
              <w:rPr>
                <w:rFonts w:ascii="Times New Roman" w:hAnsi="Times New Roman" w:cs="Times New Roman"/>
              </w:rPr>
              <w:lastRenderedPageBreak/>
              <w:t>nav vienotas izpratnes par saimnieciski visizdevīgākā piedāvājuma vērtēšanas kritēriju izmantošanu attiecībā uz sociālajiem un inovatīvajiem kritērijiem;</w:t>
            </w:r>
          </w:p>
          <w:p w14:paraId="499D88F9" w14:textId="6ABC3E7A" w:rsidR="00EF4AD9" w:rsidRPr="00DE05E9" w:rsidRDefault="00EF4AD9" w:rsidP="00EF4AD9">
            <w:pPr>
              <w:pStyle w:val="ListParagraph"/>
              <w:numPr>
                <w:ilvl w:val="0"/>
                <w:numId w:val="23"/>
              </w:numPr>
              <w:jc w:val="both"/>
              <w:rPr>
                <w:rFonts w:ascii="Times New Roman" w:hAnsi="Times New Roman" w:cs="Times New Roman"/>
              </w:rPr>
            </w:pPr>
            <w:r w:rsidRPr="00DE05E9">
              <w:rPr>
                <w:rFonts w:ascii="Times New Roman" w:hAnsi="Times New Roman" w:cs="Times New Roman"/>
              </w:rPr>
              <w:t>nav vienotas izpratnes, kādi ir pietiekami objektīvie attaisnojumi piegādātājiem, lai piedāvājumā neiesniegtu pieprasīto marķējumu, testa ziņojumu vai sertifikātu, kā arī neiesniegtu pieprasīto sertifikātu par kva</w:t>
            </w:r>
            <w:r w:rsidR="001672F1">
              <w:rPr>
                <w:rFonts w:ascii="Times New Roman" w:hAnsi="Times New Roman" w:cs="Times New Roman"/>
              </w:rPr>
              <w:t>l</w:t>
            </w:r>
            <w:r w:rsidRPr="00DE05E9">
              <w:rPr>
                <w:rFonts w:ascii="Times New Roman" w:hAnsi="Times New Roman" w:cs="Times New Roman"/>
              </w:rPr>
              <w:t>itātes nodrošināšanas standarta vai vides vadības standarta esamību;</w:t>
            </w:r>
          </w:p>
          <w:p w14:paraId="3B9CA4CE" w14:textId="77777777" w:rsidR="00EF4AD9" w:rsidRPr="00DE05E9" w:rsidRDefault="00EF4AD9" w:rsidP="00EF4AD9">
            <w:pPr>
              <w:pStyle w:val="ListParagraph"/>
              <w:numPr>
                <w:ilvl w:val="0"/>
                <w:numId w:val="23"/>
              </w:numPr>
              <w:jc w:val="both"/>
              <w:rPr>
                <w:rFonts w:ascii="Times New Roman" w:hAnsi="Times New Roman" w:cs="Times New Roman"/>
              </w:rPr>
            </w:pPr>
            <w:r w:rsidRPr="00DE05E9">
              <w:rPr>
                <w:rFonts w:ascii="Times New Roman" w:hAnsi="Times New Roman" w:cs="Times New Roman"/>
              </w:rPr>
              <w:t>joprojām nepietiekams regulējums metu konkursa norisei, kas rada daudz neskaidrību, jo īpaši par metu konkursu kā daļu no pakalpojuma līguma noslēgšanas procedūras.</w:t>
            </w:r>
          </w:p>
          <w:p w14:paraId="5AD0BA81" w14:textId="167A3510" w:rsidR="0051195B" w:rsidRPr="00DE05E9" w:rsidRDefault="0051195B" w:rsidP="00FB71FD">
            <w:pPr>
              <w:jc w:val="both"/>
              <w:rPr>
                <w:rFonts w:ascii="Times New Roman" w:hAnsi="Times New Roman" w:cs="Times New Roman"/>
              </w:rPr>
            </w:pPr>
          </w:p>
          <w:p w14:paraId="1FF87D67" w14:textId="55EF8711" w:rsidR="007C7FEF" w:rsidRPr="00DE05E9" w:rsidRDefault="007C7FEF" w:rsidP="00A24C93">
            <w:pPr>
              <w:jc w:val="both"/>
              <w:rPr>
                <w:rFonts w:ascii="Times New Roman" w:hAnsi="Times New Roman" w:cs="Times New Roman"/>
              </w:rPr>
            </w:pPr>
          </w:p>
        </w:tc>
      </w:tr>
      <w:tr w:rsidR="00253552" w:rsidRPr="00DE05E9" w14:paraId="1F5C36BD" w14:textId="77777777" w:rsidTr="001D79E5">
        <w:tc>
          <w:tcPr>
            <w:tcW w:w="4485" w:type="dxa"/>
          </w:tcPr>
          <w:p w14:paraId="75C2003C" w14:textId="70EADB38" w:rsidR="00253552" w:rsidRPr="00DE05E9" w:rsidRDefault="00253552" w:rsidP="00FB71FD">
            <w:pPr>
              <w:jc w:val="both"/>
              <w:rPr>
                <w:rFonts w:ascii="Times New Roman" w:hAnsi="Times New Roman" w:cs="Times New Roman"/>
              </w:rPr>
            </w:pPr>
            <w:r w:rsidRPr="00DE05E9">
              <w:rPr>
                <w:rFonts w:ascii="Times New Roman" w:hAnsi="Times New Roman" w:cs="Times New Roman"/>
              </w:rPr>
              <w:lastRenderedPageBreak/>
              <w:t>Specific legal provisions (from EU or national law) which appear to raise significant problems of application</w:t>
            </w:r>
          </w:p>
        </w:tc>
        <w:tc>
          <w:tcPr>
            <w:tcW w:w="9509" w:type="dxa"/>
          </w:tcPr>
          <w:p w14:paraId="10762707" w14:textId="03D88A0A" w:rsidR="006E2269" w:rsidRPr="00DE05E9" w:rsidRDefault="00ED20A6" w:rsidP="00FB71FD">
            <w:pPr>
              <w:jc w:val="both"/>
              <w:rPr>
                <w:rFonts w:ascii="Times New Roman" w:hAnsi="Times New Roman" w:cs="Times New Roman"/>
              </w:rPr>
            </w:pPr>
            <w:r w:rsidRPr="00DE05E9">
              <w:rPr>
                <w:rFonts w:ascii="Times New Roman" w:hAnsi="Times New Roman" w:cs="Times New Roman"/>
              </w:rPr>
              <w:t>P</w:t>
            </w:r>
            <w:r w:rsidR="0008722C" w:rsidRPr="00DE05E9">
              <w:rPr>
                <w:rFonts w:ascii="Times New Roman" w:hAnsi="Times New Roman" w:cs="Times New Roman"/>
              </w:rPr>
              <w:t xml:space="preserve">asūtītajiem </w:t>
            </w:r>
            <w:r w:rsidR="00750287" w:rsidRPr="00DE05E9">
              <w:rPr>
                <w:rFonts w:ascii="Times New Roman" w:hAnsi="Times New Roman" w:cs="Times New Roman"/>
              </w:rPr>
              <w:t>rada visbiežākās neskaidrības:</w:t>
            </w:r>
          </w:p>
          <w:p w14:paraId="27A158ED" w14:textId="77777777" w:rsidR="00EF4AD9" w:rsidRPr="00DE05E9" w:rsidRDefault="00EF4AD9" w:rsidP="00EF4AD9">
            <w:pPr>
              <w:jc w:val="both"/>
              <w:rPr>
                <w:rFonts w:ascii="Times New Roman" w:hAnsi="Times New Roman" w:cs="Times New Roman"/>
              </w:rPr>
            </w:pPr>
            <w:r w:rsidRPr="00DE05E9">
              <w:rPr>
                <w:rFonts w:ascii="Times New Roman" w:hAnsi="Times New Roman" w:cs="Times New Roman"/>
              </w:rPr>
              <w:t>Direktīvas 2014/24/ES  19.panta 2.daļa – prasību noteikšana piegādātāju apvienībām;</w:t>
            </w:r>
          </w:p>
          <w:p w14:paraId="73DD56E8" w14:textId="1CF171C4" w:rsidR="00EF4AD9" w:rsidRPr="00DE05E9" w:rsidRDefault="00EF4AD9" w:rsidP="00EF4AD9">
            <w:pPr>
              <w:jc w:val="both"/>
              <w:rPr>
                <w:rFonts w:ascii="Times New Roman" w:hAnsi="Times New Roman" w:cs="Times New Roman"/>
              </w:rPr>
            </w:pPr>
            <w:r w:rsidRPr="00DE05E9">
              <w:rPr>
                <w:rFonts w:ascii="Times New Roman" w:hAnsi="Times New Roman" w:cs="Times New Roman"/>
              </w:rPr>
              <w:t>Direktīvas 2014/24/ES 43.panta 1.daļa un 44.panta 2.daļa – piegādātāja tiesības iesniegt citus pierādījumus, nevis prasīto marķējumu, testa ziņojumu vai sertifikātu;</w:t>
            </w:r>
          </w:p>
          <w:p w14:paraId="0D5C082E" w14:textId="414EEA9F" w:rsidR="00EF4AD9" w:rsidRPr="00DE05E9" w:rsidRDefault="00EF4AD9" w:rsidP="00EF4AD9">
            <w:pPr>
              <w:jc w:val="both"/>
              <w:rPr>
                <w:rFonts w:ascii="Times New Roman" w:hAnsi="Times New Roman" w:cs="Times New Roman"/>
              </w:rPr>
            </w:pPr>
            <w:r w:rsidRPr="00DE05E9">
              <w:rPr>
                <w:rFonts w:ascii="Times New Roman" w:hAnsi="Times New Roman" w:cs="Times New Roman"/>
              </w:rPr>
              <w:t>Direktīvas 2014/24/ES 47.panta 2.daļas b) apakšpunkts – iepirkuma dokumentos izdarīto grozījumu būtiskuma novērtējums;</w:t>
            </w:r>
          </w:p>
          <w:p w14:paraId="1EB296F8" w14:textId="27CCF2A8" w:rsidR="00EF4AD9" w:rsidRPr="00DE05E9" w:rsidRDefault="00EF4AD9" w:rsidP="00EF4AD9">
            <w:pPr>
              <w:jc w:val="both"/>
              <w:rPr>
                <w:rFonts w:ascii="Times New Roman" w:hAnsi="Times New Roman" w:cs="Times New Roman"/>
              </w:rPr>
            </w:pPr>
            <w:r w:rsidRPr="00DE05E9">
              <w:rPr>
                <w:rFonts w:ascii="Times New Roman" w:hAnsi="Times New Roman" w:cs="Times New Roman"/>
              </w:rPr>
              <w:t>Direktīvas 2014/24/ES 62.panta 2.daļa -</w:t>
            </w:r>
            <w:r w:rsidR="00A744C2">
              <w:rPr>
                <w:rFonts w:ascii="Times New Roman" w:hAnsi="Times New Roman" w:cs="Times New Roman"/>
              </w:rPr>
              <w:t xml:space="preserve"> </w:t>
            </w:r>
            <w:r w:rsidRPr="00DE05E9">
              <w:rPr>
                <w:rFonts w:ascii="Times New Roman" w:hAnsi="Times New Roman" w:cs="Times New Roman"/>
              </w:rPr>
              <w:t>pierādījumi par pasākumiem kvalitātes nodrošināšanā un vides vadībā, ja netiek iesniegti prasītie sertifikāti;</w:t>
            </w:r>
          </w:p>
          <w:p w14:paraId="44565BCB" w14:textId="24C4B38A" w:rsidR="00EF4AD9" w:rsidRPr="00DE05E9" w:rsidRDefault="00EF4AD9" w:rsidP="00EF4AD9">
            <w:pPr>
              <w:jc w:val="both"/>
              <w:rPr>
                <w:rFonts w:ascii="Times New Roman" w:hAnsi="Times New Roman" w:cs="Times New Roman"/>
              </w:rPr>
            </w:pPr>
            <w:r w:rsidRPr="00DE05E9">
              <w:rPr>
                <w:rFonts w:ascii="Times New Roman" w:hAnsi="Times New Roman" w:cs="Times New Roman"/>
              </w:rPr>
              <w:t>Direktīvas 2014/24/ES 67.panta 2.daļas a) apakšpunkts – sociālie un inovatīvie kritēriji;</w:t>
            </w:r>
          </w:p>
          <w:p w14:paraId="400C6153" w14:textId="4491C4E7" w:rsidR="00EF4AD9" w:rsidRPr="00DE05E9" w:rsidRDefault="00EF4AD9" w:rsidP="00EF4AD9">
            <w:pPr>
              <w:jc w:val="both"/>
              <w:rPr>
                <w:rFonts w:ascii="Times New Roman" w:hAnsi="Times New Roman" w:cs="Times New Roman"/>
              </w:rPr>
            </w:pPr>
            <w:r w:rsidRPr="00DE05E9">
              <w:rPr>
                <w:rFonts w:ascii="Times New Roman" w:hAnsi="Times New Roman" w:cs="Times New Roman"/>
              </w:rPr>
              <w:t>Direktīvas 2014/24/ES 72.panta 4.daļas a) apakšpunkts – līguma grozījumu būtiskuma novērtējums;</w:t>
            </w:r>
          </w:p>
          <w:p w14:paraId="5482A4E1" w14:textId="77777777" w:rsidR="0077280E" w:rsidRDefault="00EF4AD9" w:rsidP="00EF4AD9">
            <w:pPr>
              <w:jc w:val="both"/>
              <w:rPr>
                <w:rFonts w:ascii="Times New Roman" w:hAnsi="Times New Roman" w:cs="Times New Roman"/>
              </w:rPr>
            </w:pPr>
            <w:r w:rsidRPr="00DE05E9">
              <w:rPr>
                <w:rFonts w:ascii="Times New Roman" w:hAnsi="Times New Roman" w:cs="Times New Roman"/>
              </w:rPr>
              <w:t>Direktīvas 201</w:t>
            </w:r>
            <w:r w:rsidR="00043F88">
              <w:rPr>
                <w:rFonts w:ascii="Times New Roman" w:hAnsi="Times New Roman" w:cs="Times New Roman"/>
              </w:rPr>
              <w:t>4/24/ES 78.panta a) apakšpunkts par metu konkursu.</w:t>
            </w:r>
          </w:p>
          <w:p w14:paraId="4C39C842" w14:textId="77777777" w:rsidR="0077280E" w:rsidRDefault="0077280E" w:rsidP="00EF4AD9">
            <w:pPr>
              <w:jc w:val="both"/>
              <w:rPr>
                <w:rFonts w:ascii="Times New Roman" w:hAnsi="Times New Roman" w:cs="Times New Roman"/>
              </w:rPr>
            </w:pPr>
          </w:p>
          <w:p w14:paraId="35FE7A2E" w14:textId="5EF24D78" w:rsidR="00EF4AD9" w:rsidRPr="00DE05E9" w:rsidRDefault="0077280E" w:rsidP="00EF4AD9">
            <w:pPr>
              <w:jc w:val="both"/>
              <w:rPr>
                <w:rFonts w:ascii="Times New Roman" w:hAnsi="Times New Roman" w:cs="Times New Roman"/>
              </w:rPr>
            </w:pPr>
            <w:r>
              <w:rPr>
                <w:rFonts w:ascii="Times New Roman" w:hAnsi="Times New Roman" w:cs="Times New Roman"/>
              </w:rPr>
              <w:t>Līdzīgas normas arī pārējās divās direktīvās.</w:t>
            </w:r>
            <w:r w:rsidR="00EF4AD9" w:rsidRPr="00DE05E9">
              <w:rPr>
                <w:rFonts w:ascii="Times New Roman" w:hAnsi="Times New Roman" w:cs="Times New Roman"/>
              </w:rPr>
              <w:t xml:space="preserve"> </w:t>
            </w:r>
          </w:p>
          <w:p w14:paraId="28DC1D49" w14:textId="52266FF1" w:rsidR="00B10E00" w:rsidRPr="00DE05E9" w:rsidRDefault="00B10E00" w:rsidP="005B5CA0">
            <w:pPr>
              <w:jc w:val="both"/>
              <w:rPr>
                <w:rFonts w:ascii="Times New Roman" w:hAnsi="Times New Roman" w:cs="Times New Roman"/>
              </w:rPr>
            </w:pPr>
          </w:p>
        </w:tc>
      </w:tr>
      <w:tr w:rsidR="00253552" w:rsidRPr="00DE05E9" w14:paraId="28261C74" w14:textId="77777777" w:rsidTr="001D79E5">
        <w:tc>
          <w:tcPr>
            <w:tcW w:w="4485" w:type="dxa"/>
          </w:tcPr>
          <w:p w14:paraId="58ED2A5B" w14:textId="77777777" w:rsidR="00253552" w:rsidRPr="00DE05E9" w:rsidRDefault="0037143F" w:rsidP="00FB71FD">
            <w:pPr>
              <w:jc w:val="both"/>
              <w:rPr>
                <w:rFonts w:ascii="Times New Roman" w:hAnsi="Times New Roman" w:cs="Times New Roman"/>
              </w:rPr>
            </w:pPr>
            <w:r w:rsidRPr="00DE05E9">
              <w:rPr>
                <w:rFonts w:ascii="Times New Roman" w:hAnsi="Times New Roman" w:cs="Times New Roman"/>
              </w:rPr>
              <w:t>An assessment on whether a wrong application of rules might exist, by observing p</w:t>
            </w:r>
            <w:r w:rsidR="00253552" w:rsidRPr="00DE05E9">
              <w:rPr>
                <w:rFonts w:ascii="Times New Roman" w:hAnsi="Times New Roman" w:cs="Times New Roman"/>
              </w:rPr>
              <w:t>atterns of application of the rules which</w:t>
            </w:r>
            <w:r w:rsidR="00CC72D1" w:rsidRPr="00DE05E9">
              <w:rPr>
                <w:rFonts w:ascii="Times New Roman" w:hAnsi="Times New Roman" w:cs="Times New Roman"/>
              </w:rPr>
              <w:t xml:space="preserve"> do not by themselves</w:t>
            </w:r>
            <w:r w:rsidR="00253552" w:rsidRPr="00DE05E9">
              <w:rPr>
                <w:rFonts w:ascii="Times New Roman" w:hAnsi="Times New Roman" w:cs="Times New Roman"/>
              </w:rPr>
              <w:t xml:space="preserve"> constitut</w:t>
            </w:r>
            <w:r w:rsidR="00CC72D1" w:rsidRPr="00DE05E9">
              <w:rPr>
                <w:rFonts w:ascii="Times New Roman" w:hAnsi="Times New Roman" w:cs="Times New Roman"/>
              </w:rPr>
              <w:t>e</w:t>
            </w:r>
            <w:r w:rsidR="00253552" w:rsidRPr="00DE05E9">
              <w:rPr>
                <w:rFonts w:ascii="Times New Roman" w:hAnsi="Times New Roman" w:cs="Times New Roman"/>
              </w:rPr>
              <w:t xml:space="preserve"> cases of wrong application of the rules,</w:t>
            </w:r>
            <w:r w:rsidR="00CC72D1" w:rsidRPr="00DE05E9">
              <w:rPr>
                <w:rFonts w:ascii="Times New Roman" w:hAnsi="Times New Roman" w:cs="Times New Roman"/>
              </w:rPr>
              <w:t xml:space="preserve"> but</w:t>
            </w:r>
            <w:r w:rsidR="00253552" w:rsidRPr="00DE05E9">
              <w:rPr>
                <w:rFonts w:ascii="Times New Roman" w:hAnsi="Times New Roman" w:cs="Times New Roman"/>
              </w:rPr>
              <w:t xml:space="preserve"> nonetheless</w:t>
            </w:r>
            <w:r w:rsidR="00CC72D1" w:rsidRPr="00DE05E9">
              <w:rPr>
                <w:rFonts w:ascii="Times New Roman" w:hAnsi="Times New Roman" w:cs="Times New Roman"/>
              </w:rPr>
              <w:t xml:space="preserve"> point at structural or recurring problems yielding a sub-optimal outcome</w:t>
            </w:r>
            <w:r w:rsidRPr="00DE05E9">
              <w:rPr>
                <w:rFonts w:ascii="Times New Roman" w:hAnsi="Times New Roman" w:cs="Times New Roman"/>
              </w:rPr>
              <w:t>.</w:t>
            </w:r>
          </w:p>
          <w:p w14:paraId="1D7EDD52" w14:textId="77777777" w:rsidR="00762A92" w:rsidRPr="00DE05E9" w:rsidRDefault="00762A92" w:rsidP="00FB71FD">
            <w:pPr>
              <w:jc w:val="both"/>
              <w:rPr>
                <w:rFonts w:ascii="Times New Roman" w:hAnsi="Times New Roman" w:cs="Times New Roman"/>
              </w:rPr>
            </w:pPr>
          </w:p>
          <w:p w14:paraId="0F6EE9E1" w14:textId="2B26760A" w:rsidR="00762A92" w:rsidRPr="00DE05E9" w:rsidRDefault="00762A92" w:rsidP="00FB71FD">
            <w:pPr>
              <w:jc w:val="both"/>
              <w:rPr>
                <w:rFonts w:ascii="Times New Roman" w:hAnsi="Times New Roman" w:cs="Times New Roman"/>
              </w:rPr>
            </w:pPr>
          </w:p>
        </w:tc>
        <w:tc>
          <w:tcPr>
            <w:tcW w:w="9509" w:type="dxa"/>
          </w:tcPr>
          <w:p w14:paraId="09D504F2" w14:textId="6E904F5F" w:rsidR="001915A3" w:rsidRPr="0093755A" w:rsidRDefault="001915A3" w:rsidP="0093755A">
            <w:pPr>
              <w:pStyle w:val="CommentText"/>
              <w:jc w:val="both"/>
              <w:rPr>
                <w:rFonts w:ascii="Times New Roman" w:hAnsi="Times New Roman" w:cs="Times New Roman"/>
                <w:sz w:val="22"/>
                <w:szCs w:val="22"/>
              </w:rPr>
            </w:pPr>
            <w:r w:rsidRPr="0093755A">
              <w:rPr>
                <w:rFonts w:ascii="Times New Roman" w:hAnsi="Times New Roman" w:cs="Times New Roman"/>
                <w:sz w:val="22"/>
                <w:szCs w:val="22"/>
              </w:rPr>
              <w:t xml:space="preserve">Lai arī </w:t>
            </w:r>
            <w:r w:rsidR="0093755A" w:rsidRPr="0093755A">
              <w:rPr>
                <w:rFonts w:ascii="Times New Roman" w:hAnsi="Times New Roman" w:cs="Times New Roman"/>
                <w:sz w:val="22"/>
                <w:szCs w:val="22"/>
              </w:rPr>
              <w:t xml:space="preserve">saimnieciski visizdevīgākā piedāvājuma izvēles kritērijs ir noteikts, kā </w:t>
            </w:r>
            <w:r w:rsidRPr="0093755A">
              <w:rPr>
                <w:rFonts w:ascii="Times New Roman" w:hAnsi="Times New Roman" w:cs="Times New Roman"/>
                <w:sz w:val="22"/>
                <w:szCs w:val="22"/>
              </w:rPr>
              <w:t>primārais kritērijs, pasūtītāji</w:t>
            </w:r>
            <w:r w:rsidR="0093755A" w:rsidRPr="0093755A">
              <w:rPr>
                <w:rFonts w:ascii="Times New Roman" w:hAnsi="Times New Roman" w:cs="Times New Roman"/>
                <w:sz w:val="22"/>
                <w:szCs w:val="22"/>
              </w:rPr>
              <w:t xml:space="preserve"> to bieži</w:t>
            </w:r>
            <w:r w:rsidRPr="0093755A">
              <w:rPr>
                <w:rFonts w:ascii="Times New Roman" w:hAnsi="Times New Roman" w:cs="Times New Roman"/>
                <w:sz w:val="22"/>
                <w:szCs w:val="22"/>
              </w:rPr>
              <w:t xml:space="preserve"> neizmanto, jo</w:t>
            </w:r>
            <w:r w:rsidR="0093755A" w:rsidRPr="0093755A">
              <w:rPr>
                <w:rFonts w:ascii="Times New Roman" w:hAnsi="Times New Roman" w:cs="Times New Roman"/>
                <w:sz w:val="22"/>
                <w:szCs w:val="22"/>
              </w:rPr>
              <w:t xml:space="preserve"> tiem</w:t>
            </w:r>
            <w:r w:rsidRPr="0093755A">
              <w:rPr>
                <w:rFonts w:ascii="Times New Roman" w:hAnsi="Times New Roman" w:cs="Times New Roman"/>
                <w:sz w:val="22"/>
                <w:szCs w:val="22"/>
              </w:rPr>
              <w:t xml:space="preserve"> nav noteiktības par piemērojamajiem vērtēšanas kritērijiem.</w:t>
            </w:r>
          </w:p>
          <w:p w14:paraId="20A2FF3A" w14:textId="55100F9A" w:rsidR="00B7541B" w:rsidRPr="0093755A" w:rsidDel="00B943DE" w:rsidRDefault="00B7541B" w:rsidP="00FB71FD">
            <w:pPr>
              <w:jc w:val="both"/>
              <w:rPr>
                <w:rFonts w:ascii="Times New Roman" w:hAnsi="Times New Roman" w:cs="Times New Roman"/>
                <w:u w:val="single"/>
              </w:rPr>
            </w:pPr>
          </w:p>
        </w:tc>
      </w:tr>
      <w:tr w:rsidR="00253552" w:rsidRPr="00DE05E9" w14:paraId="356029E8" w14:textId="77777777" w:rsidTr="001D79E5">
        <w:tc>
          <w:tcPr>
            <w:tcW w:w="4485" w:type="dxa"/>
          </w:tcPr>
          <w:p w14:paraId="591E5373" w14:textId="2AC83518" w:rsidR="00253552" w:rsidRPr="00DE05E9" w:rsidDel="00BC09FC" w:rsidRDefault="00620C02" w:rsidP="00FB71FD">
            <w:pPr>
              <w:jc w:val="both"/>
              <w:rPr>
                <w:rFonts w:ascii="Times New Roman" w:hAnsi="Times New Roman" w:cs="Times New Roman"/>
                <w:b/>
              </w:rPr>
            </w:pPr>
            <w:r w:rsidRPr="00DE05E9">
              <w:rPr>
                <w:rFonts w:ascii="Times New Roman" w:hAnsi="Times New Roman" w:cs="Times New Roman"/>
                <w:b/>
              </w:rPr>
              <w:t>II</w:t>
            </w:r>
            <w:r w:rsidR="00253552" w:rsidRPr="00DE05E9">
              <w:rPr>
                <w:rFonts w:ascii="Times New Roman" w:hAnsi="Times New Roman" w:cs="Times New Roman"/>
                <w:b/>
              </w:rPr>
              <w:t xml:space="preserve">.2 </w:t>
            </w:r>
            <w:r w:rsidR="0037143F" w:rsidRPr="00DE05E9">
              <w:rPr>
                <w:rFonts w:ascii="Times New Roman" w:hAnsi="Times New Roman" w:cs="Times New Roman"/>
                <w:b/>
              </w:rPr>
              <w:t>Supporting documents</w:t>
            </w:r>
          </w:p>
        </w:tc>
        <w:tc>
          <w:tcPr>
            <w:tcW w:w="9509" w:type="dxa"/>
          </w:tcPr>
          <w:p w14:paraId="7B743D4A" w14:textId="77777777" w:rsidR="00253552" w:rsidRPr="0093755A" w:rsidRDefault="00253552" w:rsidP="00FB71FD">
            <w:pPr>
              <w:jc w:val="both"/>
              <w:rPr>
                <w:rFonts w:ascii="Times New Roman" w:hAnsi="Times New Roman" w:cs="Times New Roman"/>
              </w:rPr>
            </w:pPr>
          </w:p>
        </w:tc>
      </w:tr>
      <w:tr w:rsidR="00253552" w:rsidRPr="00DE05E9" w14:paraId="30910821" w14:textId="77777777" w:rsidTr="001D79E5">
        <w:tc>
          <w:tcPr>
            <w:tcW w:w="4485" w:type="dxa"/>
          </w:tcPr>
          <w:p w14:paraId="45348405" w14:textId="65903456" w:rsidR="00253552" w:rsidRPr="00DE05E9" w:rsidRDefault="00AC7614" w:rsidP="00FB71FD">
            <w:pPr>
              <w:jc w:val="both"/>
              <w:rPr>
                <w:rFonts w:ascii="Times New Roman" w:hAnsi="Times New Roman" w:cs="Times New Roman"/>
              </w:rPr>
            </w:pPr>
            <w:r w:rsidRPr="00DE05E9">
              <w:rPr>
                <w:rFonts w:ascii="Times New Roman" w:hAnsi="Times New Roman" w:cs="Times New Roman"/>
              </w:rPr>
              <w:t xml:space="preserve">Please </w:t>
            </w:r>
            <w:r w:rsidR="00B72720" w:rsidRPr="00DE05E9">
              <w:rPr>
                <w:rFonts w:ascii="Times New Roman" w:hAnsi="Times New Roman" w:cs="Times New Roman"/>
              </w:rPr>
              <w:t>provide</w:t>
            </w:r>
            <w:r w:rsidRPr="00DE05E9">
              <w:rPr>
                <w:rFonts w:ascii="Times New Roman" w:hAnsi="Times New Roman" w:cs="Times New Roman"/>
              </w:rPr>
              <w:t xml:space="preserve"> any available evidence of the issues identified under section </w:t>
            </w:r>
            <w:r w:rsidR="00464D72" w:rsidRPr="00DE05E9">
              <w:rPr>
                <w:rFonts w:ascii="Times New Roman" w:hAnsi="Times New Roman" w:cs="Times New Roman"/>
              </w:rPr>
              <w:t>II</w:t>
            </w:r>
            <w:r w:rsidRPr="00DE05E9">
              <w:rPr>
                <w:rFonts w:ascii="Times New Roman" w:hAnsi="Times New Roman" w:cs="Times New Roman"/>
              </w:rPr>
              <w:t>.1.</w:t>
            </w:r>
          </w:p>
        </w:tc>
        <w:tc>
          <w:tcPr>
            <w:tcW w:w="9509" w:type="dxa"/>
          </w:tcPr>
          <w:p w14:paraId="463CFF56" w14:textId="1AA7A56C" w:rsidR="00C7691D" w:rsidRPr="0093755A" w:rsidRDefault="00B045B2" w:rsidP="00FB71FD">
            <w:pPr>
              <w:jc w:val="both"/>
              <w:rPr>
                <w:rFonts w:ascii="Times New Roman" w:hAnsi="Times New Roman" w:cs="Times New Roman"/>
                <w:color w:val="000000" w:themeColor="text1"/>
              </w:rPr>
            </w:pPr>
            <w:r w:rsidRPr="0093755A">
              <w:rPr>
                <w:rFonts w:ascii="Times New Roman" w:hAnsi="Times New Roman" w:cs="Times New Roman"/>
              </w:rPr>
              <w:t xml:space="preserve"> Eiropas Komisijas</w:t>
            </w:r>
            <w:r w:rsidR="00394440" w:rsidRPr="0093755A">
              <w:rPr>
                <w:rFonts w:ascii="Times New Roman" w:hAnsi="Times New Roman" w:cs="Times New Roman"/>
              </w:rPr>
              <w:t xml:space="preserve"> audita ziņojums Nr. 2013ILVIREGIO/C2/1242/1s, kurā konstatēti pārkāpumi saistībā ar ārvalstu pretendentu ierobežojošām kvalifikācijas prasībām – prasība par pieredzi publisku būvju </w:t>
            </w:r>
            <w:r w:rsidR="00394440" w:rsidRPr="0093755A">
              <w:rPr>
                <w:rFonts w:ascii="Times New Roman" w:hAnsi="Times New Roman" w:cs="Times New Roman"/>
              </w:rPr>
              <w:lastRenderedPageBreak/>
              <w:t xml:space="preserve">(saskaņā ar </w:t>
            </w:r>
            <w:r w:rsidR="00ED20A6" w:rsidRPr="0093755A">
              <w:rPr>
                <w:rFonts w:ascii="Times New Roman" w:hAnsi="Times New Roman" w:cs="Times New Roman"/>
              </w:rPr>
              <w:t>Latvijas Republikas</w:t>
            </w:r>
            <w:r w:rsidR="00394440" w:rsidRPr="0093755A">
              <w:rPr>
                <w:rFonts w:ascii="Times New Roman" w:hAnsi="Times New Roman" w:cs="Times New Roman"/>
              </w:rPr>
              <w:t xml:space="preserve"> būvnormatīvu) būvniecībā un prasība par speciālista sertifikāciju atbilstoši </w:t>
            </w:r>
            <w:r w:rsidRPr="0093755A">
              <w:rPr>
                <w:rFonts w:ascii="Times New Roman" w:hAnsi="Times New Roman" w:cs="Times New Roman"/>
                <w:color w:val="000000" w:themeColor="text1"/>
              </w:rPr>
              <w:t>Latvijas</w:t>
            </w:r>
            <w:r w:rsidR="00394440" w:rsidRPr="0093755A">
              <w:rPr>
                <w:rFonts w:ascii="Times New Roman" w:hAnsi="Times New Roman" w:cs="Times New Roman"/>
                <w:color w:val="000000" w:themeColor="text1"/>
              </w:rPr>
              <w:t xml:space="preserve"> noteiktajām prasībām uz piedāvājuma iesniegšanas brīdi.</w:t>
            </w:r>
          </w:p>
          <w:p w14:paraId="79D1706C" w14:textId="55FC2BF0" w:rsidR="0093755A" w:rsidRPr="0093755A" w:rsidRDefault="0093755A" w:rsidP="00FB71FD">
            <w:pPr>
              <w:jc w:val="both"/>
              <w:rPr>
                <w:rFonts w:ascii="Times New Roman" w:hAnsi="Times New Roman" w:cs="Times New Roman"/>
                <w:color w:val="000000" w:themeColor="text1"/>
              </w:rPr>
            </w:pPr>
            <w:r w:rsidRPr="0093755A">
              <w:rPr>
                <w:rFonts w:ascii="Times New Roman" w:hAnsi="Times New Roman" w:cs="Times New Roman"/>
                <w:color w:val="000000" w:themeColor="text1"/>
              </w:rPr>
              <w:t xml:space="preserve">Eiropas Komisija no 2016.gada 30.maija līdz 6.jūnijam veica auditu Nr. REGC214LV0012 </w:t>
            </w:r>
            <w:r w:rsidR="002B5A51">
              <w:rPr>
                <w:rFonts w:ascii="Times New Roman" w:hAnsi="Times New Roman" w:cs="Times New Roman"/>
                <w:color w:val="000000" w:themeColor="text1"/>
              </w:rPr>
              <w:t>“</w:t>
            </w:r>
            <w:r w:rsidRPr="0093755A">
              <w:rPr>
                <w:rFonts w:ascii="Times New Roman" w:hAnsi="Times New Roman" w:cs="Times New Roman"/>
                <w:color w:val="000000" w:themeColor="text1"/>
              </w:rPr>
              <w:t xml:space="preserve">Agrīnās preventīvās sistēmu revīzijas 2014.–2020. </w:t>
            </w:r>
            <w:r w:rsidR="002B5A51" w:rsidRPr="0093755A">
              <w:rPr>
                <w:rFonts w:ascii="Times New Roman" w:hAnsi="Times New Roman" w:cs="Times New Roman"/>
                <w:color w:val="000000" w:themeColor="text1"/>
              </w:rPr>
              <w:t>G</w:t>
            </w:r>
            <w:r w:rsidRPr="0093755A">
              <w:rPr>
                <w:rFonts w:ascii="Times New Roman" w:hAnsi="Times New Roman" w:cs="Times New Roman"/>
                <w:color w:val="000000" w:themeColor="text1"/>
              </w:rPr>
              <w:t>adā</w:t>
            </w:r>
            <w:r w:rsidR="002B5A51">
              <w:rPr>
                <w:rFonts w:ascii="Times New Roman" w:hAnsi="Times New Roman" w:cs="Times New Roman"/>
                <w:color w:val="000000" w:themeColor="text1"/>
              </w:rPr>
              <w:t>”</w:t>
            </w:r>
            <w:r w:rsidRPr="0093755A">
              <w:rPr>
                <w:rFonts w:ascii="Times New Roman" w:hAnsi="Times New Roman" w:cs="Times New Roman"/>
                <w:color w:val="000000" w:themeColor="text1"/>
              </w:rPr>
              <w:t xml:space="preserve">, kura ietvaros tika konstatēti iepirkumu pārkāpumi vairākos audita izlasē iekļautajos projektos (pārkāpumi attiecas uz sarunu procedūras nepamatotu izmantojumu būvdarbu un uzraudzības līgumu slēgšanā, kā arī būvdarbu līgumu nepamatotu pagarināšanu, kā arī konstatēts ierobežojošs atlases kritērijs, saskaņā ar kuru pretendentiem bija jāiesniedz pierādījumi par to, ka Latvija atzīst piedāvāto speciālistu ārzemēs iegūto kvalifikāciju, nevis pierādījumi par ārzemēs iegūto kvalifikāciju). </w:t>
            </w:r>
          </w:p>
          <w:p w14:paraId="19893A5E" w14:textId="58FC45FC" w:rsidR="00DD5CFD" w:rsidRPr="0093755A" w:rsidRDefault="007215A8" w:rsidP="007215A8">
            <w:pPr>
              <w:pStyle w:val="CommentText"/>
              <w:jc w:val="both"/>
              <w:rPr>
                <w:rFonts w:ascii="Times New Roman" w:hAnsi="Times New Roman" w:cs="Times New Roman"/>
                <w:sz w:val="22"/>
                <w:szCs w:val="22"/>
              </w:rPr>
            </w:pPr>
            <w:r w:rsidRPr="0093755A">
              <w:rPr>
                <w:rFonts w:ascii="Times New Roman" w:hAnsi="Times New Roman" w:cs="Times New Roman"/>
                <w:color w:val="000000" w:themeColor="text1"/>
                <w:sz w:val="22"/>
                <w:szCs w:val="22"/>
              </w:rPr>
              <w:t>Vienlaikus norādām,</w:t>
            </w:r>
            <w:r w:rsidR="00DD5CFD" w:rsidRPr="0093755A">
              <w:rPr>
                <w:rFonts w:ascii="Times New Roman" w:hAnsi="Times New Roman" w:cs="Times New Roman"/>
                <w:color w:val="000000" w:themeColor="text1"/>
                <w:sz w:val="22"/>
                <w:szCs w:val="22"/>
              </w:rPr>
              <w:t xml:space="preserve"> ka</w:t>
            </w:r>
            <w:r w:rsidR="0093755A" w:rsidRPr="0093755A">
              <w:rPr>
                <w:rFonts w:ascii="Times New Roman" w:hAnsi="Times New Roman" w:cs="Times New Roman"/>
                <w:color w:val="000000" w:themeColor="text1"/>
                <w:sz w:val="22"/>
                <w:szCs w:val="22"/>
              </w:rPr>
              <w:t xml:space="preserve"> Iepirkumu uzraudzības birojs izskata piegādātāju sūdzības par pasūtītāja izstrādāto iepirkuma dokumentāciju (skatīt II.3. </w:t>
            </w:r>
            <w:r w:rsidR="0093755A" w:rsidRPr="0093755A">
              <w:rPr>
                <w:rFonts w:ascii="Times New Roman" w:hAnsi="Times New Roman" w:cs="Times New Roman"/>
                <w:i/>
                <w:color w:val="000000" w:themeColor="text1"/>
                <w:sz w:val="22"/>
                <w:szCs w:val="22"/>
              </w:rPr>
              <w:t>Quantitative indicators</w:t>
            </w:r>
            <w:r w:rsidR="0093755A" w:rsidRPr="0093755A">
              <w:rPr>
                <w:rFonts w:ascii="Times New Roman" w:hAnsi="Times New Roman" w:cs="Times New Roman"/>
                <w:color w:val="000000" w:themeColor="text1"/>
                <w:sz w:val="22"/>
                <w:szCs w:val="22"/>
              </w:rPr>
              <w:t xml:space="preserve"> sadaļu), kā arī</w:t>
            </w:r>
            <w:r w:rsidR="00DD5CFD" w:rsidRPr="0093755A">
              <w:rPr>
                <w:rFonts w:ascii="Times New Roman" w:hAnsi="Times New Roman" w:cs="Times New Roman"/>
                <w:color w:val="000000" w:themeColor="text1"/>
                <w:sz w:val="22"/>
                <w:szCs w:val="22"/>
              </w:rPr>
              <w:t xml:space="preserve"> pirmspārbaudēs bieži tiek </w:t>
            </w:r>
            <w:r w:rsidRPr="0093755A">
              <w:rPr>
                <w:rFonts w:ascii="Times New Roman" w:hAnsi="Times New Roman" w:cs="Times New Roman"/>
                <w:color w:val="000000" w:themeColor="text1"/>
                <w:sz w:val="22"/>
                <w:szCs w:val="22"/>
              </w:rPr>
              <w:t>k</w:t>
            </w:r>
            <w:r w:rsidR="00DD5CFD" w:rsidRPr="0093755A">
              <w:rPr>
                <w:rFonts w:ascii="Times New Roman" w:hAnsi="Times New Roman" w:cs="Times New Roman"/>
                <w:color w:val="000000" w:themeColor="text1"/>
                <w:sz w:val="22"/>
                <w:szCs w:val="22"/>
              </w:rPr>
              <w:t xml:space="preserve">ostatēta neatbilstoša iepirkuma </w:t>
            </w:r>
            <w:r w:rsidR="00DD5CFD" w:rsidRPr="0093755A">
              <w:rPr>
                <w:rFonts w:ascii="Times New Roman" w:hAnsi="Times New Roman" w:cs="Times New Roman"/>
                <w:sz w:val="22"/>
                <w:szCs w:val="22"/>
              </w:rPr>
              <w:t xml:space="preserve">procedūras dokumentu grozīšana vai izpratnes trūkums par prasību noteikšanu piegādātāju apvienībām un saimnieciski visizdevīgākā piedāvājuma vērtēšanas kritērijiem, tostarp sociālo kritēriju izmantošanu. </w:t>
            </w:r>
          </w:p>
          <w:p w14:paraId="148FEDC2" w14:textId="77777777" w:rsidR="00DD5CFD" w:rsidRPr="0093755A" w:rsidRDefault="00DD5CFD" w:rsidP="00FB71FD">
            <w:pPr>
              <w:jc w:val="both"/>
              <w:rPr>
                <w:rFonts w:ascii="Times New Roman" w:hAnsi="Times New Roman" w:cs="Times New Roman"/>
              </w:rPr>
            </w:pPr>
          </w:p>
          <w:p w14:paraId="62213F94" w14:textId="024B0F20" w:rsidR="00DD5CFD" w:rsidRPr="0093755A" w:rsidRDefault="00DD5CFD" w:rsidP="00FB71FD">
            <w:pPr>
              <w:jc w:val="both"/>
              <w:rPr>
                <w:rFonts w:ascii="Times New Roman" w:hAnsi="Times New Roman" w:cs="Times New Roman"/>
              </w:rPr>
            </w:pPr>
          </w:p>
        </w:tc>
      </w:tr>
      <w:tr w:rsidR="00C91FDC" w:rsidRPr="00DE05E9" w14:paraId="1B195211" w14:textId="77777777" w:rsidTr="001D79E5">
        <w:tc>
          <w:tcPr>
            <w:tcW w:w="4485" w:type="dxa"/>
          </w:tcPr>
          <w:p w14:paraId="0F2E16FB" w14:textId="6A94DC2E" w:rsidR="00C91FDC" w:rsidRPr="00DE05E9" w:rsidRDefault="00464D72" w:rsidP="00FB71FD">
            <w:pPr>
              <w:pStyle w:val="Heading3"/>
              <w:jc w:val="both"/>
              <w:outlineLvl w:val="2"/>
              <w:rPr>
                <w:rFonts w:ascii="Times New Roman" w:hAnsi="Times New Roman" w:cs="Times New Roman"/>
              </w:rPr>
            </w:pPr>
            <w:r w:rsidRPr="00DE05E9">
              <w:rPr>
                <w:rFonts w:ascii="Times New Roman" w:hAnsi="Times New Roman" w:cs="Times New Roman"/>
              </w:rPr>
              <w:lastRenderedPageBreak/>
              <w:t>II</w:t>
            </w:r>
            <w:r w:rsidR="00C91FDC" w:rsidRPr="00DE05E9">
              <w:rPr>
                <w:rFonts w:ascii="Times New Roman" w:hAnsi="Times New Roman" w:cs="Times New Roman"/>
              </w:rPr>
              <w:t>.3</w:t>
            </w:r>
            <w:r w:rsidR="00B72720" w:rsidRPr="00DE05E9">
              <w:rPr>
                <w:rFonts w:ascii="Times New Roman" w:hAnsi="Times New Roman" w:cs="Times New Roman"/>
              </w:rPr>
              <w:t xml:space="preserve">. </w:t>
            </w:r>
            <w:r w:rsidR="00C91FDC" w:rsidRPr="00DE05E9">
              <w:rPr>
                <w:rFonts w:ascii="Times New Roman" w:hAnsi="Times New Roman" w:cs="Times New Roman"/>
              </w:rPr>
              <w:t xml:space="preserve">Quantitative indicators </w:t>
            </w:r>
          </w:p>
          <w:p w14:paraId="0EFDD4F3" w14:textId="77777777" w:rsidR="00C91FDC" w:rsidRPr="00DE05E9" w:rsidRDefault="00C91FDC" w:rsidP="00FB71FD">
            <w:pPr>
              <w:jc w:val="both"/>
              <w:rPr>
                <w:rFonts w:ascii="Times New Roman" w:hAnsi="Times New Roman" w:cs="Times New Roman"/>
              </w:rPr>
            </w:pPr>
          </w:p>
        </w:tc>
        <w:tc>
          <w:tcPr>
            <w:tcW w:w="9509" w:type="dxa"/>
          </w:tcPr>
          <w:p w14:paraId="3ADF1444" w14:textId="0B6445EB" w:rsidR="00C91FDC" w:rsidRPr="00DE05E9" w:rsidRDefault="00C91FDC" w:rsidP="00FB71FD">
            <w:pPr>
              <w:jc w:val="both"/>
              <w:rPr>
                <w:rFonts w:ascii="Times New Roman" w:hAnsi="Times New Roman" w:cs="Times New Roman"/>
                <w:i/>
              </w:rPr>
            </w:pPr>
            <w:r w:rsidRPr="00DE05E9">
              <w:rPr>
                <w:rFonts w:ascii="Times New Roman" w:hAnsi="Times New Roman" w:cs="Times New Roman"/>
                <w:i/>
              </w:rPr>
              <w:t xml:space="preserve">This section contains quantitative indicators related to section </w:t>
            </w:r>
            <w:r w:rsidR="00247E16" w:rsidRPr="00DE05E9">
              <w:rPr>
                <w:rFonts w:ascii="Times New Roman" w:hAnsi="Times New Roman" w:cs="Times New Roman"/>
                <w:i/>
              </w:rPr>
              <w:t>II</w:t>
            </w:r>
            <w:r w:rsidRPr="00DE05E9">
              <w:rPr>
                <w:rFonts w:ascii="Times New Roman" w:hAnsi="Times New Roman" w:cs="Times New Roman"/>
                <w:i/>
              </w:rPr>
              <w:t xml:space="preserve">.1. </w:t>
            </w:r>
            <w:r w:rsidR="00AC3891" w:rsidRPr="00DE05E9">
              <w:rPr>
                <w:rFonts w:ascii="Times New Roman" w:hAnsi="Times New Roman" w:cs="Times New Roman"/>
                <w:i/>
              </w:rPr>
              <w:t>Other indicators can also be included in the report.</w:t>
            </w:r>
          </w:p>
        </w:tc>
      </w:tr>
      <w:tr w:rsidR="00095252" w:rsidRPr="00DE05E9" w14:paraId="69EC1028" w14:textId="77777777" w:rsidTr="001D79E5">
        <w:tc>
          <w:tcPr>
            <w:tcW w:w="4485" w:type="dxa"/>
          </w:tcPr>
          <w:p w14:paraId="29E065ED" w14:textId="77777777" w:rsidR="00095252" w:rsidRPr="00DE05E9" w:rsidRDefault="00095252" w:rsidP="00FB71FD">
            <w:pPr>
              <w:pStyle w:val="Heading3"/>
              <w:jc w:val="both"/>
              <w:outlineLvl w:val="2"/>
              <w:rPr>
                <w:rFonts w:ascii="Times New Roman" w:eastAsia="Times New Roman" w:hAnsi="Times New Roman" w:cs="Times New Roman"/>
                <w:b w:val="0"/>
                <w:lang w:val="en-US"/>
              </w:rPr>
            </w:pPr>
            <w:r w:rsidRPr="00DE05E9">
              <w:rPr>
                <w:rFonts w:ascii="Times New Roman" w:eastAsia="Times New Roman" w:hAnsi="Times New Roman" w:cs="Times New Roman"/>
                <w:b w:val="0"/>
                <w:bCs/>
              </w:rPr>
              <w:t xml:space="preserve">Indicators about the national review system </w:t>
            </w:r>
          </w:p>
          <w:p w14:paraId="20B30B6B" w14:textId="77777777" w:rsidR="00095252" w:rsidRPr="00DE05E9" w:rsidRDefault="00095252" w:rsidP="00FB71FD">
            <w:pPr>
              <w:jc w:val="both"/>
              <w:rPr>
                <w:rFonts w:ascii="Times New Roman" w:hAnsi="Times New Roman" w:cs="Times New Roman"/>
              </w:rPr>
            </w:pPr>
          </w:p>
          <w:p w14:paraId="5F0023A7" w14:textId="6056C412" w:rsidR="00095252" w:rsidRPr="00DE05E9" w:rsidRDefault="00095252" w:rsidP="00FB71FD">
            <w:pPr>
              <w:jc w:val="both"/>
              <w:rPr>
                <w:rFonts w:ascii="Times New Roman" w:hAnsi="Times New Roman" w:cs="Times New Roman"/>
              </w:rPr>
            </w:pPr>
          </w:p>
        </w:tc>
        <w:tc>
          <w:tcPr>
            <w:tcW w:w="9509" w:type="dxa"/>
          </w:tcPr>
          <w:p w14:paraId="698623C2" w14:textId="7A15DB40" w:rsidR="004276C9" w:rsidRPr="00DE05E9" w:rsidRDefault="004276C9" w:rsidP="00FB71FD">
            <w:pPr>
              <w:pStyle w:val="Strat51"/>
              <w:numPr>
                <w:ilvl w:val="0"/>
                <w:numId w:val="0"/>
              </w:numPr>
              <w:rPr>
                <w:rFonts w:eastAsiaTheme="minorHAnsi"/>
                <w:b w:val="0"/>
                <w:sz w:val="22"/>
                <w:szCs w:val="22"/>
                <w:lang w:val="lv-LV" w:eastAsia="en-US"/>
              </w:rPr>
            </w:pPr>
            <w:r w:rsidRPr="00DE05E9">
              <w:rPr>
                <w:rFonts w:eastAsiaTheme="minorHAnsi"/>
                <w:b w:val="0"/>
                <w:sz w:val="22"/>
                <w:szCs w:val="22"/>
                <w:lang w:val="lv-LV" w:eastAsia="en-US"/>
              </w:rPr>
              <w:t>Šajā sadaļā ir atspoguļotas sūdzību kopskaits, neizdalot atsevišķ</w:t>
            </w:r>
            <w:r w:rsidR="00F22C59" w:rsidRPr="00DE05E9">
              <w:rPr>
                <w:rFonts w:eastAsiaTheme="minorHAnsi"/>
                <w:b w:val="0"/>
                <w:sz w:val="22"/>
                <w:szCs w:val="22"/>
                <w:lang w:val="lv-LV" w:eastAsia="en-US"/>
              </w:rPr>
              <w:t>i pa</w:t>
            </w:r>
            <w:r w:rsidRPr="00DE05E9">
              <w:rPr>
                <w:rFonts w:eastAsiaTheme="minorHAnsi"/>
                <w:b w:val="0"/>
                <w:sz w:val="22"/>
                <w:szCs w:val="22"/>
                <w:lang w:val="lv-LV" w:eastAsia="en-US"/>
              </w:rPr>
              <w:t xml:space="preserve"> kategorijām vai pārkāpumiem.</w:t>
            </w:r>
            <w:r w:rsidR="005B5CA0" w:rsidRPr="00DE05E9">
              <w:rPr>
                <w:rFonts w:eastAsiaTheme="minorHAnsi"/>
                <w:b w:val="0"/>
                <w:sz w:val="22"/>
                <w:szCs w:val="22"/>
                <w:lang w:val="lv-LV" w:eastAsia="en-US"/>
              </w:rPr>
              <w:t xml:space="preserve"> Dati tiek apkopoti no iepirkumiem, kuru vērtība piegādēm un pakalpojumiem ir 42 000 EUR vai lielāka, būvdarbiem 170 000 EUR vai lielāka.</w:t>
            </w:r>
          </w:p>
          <w:p w14:paraId="4FCEC537" w14:textId="77777777" w:rsidR="004276C9" w:rsidRPr="00DE05E9" w:rsidRDefault="004276C9" w:rsidP="00FB71FD">
            <w:pPr>
              <w:pStyle w:val="Strat51"/>
              <w:numPr>
                <w:ilvl w:val="0"/>
                <w:numId w:val="0"/>
              </w:numPr>
              <w:ind w:left="720"/>
              <w:rPr>
                <w:rFonts w:eastAsiaTheme="minorHAnsi"/>
                <w:sz w:val="22"/>
                <w:szCs w:val="22"/>
                <w:lang w:val="lv-LV" w:eastAsia="en-US"/>
              </w:rPr>
            </w:pPr>
          </w:p>
          <w:p w14:paraId="7461C1D7" w14:textId="52B6F480" w:rsidR="00E92856" w:rsidRPr="00DE05E9" w:rsidRDefault="004D622C" w:rsidP="00FB71FD">
            <w:pPr>
              <w:pStyle w:val="Strat51"/>
              <w:numPr>
                <w:ilvl w:val="0"/>
                <w:numId w:val="17"/>
              </w:numPr>
              <w:rPr>
                <w:rFonts w:eastAsiaTheme="minorHAnsi"/>
                <w:sz w:val="22"/>
                <w:szCs w:val="22"/>
                <w:lang w:val="lv-LV" w:eastAsia="en-US"/>
              </w:rPr>
            </w:pPr>
            <w:r w:rsidRPr="00DE05E9">
              <w:rPr>
                <w:sz w:val="22"/>
                <w:szCs w:val="22"/>
              </w:rPr>
              <w:t>Sūdzību skaits -</w:t>
            </w:r>
            <w:r w:rsidR="00E92856" w:rsidRPr="00DE05E9">
              <w:rPr>
                <w:sz w:val="22"/>
                <w:szCs w:val="22"/>
              </w:rPr>
              <w:t xml:space="preserve"> </w:t>
            </w:r>
            <w:r w:rsidRPr="00DE05E9">
              <w:rPr>
                <w:rFonts w:eastAsiaTheme="minorHAnsi"/>
                <w:sz w:val="22"/>
                <w:szCs w:val="22"/>
                <w:lang w:val="lv-LV" w:eastAsia="en-US"/>
              </w:rPr>
              <w:t>2017.</w:t>
            </w:r>
            <w:r w:rsidR="00E92856" w:rsidRPr="00DE05E9">
              <w:rPr>
                <w:rFonts w:eastAsiaTheme="minorHAnsi"/>
                <w:sz w:val="22"/>
                <w:szCs w:val="22"/>
                <w:lang w:val="lv-LV" w:eastAsia="en-US"/>
              </w:rPr>
              <w:t xml:space="preserve">gadā (dati par sūdzību izskatīšanu </w:t>
            </w:r>
            <w:r w:rsidRPr="00DE05E9">
              <w:rPr>
                <w:rFonts w:eastAsiaTheme="minorHAnsi"/>
                <w:sz w:val="22"/>
                <w:szCs w:val="22"/>
                <w:lang w:val="lv-LV" w:eastAsia="en-US"/>
              </w:rPr>
              <w:t>Iepirkumu uzraudzības birojā</w:t>
            </w:r>
            <w:r w:rsidR="00E92856" w:rsidRPr="00DE05E9">
              <w:rPr>
                <w:rFonts w:eastAsiaTheme="minorHAnsi"/>
                <w:sz w:val="22"/>
                <w:szCs w:val="22"/>
                <w:lang w:val="lv-LV" w:eastAsia="en-US"/>
              </w:rPr>
              <w:t>)</w:t>
            </w:r>
          </w:p>
          <w:p w14:paraId="655656CE" w14:textId="77777777" w:rsidR="00E92856" w:rsidRPr="00DE05E9" w:rsidRDefault="00E92856" w:rsidP="00FB71FD">
            <w:pPr>
              <w:pStyle w:val="Strat51"/>
              <w:numPr>
                <w:ilvl w:val="0"/>
                <w:numId w:val="19"/>
              </w:numPr>
              <w:rPr>
                <w:rFonts w:eastAsiaTheme="minorHAnsi"/>
                <w:b w:val="0"/>
                <w:sz w:val="22"/>
                <w:szCs w:val="22"/>
                <w:lang w:val="lv-LV" w:eastAsia="en-US"/>
              </w:rPr>
            </w:pPr>
            <w:r w:rsidRPr="00DE05E9">
              <w:rPr>
                <w:rFonts w:eastAsiaTheme="minorHAnsi"/>
                <w:sz w:val="22"/>
                <w:szCs w:val="22"/>
                <w:lang w:val="lv-LV" w:eastAsia="en-US"/>
              </w:rPr>
              <w:t>saņemti 679</w:t>
            </w:r>
            <w:r w:rsidRPr="00DE05E9">
              <w:rPr>
                <w:rFonts w:eastAsiaTheme="minorHAnsi"/>
                <w:b w:val="0"/>
                <w:sz w:val="22"/>
                <w:szCs w:val="22"/>
                <w:lang w:val="lv-LV" w:eastAsia="en-US"/>
              </w:rPr>
              <w:t xml:space="preserve"> apstrīdēšanas iesniegumi (sūdzības); </w:t>
            </w:r>
          </w:p>
          <w:p w14:paraId="3C4D06DC" w14:textId="77777777" w:rsidR="00E92856" w:rsidRPr="00DE05E9" w:rsidRDefault="00E92856" w:rsidP="00FB71FD">
            <w:pPr>
              <w:pStyle w:val="Strat51"/>
              <w:numPr>
                <w:ilvl w:val="0"/>
                <w:numId w:val="19"/>
              </w:numPr>
              <w:rPr>
                <w:rFonts w:eastAsiaTheme="minorHAnsi"/>
                <w:b w:val="0"/>
                <w:sz w:val="22"/>
                <w:szCs w:val="22"/>
                <w:lang w:val="lv-LV" w:eastAsia="en-US"/>
              </w:rPr>
            </w:pPr>
            <w:r w:rsidRPr="00DE05E9">
              <w:rPr>
                <w:rFonts w:eastAsiaTheme="minorHAnsi"/>
                <w:sz w:val="22"/>
                <w:szCs w:val="22"/>
                <w:lang w:val="lv-LV" w:eastAsia="en-US"/>
              </w:rPr>
              <w:t xml:space="preserve">pieņemti </w:t>
            </w:r>
            <w:r w:rsidRPr="00DE05E9">
              <w:rPr>
                <w:rFonts w:eastAsiaTheme="minorHAnsi"/>
                <w:b w:val="0"/>
                <w:sz w:val="22"/>
                <w:szCs w:val="22"/>
                <w:lang w:val="lv-LV" w:eastAsia="en-US"/>
              </w:rPr>
              <w:t>izskatīšanai</w:t>
            </w:r>
            <w:r w:rsidRPr="00DE05E9">
              <w:rPr>
                <w:rFonts w:eastAsiaTheme="minorHAnsi"/>
                <w:sz w:val="22"/>
                <w:szCs w:val="22"/>
                <w:lang w:val="lv-LV" w:eastAsia="en-US"/>
              </w:rPr>
              <w:t xml:space="preserve"> 538</w:t>
            </w:r>
            <w:r w:rsidRPr="00DE05E9">
              <w:rPr>
                <w:rFonts w:eastAsiaTheme="minorHAnsi"/>
                <w:b w:val="0"/>
                <w:sz w:val="22"/>
                <w:szCs w:val="22"/>
                <w:lang w:val="lv-LV" w:eastAsia="en-US"/>
              </w:rPr>
              <w:t xml:space="preserve"> iesniegumi;</w:t>
            </w:r>
          </w:p>
          <w:p w14:paraId="720D0095" w14:textId="77777777" w:rsidR="00E92856" w:rsidRPr="00DE05E9" w:rsidRDefault="00E92856" w:rsidP="00FB71FD">
            <w:pPr>
              <w:pStyle w:val="Strat51"/>
              <w:numPr>
                <w:ilvl w:val="0"/>
                <w:numId w:val="19"/>
              </w:numPr>
              <w:rPr>
                <w:rFonts w:eastAsiaTheme="minorHAnsi"/>
                <w:b w:val="0"/>
                <w:sz w:val="22"/>
                <w:szCs w:val="22"/>
                <w:lang w:val="lv-LV" w:eastAsia="en-US"/>
              </w:rPr>
            </w:pPr>
            <w:r w:rsidRPr="00DE05E9">
              <w:rPr>
                <w:rFonts w:eastAsiaTheme="minorHAnsi"/>
                <w:sz w:val="22"/>
                <w:szCs w:val="22"/>
                <w:lang w:val="lv-LV" w:eastAsia="en-US"/>
              </w:rPr>
              <w:t>atsaukti 116</w:t>
            </w:r>
            <w:r w:rsidRPr="00DE05E9">
              <w:rPr>
                <w:rFonts w:eastAsiaTheme="minorHAnsi"/>
                <w:b w:val="0"/>
                <w:sz w:val="22"/>
                <w:szCs w:val="22"/>
                <w:lang w:val="lv-LV" w:eastAsia="en-US"/>
              </w:rPr>
              <w:t xml:space="preserve"> iesniegumi, </w:t>
            </w:r>
            <w:r w:rsidRPr="00DE05E9">
              <w:rPr>
                <w:rFonts w:eastAsiaTheme="minorHAnsi"/>
                <w:sz w:val="22"/>
                <w:szCs w:val="22"/>
                <w:lang w:val="lv-LV" w:eastAsia="en-US"/>
              </w:rPr>
              <w:t>17 </w:t>
            </w:r>
            <w:r w:rsidRPr="00DE05E9">
              <w:rPr>
                <w:rFonts w:eastAsiaTheme="minorHAnsi"/>
                <w:b w:val="0"/>
                <w:sz w:val="22"/>
                <w:szCs w:val="22"/>
                <w:lang w:val="lv-LV" w:eastAsia="en-US"/>
              </w:rPr>
              <w:t xml:space="preserve">iesniegumiem </w:t>
            </w:r>
            <w:r w:rsidRPr="00DE05E9">
              <w:rPr>
                <w:rFonts w:eastAsiaTheme="minorHAnsi"/>
                <w:sz w:val="22"/>
                <w:szCs w:val="22"/>
                <w:lang w:val="lv-LV" w:eastAsia="en-US"/>
              </w:rPr>
              <w:t>izbeigta lietvedība</w:t>
            </w:r>
            <w:r w:rsidRPr="00DE05E9">
              <w:rPr>
                <w:rFonts w:eastAsiaTheme="minorHAnsi"/>
                <w:b w:val="0"/>
                <w:sz w:val="22"/>
                <w:szCs w:val="22"/>
                <w:lang w:val="lv-LV" w:eastAsia="en-US"/>
              </w:rPr>
              <w:t>;</w:t>
            </w:r>
          </w:p>
          <w:p w14:paraId="77DC4C16" w14:textId="6A0B4A0B" w:rsidR="00E92856" w:rsidRPr="00DE05E9" w:rsidRDefault="00E92856" w:rsidP="00FB71FD">
            <w:pPr>
              <w:pStyle w:val="Strat51"/>
              <w:numPr>
                <w:ilvl w:val="0"/>
                <w:numId w:val="19"/>
              </w:numPr>
              <w:rPr>
                <w:rFonts w:eastAsiaTheme="minorHAnsi"/>
                <w:b w:val="0"/>
                <w:sz w:val="22"/>
                <w:szCs w:val="22"/>
                <w:lang w:val="lv-LV" w:eastAsia="en-US"/>
              </w:rPr>
            </w:pPr>
            <w:r w:rsidRPr="00DE05E9">
              <w:rPr>
                <w:rFonts w:eastAsiaTheme="minorHAnsi"/>
                <w:sz w:val="22"/>
                <w:szCs w:val="22"/>
                <w:lang w:val="lv-LV" w:eastAsia="en-US"/>
              </w:rPr>
              <w:t>405</w:t>
            </w:r>
            <w:r w:rsidRPr="00DE05E9">
              <w:rPr>
                <w:rFonts w:eastAsiaTheme="minorHAnsi"/>
                <w:b w:val="0"/>
                <w:sz w:val="22"/>
                <w:szCs w:val="22"/>
                <w:lang w:val="lv-LV" w:eastAsia="en-US"/>
              </w:rPr>
              <w:t xml:space="preserve"> iesniegumi </w:t>
            </w:r>
            <w:r w:rsidRPr="00DE05E9">
              <w:rPr>
                <w:rFonts w:eastAsiaTheme="minorHAnsi"/>
                <w:sz w:val="22"/>
                <w:szCs w:val="22"/>
                <w:lang w:val="lv-LV" w:eastAsia="en-US"/>
              </w:rPr>
              <w:t>ir izskatīti</w:t>
            </w:r>
            <w:r w:rsidRPr="00DE05E9">
              <w:rPr>
                <w:rFonts w:eastAsiaTheme="minorHAnsi"/>
                <w:b w:val="0"/>
                <w:sz w:val="22"/>
                <w:szCs w:val="22"/>
                <w:lang w:val="lv-LV" w:eastAsia="en-US"/>
              </w:rPr>
              <w:t xml:space="preserve"> pēc būtības</w:t>
            </w:r>
            <w:r w:rsidR="004D622C" w:rsidRPr="00DE05E9">
              <w:rPr>
                <w:rFonts w:eastAsiaTheme="minorHAnsi"/>
                <w:b w:val="0"/>
                <w:sz w:val="22"/>
                <w:szCs w:val="22"/>
                <w:lang w:val="lv-LV" w:eastAsia="en-US"/>
              </w:rPr>
              <w:t>.</w:t>
            </w:r>
            <w:r w:rsidRPr="00DE05E9">
              <w:rPr>
                <w:rFonts w:eastAsiaTheme="minorHAnsi"/>
                <w:b w:val="0"/>
                <w:sz w:val="22"/>
                <w:szCs w:val="22"/>
                <w:lang w:val="lv-LV" w:eastAsia="en-US"/>
              </w:rPr>
              <w:t xml:space="preserve"> </w:t>
            </w:r>
          </w:p>
          <w:p w14:paraId="7B235440" w14:textId="4C2BA935" w:rsidR="004D622C" w:rsidRPr="00DE05E9" w:rsidRDefault="004D622C" w:rsidP="00FB71FD">
            <w:pPr>
              <w:pStyle w:val="Strat51"/>
              <w:numPr>
                <w:ilvl w:val="0"/>
                <w:numId w:val="17"/>
              </w:numPr>
              <w:rPr>
                <w:sz w:val="22"/>
                <w:szCs w:val="22"/>
                <w:lang w:val="lv-LV"/>
              </w:rPr>
            </w:pPr>
            <w:r w:rsidRPr="00DE05E9">
              <w:rPr>
                <w:sz w:val="22"/>
                <w:szCs w:val="22"/>
                <w:lang w:val="lv-LV"/>
              </w:rPr>
              <w:t>Pārsūdzēto iepirkuma procedūru skaits</w:t>
            </w:r>
          </w:p>
          <w:p w14:paraId="4E41E496" w14:textId="45802BAE" w:rsidR="00E92856" w:rsidRPr="00DE05E9" w:rsidRDefault="00E92856" w:rsidP="00FB71FD">
            <w:pPr>
              <w:pStyle w:val="Strat51"/>
              <w:numPr>
                <w:ilvl w:val="0"/>
                <w:numId w:val="19"/>
              </w:numPr>
              <w:rPr>
                <w:rFonts w:eastAsiaTheme="minorHAnsi"/>
                <w:b w:val="0"/>
                <w:sz w:val="22"/>
                <w:szCs w:val="22"/>
                <w:lang w:val="lv-LV" w:eastAsia="en-US"/>
              </w:rPr>
            </w:pPr>
            <w:r w:rsidRPr="00DE05E9">
              <w:rPr>
                <w:sz w:val="22"/>
                <w:szCs w:val="22"/>
                <w:lang w:val="lv-LV"/>
              </w:rPr>
              <w:t xml:space="preserve">272 </w:t>
            </w:r>
            <w:r w:rsidRPr="00DE05E9">
              <w:rPr>
                <w:b w:val="0"/>
                <w:sz w:val="22"/>
                <w:szCs w:val="22"/>
                <w:lang w:val="lv-LV"/>
              </w:rPr>
              <w:t>iepirkuma procedūras</w:t>
            </w:r>
            <w:r w:rsidRPr="00DE05E9">
              <w:rPr>
                <w:sz w:val="22"/>
                <w:szCs w:val="22"/>
                <w:lang w:val="lv-LV"/>
              </w:rPr>
              <w:t xml:space="preserve"> </w:t>
            </w:r>
            <w:r w:rsidRPr="00DE05E9">
              <w:rPr>
                <w:b w:val="0"/>
                <w:sz w:val="22"/>
                <w:szCs w:val="22"/>
                <w:lang w:val="lv-LV"/>
              </w:rPr>
              <w:t>(no izskatītajiem iesniegumiem; nav šādu datu no visiem apstrīdēšanas iesniegumiem)</w:t>
            </w:r>
            <w:r w:rsidR="004D622C" w:rsidRPr="00DE05E9">
              <w:rPr>
                <w:b w:val="0"/>
                <w:sz w:val="22"/>
                <w:szCs w:val="22"/>
                <w:lang w:val="lv-LV"/>
              </w:rPr>
              <w:t xml:space="preserve"> </w:t>
            </w:r>
          </w:p>
          <w:p w14:paraId="50EB1CB7" w14:textId="0BEC1273" w:rsidR="00E92856" w:rsidRPr="00DE05E9" w:rsidRDefault="005B5CA0" w:rsidP="00FB71FD">
            <w:pPr>
              <w:pStyle w:val="ListParagraph"/>
              <w:numPr>
                <w:ilvl w:val="0"/>
                <w:numId w:val="17"/>
              </w:numPr>
              <w:jc w:val="both"/>
              <w:rPr>
                <w:rFonts w:ascii="Times New Roman" w:hAnsi="Times New Roman" w:cs="Times New Roman"/>
                <w:b/>
                <w:lang w:val="en-US"/>
              </w:rPr>
            </w:pPr>
            <w:r w:rsidRPr="00DE05E9">
              <w:rPr>
                <w:rFonts w:ascii="Times New Roman" w:hAnsi="Times New Roman" w:cs="Times New Roman"/>
                <w:b/>
                <w:lang w:val="en-US"/>
              </w:rPr>
              <w:t>Izskatīto</w:t>
            </w:r>
            <w:r w:rsidR="004D622C" w:rsidRPr="00DE05E9">
              <w:rPr>
                <w:rFonts w:ascii="Times New Roman" w:hAnsi="Times New Roman" w:cs="Times New Roman"/>
                <w:b/>
                <w:lang w:val="en-US"/>
              </w:rPr>
              <w:t xml:space="preserve"> sūdzību skaits</w:t>
            </w:r>
          </w:p>
          <w:p w14:paraId="66B98A98" w14:textId="77777777" w:rsidR="00E92856" w:rsidRPr="00DE05E9" w:rsidRDefault="00E92856" w:rsidP="00FB71FD">
            <w:pPr>
              <w:pStyle w:val="ListParagraph"/>
              <w:numPr>
                <w:ilvl w:val="0"/>
                <w:numId w:val="19"/>
              </w:numPr>
              <w:jc w:val="both"/>
              <w:rPr>
                <w:rFonts w:ascii="Times New Roman" w:hAnsi="Times New Roman" w:cs="Times New Roman"/>
                <w:b/>
                <w:lang w:val="en-US"/>
              </w:rPr>
            </w:pPr>
            <w:r w:rsidRPr="00DE05E9">
              <w:rPr>
                <w:rFonts w:ascii="Times New Roman" w:hAnsi="Times New Roman" w:cs="Times New Roman"/>
                <w:b/>
                <w:lang w:val="en-US"/>
              </w:rPr>
              <w:t xml:space="preserve">405 </w:t>
            </w:r>
            <w:r w:rsidRPr="00DE05E9">
              <w:rPr>
                <w:rFonts w:ascii="Times New Roman" w:hAnsi="Times New Roman" w:cs="Times New Roman"/>
                <w:lang w:val="en-US"/>
              </w:rPr>
              <w:t>iesniegumi (sūdzības)</w:t>
            </w:r>
          </w:p>
          <w:p w14:paraId="634C770A" w14:textId="6A7C2815" w:rsidR="004D622C" w:rsidRPr="00DE05E9" w:rsidRDefault="004D622C" w:rsidP="00FB71FD">
            <w:pPr>
              <w:pStyle w:val="Strat51"/>
              <w:numPr>
                <w:ilvl w:val="0"/>
                <w:numId w:val="17"/>
              </w:numPr>
              <w:rPr>
                <w:sz w:val="22"/>
                <w:szCs w:val="22"/>
                <w:lang w:val="lv-LV"/>
              </w:rPr>
            </w:pPr>
            <w:r w:rsidRPr="00DE05E9">
              <w:rPr>
                <w:sz w:val="22"/>
                <w:szCs w:val="22"/>
                <w:lang w:val="lv-LV"/>
              </w:rPr>
              <w:t xml:space="preserve">To sūdzību skaits, kas </w:t>
            </w:r>
            <w:r w:rsidR="005B5CA0" w:rsidRPr="00DE05E9">
              <w:rPr>
                <w:sz w:val="22"/>
                <w:szCs w:val="22"/>
                <w:lang w:val="lv-LV"/>
              </w:rPr>
              <w:t>izskatītas</w:t>
            </w:r>
            <w:r w:rsidRPr="00DE05E9">
              <w:rPr>
                <w:sz w:val="22"/>
                <w:szCs w:val="22"/>
                <w:lang w:val="lv-LV"/>
              </w:rPr>
              <w:t xml:space="preserve"> iesniedzēja (piegādātāja) labā</w:t>
            </w:r>
          </w:p>
          <w:p w14:paraId="5D21DDD4" w14:textId="77777777" w:rsidR="00E92856" w:rsidRPr="00DE05E9" w:rsidRDefault="00E92856" w:rsidP="00FB71FD">
            <w:pPr>
              <w:pStyle w:val="Strat51"/>
              <w:numPr>
                <w:ilvl w:val="0"/>
                <w:numId w:val="19"/>
              </w:numPr>
              <w:rPr>
                <w:rFonts w:eastAsiaTheme="minorHAnsi"/>
                <w:b w:val="0"/>
                <w:sz w:val="22"/>
                <w:szCs w:val="22"/>
                <w:lang w:val="lv-LV" w:eastAsia="en-US"/>
              </w:rPr>
            </w:pPr>
            <w:r w:rsidRPr="00DE05E9">
              <w:rPr>
                <w:rFonts w:eastAsiaTheme="minorHAnsi"/>
                <w:sz w:val="22"/>
                <w:szCs w:val="22"/>
                <w:lang w:val="lv-LV" w:eastAsia="en-US"/>
              </w:rPr>
              <w:t>164</w:t>
            </w:r>
            <w:r w:rsidRPr="00DE05E9">
              <w:rPr>
                <w:rFonts w:eastAsiaTheme="minorHAnsi"/>
                <w:b w:val="0"/>
                <w:sz w:val="22"/>
                <w:szCs w:val="22"/>
                <w:lang w:val="lv-LV" w:eastAsia="en-US"/>
              </w:rPr>
              <w:t> pamatoti iesniegumi; 241 nepamatoti</w:t>
            </w:r>
          </w:p>
          <w:p w14:paraId="3C6E1A7F" w14:textId="6047EDD5" w:rsidR="00E92856" w:rsidRPr="00DE05E9" w:rsidRDefault="004D622C" w:rsidP="00FB71FD">
            <w:pPr>
              <w:pStyle w:val="Strat51"/>
              <w:numPr>
                <w:ilvl w:val="0"/>
                <w:numId w:val="17"/>
              </w:numPr>
              <w:rPr>
                <w:sz w:val="22"/>
                <w:szCs w:val="22"/>
                <w:lang w:val="lv-LV"/>
              </w:rPr>
            </w:pPr>
            <w:r w:rsidRPr="00DE05E9">
              <w:rPr>
                <w:sz w:val="22"/>
                <w:szCs w:val="22"/>
                <w:lang w:val="lv-LV"/>
              </w:rPr>
              <w:lastRenderedPageBreak/>
              <w:t>Pārskatīšanas iepirkumu procedūras vidējais ilgums</w:t>
            </w:r>
            <w:r w:rsidR="00E92856" w:rsidRPr="00DE05E9">
              <w:rPr>
                <w:rFonts w:eastAsiaTheme="minorHAnsi"/>
                <w:b w:val="0"/>
                <w:sz w:val="22"/>
                <w:szCs w:val="22"/>
                <w:lang w:val="lv-LV" w:eastAsia="en-US"/>
              </w:rPr>
              <w:t xml:space="preserve"> (no iesnieguma iesnie</w:t>
            </w:r>
            <w:r w:rsidRPr="00DE05E9">
              <w:rPr>
                <w:rFonts w:eastAsiaTheme="minorHAnsi"/>
                <w:b w:val="0"/>
                <w:sz w:val="22"/>
                <w:szCs w:val="22"/>
                <w:lang w:val="lv-LV" w:eastAsia="en-US"/>
              </w:rPr>
              <w:t>gšanas līdz lēmuma pieņemšanai):</w:t>
            </w:r>
          </w:p>
          <w:p w14:paraId="66FB5480" w14:textId="074E0BE1" w:rsidR="00E92856" w:rsidRPr="00DE05E9" w:rsidRDefault="004D622C" w:rsidP="00FB71FD">
            <w:pPr>
              <w:pStyle w:val="Strat51"/>
              <w:numPr>
                <w:ilvl w:val="0"/>
                <w:numId w:val="19"/>
              </w:numPr>
              <w:rPr>
                <w:rFonts w:eastAsiaTheme="minorHAnsi"/>
                <w:b w:val="0"/>
                <w:sz w:val="22"/>
                <w:szCs w:val="22"/>
                <w:lang w:val="lv-LV" w:eastAsia="en-US"/>
              </w:rPr>
            </w:pPr>
            <w:r w:rsidRPr="00DE05E9">
              <w:rPr>
                <w:rFonts w:eastAsiaTheme="minorHAnsi"/>
                <w:b w:val="0"/>
                <w:sz w:val="22"/>
                <w:szCs w:val="22"/>
                <w:lang w:val="lv-LV" w:eastAsia="en-US"/>
              </w:rPr>
              <w:t>Publisko iepirkumu jomas noramtīvajos aktos</w:t>
            </w:r>
            <w:r w:rsidR="00E92856" w:rsidRPr="00DE05E9">
              <w:rPr>
                <w:rFonts w:eastAsiaTheme="minorHAnsi"/>
                <w:b w:val="0"/>
                <w:sz w:val="22"/>
                <w:szCs w:val="22"/>
                <w:lang w:val="lv-LV" w:eastAsia="en-US"/>
              </w:rPr>
              <w:t xml:space="preserve"> noteikts </w:t>
            </w:r>
            <w:r w:rsidR="00E92856" w:rsidRPr="00DE05E9">
              <w:rPr>
                <w:rFonts w:eastAsiaTheme="minorHAnsi"/>
                <w:sz w:val="22"/>
                <w:szCs w:val="22"/>
                <w:lang w:val="lv-LV" w:eastAsia="en-US"/>
              </w:rPr>
              <w:t>viens mēnesis</w:t>
            </w:r>
            <w:r w:rsidR="00E92856" w:rsidRPr="00DE05E9">
              <w:rPr>
                <w:rFonts w:eastAsiaTheme="minorHAnsi"/>
                <w:b w:val="0"/>
                <w:sz w:val="22"/>
                <w:szCs w:val="22"/>
                <w:lang w:val="lv-LV" w:eastAsia="en-US"/>
              </w:rPr>
              <w:t xml:space="preserve"> (+ 3 darba dienas lēmuma paziņošanai), ar tiesībām pagarināt līdz 4 mēnešiem, ja nepieciešamam papildu informācija</w:t>
            </w:r>
          </w:p>
          <w:p w14:paraId="52E58E96" w14:textId="77777777" w:rsidR="00E92856" w:rsidRPr="00DE05E9" w:rsidRDefault="00E92856" w:rsidP="00FB71FD">
            <w:pPr>
              <w:pStyle w:val="Strat51"/>
              <w:numPr>
                <w:ilvl w:val="0"/>
                <w:numId w:val="19"/>
              </w:numPr>
              <w:rPr>
                <w:rFonts w:eastAsiaTheme="minorHAnsi"/>
                <w:b w:val="0"/>
                <w:sz w:val="22"/>
                <w:szCs w:val="22"/>
                <w:lang w:val="lv-LV" w:eastAsia="en-US"/>
              </w:rPr>
            </w:pPr>
            <w:r w:rsidRPr="00DE05E9">
              <w:rPr>
                <w:rFonts w:eastAsiaTheme="minorHAnsi"/>
                <w:b w:val="0"/>
                <w:sz w:val="22"/>
                <w:szCs w:val="22"/>
                <w:lang w:val="lv-LV" w:eastAsia="en-US"/>
              </w:rPr>
              <w:t xml:space="preserve">vidējais faktiskais garums, kad izskatīšanas termiņš netiek pagarināts jeb </w:t>
            </w:r>
            <w:r w:rsidRPr="00DE05E9">
              <w:rPr>
                <w:rFonts w:eastAsiaTheme="minorHAnsi"/>
                <w:sz w:val="22"/>
                <w:szCs w:val="22"/>
                <w:lang w:val="lv-LV" w:eastAsia="en-US"/>
              </w:rPr>
              <w:t>82% gadījumos</w:t>
            </w:r>
            <w:r w:rsidRPr="00DE05E9">
              <w:rPr>
                <w:rFonts w:eastAsiaTheme="minorHAnsi"/>
                <w:b w:val="0"/>
                <w:sz w:val="22"/>
                <w:szCs w:val="22"/>
                <w:lang w:val="lv-LV" w:eastAsia="en-US"/>
              </w:rPr>
              <w:t xml:space="preserve">, ir </w:t>
            </w:r>
            <w:r w:rsidRPr="00DE05E9">
              <w:rPr>
                <w:rFonts w:eastAsiaTheme="minorHAnsi"/>
                <w:sz w:val="22"/>
                <w:szCs w:val="22"/>
                <w:lang w:val="lv-LV" w:eastAsia="en-US"/>
              </w:rPr>
              <w:t>21 darbdiena</w:t>
            </w:r>
            <w:r w:rsidRPr="00DE05E9">
              <w:rPr>
                <w:rFonts w:eastAsiaTheme="minorHAnsi"/>
                <w:b w:val="0"/>
                <w:sz w:val="22"/>
                <w:szCs w:val="22"/>
                <w:lang w:val="lv-LV" w:eastAsia="en-US"/>
              </w:rPr>
              <w:t xml:space="preserve"> </w:t>
            </w:r>
          </w:p>
          <w:p w14:paraId="0B88AF64" w14:textId="6CEF7826" w:rsidR="00505141" w:rsidRPr="00DE05E9" w:rsidRDefault="00E92856" w:rsidP="00FB71FD">
            <w:pPr>
              <w:jc w:val="both"/>
              <w:rPr>
                <w:rFonts w:ascii="Times New Roman" w:hAnsi="Times New Roman" w:cs="Times New Roman"/>
              </w:rPr>
            </w:pPr>
            <w:r w:rsidRPr="00DE05E9">
              <w:rPr>
                <w:rFonts w:ascii="Times New Roman" w:hAnsi="Times New Roman" w:cs="Times New Roman"/>
                <w:lang w:val="lv-LV"/>
              </w:rPr>
              <w:t>vidējais faktiskais garums, kad izskatīšanas termiņš tiek pagarināts jeb 18% gadījumos, ir  35 darbdienas</w:t>
            </w:r>
            <w:r w:rsidR="004D622C" w:rsidRPr="00DE05E9">
              <w:rPr>
                <w:rFonts w:ascii="Times New Roman" w:hAnsi="Times New Roman" w:cs="Times New Roman"/>
                <w:lang w:val="lv-LV"/>
              </w:rPr>
              <w:t>.</w:t>
            </w:r>
          </w:p>
          <w:p w14:paraId="2364B7CE" w14:textId="2EDFEB19" w:rsidR="00095252" w:rsidRPr="00DE05E9" w:rsidRDefault="00095252" w:rsidP="00FB71FD">
            <w:pPr>
              <w:jc w:val="both"/>
              <w:rPr>
                <w:rFonts w:ascii="Times New Roman" w:hAnsi="Times New Roman" w:cs="Times New Roman"/>
              </w:rPr>
            </w:pPr>
            <w:r w:rsidRPr="00DE05E9">
              <w:rPr>
                <w:rFonts w:ascii="Times New Roman" w:hAnsi="Times New Roman" w:cs="Times New Roman"/>
                <w:lang w:val="en-US"/>
              </w:rPr>
              <w:t xml:space="preserve"> </w:t>
            </w:r>
          </w:p>
        </w:tc>
      </w:tr>
      <w:tr w:rsidR="00BE60E9" w:rsidRPr="00DE05E9" w14:paraId="5F3F355B" w14:textId="4FE8F1F8" w:rsidTr="001D79E5">
        <w:tc>
          <w:tcPr>
            <w:tcW w:w="4485" w:type="dxa"/>
          </w:tcPr>
          <w:p w14:paraId="2F9ACFF2" w14:textId="2B4BDB98" w:rsidR="00BE60E9" w:rsidRPr="00DE05E9" w:rsidRDefault="00AD5A2B" w:rsidP="00FB71FD">
            <w:pPr>
              <w:pStyle w:val="Heading3"/>
              <w:jc w:val="both"/>
              <w:outlineLvl w:val="2"/>
              <w:rPr>
                <w:rFonts w:ascii="Times New Roman" w:hAnsi="Times New Roman" w:cs="Times New Roman"/>
                <w:b w:val="0"/>
              </w:rPr>
            </w:pPr>
            <w:r w:rsidRPr="00DE05E9">
              <w:rPr>
                <w:rFonts w:ascii="Times New Roman" w:hAnsi="Times New Roman" w:cs="Times New Roman"/>
                <w:b w:val="0"/>
              </w:rPr>
              <w:lastRenderedPageBreak/>
              <w:t>Histogram of values</w:t>
            </w:r>
            <w:r w:rsidR="00F707A7" w:rsidRPr="00DE05E9">
              <w:rPr>
                <w:rFonts w:ascii="Times New Roman" w:hAnsi="Times New Roman" w:cs="Times New Roman"/>
                <w:b w:val="0"/>
              </w:rPr>
              <w:t xml:space="preserve"> of procedures</w:t>
            </w:r>
            <w:r w:rsidRPr="00DE05E9">
              <w:rPr>
                <w:rFonts w:ascii="Times New Roman" w:hAnsi="Times New Roman" w:cs="Times New Roman"/>
                <w:b w:val="0"/>
              </w:rPr>
              <w:t xml:space="preserve">, </w:t>
            </w:r>
            <w:r w:rsidR="006D4823" w:rsidRPr="00DE05E9">
              <w:rPr>
                <w:rFonts w:ascii="Times New Roman" w:hAnsi="Times New Roman" w:cs="Times New Roman"/>
                <w:b w:val="0"/>
              </w:rPr>
              <w:t xml:space="preserve">covering </w:t>
            </w:r>
            <w:r w:rsidR="00933EC9" w:rsidRPr="00DE05E9">
              <w:rPr>
                <w:rFonts w:ascii="Times New Roman" w:hAnsi="Times New Roman" w:cs="Times New Roman"/>
                <w:b w:val="0"/>
              </w:rPr>
              <w:t xml:space="preserve">also procedures below </w:t>
            </w:r>
            <w:r w:rsidR="000A0653" w:rsidRPr="00DE05E9">
              <w:rPr>
                <w:rFonts w:ascii="Times New Roman" w:hAnsi="Times New Roman" w:cs="Times New Roman"/>
                <w:b w:val="0"/>
              </w:rPr>
              <w:t>the thresholds</w:t>
            </w:r>
          </w:p>
        </w:tc>
        <w:tc>
          <w:tcPr>
            <w:tcW w:w="9509" w:type="dxa"/>
          </w:tcPr>
          <w:p w14:paraId="14B8FD4C" w14:textId="38BE20A5" w:rsidR="004F136D" w:rsidRPr="00DE05E9" w:rsidRDefault="008147D5" w:rsidP="00FB71FD">
            <w:pPr>
              <w:pStyle w:val="NoSpacing"/>
              <w:jc w:val="both"/>
              <w:rPr>
                <w:rFonts w:ascii="Times New Roman" w:hAnsi="Times New Roman" w:cs="Times New Roman"/>
                <w:b/>
                <w:u w:val="single"/>
              </w:rPr>
            </w:pPr>
            <w:r w:rsidRPr="00DE05E9">
              <w:rPr>
                <w:rFonts w:ascii="Times New Roman" w:hAnsi="Times New Roman" w:cs="Times New Roman"/>
                <w:b/>
                <w:u w:val="single"/>
              </w:rPr>
              <w:t>Informācija par iepirkumiem, kas veikti saskaņā ar Publsiko iepirkumu likumu</w:t>
            </w:r>
          </w:p>
          <w:p w14:paraId="7AFACC5E" w14:textId="0085347E" w:rsidR="00542ED1" w:rsidRPr="00DE05E9" w:rsidRDefault="008147D5" w:rsidP="00FB71FD">
            <w:pPr>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Dati apkopoti no Iepirkumu uzraudzības biroja tīmekļvietnē publicētajiem paziņojumiem par iepirkuma procedūru kopējo līgumcenu (iepirkuma līgumi un iepirkuma līgumi vispārīgās vienošanās ietvaros, izņemot vispārīgās vienošanās) par periodu no 2017. gada 1. janvāra līdz 2017. gada 31. decembrim, kur „Virs ES līgumcenu sliekšņa” piegādēm un pakalpojumiem no 135 000 EUR, būvdarbiem no 5 225 000 EUR; „Zem ES līgumcenu sliekšņa” piegādēm un pakalpojumiem no 42 000 EUR līdz 134 999,99 EUR, būvdarbiem no 170</w:t>
            </w:r>
            <w:r w:rsidR="00542ED1" w:rsidRPr="00DE05E9">
              <w:rPr>
                <w:rFonts w:ascii="Times New Roman" w:eastAsia="Times New Roman" w:hAnsi="Times New Roman" w:cs="Times New Roman"/>
                <w:color w:val="000000"/>
                <w:lang w:val="lv-LV"/>
              </w:rPr>
              <w:t> 000 EUR līdz 5 224 999,99 EUR.</w:t>
            </w:r>
          </w:p>
          <w:p w14:paraId="2F171D1F" w14:textId="77777777" w:rsidR="0077280E" w:rsidRDefault="0077280E" w:rsidP="00FB71FD">
            <w:pPr>
              <w:jc w:val="both"/>
              <w:rPr>
                <w:rFonts w:ascii="Times New Roman" w:eastAsia="Times New Roman" w:hAnsi="Times New Roman" w:cs="Times New Roman"/>
                <w:b/>
                <w:color w:val="000000"/>
                <w:lang w:val="lv-LV"/>
              </w:rPr>
            </w:pPr>
          </w:p>
          <w:p w14:paraId="6494DF96" w14:textId="77777777" w:rsidR="0077280E" w:rsidRDefault="0077280E" w:rsidP="00FB71FD">
            <w:pPr>
              <w:jc w:val="both"/>
              <w:rPr>
                <w:rFonts w:ascii="Times New Roman" w:eastAsia="Times New Roman" w:hAnsi="Times New Roman" w:cs="Times New Roman"/>
                <w:b/>
                <w:color w:val="000000"/>
                <w:lang w:val="lv-LV"/>
              </w:rPr>
            </w:pPr>
          </w:p>
          <w:p w14:paraId="77641475" w14:textId="77777777" w:rsidR="0077280E" w:rsidRDefault="0077280E" w:rsidP="00FB71FD">
            <w:pPr>
              <w:jc w:val="both"/>
              <w:rPr>
                <w:rFonts w:ascii="Times New Roman" w:eastAsia="Times New Roman" w:hAnsi="Times New Roman" w:cs="Times New Roman"/>
                <w:b/>
                <w:color w:val="000000"/>
                <w:lang w:val="lv-LV"/>
              </w:rPr>
            </w:pPr>
          </w:p>
          <w:p w14:paraId="150DE594" w14:textId="77777777" w:rsidR="0077280E" w:rsidRDefault="0077280E" w:rsidP="00FB71FD">
            <w:pPr>
              <w:jc w:val="both"/>
              <w:rPr>
                <w:rFonts w:ascii="Times New Roman" w:eastAsia="Times New Roman" w:hAnsi="Times New Roman" w:cs="Times New Roman"/>
                <w:b/>
                <w:color w:val="000000"/>
                <w:lang w:val="lv-LV"/>
              </w:rPr>
            </w:pPr>
          </w:p>
          <w:p w14:paraId="38290860" w14:textId="77777777" w:rsidR="0077280E" w:rsidRDefault="0077280E" w:rsidP="00FB71FD">
            <w:pPr>
              <w:jc w:val="both"/>
              <w:rPr>
                <w:rFonts w:ascii="Times New Roman" w:eastAsia="Times New Roman" w:hAnsi="Times New Roman" w:cs="Times New Roman"/>
                <w:b/>
                <w:color w:val="000000"/>
                <w:lang w:val="lv-LV"/>
              </w:rPr>
            </w:pPr>
          </w:p>
          <w:p w14:paraId="233F588F" w14:textId="77777777" w:rsidR="0077280E" w:rsidRDefault="0077280E" w:rsidP="00FB71FD">
            <w:pPr>
              <w:jc w:val="both"/>
              <w:rPr>
                <w:rFonts w:ascii="Times New Roman" w:eastAsia="Times New Roman" w:hAnsi="Times New Roman" w:cs="Times New Roman"/>
                <w:b/>
                <w:color w:val="000000"/>
                <w:lang w:val="lv-LV"/>
              </w:rPr>
            </w:pPr>
          </w:p>
          <w:p w14:paraId="67204508" w14:textId="77777777" w:rsidR="0077280E" w:rsidRDefault="0077280E" w:rsidP="00FB71FD">
            <w:pPr>
              <w:jc w:val="both"/>
              <w:rPr>
                <w:rFonts w:ascii="Times New Roman" w:eastAsia="Times New Roman" w:hAnsi="Times New Roman" w:cs="Times New Roman"/>
                <w:b/>
                <w:color w:val="000000"/>
                <w:lang w:val="lv-LV"/>
              </w:rPr>
            </w:pPr>
          </w:p>
          <w:p w14:paraId="649B9616" w14:textId="77777777" w:rsidR="0077280E" w:rsidRDefault="0077280E" w:rsidP="00FB71FD">
            <w:pPr>
              <w:jc w:val="both"/>
              <w:rPr>
                <w:rFonts w:ascii="Times New Roman" w:eastAsia="Times New Roman" w:hAnsi="Times New Roman" w:cs="Times New Roman"/>
                <w:b/>
                <w:color w:val="000000"/>
                <w:lang w:val="lv-LV"/>
              </w:rPr>
            </w:pPr>
          </w:p>
          <w:p w14:paraId="06722A93" w14:textId="77777777" w:rsidR="0077280E" w:rsidRDefault="0077280E" w:rsidP="00FB71FD">
            <w:pPr>
              <w:jc w:val="both"/>
              <w:rPr>
                <w:rFonts w:ascii="Times New Roman" w:eastAsia="Times New Roman" w:hAnsi="Times New Roman" w:cs="Times New Roman"/>
                <w:b/>
                <w:color w:val="000000"/>
                <w:lang w:val="lv-LV"/>
              </w:rPr>
            </w:pPr>
          </w:p>
          <w:p w14:paraId="03A28D83" w14:textId="77777777" w:rsidR="0077280E" w:rsidRDefault="0077280E" w:rsidP="00FB71FD">
            <w:pPr>
              <w:jc w:val="both"/>
              <w:rPr>
                <w:rFonts w:ascii="Times New Roman" w:eastAsia="Times New Roman" w:hAnsi="Times New Roman" w:cs="Times New Roman"/>
                <w:b/>
                <w:color w:val="000000"/>
                <w:lang w:val="lv-LV"/>
              </w:rPr>
            </w:pPr>
          </w:p>
          <w:p w14:paraId="529DF693" w14:textId="77777777" w:rsidR="0077280E" w:rsidRDefault="0077280E" w:rsidP="00FB71FD">
            <w:pPr>
              <w:jc w:val="both"/>
              <w:rPr>
                <w:rFonts w:ascii="Times New Roman" w:eastAsia="Times New Roman" w:hAnsi="Times New Roman" w:cs="Times New Roman"/>
                <w:b/>
                <w:color w:val="000000"/>
                <w:lang w:val="lv-LV"/>
              </w:rPr>
            </w:pPr>
          </w:p>
          <w:p w14:paraId="15B2531D" w14:textId="77777777" w:rsidR="0077280E" w:rsidRDefault="0077280E" w:rsidP="00FB71FD">
            <w:pPr>
              <w:jc w:val="both"/>
              <w:rPr>
                <w:rFonts w:ascii="Times New Roman" w:eastAsia="Times New Roman" w:hAnsi="Times New Roman" w:cs="Times New Roman"/>
                <w:b/>
                <w:color w:val="000000"/>
                <w:lang w:val="lv-LV"/>
              </w:rPr>
            </w:pPr>
          </w:p>
          <w:p w14:paraId="798A9353" w14:textId="77777777" w:rsidR="0077280E" w:rsidRDefault="0077280E" w:rsidP="00FB71FD">
            <w:pPr>
              <w:jc w:val="both"/>
              <w:rPr>
                <w:rFonts w:ascii="Times New Roman" w:eastAsia="Times New Roman" w:hAnsi="Times New Roman" w:cs="Times New Roman"/>
                <w:b/>
                <w:color w:val="000000"/>
                <w:lang w:val="lv-LV"/>
              </w:rPr>
            </w:pPr>
          </w:p>
          <w:p w14:paraId="0AE80CA3" w14:textId="77777777" w:rsidR="0077280E" w:rsidRDefault="0077280E" w:rsidP="00FB71FD">
            <w:pPr>
              <w:jc w:val="both"/>
              <w:rPr>
                <w:rFonts w:ascii="Times New Roman" w:eastAsia="Times New Roman" w:hAnsi="Times New Roman" w:cs="Times New Roman"/>
                <w:b/>
                <w:color w:val="000000"/>
                <w:lang w:val="lv-LV"/>
              </w:rPr>
            </w:pPr>
          </w:p>
          <w:p w14:paraId="7C178116" w14:textId="77777777" w:rsidR="0077280E" w:rsidRDefault="0077280E" w:rsidP="00FB71FD">
            <w:pPr>
              <w:jc w:val="both"/>
              <w:rPr>
                <w:rFonts w:ascii="Times New Roman" w:eastAsia="Times New Roman" w:hAnsi="Times New Roman" w:cs="Times New Roman"/>
                <w:b/>
                <w:color w:val="000000"/>
                <w:lang w:val="lv-LV"/>
              </w:rPr>
            </w:pPr>
          </w:p>
          <w:p w14:paraId="7E85F9A5" w14:textId="77777777" w:rsidR="0077280E" w:rsidRDefault="0077280E" w:rsidP="00FB71FD">
            <w:pPr>
              <w:jc w:val="both"/>
              <w:rPr>
                <w:rFonts w:ascii="Times New Roman" w:eastAsia="Times New Roman" w:hAnsi="Times New Roman" w:cs="Times New Roman"/>
                <w:b/>
                <w:color w:val="000000"/>
                <w:lang w:val="lv-LV"/>
              </w:rPr>
            </w:pPr>
          </w:p>
          <w:p w14:paraId="078A2DE0" w14:textId="31640888" w:rsidR="008147D5" w:rsidRDefault="008147D5" w:rsidP="00FB71FD">
            <w:pPr>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t>Būvdarbi,</w:t>
            </w:r>
            <w:r w:rsidR="00542ED1" w:rsidRPr="00DE05E9">
              <w:rPr>
                <w:rFonts w:ascii="Times New Roman" w:eastAsia="Times New Roman" w:hAnsi="Times New Roman" w:cs="Times New Roman"/>
                <w:b/>
                <w:color w:val="000000"/>
                <w:lang w:val="lv-LV"/>
              </w:rPr>
              <w:t xml:space="preserve"> kuru kopējā līgumcena ir zem ES līgumcenu sliekšņa,</w:t>
            </w:r>
            <w:r w:rsidRPr="00DE05E9">
              <w:rPr>
                <w:rFonts w:ascii="Times New Roman" w:eastAsia="Times New Roman" w:hAnsi="Times New Roman" w:cs="Times New Roman"/>
                <w:b/>
                <w:color w:val="000000"/>
                <w:lang w:val="lv-LV"/>
              </w:rPr>
              <w:t xml:space="preserve"> EUR bez PVN (</w:t>
            </w:r>
            <w:r w:rsidR="00542ED1" w:rsidRPr="00DE05E9">
              <w:rPr>
                <w:rFonts w:ascii="Times New Roman" w:eastAsia="Times New Roman" w:hAnsi="Times New Roman" w:cs="Times New Roman"/>
                <w:b/>
                <w:color w:val="000000"/>
                <w:lang w:val="lv-LV"/>
              </w:rPr>
              <w:t>Histogrammā ir norādīti visi iepirkumā noslēgtie līgumi, tai skaitā arī par iepirkumiem, kuri sadalīti daļās un kur par katru daļu noslēgts atsevišķs līgums.</w:t>
            </w:r>
            <w:r w:rsidRPr="00DE05E9">
              <w:rPr>
                <w:rFonts w:ascii="Times New Roman" w:eastAsia="Times New Roman" w:hAnsi="Times New Roman" w:cs="Times New Roman"/>
                <w:b/>
                <w:color w:val="000000"/>
                <w:lang w:val="lv-LV"/>
              </w:rPr>
              <w:t>)</w:t>
            </w:r>
          </w:p>
          <w:p w14:paraId="65A80DBD" w14:textId="77777777" w:rsidR="0077280E" w:rsidRPr="00DE05E9" w:rsidRDefault="0077280E" w:rsidP="00FB71FD">
            <w:pPr>
              <w:jc w:val="both"/>
              <w:rPr>
                <w:rFonts w:ascii="Times New Roman" w:eastAsia="Times New Roman" w:hAnsi="Times New Roman" w:cs="Times New Roman"/>
                <w:b/>
                <w:color w:val="000000"/>
                <w:lang w:val="lv-LV"/>
              </w:rPr>
            </w:pPr>
          </w:p>
          <w:p w14:paraId="5B0EA8DD" w14:textId="558918E8" w:rsidR="008147D5" w:rsidRPr="00DE05E9" w:rsidRDefault="008147D5" w:rsidP="00FB71FD">
            <w:pPr>
              <w:jc w:val="both"/>
              <w:rPr>
                <w:rFonts w:ascii="Times New Roman" w:eastAsia="Times New Roman" w:hAnsi="Times New Roman" w:cs="Times New Roman"/>
                <w:color w:val="000000"/>
                <w:lang w:val="lv-LV"/>
              </w:rPr>
            </w:pPr>
            <w:r w:rsidRPr="00DE05E9">
              <w:rPr>
                <w:rFonts w:ascii="Times New Roman" w:hAnsi="Times New Roman" w:cs="Times New Roman"/>
                <w:noProof/>
                <w:lang w:val="lv-LV" w:eastAsia="lv-LV"/>
              </w:rPr>
              <mc:AlternateContent>
                <mc:Choice Requires="cx1">
                  <w:drawing>
                    <wp:inline distT="0" distB="0" distL="0" distR="0" wp14:anchorId="677584E9" wp14:editId="3E65CDDF">
                      <wp:extent cx="4572000" cy="3819525"/>
                      <wp:effectExtent l="0" t="0" r="0" b="9525"/>
                      <wp:docPr id="4" name="Chart 4">
                        <a:extLst xmlns:a="http://schemas.openxmlformats.org/drawingml/2006/main">
                          <a:ext uri="{FF2B5EF4-FFF2-40B4-BE49-F238E27FC236}">
                            <a16:creationId xmlns:a16="http://schemas.microsoft.com/office/drawing/2014/main" id="{66CB71BB-76BE-418B-9DC2-92829AD47B2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drawing>
                    <wp:inline distT="0" distB="0" distL="0" distR="0" wp14:anchorId="677584E9" wp14:editId="3E65CDDF">
                      <wp:extent cx="4572000" cy="3819525"/>
                      <wp:effectExtent l="0" t="0" r="0" b="9525"/>
                      <wp:docPr id="4" name="Chart 4">
                        <a:extLst xmlns:a="http://schemas.openxmlformats.org/drawingml/2006/main">
                          <a:ext uri="{FF2B5EF4-FFF2-40B4-BE49-F238E27FC236}">
                            <a16:creationId xmlns:a16="http://schemas.microsoft.com/office/drawing/2014/main" id="{66CB71BB-76BE-418B-9DC2-92829AD47B2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4" name="Chart 4">
                                <a:extLst>
                                  <a:ext uri="{FF2B5EF4-FFF2-40B4-BE49-F238E27FC236}">
                                    <a16:creationId xmlns:a16="http://schemas.microsoft.com/office/drawing/2014/main" id="{66CB71BB-76BE-418B-9DC2-92829AD47B24}"/>
                                  </a:ext>
                                </a:extLst>
                              </pic:cNvPr>
                              <pic:cNvPicPr>
                                <a:picLocks noGrp="1" noRot="1" noChangeAspect="1" noMove="1" noResize="1" noEditPoints="1" noAdjustHandles="1" noChangeArrowheads="1" noChangeShapeType="1"/>
                              </pic:cNvPicPr>
                            </pic:nvPicPr>
                            <pic:blipFill>
                              <a:blip r:embed="rId15"/>
                              <a:stretch>
                                <a:fillRect/>
                              </a:stretch>
                            </pic:blipFill>
                            <pic:spPr>
                              <a:xfrm>
                                <a:off x="0" y="0"/>
                                <a:ext cx="4572000" cy="3819525"/>
                              </a:xfrm>
                              <a:prstGeom prst="rect">
                                <a:avLst/>
                              </a:prstGeom>
                            </pic:spPr>
                          </pic:pic>
                        </a:graphicData>
                      </a:graphic>
                    </wp:inline>
                  </w:drawing>
                </mc:Fallback>
              </mc:AlternateContent>
            </w:r>
          </w:p>
          <w:p w14:paraId="5C7112DB" w14:textId="57B064E0" w:rsidR="008147D5" w:rsidRPr="00DE05E9" w:rsidRDefault="008147D5" w:rsidP="00FB71FD">
            <w:pPr>
              <w:jc w:val="both"/>
              <w:rPr>
                <w:rFonts w:ascii="Times New Roman" w:eastAsia="Times New Roman" w:hAnsi="Times New Roman" w:cs="Times New Roman"/>
                <w:color w:val="000000"/>
                <w:lang w:val="lv-LV"/>
              </w:rPr>
            </w:pPr>
          </w:p>
          <w:p w14:paraId="251AD266" w14:textId="18767F32" w:rsidR="00FB71FD" w:rsidRPr="00DE05E9" w:rsidRDefault="00FB71FD" w:rsidP="00FB71FD">
            <w:pPr>
              <w:jc w:val="both"/>
              <w:rPr>
                <w:rFonts w:ascii="Times New Roman" w:eastAsia="Times New Roman" w:hAnsi="Times New Roman" w:cs="Times New Roman"/>
                <w:color w:val="000000"/>
                <w:lang w:val="lv-LV"/>
              </w:rPr>
            </w:pPr>
          </w:p>
          <w:p w14:paraId="14FA5A1D" w14:textId="275E9C5F" w:rsidR="00FB71FD" w:rsidRPr="00DE05E9" w:rsidRDefault="00FB71FD" w:rsidP="00FB71FD">
            <w:pPr>
              <w:jc w:val="both"/>
              <w:rPr>
                <w:rFonts w:ascii="Times New Roman" w:eastAsia="Times New Roman" w:hAnsi="Times New Roman" w:cs="Times New Roman"/>
                <w:color w:val="000000"/>
                <w:lang w:val="lv-LV"/>
              </w:rPr>
            </w:pPr>
          </w:p>
          <w:p w14:paraId="73A1BFE0" w14:textId="2E858ADE" w:rsidR="00FB71FD" w:rsidRPr="00DE05E9" w:rsidRDefault="00FB71FD" w:rsidP="00FB71FD">
            <w:pPr>
              <w:jc w:val="both"/>
              <w:rPr>
                <w:rFonts w:ascii="Times New Roman" w:eastAsia="Times New Roman" w:hAnsi="Times New Roman" w:cs="Times New Roman"/>
                <w:color w:val="000000"/>
                <w:lang w:val="lv-LV"/>
              </w:rPr>
            </w:pPr>
          </w:p>
          <w:p w14:paraId="542D2969" w14:textId="1E97D5ED" w:rsidR="00FB71FD" w:rsidRPr="00DE05E9" w:rsidRDefault="00FB71FD" w:rsidP="00FB71FD">
            <w:pPr>
              <w:jc w:val="both"/>
              <w:rPr>
                <w:rFonts w:ascii="Times New Roman" w:eastAsia="Times New Roman" w:hAnsi="Times New Roman" w:cs="Times New Roman"/>
                <w:color w:val="000000"/>
                <w:lang w:val="lv-LV"/>
              </w:rPr>
            </w:pPr>
          </w:p>
          <w:p w14:paraId="41F6B379" w14:textId="106D0196" w:rsidR="00FB71FD" w:rsidRPr="00DE05E9" w:rsidRDefault="00FB71FD" w:rsidP="00FB71FD">
            <w:pPr>
              <w:jc w:val="both"/>
              <w:rPr>
                <w:rFonts w:ascii="Times New Roman" w:eastAsia="Times New Roman" w:hAnsi="Times New Roman" w:cs="Times New Roman"/>
                <w:color w:val="000000"/>
                <w:lang w:val="lv-LV"/>
              </w:rPr>
            </w:pPr>
          </w:p>
          <w:p w14:paraId="40E28E44" w14:textId="57BECF36" w:rsidR="00FB71FD" w:rsidRPr="00DE05E9" w:rsidRDefault="00FB71FD" w:rsidP="00FB71FD">
            <w:pPr>
              <w:jc w:val="both"/>
              <w:rPr>
                <w:rFonts w:ascii="Times New Roman" w:eastAsia="Times New Roman" w:hAnsi="Times New Roman" w:cs="Times New Roman"/>
                <w:color w:val="000000"/>
                <w:lang w:val="lv-LV"/>
              </w:rPr>
            </w:pPr>
          </w:p>
          <w:p w14:paraId="17E57CEB" w14:textId="5A358DDF" w:rsidR="00FB71FD" w:rsidRPr="00DE05E9" w:rsidRDefault="00FB71FD" w:rsidP="00FB71FD">
            <w:pPr>
              <w:jc w:val="both"/>
              <w:rPr>
                <w:rFonts w:ascii="Times New Roman" w:eastAsia="Times New Roman" w:hAnsi="Times New Roman" w:cs="Times New Roman"/>
                <w:color w:val="000000"/>
                <w:lang w:val="lv-LV"/>
              </w:rPr>
            </w:pPr>
          </w:p>
          <w:p w14:paraId="78ED3CF6" w14:textId="66F8C973" w:rsidR="008147D5" w:rsidRPr="00DE05E9" w:rsidRDefault="008147D5" w:rsidP="00FB71FD">
            <w:pPr>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lastRenderedPageBreak/>
              <w:t xml:space="preserve">Piegāde un pakalpojumi, </w:t>
            </w:r>
            <w:r w:rsidR="00542ED1" w:rsidRPr="00DE05E9">
              <w:rPr>
                <w:rFonts w:ascii="Times New Roman" w:eastAsia="Times New Roman" w:hAnsi="Times New Roman" w:cs="Times New Roman"/>
                <w:b/>
                <w:color w:val="000000"/>
                <w:lang w:val="lv-LV"/>
              </w:rPr>
              <w:t>kuru kopējā līgumcena ir zem ES līgumcenu sliekšņa, EUR bez PVN (Histogrammā ir norādīti visi iepirkumā noslēgtie līgumi, tai skaitā arī par iepirkumiem, kuri sadalīti daļās un kur par katru daļu noslēgts atsevišķs līgums.)</w:t>
            </w:r>
          </w:p>
          <w:p w14:paraId="4048AEAA" w14:textId="77777777" w:rsidR="008147D5" w:rsidRPr="00DE05E9" w:rsidRDefault="008147D5" w:rsidP="00FB71FD">
            <w:pPr>
              <w:jc w:val="both"/>
              <w:rPr>
                <w:rFonts w:ascii="Times New Roman" w:eastAsia="Times New Roman" w:hAnsi="Times New Roman" w:cs="Times New Roman"/>
                <w:color w:val="000000"/>
                <w:lang w:val="lv-LV"/>
              </w:rPr>
            </w:pPr>
            <w:r w:rsidRPr="00DE05E9">
              <w:rPr>
                <w:rFonts w:ascii="Times New Roman" w:hAnsi="Times New Roman" w:cs="Times New Roman"/>
                <w:noProof/>
                <w:lang w:val="lv-LV" w:eastAsia="lv-LV"/>
              </w:rPr>
              <mc:AlternateContent>
                <mc:Choice Requires="cx1">
                  <w:drawing>
                    <wp:inline distT="0" distB="0" distL="0" distR="0" wp14:anchorId="104F506C" wp14:editId="626D936A">
                      <wp:extent cx="4572000" cy="3338514"/>
                      <wp:effectExtent l="0" t="0" r="0" b="14605"/>
                      <wp:docPr id="2" name="Chart 2">
                        <a:extLst xmlns:a="http://schemas.openxmlformats.org/drawingml/2006/main">
                          <a:ext uri="{FF2B5EF4-FFF2-40B4-BE49-F238E27FC236}">
                            <a16:creationId xmlns:a16="http://schemas.microsoft.com/office/drawing/2014/main" id="{3C1ED1FB-4E62-4915-8807-077D892DE2FC}"/>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6"/>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drawing>
                    <wp:inline distT="0" distB="0" distL="0" distR="0" wp14:anchorId="104F506C" wp14:editId="626D936A">
                      <wp:extent cx="4572000" cy="3338514"/>
                      <wp:effectExtent l="0" t="0" r="0" b="14605"/>
                      <wp:docPr id="2" name="Chart 2">
                        <a:extLst xmlns:a="http://schemas.openxmlformats.org/drawingml/2006/main">
                          <a:ext uri="{FF2B5EF4-FFF2-40B4-BE49-F238E27FC236}">
                            <a16:creationId xmlns:a16="http://schemas.microsoft.com/office/drawing/2014/main" id="{3C1ED1FB-4E62-4915-8807-077D892DE2FC}"/>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 name="Chart 2">
                                <a:extLst>
                                  <a:ext uri="{FF2B5EF4-FFF2-40B4-BE49-F238E27FC236}">
                                    <a16:creationId xmlns:a16="http://schemas.microsoft.com/office/drawing/2014/main" id="{3C1ED1FB-4E62-4915-8807-077D892DE2FC}"/>
                                  </a:ext>
                                </a:extLst>
                              </pic:cNvPr>
                              <pic:cNvPicPr>
                                <a:picLocks noGrp="1" noRot="1" noChangeAspect="1" noMove="1" noResize="1" noEditPoints="1" noAdjustHandles="1" noChangeArrowheads="1" noChangeShapeType="1"/>
                              </pic:cNvPicPr>
                            </pic:nvPicPr>
                            <pic:blipFill>
                              <a:blip r:embed="rId17"/>
                              <a:stretch>
                                <a:fillRect/>
                              </a:stretch>
                            </pic:blipFill>
                            <pic:spPr>
                              <a:xfrm>
                                <a:off x="0" y="0"/>
                                <a:ext cx="4572000" cy="3338195"/>
                              </a:xfrm>
                              <a:prstGeom prst="rect">
                                <a:avLst/>
                              </a:prstGeom>
                            </pic:spPr>
                          </pic:pic>
                        </a:graphicData>
                      </a:graphic>
                    </wp:inline>
                  </w:drawing>
                </mc:Fallback>
              </mc:AlternateContent>
            </w:r>
          </w:p>
          <w:p w14:paraId="3F618EFE" w14:textId="7055D494" w:rsidR="008147D5" w:rsidRPr="00DE05E9" w:rsidRDefault="008147D5" w:rsidP="00FB71FD">
            <w:pPr>
              <w:jc w:val="both"/>
              <w:rPr>
                <w:rFonts w:ascii="Times New Roman" w:eastAsia="Times New Roman" w:hAnsi="Times New Roman" w:cs="Times New Roman"/>
                <w:color w:val="000000"/>
                <w:lang w:val="lv-LV"/>
              </w:rPr>
            </w:pPr>
          </w:p>
          <w:p w14:paraId="27C91F2A" w14:textId="69C588B3" w:rsidR="00FB71FD" w:rsidRPr="00DE05E9" w:rsidRDefault="00FB71FD" w:rsidP="00FB71FD">
            <w:pPr>
              <w:jc w:val="both"/>
              <w:rPr>
                <w:rFonts w:ascii="Times New Roman" w:eastAsia="Times New Roman" w:hAnsi="Times New Roman" w:cs="Times New Roman"/>
                <w:color w:val="000000"/>
                <w:lang w:val="lv-LV"/>
              </w:rPr>
            </w:pPr>
          </w:p>
          <w:p w14:paraId="5A1A2C3E" w14:textId="623891E5" w:rsidR="00FB71FD" w:rsidRPr="00DE05E9" w:rsidRDefault="00FB71FD" w:rsidP="00FB71FD">
            <w:pPr>
              <w:jc w:val="both"/>
              <w:rPr>
                <w:rFonts w:ascii="Times New Roman" w:eastAsia="Times New Roman" w:hAnsi="Times New Roman" w:cs="Times New Roman"/>
                <w:color w:val="000000"/>
                <w:lang w:val="lv-LV"/>
              </w:rPr>
            </w:pPr>
          </w:p>
          <w:p w14:paraId="2F41D6C2" w14:textId="7CAEEB1F" w:rsidR="00FB71FD" w:rsidRPr="00DE05E9" w:rsidRDefault="00FB71FD" w:rsidP="00FB71FD">
            <w:pPr>
              <w:jc w:val="both"/>
              <w:rPr>
                <w:rFonts w:ascii="Times New Roman" w:eastAsia="Times New Roman" w:hAnsi="Times New Roman" w:cs="Times New Roman"/>
                <w:color w:val="000000"/>
                <w:lang w:val="lv-LV"/>
              </w:rPr>
            </w:pPr>
          </w:p>
          <w:p w14:paraId="5D7EFD0B" w14:textId="2B70762C" w:rsidR="00FB71FD" w:rsidRPr="00DE05E9" w:rsidRDefault="00FB71FD" w:rsidP="00FB71FD">
            <w:pPr>
              <w:jc w:val="both"/>
              <w:rPr>
                <w:rFonts w:ascii="Times New Roman" w:eastAsia="Times New Roman" w:hAnsi="Times New Roman" w:cs="Times New Roman"/>
                <w:color w:val="000000"/>
                <w:lang w:val="lv-LV"/>
              </w:rPr>
            </w:pPr>
          </w:p>
          <w:p w14:paraId="1472329B" w14:textId="61CA55D5" w:rsidR="00FB71FD" w:rsidRPr="00DE05E9" w:rsidRDefault="00FB71FD" w:rsidP="00FB71FD">
            <w:pPr>
              <w:jc w:val="both"/>
              <w:rPr>
                <w:rFonts w:ascii="Times New Roman" w:eastAsia="Times New Roman" w:hAnsi="Times New Roman" w:cs="Times New Roman"/>
                <w:color w:val="000000"/>
                <w:lang w:val="lv-LV"/>
              </w:rPr>
            </w:pPr>
          </w:p>
          <w:p w14:paraId="2A4BC59D" w14:textId="4B77EEE1" w:rsidR="00FB71FD" w:rsidRPr="00DE05E9" w:rsidRDefault="00FB71FD" w:rsidP="00FB71FD">
            <w:pPr>
              <w:jc w:val="both"/>
              <w:rPr>
                <w:rFonts w:ascii="Times New Roman" w:eastAsia="Times New Roman" w:hAnsi="Times New Roman" w:cs="Times New Roman"/>
                <w:color w:val="000000"/>
                <w:lang w:val="lv-LV"/>
              </w:rPr>
            </w:pPr>
          </w:p>
          <w:p w14:paraId="531409E6" w14:textId="6D52FD88" w:rsidR="00FB71FD" w:rsidRPr="00DE05E9" w:rsidRDefault="00FB71FD" w:rsidP="00FB71FD">
            <w:pPr>
              <w:jc w:val="both"/>
              <w:rPr>
                <w:rFonts w:ascii="Times New Roman" w:eastAsia="Times New Roman" w:hAnsi="Times New Roman" w:cs="Times New Roman"/>
                <w:color w:val="000000"/>
                <w:lang w:val="lv-LV"/>
              </w:rPr>
            </w:pPr>
          </w:p>
          <w:p w14:paraId="23D54AD6" w14:textId="45484077" w:rsidR="00FB71FD" w:rsidRPr="00DE05E9" w:rsidRDefault="00FB71FD" w:rsidP="00FB71FD">
            <w:pPr>
              <w:jc w:val="both"/>
              <w:rPr>
                <w:rFonts w:ascii="Times New Roman" w:eastAsia="Times New Roman" w:hAnsi="Times New Roman" w:cs="Times New Roman"/>
                <w:color w:val="000000"/>
                <w:lang w:val="lv-LV"/>
              </w:rPr>
            </w:pPr>
          </w:p>
          <w:p w14:paraId="7FDDF1B0" w14:textId="6BE5B5A0" w:rsidR="00FB71FD" w:rsidRPr="00DE05E9" w:rsidRDefault="00FB71FD" w:rsidP="00FB71FD">
            <w:pPr>
              <w:jc w:val="both"/>
              <w:rPr>
                <w:rFonts w:ascii="Times New Roman" w:eastAsia="Times New Roman" w:hAnsi="Times New Roman" w:cs="Times New Roman"/>
                <w:color w:val="000000"/>
                <w:lang w:val="lv-LV"/>
              </w:rPr>
            </w:pPr>
          </w:p>
          <w:p w14:paraId="726DABDD" w14:textId="217DBB16" w:rsidR="00FB71FD" w:rsidRPr="00DE05E9" w:rsidRDefault="00FB71FD" w:rsidP="00FB71FD">
            <w:pPr>
              <w:jc w:val="both"/>
              <w:rPr>
                <w:rFonts w:ascii="Times New Roman" w:eastAsia="Times New Roman" w:hAnsi="Times New Roman" w:cs="Times New Roman"/>
                <w:color w:val="000000"/>
                <w:lang w:val="lv-LV"/>
              </w:rPr>
            </w:pPr>
          </w:p>
          <w:p w14:paraId="1CB77AF2" w14:textId="4BD32E9D" w:rsidR="008147D5" w:rsidRPr="00DE05E9" w:rsidRDefault="008147D5" w:rsidP="00FB71FD">
            <w:pPr>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lastRenderedPageBreak/>
              <w:t xml:space="preserve">Būvdarbi, </w:t>
            </w:r>
            <w:r w:rsidR="00542ED1" w:rsidRPr="00DE05E9">
              <w:rPr>
                <w:rFonts w:ascii="Times New Roman" w:eastAsia="Times New Roman" w:hAnsi="Times New Roman" w:cs="Times New Roman"/>
                <w:b/>
                <w:color w:val="000000"/>
                <w:lang w:val="lv-LV"/>
              </w:rPr>
              <w:t>kuru kopējā līgumcena ir virs ES līgumcenu sliekšņa, EUR bez PVN (Histogrammā ir norādīti visi iepirkumā noslēgtie līgumi, tai skaitā arī par iepirkumiem, kuri sadalīti daļās un kur par katru daļu noslēgts atsevišķs līgums.)</w:t>
            </w:r>
          </w:p>
          <w:p w14:paraId="45F45321" w14:textId="77777777" w:rsidR="008147D5" w:rsidRPr="00DE05E9" w:rsidRDefault="008147D5" w:rsidP="00FB71FD">
            <w:pPr>
              <w:jc w:val="both"/>
              <w:rPr>
                <w:rFonts w:ascii="Times New Roman" w:eastAsia="Times New Roman" w:hAnsi="Times New Roman" w:cs="Times New Roman"/>
                <w:color w:val="000000"/>
                <w:lang w:val="lv-LV"/>
              </w:rPr>
            </w:pPr>
            <w:r w:rsidRPr="00DE05E9">
              <w:rPr>
                <w:rFonts w:ascii="Times New Roman" w:hAnsi="Times New Roman" w:cs="Times New Roman"/>
                <w:noProof/>
                <w:lang w:val="lv-LV" w:eastAsia="lv-LV"/>
              </w:rPr>
              <mc:AlternateContent>
                <mc:Choice Requires="cx1">
                  <w:drawing>
                    <wp:inline distT="0" distB="0" distL="0" distR="0" wp14:anchorId="4D95DE9D" wp14:editId="3498D9F7">
                      <wp:extent cx="4572000" cy="3829050"/>
                      <wp:effectExtent l="0" t="0" r="0" b="0"/>
                      <wp:docPr id="3" name="Chart 3">
                        <a:extLst xmlns:a="http://schemas.openxmlformats.org/drawingml/2006/main">
                          <a:ext uri="{FF2B5EF4-FFF2-40B4-BE49-F238E27FC236}">
                            <a16:creationId xmlns:a16="http://schemas.microsoft.com/office/drawing/2014/main" id="{B4B6E402-92DC-4631-8CF4-EBD6EB45DB37}"/>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8"/>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drawing>
                    <wp:inline distT="0" distB="0" distL="0" distR="0" wp14:anchorId="4D95DE9D" wp14:editId="3498D9F7">
                      <wp:extent cx="4572000" cy="3829050"/>
                      <wp:effectExtent l="0" t="0" r="0" b="0"/>
                      <wp:docPr id="3" name="Chart 3">
                        <a:extLst xmlns:a="http://schemas.openxmlformats.org/drawingml/2006/main">
                          <a:ext uri="{FF2B5EF4-FFF2-40B4-BE49-F238E27FC236}">
                            <a16:creationId xmlns:a16="http://schemas.microsoft.com/office/drawing/2014/main" id="{B4B6E402-92DC-4631-8CF4-EBD6EB45DB37}"/>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 name="Chart 3">
                                <a:extLst>
                                  <a:ext uri="{FF2B5EF4-FFF2-40B4-BE49-F238E27FC236}">
                                    <a16:creationId xmlns:a16="http://schemas.microsoft.com/office/drawing/2014/main" id="{B4B6E402-92DC-4631-8CF4-EBD6EB45DB37}"/>
                                  </a:ext>
                                </a:extLst>
                              </pic:cNvPr>
                              <pic:cNvPicPr>
                                <a:picLocks noGrp="1" noRot="1" noChangeAspect="1" noMove="1" noResize="1" noEditPoints="1" noAdjustHandles="1" noChangeArrowheads="1" noChangeShapeType="1"/>
                              </pic:cNvPicPr>
                            </pic:nvPicPr>
                            <pic:blipFill>
                              <a:blip r:embed="rId19"/>
                              <a:stretch>
                                <a:fillRect/>
                              </a:stretch>
                            </pic:blipFill>
                            <pic:spPr>
                              <a:xfrm>
                                <a:off x="0" y="0"/>
                                <a:ext cx="4572000" cy="3829050"/>
                              </a:xfrm>
                              <a:prstGeom prst="rect">
                                <a:avLst/>
                              </a:prstGeom>
                            </pic:spPr>
                          </pic:pic>
                        </a:graphicData>
                      </a:graphic>
                    </wp:inline>
                  </w:drawing>
                </mc:Fallback>
              </mc:AlternateContent>
            </w:r>
          </w:p>
          <w:p w14:paraId="49260230" w14:textId="19EC6060" w:rsidR="008147D5" w:rsidRPr="00DE05E9" w:rsidRDefault="008147D5" w:rsidP="00FB71FD">
            <w:pPr>
              <w:jc w:val="both"/>
              <w:rPr>
                <w:rFonts w:ascii="Times New Roman" w:eastAsia="Times New Roman" w:hAnsi="Times New Roman" w:cs="Times New Roman"/>
                <w:color w:val="000000"/>
                <w:lang w:val="lv-LV"/>
              </w:rPr>
            </w:pPr>
          </w:p>
          <w:p w14:paraId="1C3A082D" w14:textId="103BB75F" w:rsidR="008147D5" w:rsidRPr="00DE05E9" w:rsidRDefault="008147D5" w:rsidP="00FB71FD">
            <w:pPr>
              <w:jc w:val="both"/>
              <w:rPr>
                <w:rFonts w:ascii="Times New Roman" w:eastAsia="Times New Roman" w:hAnsi="Times New Roman" w:cs="Times New Roman"/>
                <w:color w:val="000000"/>
                <w:lang w:val="lv-LV"/>
              </w:rPr>
            </w:pPr>
          </w:p>
          <w:p w14:paraId="5DF67EEB" w14:textId="3231B06A" w:rsidR="008147D5" w:rsidRPr="00DE05E9" w:rsidRDefault="008147D5" w:rsidP="00FB71FD">
            <w:pPr>
              <w:jc w:val="both"/>
              <w:rPr>
                <w:rFonts w:ascii="Times New Roman" w:eastAsia="Times New Roman" w:hAnsi="Times New Roman" w:cs="Times New Roman"/>
                <w:color w:val="000000"/>
                <w:lang w:val="lv-LV"/>
              </w:rPr>
            </w:pPr>
          </w:p>
          <w:p w14:paraId="37499652" w14:textId="33144DCB" w:rsidR="008147D5" w:rsidRPr="00DE05E9" w:rsidRDefault="008147D5" w:rsidP="00FB71FD">
            <w:pPr>
              <w:jc w:val="both"/>
              <w:rPr>
                <w:rFonts w:ascii="Times New Roman" w:eastAsia="Times New Roman" w:hAnsi="Times New Roman" w:cs="Times New Roman"/>
                <w:color w:val="000000"/>
                <w:lang w:val="lv-LV"/>
              </w:rPr>
            </w:pPr>
          </w:p>
          <w:p w14:paraId="2CF92795" w14:textId="55040709" w:rsidR="008147D5" w:rsidRPr="00DE05E9" w:rsidRDefault="008147D5" w:rsidP="00FB71FD">
            <w:pPr>
              <w:jc w:val="both"/>
              <w:rPr>
                <w:rFonts w:ascii="Times New Roman" w:eastAsia="Times New Roman" w:hAnsi="Times New Roman" w:cs="Times New Roman"/>
                <w:color w:val="000000"/>
                <w:lang w:val="lv-LV"/>
              </w:rPr>
            </w:pPr>
          </w:p>
          <w:p w14:paraId="168EC48E" w14:textId="14B0D984" w:rsidR="008147D5" w:rsidRPr="00DE05E9" w:rsidRDefault="008147D5" w:rsidP="00FB71FD">
            <w:pPr>
              <w:jc w:val="both"/>
              <w:rPr>
                <w:rFonts w:ascii="Times New Roman" w:eastAsia="Times New Roman" w:hAnsi="Times New Roman" w:cs="Times New Roman"/>
                <w:color w:val="000000"/>
                <w:lang w:val="lv-LV"/>
              </w:rPr>
            </w:pPr>
          </w:p>
          <w:p w14:paraId="5F95634F" w14:textId="746E99B1" w:rsidR="008147D5" w:rsidRPr="00DE05E9" w:rsidRDefault="008147D5" w:rsidP="00FB71FD">
            <w:pPr>
              <w:jc w:val="both"/>
              <w:rPr>
                <w:rFonts w:ascii="Times New Roman" w:eastAsia="Times New Roman" w:hAnsi="Times New Roman" w:cs="Times New Roman"/>
                <w:color w:val="000000"/>
                <w:lang w:val="lv-LV"/>
              </w:rPr>
            </w:pPr>
          </w:p>
          <w:p w14:paraId="520B03D3" w14:textId="42F379FF" w:rsidR="008147D5" w:rsidRPr="00DE05E9" w:rsidRDefault="008147D5" w:rsidP="00FB71FD">
            <w:pPr>
              <w:jc w:val="both"/>
              <w:rPr>
                <w:rFonts w:ascii="Times New Roman" w:eastAsia="Times New Roman" w:hAnsi="Times New Roman" w:cs="Times New Roman"/>
                <w:color w:val="000000"/>
                <w:lang w:val="lv-LV"/>
              </w:rPr>
            </w:pPr>
          </w:p>
          <w:p w14:paraId="4AB8C145" w14:textId="6DC99010" w:rsidR="008147D5" w:rsidRPr="00DE05E9" w:rsidRDefault="008147D5" w:rsidP="00FB71FD">
            <w:pPr>
              <w:jc w:val="both"/>
              <w:rPr>
                <w:rFonts w:ascii="Times New Roman" w:eastAsia="Times New Roman" w:hAnsi="Times New Roman" w:cs="Times New Roman"/>
                <w:color w:val="000000"/>
                <w:lang w:val="lv-LV"/>
              </w:rPr>
            </w:pPr>
          </w:p>
          <w:p w14:paraId="522EC62D" w14:textId="7B37E0B9" w:rsidR="008147D5" w:rsidRPr="00DE05E9" w:rsidRDefault="008147D5" w:rsidP="00FB71FD">
            <w:pPr>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t xml:space="preserve">Piegāde un pakalpojumi, </w:t>
            </w:r>
            <w:r w:rsidR="00542ED1" w:rsidRPr="00DE05E9">
              <w:rPr>
                <w:rFonts w:ascii="Times New Roman" w:eastAsia="Times New Roman" w:hAnsi="Times New Roman" w:cs="Times New Roman"/>
                <w:b/>
                <w:color w:val="000000"/>
                <w:lang w:val="lv-LV"/>
              </w:rPr>
              <w:t>kuru kopējā līgumcena ir virs ES līgumcenu sliekšņa, EUR bez PVN (Histogrammā ir norādīti visi iepirkumā noslēgtie līgumi, tai skaitā arī par iepirkumiem, kuri sadalīti daļās un kur par katru daļu noslēgts atsevišķs līgums.)</w:t>
            </w:r>
          </w:p>
          <w:p w14:paraId="2DC9E786" w14:textId="2E3F3DA0" w:rsidR="008147D5" w:rsidRPr="00DE05E9" w:rsidRDefault="008147D5" w:rsidP="00FB71FD">
            <w:pPr>
              <w:jc w:val="both"/>
              <w:rPr>
                <w:rFonts w:ascii="Times New Roman" w:hAnsi="Times New Roman" w:cs="Times New Roman"/>
              </w:rPr>
            </w:pPr>
            <w:r w:rsidRPr="00DE05E9">
              <w:rPr>
                <w:rFonts w:ascii="Times New Roman" w:hAnsi="Times New Roman" w:cs="Times New Roman"/>
                <w:noProof/>
                <w:lang w:val="lv-LV" w:eastAsia="lv-LV"/>
              </w:rPr>
              <mc:AlternateContent>
                <mc:Choice Requires="cx1">
                  <w:drawing>
                    <wp:inline distT="0" distB="0" distL="0" distR="0" wp14:anchorId="4B2BEFED" wp14:editId="58DAC562">
                      <wp:extent cx="4572000" cy="3867150"/>
                      <wp:effectExtent l="0" t="0" r="0" b="0"/>
                      <wp:docPr id="5" name="Chart 5">
                        <a:extLst xmlns:a="http://schemas.openxmlformats.org/drawingml/2006/main">
                          <a:ext uri="{FF2B5EF4-FFF2-40B4-BE49-F238E27FC236}">
                            <a16:creationId xmlns:a16="http://schemas.microsoft.com/office/drawing/2014/main" id="{34019A94-16C4-4898-B0FB-803BE8E6EC25}"/>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0"/>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drawing>
                    <wp:inline distT="0" distB="0" distL="0" distR="0" wp14:anchorId="4B2BEFED" wp14:editId="58DAC562">
                      <wp:extent cx="4572000" cy="3867150"/>
                      <wp:effectExtent l="0" t="0" r="0" b="0"/>
                      <wp:docPr id="5" name="Chart 5">
                        <a:extLst xmlns:a="http://schemas.openxmlformats.org/drawingml/2006/main">
                          <a:ext uri="{FF2B5EF4-FFF2-40B4-BE49-F238E27FC236}">
                            <a16:creationId xmlns:a16="http://schemas.microsoft.com/office/drawing/2014/main" id="{34019A94-16C4-4898-B0FB-803BE8E6EC25}"/>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 name="Chart 5">
                                <a:extLst>
                                  <a:ext uri="{FF2B5EF4-FFF2-40B4-BE49-F238E27FC236}">
                                    <a16:creationId xmlns:a16="http://schemas.microsoft.com/office/drawing/2014/main" id="{34019A94-16C4-4898-B0FB-803BE8E6EC25}"/>
                                  </a:ext>
                                </a:extLst>
                              </pic:cNvPr>
                              <pic:cNvPicPr>
                                <a:picLocks noGrp="1" noRot="1" noChangeAspect="1" noMove="1" noResize="1" noEditPoints="1" noAdjustHandles="1" noChangeArrowheads="1" noChangeShapeType="1"/>
                              </pic:cNvPicPr>
                            </pic:nvPicPr>
                            <pic:blipFill>
                              <a:blip r:embed="rId21"/>
                              <a:stretch>
                                <a:fillRect/>
                              </a:stretch>
                            </pic:blipFill>
                            <pic:spPr>
                              <a:xfrm>
                                <a:off x="0" y="0"/>
                                <a:ext cx="4572000" cy="3867150"/>
                              </a:xfrm>
                              <a:prstGeom prst="rect">
                                <a:avLst/>
                              </a:prstGeom>
                            </pic:spPr>
                          </pic:pic>
                        </a:graphicData>
                      </a:graphic>
                    </wp:inline>
                  </w:drawing>
                </mc:Fallback>
              </mc:AlternateContent>
            </w:r>
          </w:p>
          <w:p w14:paraId="4E466779" w14:textId="4BD1D087" w:rsidR="008147D5" w:rsidRPr="00DE05E9" w:rsidRDefault="008147D5" w:rsidP="00FB71FD">
            <w:pPr>
              <w:jc w:val="both"/>
              <w:rPr>
                <w:rFonts w:ascii="Times New Roman" w:hAnsi="Times New Roman" w:cs="Times New Roman"/>
              </w:rPr>
            </w:pPr>
          </w:p>
          <w:p w14:paraId="4B39B644" w14:textId="348F8925" w:rsidR="008147D5" w:rsidRPr="00DE05E9" w:rsidRDefault="008147D5" w:rsidP="00FB71FD">
            <w:pPr>
              <w:pStyle w:val="NoSpacing"/>
              <w:jc w:val="both"/>
              <w:rPr>
                <w:rFonts w:ascii="Times New Roman" w:hAnsi="Times New Roman" w:cs="Times New Roman"/>
                <w:b/>
                <w:u w:val="single"/>
              </w:rPr>
            </w:pPr>
            <w:r w:rsidRPr="00DE05E9">
              <w:rPr>
                <w:rFonts w:ascii="Times New Roman" w:hAnsi="Times New Roman" w:cs="Times New Roman"/>
                <w:b/>
                <w:u w:val="single"/>
              </w:rPr>
              <w:t>Informācija par iepirkumiem, kas veikti saskaņā ar Sabiedrisko pakalpojumu sniedzēju iepirkumu likumu</w:t>
            </w:r>
          </w:p>
          <w:p w14:paraId="51594062" w14:textId="77777777" w:rsidR="008147D5" w:rsidRPr="00DE05E9" w:rsidRDefault="008147D5" w:rsidP="00FB71FD">
            <w:pPr>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xml:space="preserve">Dati apkopoti no Iepirkumu uzraudzības biroja tīmekļvietnē publicētajiem paziņojumiem par iepirkuma procedūru (ar sākumu) kopējo līgumcenu (iepirkuma līgumi un iepirkuma līgumi vispārīgās vienošanās ietvaros, izņemot vispārīgās vienošanās) par periodu no 2017. gada 1. janvāra līdz 2017. gada 31. </w:t>
            </w:r>
            <w:r w:rsidRPr="00DE05E9">
              <w:rPr>
                <w:rFonts w:ascii="Times New Roman" w:eastAsia="Times New Roman" w:hAnsi="Times New Roman" w:cs="Times New Roman"/>
                <w:color w:val="000000"/>
                <w:lang w:val="lv-LV"/>
              </w:rPr>
              <w:lastRenderedPageBreak/>
              <w:t>decembrim, kur „Virs ES līgumcenu sliekšņa” piegādēm un pakalpojumiem no 418 000 EUR, būvdarbiem no 5 225 000 EUR.</w:t>
            </w:r>
          </w:p>
          <w:p w14:paraId="6807CCF6" w14:textId="77777777" w:rsidR="008147D5" w:rsidRPr="00DE05E9" w:rsidRDefault="008147D5" w:rsidP="00FB71FD">
            <w:pPr>
              <w:jc w:val="both"/>
              <w:rPr>
                <w:rFonts w:ascii="Times New Roman" w:eastAsia="Times New Roman" w:hAnsi="Times New Roman" w:cs="Times New Roman"/>
                <w:color w:val="000000"/>
                <w:lang w:val="lv-LV"/>
              </w:rPr>
            </w:pPr>
          </w:p>
          <w:p w14:paraId="0E4EDFA6" w14:textId="77777777" w:rsidR="008147D5" w:rsidRPr="00DE05E9" w:rsidRDefault="008147D5" w:rsidP="00FB71FD">
            <w:pPr>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t>Būvdarbi, EUR bez PVN (virs ES līgumcenu sliekšņa)</w:t>
            </w:r>
          </w:p>
          <w:p w14:paraId="363ACD4E" w14:textId="58E241B1" w:rsidR="009A2F24" w:rsidRPr="00DE05E9" w:rsidRDefault="008147D5" w:rsidP="00213298">
            <w:r w:rsidRPr="00DE05E9">
              <w:rPr>
                <w:noProof/>
                <w:lang w:val="lv-LV" w:eastAsia="lv-LV"/>
              </w:rPr>
              <w:drawing>
                <wp:inline distT="0" distB="0" distL="0" distR="0" wp14:anchorId="783843D6" wp14:editId="218F4E7F">
                  <wp:extent cx="4572000" cy="4257675"/>
                  <wp:effectExtent l="0" t="0" r="0" b="9525"/>
                  <wp:docPr id="6" name="Chart 6">
                    <a:extLst xmlns:a="http://schemas.openxmlformats.org/drawingml/2006/main">
                      <a:ext uri="{FF2B5EF4-FFF2-40B4-BE49-F238E27FC236}">
                        <a16:creationId xmlns:a16="http://schemas.microsoft.com/office/drawing/2014/main" id="{AE3DC202-32CA-41B3-8B8C-4FD158F8272E}"/>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 name="Chart 6">
                            <a:extLst>
                              <a:ext uri="{FF2B5EF4-FFF2-40B4-BE49-F238E27FC236}">
                                <a16:creationId xmlns:a16="http://schemas.microsoft.com/office/drawing/2014/main" id="{AE3DC202-32CA-41B3-8B8C-4FD158F8272E}"/>
                              </a:ext>
                            </a:extLst>
                          </pic:cNvPr>
                          <pic:cNvPicPr>
                            <a:picLocks noGrp="1" noRot="1" noChangeAspect="1" noMove="1" noResize="1" noEditPoints="1" noAdjustHandles="1" noChangeArrowheads="1" noChangeShapeType="1"/>
                          </pic:cNvPicPr>
                        </pic:nvPicPr>
                        <pic:blipFill>
                          <a:blip r:embed="rId22"/>
                          <a:stretch>
                            <a:fillRect/>
                          </a:stretch>
                        </pic:blipFill>
                        <pic:spPr>
                          <a:xfrm>
                            <a:off x="0" y="0"/>
                            <a:ext cx="4572000" cy="4257675"/>
                          </a:xfrm>
                          <a:prstGeom prst="rect">
                            <a:avLst/>
                          </a:prstGeom>
                        </pic:spPr>
                      </pic:pic>
                    </a:graphicData>
                  </a:graphic>
                </wp:inline>
              </w:drawing>
            </w:r>
          </w:p>
          <w:p w14:paraId="50ADE5B7" w14:textId="54CB4E5A" w:rsidR="008147D5" w:rsidRPr="00DE05E9" w:rsidRDefault="008147D5" w:rsidP="00FB71FD">
            <w:pPr>
              <w:jc w:val="both"/>
              <w:rPr>
                <w:rFonts w:ascii="Times New Roman" w:eastAsia="Times New Roman" w:hAnsi="Times New Roman" w:cs="Times New Roman"/>
                <w:color w:val="000000"/>
                <w:lang w:val="lv-LV"/>
              </w:rPr>
            </w:pPr>
          </w:p>
          <w:p w14:paraId="42540B5F" w14:textId="77777777" w:rsidR="0029215F" w:rsidRDefault="0029215F" w:rsidP="00FB71FD">
            <w:pPr>
              <w:jc w:val="both"/>
              <w:rPr>
                <w:rFonts w:ascii="Times New Roman" w:eastAsia="Times New Roman" w:hAnsi="Times New Roman" w:cs="Times New Roman"/>
                <w:b/>
                <w:color w:val="000000"/>
                <w:lang w:val="lv-LV"/>
              </w:rPr>
            </w:pPr>
          </w:p>
          <w:p w14:paraId="2579FED6" w14:textId="77777777" w:rsidR="0029215F" w:rsidRDefault="0029215F" w:rsidP="00FB71FD">
            <w:pPr>
              <w:jc w:val="both"/>
              <w:rPr>
                <w:rFonts w:ascii="Times New Roman" w:eastAsia="Times New Roman" w:hAnsi="Times New Roman" w:cs="Times New Roman"/>
                <w:b/>
                <w:color w:val="000000"/>
                <w:lang w:val="lv-LV"/>
              </w:rPr>
            </w:pPr>
          </w:p>
          <w:p w14:paraId="3CF462D4" w14:textId="77777777" w:rsidR="0029215F" w:rsidRDefault="0029215F" w:rsidP="00FB71FD">
            <w:pPr>
              <w:jc w:val="both"/>
              <w:rPr>
                <w:rFonts w:ascii="Times New Roman" w:eastAsia="Times New Roman" w:hAnsi="Times New Roman" w:cs="Times New Roman"/>
                <w:b/>
                <w:color w:val="000000"/>
                <w:lang w:val="lv-LV"/>
              </w:rPr>
            </w:pPr>
          </w:p>
          <w:p w14:paraId="026B3D66" w14:textId="77777777" w:rsidR="0029215F" w:rsidRDefault="0029215F" w:rsidP="00FB71FD">
            <w:pPr>
              <w:jc w:val="both"/>
              <w:rPr>
                <w:rFonts w:ascii="Times New Roman" w:eastAsia="Times New Roman" w:hAnsi="Times New Roman" w:cs="Times New Roman"/>
                <w:b/>
                <w:color w:val="000000"/>
                <w:lang w:val="lv-LV"/>
              </w:rPr>
            </w:pPr>
          </w:p>
          <w:p w14:paraId="66E3C54B" w14:textId="37B052F4" w:rsidR="008147D5" w:rsidRPr="00DE05E9" w:rsidRDefault="008147D5" w:rsidP="00FB71FD">
            <w:pPr>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lastRenderedPageBreak/>
              <w:t>Piegāde un pakalpojumi, EUR bez PVN (virs ES līgumcenu sliekšņa)</w:t>
            </w:r>
          </w:p>
          <w:p w14:paraId="4B14CE39" w14:textId="77777777" w:rsidR="008147D5" w:rsidRPr="00DE05E9" w:rsidRDefault="008147D5" w:rsidP="00FB71FD">
            <w:pPr>
              <w:jc w:val="both"/>
              <w:rPr>
                <w:rFonts w:ascii="Times New Roman" w:eastAsia="Times New Roman" w:hAnsi="Times New Roman" w:cs="Times New Roman"/>
                <w:color w:val="000000"/>
                <w:lang w:val="lv-LV"/>
              </w:rPr>
            </w:pPr>
            <w:r w:rsidRPr="00DE05E9">
              <w:rPr>
                <w:rFonts w:ascii="Times New Roman" w:hAnsi="Times New Roman" w:cs="Times New Roman"/>
                <w:noProof/>
                <w:lang w:val="lv-LV" w:eastAsia="lv-LV"/>
              </w:rPr>
              <w:drawing>
                <wp:inline distT="0" distB="0" distL="0" distR="0" wp14:anchorId="11C32B64" wp14:editId="07645939">
                  <wp:extent cx="5372100" cy="4038600"/>
                  <wp:effectExtent l="0" t="0" r="0" b="0"/>
                  <wp:docPr id="7" name="Chart 7">
                    <a:extLst xmlns:a="http://schemas.openxmlformats.org/drawingml/2006/main">
                      <a:ext uri="{FF2B5EF4-FFF2-40B4-BE49-F238E27FC236}">
                        <a16:creationId xmlns:a16="http://schemas.microsoft.com/office/drawing/2014/main" id="{88A16949-5E76-4877-9D72-99D4CCB15A5B}"/>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 name="Chart 7">
                            <a:extLst>
                              <a:ext uri="{FF2B5EF4-FFF2-40B4-BE49-F238E27FC236}">
                                <a16:creationId xmlns:a16="http://schemas.microsoft.com/office/drawing/2014/main" id="{88A16949-5E76-4877-9D72-99D4CCB15A5B}"/>
                              </a:ext>
                            </a:extLst>
                          </pic:cNvPr>
                          <pic:cNvPicPr>
                            <a:picLocks noGrp="1" noRot="1" noChangeAspect="1" noMove="1" noResize="1" noEditPoints="1" noAdjustHandles="1" noChangeArrowheads="1" noChangeShapeType="1"/>
                          </pic:cNvPicPr>
                        </pic:nvPicPr>
                        <pic:blipFill>
                          <a:blip r:embed="rId23"/>
                          <a:stretch>
                            <a:fillRect/>
                          </a:stretch>
                        </pic:blipFill>
                        <pic:spPr>
                          <a:xfrm>
                            <a:off x="0" y="0"/>
                            <a:ext cx="5372100" cy="4038600"/>
                          </a:xfrm>
                          <a:prstGeom prst="rect">
                            <a:avLst/>
                          </a:prstGeom>
                        </pic:spPr>
                      </pic:pic>
                    </a:graphicData>
                  </a:graphic>
                </wp:inline>
              </w:drawing>
            </w:r>
          </w:p>
          <w:p w14:paraId="3EE9E6F1" w14:textId="15E3D86C" w:rsidR="008147D5" w:rsidRPr="00DE05E9" w:rsidRDefault="008147D5" w:rsidP="00FB71FD">
            <w:pPr>
              <w:jc w:val="both"/>
              <w:rPr>
                <w:rFonts w:ascii="Times New Roman" w:hAnsi="Times New Roman" w:cs="Times New Roman"/>
              </w:rPr>
            </w:pPr>
          </w:p>
          <w:p w14:paraId="612839D3" w14:textId="33B381BC" w:rsidR="00A666E1" w:rsidRPr="00DE05E9" w:rsidRDefault="00A666E1" w:rsidP="00FB71FD">
            <w:pPr>
              <w:jc w:val="both"/>
              <w:rPr>
                <w:rFonts w:ascii="Times New Roman" w:hAnsi="Times New Roman" w:cs="Times New Roman"/>
                <w:i/>
              </w:rPr>
            </w:pPr>
          </w:p>
        </w:tc>
      </w:tr>
    </w:tbl>
    <w:p w14:paraId="34AB7F14" w14:textId="77777777" w:rsidR="008A2313" w:rsidRPr="00DE05E9" w:rsidRDefault="008A2313" w:rsidP="00FB71FD">
      <w:pPr>
        <w:pStyle w:val="NoSpacing"/>
        <w:jc w:val="both"/>
        <w:rPr>
          <w:rFonts w:ascii="Times New Roman" w:hAnsi="Times New Roman" w:cs="Times New Roman"/>
        </w:rPr>
      </w:pPr>
    </w:p>
    <w:p w14:paraId="34AB7F15" w14:textId="77777777" w:rsidR="00A051EB" w:rsidRPr="00DE05E9" w:rsidRDefault="00CF260D" w:rsidP="00FB71FD">
      <w:pPr>
        <w:pStyle w:val="Heading2"/>
        <w:jc w:val="both"/>
        <w:rPr>
          <w:rFonts w:ascii="Times New Roman" w:hAnsi="Times New Roman" w:cs="Times New Roman"/>
        </w:rPr>
      </w:pPr>
      <w:r w:rsidRPr="00DE05E9">
        <w:rPr>
          <w:rFonts w:ascii="Times New Roman" w:hAnsi="Times New Roman" w:cs="Times New Roman"/>
        </w:rPr>
        <w:t>P</w:t>
      </w:r>
      <w:r w:rsidR="005F4733" w:rsidRPr="00DE05E9">
        <w:rPr>
          <w:rFonts w:ascii="Times New Roman" w:hAnsi="Times New Roman" w:cs="Times New Roman"/>
        </w:rPr>
        <w:t>revention, detection and adequate reporting of cases of procurement fraud, corruption, conflict of interests and other serious irregularities</w:t>
      </w:r>
    </w:p>
    <w:p w14:paraId="34AB7F16" w14:textId="77777777" w:rsidR="005F4733" w:rsidRPr="00DE05E9" w:rsidRDefault="005F4733" w:rsidP="00FB71FD">
      <w:pPr>
        <w:jc w:val="both"/>
        <w:rPr>
          <w:rFonts w:ascii="Times New Roman" w:hAnsi="Times New Roman" w:cs="Times New Roman"/>
        </w:rPr>
      </w:pPr>
      <w:r w:rsidRPr="00DE05E9">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1712"/>
        <w:gridCol w:w="12282"/>
      </w:tblGrid>
      <w:tr w:rsidR="00253552" w:rsidRPr="00DE05E9" w14:paraId="732EAE05" w14:textId="77777777" w:rsidTr="00FB71FD">
        <w:tc>
          <w:tcPr>
            <w:tcW w:w="612" w:type="pct"/>
          </w:tcPr>
          <w:p w14:paraId="0DA192FE" w14:textId="3D616F19" w:rsidR="00253552" w:rsidRPr="00DE05E9" w:rsidRDefault="002B6572" w:rsidP="00FB71FD">
            <w:pPr>
              <w:pStyle w:val="Heading3"/>
              <w:jc w:val="both"/>
              <w:outlineLvl w:val="2"/>
              <w:rPr>
                <w:rFonts w:ascii="Times New Roman" w:hAnsi="Times New Roman" w:cs="Times New Roman"/>
              </w:rPr>
            </w:pPr>
            <w:r w:rsidRPr="00DE05E9">
              <w:rPr>
                <w:rFonts w:ascii="Times New Roman" w:hAnsi="Times New Roman" w:cs="Times New Roman"/>
              </w:rPr>
              <w:t>III</w:t>
            </w:r>
            <w:r w:rsidR="00253552" w:rsidRPr="00DE05E9">
              <w:rPr>
                <w:rFonts w:ascii="Times New Roman" w:hAnsi="Times New Roman" w:cs="Times New Roman"/>
              </w:rPr>
              <w:t xml:space="preserve">.1. Qualitative </w:t>
            </w:r>
            <w:r w:rsidR="00253552" w:rsidRPr="00DE05E9">
              <w:rPr>
                <w:rFonts w:ascii="Times New Roman" w:hAnsi="Times New Roman" w:cs="Times New Roman"/>
              </w:rPr>
              <w:lastRenderedPageBreak/>
              <w:t xml:space="preserve">reporting </w:t>
            </w:r>
            <w:r w:rsidR="001D4DCD" w:rsidRPr="00DE05E9">
              <w:rPr>
                <w:rFonts w:ascii="Times New Roman" w:hAnsi="Times New Roman" w:cs="Times New Roman"/>
              </w:rPr>
              <w:t>on</w:t>
            </w:r>
            <w:r w:rsidR="00253552" w:rsidRPr="00DE05E9">
              <w:rPr>
                <w:rFonts w:ascii="Times New Roman" w:hAnsi="Times New Roman" w:cs="Times New Roman"/>
              </w:rPr>
              <w:t xml:space="preserve"> fraud, corruption, conflict of interests etc</w:t>
            </w:r>
            <w:r w:rsidR="00AC7614" w:rsidRPr="00DE05E9">
              <w:rPr>
                <w:rFonts w:ascii="Times New Roman" w:hAnsi="Times New Roman" w:cs="Times New Roman"/>
              </w:rPr>
              <w:t>.</w:t>
            </w:r>
          </w:p>
        </w:tc>
        <w:tc>
          <w:tcPr>
            <w:tcW w:w="4388" w:type="pct"/>
          </w:tcPr>
          <w:p w14:paraId="0A90E1AF" w14:textId="77777777" w:rsidR="00253552" w:rsidRPr="00DE05E9" w:rsidRDefault="00253552" w:rsidP="00FB71FD">
            <w:pPr>
              <w:jc w:val="both"/>
              <w:rPr>
                <w:rFonts w:ascii="Times New Roman" w:hAnsi="Times New Roman" w:cs="Times New Roman"/>
              </w:rPr>
            </w:pPr>
          </w:p>
        </w:tc>
      </w:tr>
      <w:tr w:rsidR="00253552" w:rsidRPr="00DE05E9" w14:paraId="7514108B" w14:textId="77777777" w:rsidTr="00FB71FD">
        <w:tc>
          <w:tcPr>
            <w:tcW w:w="612" w:type="pct"/>
          </w:tcPr>
          <w:p w14:paraId="60D6DF8A" w14:textId="43F6AA94" w:rsidR="00253552" w:rsidRPr="00DE05E9" w:rsidRDefault="00253552" w:rsidP="00FB71FD">
            <w:pPr>
              <w:jc w:val="both"/>
              <w:rPr>
                <w:rFonts w:ascii="Times New Roman" w:hAnsi="Times New Roman" w:cs="Times New Roman"/>
              </w:rPr>
            </w:pPr>
            <w:r w:rsidRPr="00DE05E9">
              <w:rPr>
                <w:rFonts w:ascii="Times New Roman" w:hAnsi="Times New Roman" w:cs="Times New Roman"/>
              </w:rPr>
              <w:t>Describe the actions undertaken and/or mechanisms put in place to ensure compliance with the new provisions on the prevention, detection and adequate reporting of public procurement irregularities</w:t>
            </w:r>
            <w:r w:rsidR="007217FF" w:rsidRPr="00DE05E9">
              <w:rPr>
                <w:rFonts w:ascii="Times New Roman" w:hAnsi="Times New Roman" w:cs="Times New Roman"/>
              </w:rPr>
              <w:t xml:space="preserve"> including fraud and corruption</w:t>
            </w:r>
          </w:p>
        </w:tc>
        <w:tc>
          <w:tcPr>
            <w:tcW w:w="4388" w:type="pct"/>
          </w:tcPr>
          <w:p w14:paraId="1B19D644" w14:textId="6A73FC6F" w:rsidR="009A7B32" w:rsidRPr="00B8317A" w:rsidRDefault="009A7B32" w:rsidP="00EF4AD9">
            <w:pPr>
              <w:jc w:val="both"/>
              <w:rPr>
                <w:rFonts w:ascii="Times New Roman" w:hAnsi="Times New Roman" w:cs="Times New Roman"/>
                <w:b/>
              </w:rPr>
            </w:pPr>
            <w:r w:rsidRPr="00B8317A">
              <w:rPr>
                <w:rFonts w:ascii="Times New Roman" w:hAnsi="Times New Roman" w:cs="Times New Roman"/>
                <w:b/>
              </w:rPr>
              <w:t>Pasākumi konkurences tiesību pārkāpumu konstatēšanai un novēršanai</w:t>
            </w:r>
          </w:p>
          <w:p w14:paraId="25427F20" w14:textId="50DF40F7" w:rsidR="00EF4AD9" w:rsidRPr="00DE05E9" w:rsidRDefault="00EF4AD9" w:rsidP="00EF4AD9">
            <w:pPr>
              <w:jc w:val="both"/>
              <w:rPr>
                <w:rFonts w:ascii="Times New Roman" w:hAnsi="Times New Roman" w:cs="Times New Roman"/>
              </w:rPr>
            </w:pPr>
            <w:r w:rsidRPr="00DE05E9">
              <w:rPr>
                <w:rFonts w:ascii="Times New Roman" w:hAnsi="Times New Roman" w:cs="Times New Roman"/>
              </w:rPr>
              <w:t>Atbilsto</w:t>
            </w:r>
            <w:r w:rsidR="0029215F">
              <w:rPr>
                <w:rFonts w:ascii="Times New Roman" w:hAnsi="Times New Roman" w:cs="Times New Roman"/>
              </w:rPr>
              <w:t>ši publisko iepirkumu jomas nor</w:t>
            </w:r>
            <w:r w:rsidRPr="00DE05E9">
              <w:rPr>
                <w:rFonts w:ascii="Times New Roman" w:hAnsi="Times New Roman" w:cs="Times New Roman"/>
              </w:rPr>
              <w:t>m</w:t>
            </w:r>
            <w:r w:rsidR="0029215F">
              <w:rPr>
                <w:rFonts w:ascii="Times New Roman" w:hAnsi="Times New Roman" w:cs="Times New Roman"/>
              </w:rPr>
              <w:t>a</w:t>
            </w:r>
            <w:r w:rsidRPr="00DE05E9">
              <w:rPr>
                <w:rFonts w:ascii="Times New Roman" w:hAnsi="Times New Roman" w:cs="Times New Roman"/>
              </w:rPr>
              <w:t>tīvajiem aktiem pasūtītājs, sabiedrisko pakalpojumu sniedzējs vai publis</w:t>
            </w:r>
            <w:r w:rsidR="0029215F">
              <w:rPr>
                <w:rFonts w:ascii="Times New Roman" w:hAnsi="Times New Roman" w:cs="Times New Roman"/>
              </w:rPr>
              <w:t>kais partneris izslēdz no iepirk</w:t>
            </w:r>
            <w:r w:rsidRPr="00DE05E9">
              <w:rPr>
                <w:rFonts w:ascii="Times New Roman" w:hAnsi="Times New Roman" w:cs="Times New Roman"/>
              </w:rPr>
              <w:t xml:space="preserve">uma tādu pretendentu, kas sodīts par konkurences </w:t>
            </w:r>
            <w:r w:rsidR="0029215F">
              <w:rPr>
                <w:rFonts w:ascii="Times New Roman" w:hAnsi="Times New Roman" w:cs="Times New Roman"/>
              </w:rPr>
              <w:t>tiesību pārkāpumiem. Kā obligāta</w:t>
            </w:r>
            <w:r w:rsidRPr="00DE05E9">
              <w:rPr>
                <w:rFonts w:ascii="Times New Roman" w:hAnsi="Times New Roman" w:cs="Times New Roman"/>
              </w:rPr>
              <w:t xml:space="preserve"> izslēgšana ir noteikta arī gadījumos, kad piegādātāj</w:t>
            </w:r>
            <w:r w:rsidR="009A7B32">
              <w:rPr>
                <w:rFonts w:ascii="Times New Roman" w:hAnsi="Times New Roman" w:cs="Times New Roman"/>
              </w:rPr>
              <w:t>s</w:t>
            </w:r>
            <w:r w:rsidRPr="00DE05E9">
              <w:rPr>
                <w:rFonts w:ascii="Times New Roman" w:hAnsi="Times New Roman" w:cs="Times New Roman"/>
              </w:rPr>
              <w:t xml:space="preserve"> iesaistī</w:t>
            </w:r>
            <w:r w:rsidR="009A7B32">
              <w:rPr>
                <w:rFonts w:ascii="Times New Roman" w:hAnsi="Times New Roman" w:cs="Times New Roman"/>
              </w:rPr>
              <w:t>jies</w:t>
            </w:r>
            <w:r w:rsidRPr="00DE05E9">
              <w:rPr>
                <w:rFonts w:ascii="Times New Roman" w:hAnsi="Times New Roman" w:cs="Times New Roman"/>
              </w:rPr>
              <w:t xml:space="preserve"> iepirkuma sagatavošanā un iepirkuma dokumentu sagatavošanā, ja tas radījis piegādātājam priekšrocības</w:t>
            </w:r>
            <w:r w:rsidR="009A7B32">
              <w:rPr>
                <w:rFonts w:ascii="Times New Roman" w:hAnsi="Times New Roman" w:cs="Times New Roman"/>
              </w:rPr>
              <w:t xml:space="preserve"> attiecīgajā iepirkumā</w:t>
            </w:r>
            <w:r w:rsidRPr="00DE05E9">
              <w:rPr>
                <w:rFonts w:ascii="Times New Roman" w:hAnsi="Times New Roman" w:cs="Times New Roman"/>
              </w:rPr>
              <w:t>.</w:t>
            </w:r>
            <w:r w:rsidR="00F7007B" w:rsidRPr="00DE05E9">
              <w:rPr>
                <w:rFonts w:ascii="Times New Roman" w:hAnsi="Times New Roman" w:cs="Times New Roman"/>
              </w:rPr>
              <w:t xml:space="preserve"> </w:t>
            </w:r>
          </w:p>
          <w:p w14:paraId="771FE0E3" w14:textId="1B293CAF" w:rsidR="00F802BB" w:rsidRPr="00F802BB" w:rsidRDefault="00F802BB" w:rsidP="00F802BB">
            <w:pPr>
              <w:jc w:val="both"/>
              <w:rPr>
                <w:rFonts w:ascii="Times New Roman" w:hAnsi="Times New Roman" w:cs="Times New Roman"/>
              </w:rPr>
            </w:pPr>
            <w:r w:rsidRPr="00F802BB">
              <w:rPr>
                <w:rFonts w:ascii="Times New Roman" w:hAnsi="Times New Roman" w:cs="Times New Roman"/>
              </w:rPr>
              <w:t xml:space="preserve">2017.gadā Konkurences Padome iepirkumu jomā ir pieņēmusi 6 lēmumus, no kuriem 3 gadījumos tika konstatēts pārkāpums un uzlikts naudas sods. Saistībā ar iespējamiem tirgus dalībnieku pārkāpumiem iepirkumos 2017.gadā ir saņemti 35 iesniegumi. Mazāk nozīmīgu iespējamu pārkāpumu iepirkuma jomā gadījumos 2017.gadā veiktas 4 prevencijas/brīdināšanas procedūras kā rezultātā brīdinātas 8 juridiskās personas. </w:t>
            </w:r>
          </w:p>
          <w:p w14:paraId="1E9CD239" w14:textId="77777777" w:rsidR="00F7007B" w:rsidRPr="00DE05E9" w:rsidRDefault="00F7007B" w:rsidP="00F7007B">
            <w:pPr>
              <w:jc w:val="both"/>
              <w:rPr>
                <w:rFonts w:ascii="Times New Roman" w:hAnsi="Times New Roman" w:cs="Times New Roman"/>
              </w:rPr>
            </w:pPr>
            <w:r w:rsidRPr="00DE05E9">
              <w:rPr>
                <w:rFonts w:ascii="Times New Roman" w:hAnsi="Times New Roman" w:cs="Times New Roman"/>
              </w:rPr>
              <w:t xml:space="preserve">2017.gadā visā Latvijas teritorijā tika veikti 16 tirgus dalībnieku un pasūtītāju izglītojoši pasākumi, kuros tika informēts par aizliegtām vienošanām iepirkumos, kā nepieļaut pārkāpumus un kā atklāt to pazīmes. Semināri notikuši sadarbojoties ar Korupcijas novēršanas un apkarošanas biroju, Centrālo finanšu un līgumu aģentūru un Iepirkumu uzraudzības biroju. </w:t>
            </w:r>
          </w:p>
          <w:p w14:paraId="444EC90B" w14:textId="125A2773" w:rsidR="00F7007B" w:rsidRPr="00DE05E9" w:rsidRDefault="00F7007B" w:rsidP="00EF4AD9">
            <w:pPr>
              <w:jc w:val="both"/>
              <w:rPr>
                <w:rFonts w:ascii="Times New Roman" w:hAnsi="Times New Roman" w:cs="Times New Roman"/>
              </w:rPr>
            </w:pPr>
            <w:r w:rsidRPr="00DE05E9">
              <w:rPr>
                <w:rFonts w:ascii="Times New Roman" w:hAnsi="Times New Roman" w:cs="Times New Roman"/>
              </w:rPr>
              <w:t xml:space="preserve">Sadarbībā ar Iepirkumu uzraudzības biroju Konkurences Padome ir aktualizējusi apliecinājuma tekstu par neatkarīgi iesniegtu piedāvājumu publiskajos iepirkumos (Neatkarības deklarāciju), kā arī informāciju pasūtītājiem un pretendentiem. Aktualizētais Neatkarības deklarācijas teksts, kā arī informācija pasūtītājiem un pretendentiem ir pieejama Konkurences Padomes mājas lapā http://kp.gov.lv/lv/aktualitates/397-konkurences-padome-aicina-iepirkumu-pretendentus-apliecinat-savu-neatkaribu </w:t>
            </w:r>
          </w:p>
          <w:p w14:paraId="27A82FAF" w14:textId="77777777" w:rsidR="00B51D1E" w:rsidRPr="00DE05E9" w:rsidRDefault="00B51D1E" w:rsidP="00EF4AD9">
            <w:pPr>
              <w:jc w:val="both"/>
              <w:rPr>
                <w:rFonts w:ascii="Times New Roman" w:hAnsi="Times New Roman" w:cs="Times New Roman"/>
              </w:rPr>
            </w:pPr>
          </w:p>
          <w:p w14:paraId="392324A1" w14:textId="15FC1253" w:rsidR="00E737CB" w:rsidRPr="00DE05E9" w:rsidRDefault="00F7007B" w:rsidP="00FB71FD">
            <w:pPr>
              <w:jc w:val="both"/>
              <w:rPr>
                <w:rFonts w:ascii="Times New Roman" w:hAnsi="Times New Roman" w:cs="Times New Roman"/>
              </w:rPr>
            </w:pPr>
            <w:r w:rsidRPr="00DE05E9">
              <w:rPr>
                <w:rFonts w:ascii="Times New Roman" w:hAnsi="Times New Roman" w:cs="Times New Roman"/>
              </w:rPr>
              <w:t xml:space="preserve">Iepirkuma uzraudzības biroja </w:t>
            </w:r>
            <w:r w:rsidR="009A7B32">
              <w:rPr>
                <w:rFonts w:ascii="Times New Roman" w:hAnsi="Times New Roman" w:cs="Times New Roman"/>
              </w:rPr>
              <w:t>iepirkumu paziņojumu datubāzē</w:t>
            </w:r>
            <w:r w:rsidR="009A7B32" w:rsidRPr="00DE05E9">
              <w:rPr>
                <w:rFonts w:ascii="Times New Roman" w:hAnsi="Times New Roman" w:cs="Times New Roman"/>
              </w:rPr>
              <w:t xml:space="preserve"> </w:t>
            </w:r>
            <w:r w:rsidRPr="00DE05E9">
              <w:rPr>
                <w:rFonts w:ascii="Times New Roman" w:hAnsi="Times New Roman" w:cs="Times New Roman"/>
              </w:rPr>
              <w:t xml:space="preserve">tiek uzkrāta informācija ne tikai par pretendentiem, kam piešķirtas līguma slēgšanas tiesības, bet par visiem piegādātājiem, kas piedalījušies iepirkuma procedūrās, un Konkurences Padome strādā ar šo informāciju, analizējot iespējamos aizliegto vienošanos riskus. </w:t>
            </w:r>
          </w:p>
          <w:p w14:paraId="6D4F0DEF" w14:textId="1023E5B4" w:rsidR="00394440" w:rsidRPr="00A9665E" w:rsidRDefault="00394440" w:rsidP="00FB71FD">
            <w:pPr>
              <w:jc w:val="both"/>
              <w:rPr>
                <w:rFonts w:ascii="Times New Roman" w:hAnsi="Times New Roman" w:cs="Times New Roman"/>
                <w:b/>
              </w:rPr>
            </w:pPr>
          </w:p>
          <w:p w14:paraId="4C2FF1CC" w14:textId="2982869D" w:rsidR="00A9665E" w:rsidRPr="00A9665E" w:rsidRDefault="009A7B32" w:rsidP="00FB71FD">
            <w:pPr>
              <w:jc w:val="both"/>
              <w:rPr>
                <w:rFonts w:ascii="Times New Roman" w:hAnsi="Times New Roman" w:cs="Times New Roman"/>
                <w:b/>
              </w:rPr>
            </w:pPr>
            <w:r>
              <w:rPr>
                <w:rFonts w:ascii="Times New Roman" w:hAnsi="Times New Roman" w:cs="Times New Roman"/>
                <w:b/>
                <w:lang w:val="lv-LV"/>
              </w:rPr>
              <w:t>Pasākumi krāpšanas un korupcijas risku mazināšanai</w:t>
            </w:r>
          </w:p>
          <w:p w14:paraId="25736AE0" w14:textId="539947B3" w:rsidR="00F7007B" w:rsidRPr="00DE05E9" w:rsidRDefault="00F7007B" w:rsidP="00F7007B">
            <w:pPr>
              <w:jc w:val="both"/>
              <w:rPr>
                <w:rFonts w:ascii="Times New Roman" w:hAnsi="Times New Roman" w:cs="Times New Roman"/>
                <w:b/>
                <w:lang w:val="lv-LV"/>
              </w:rPr>
            </w:pPr>
            <w:r w:rsidRPr="00DE05E9">
              <w:rPr>
                <w:rFonts w:ascii="Times New Roman" w:hAnsi="Times New Roman" w:cs="Times New Roman"/>
                <w:lang w:val="lv-LV"/>
              </w:rPr>
              <w:t>Centrālā finanšu un līgumu aģentūra veic iepirkumu pirmspārbaudes, iepirkumu pārbaudes, maksājuma pieprasījuma pārbaudes un pārbaudes projekta īstenošanas vietā</w:t>
            </w:r>
            <w:r w:rsidR="00F802BB">
              <w:rPr>
                <w:rFonts w:ascii="Times New Roman" w:hAnsi="Times New Roman" w:cs="Times New Roman"/>
                <w:lang w:val="lv-LV"/>
              </w:rPr>
              <w:t xml:space="preserve"> </w:t>
            </w:r>
            <w:r w:rsidR="00F802BB" w:rsidRPr="00DE05E9">
              <w:rPr>
                <w:rFonts w:ascii="Times New Roman" w:hAnsi="Times New Roman" w:cs="Times New Roman"/>
                <w:lang w:val="lv-LV"/>
              </w:rPr>
              <w:t>E</w:t>
            </w:r>
            <w:r w:rsidR="00F802BB">
              <w:rPr>
                <w:rFonts w:ascii="Times New Roman" w:hAnsi="Times New Roman" w:cs="Times New Roman"/>
                <w:lang w:val="lv-LV"/>
              </w:rPr>
              <w:t>iropas Savienības fondu projektos</w:t>
            </w:r>
            <w:r w:rsidRPr="00DE05E9">
              <w:rPr>
                <w:rFonts w:ascii="Times New Roman" w:hAnsi="Times New Roman" w:cs="Times New Roman"/>
                <w:lang w:val="lv-LV"/>
              </w:rPr>
              <w:t xml:space="preserve">.  </w:t>
            </w:r>
          </w:p>
          <w:p w14:paraId="57D7DEFA" w14:textId="77777777" w:rsidR="00F7007B" w:rsidRPr="00DE05E9" w:rsidRDefault="00F7007B" w:rsidP="00F7007B">
            <w:pPr>
              <w:jc w:val="both"/>
              <w:rPr>
                <w:rFonts w:ascii="Times New Roman" w:hAnsi="Times New Roman" w:cs="Times New Roman"/>
                <w:lang w:val="lv-LV"/>
              </w:rPr>
            </w:pPr>
            <w:r w:rsidRPr="00DE05E9">
              <w:rPr>
                <w:rFonts w:ascii="Times New Roman" w:hAnsi="Times New Roman" w:cs="Times New Roman"/>
                <w:lang w:val="lv-LV"/>
              </w:rPr>
              <w:t xml:space="preserve">Centrālā finanšu un līgumu aģentūra un Iepirkumu uzraudzības birojs, veicot iepirkumu pārbaudes, savā darbā ievēro Eiropas Komisijas Informatīvajā paziņojumā par krāpšanas pazīmēm attiecībā uz Eiropas Savienības fondiem aprakstītos krāpniecisko darbību veidus un to indikatorus. Ja tiek konstatēta neatbilstība, kas kvalificējama kā aizdomas par krāpšanu, t.sk. korupcija, interešu konflikts, Centrālā finanšu un līgumu aģentūra un Iepirkumu uzraudzības birojs informē par to tiesībaizsardzības iestādes. </w:t>
            </w:r>
          </w:p>
          <w:p w14:paraId="0F92013A" w14:textId="5534D3A9" w:rsidR="00F7007B" w:rsidRPr="00DE05E9" w:rsidRDefault="00F7007B" w:rsidP="00F7007B">
            <w:pPr>
              <w:jc w:val="both"/>
              <w:rPr>
                <w:rFonts w:ascii="Times New Roman" w:hAnsi="Times New Roman" w:cs="Times New Roman"/>
                <w:lang w:val="lv-LV"/>
              </w:rPr>
            </w:pPr>
            <w:r w:rsidRPr="00DE05E9">
              <w:rPr>
                <w:rFonts w:ascii="Times New Roman" w:hAnsi="Times New Roman" w:cs="Times New Roman"/>
                <w:lang w:val="lv-LV"/>
              </w:rPr>
              <w:lastRenderedPageBreak/>
              <w:t xml:space="preserve">Informācija par pieņemtajiem lēmumiem un konstatētajām neatbilstībām tiek ievadīta Kohēzijas politikas fondu vadības informācijas sistēmā, informācija par pieņemtajiem lēmumiem saistībā ar krāpšanas (aizdomām par krāpšanu) gadījumiem, reizi ceturksnī tiek nosūtīta </w:t>
            </w:r>
            <w:r w:rsidRPr="00373FE6">
              <w:rPr>
                <w:rFonts w:ascii="Times New Roman" w:hAnsi="Times New Roman" w:cs="Times New Roman"/>
                <w:lang w:val="lv-LV"/>
              </w:rPr>
              <w:t xml:space="preserve">Eiropas </w:t>
            </w:r>
            <w:r w:rsidR="00373FE6" w:rsidRPr="00373FE6">
              <w:rPr>
                <w:rFonts w:ascii="Times New Roman" w:hAnsi="Times New Roman" w:cs="Times New Roman"/>
                <w:lang w:val="lv-LV"/>
              </w:rPr>
              <w:t xml:space="preserve">Birojam </w:t>
            </w:r>
            <w:r w:rsidRPr="00373FE6">
              <w:rPr>
                <w:rFonts w:ascii="Times New Roman" w:hAnsi="Times New Roman" w:cs="Times New Roman"/>
                <w:lang w:val="lv-LV"/>
              </w:rPr>
              <w:t xml:space="preserve">krāpšanas </w:t>
            </w:r>
            <w:r w:rsidR="00373FE6" w:rsidRPr="00373FE6">
              <w:rPr>
                <w:rFonts w:ascii="Times New Roman" w:hAnsi="Times New Roman" w:cs="Times New Roman"/>
                <w:lang w:val="lv-LV"/>
              </w:rPr>
              <w:t xml:space="preserve">apkarošanai </w:t>
            </w:r>
            <w:r w:rsidRPr="00373FE6">
              <w:rPr>
                <w:rFonts w:ascii="Times New Roman" w:hAnsi="Times New Roman" w:cs="Times New Roman"/>
                <w:lang w:val="lv-LV"/>
              </w:rPr>
              <w:t>(OLAF).</w:t>
            </w:r>
          </w:p>
          <w:p w14:paraId="6F45D0D4" w14:textId="0F9B1F2D" w:rsidR="00F7007B" w:rsidRPr="00DE05E9" w:rsidRDefault="00F7007B" w:rsidP="00F7007B">
            <w:pPr>
              <w:jc w:val="both"/>
              <w:rPr>
                <w:rFonts w:ascii="Times New Roman" w:hAnsi="Times New Roman" w:cs="Times New Roman"/>
                <w:lang w:val="lv-LV"/>
              </w:rPr>
            </w:pPr>
            <w:r w:rsidRPr="00DE05E9">
              <w:rPr>
                <w:rFonts w:ascii="Times New Roman" w:hAnsi="Times New Roman" w:cs="Times New Roman"/>
                <w:lang w:val="lv-LV"/>
              </w:rPr>
              <w:t xml:space="preserve">Informācijas iegūšanai Centrālā finanšu un līgumu aģentūra izmanto </w:t>
            </w:r>
            <w:r w:rsidRPr="00DE05E9">
              <w:rPr>
                <w:rFonts w:ascii="Times New Roman" w:hAnsi="Times New Roman" w:cs="Times New Roman"/>
                <w:i/>
                <w:lang w:val="lv-LV"/>
              </w:rPr>
              <w:t>Arachne</w:t>
            </w:r>
            <w:r w:rsidRPr="00DE05E9">
              <w:rPr>
                <w:rFonts w:ascii="Times New Roman" w:hAnsi="Times New Roman" w:cs="Times New Roman"/>
                <w:lang w:val="lv-LV"/>
              </w:rPr>
              <w:t xml:space="preserve"> rīku, pārbaudi obligāti veic attiecībā uz izvēlētajiem kandidātiem vai uzvarējušo pretendentu. Ja papildus nepieciešama </w:t>
            </w:r>
            <w:r w:rsidRPr="00DE05E9">
              <w:rPr>
                <w:rFonts w:ascii="Times New Roman" w:hAnsi="Times New Roman" w:cs="Times New Roman"/>
                <w:i/>
                <w:lang w:val="lv-LV"/>
              </w:rPr>
              <w:t>Arachne</w:t>
            </w:r>
            <w:r w:rsidRPr="00DE05E9">
              <w:rPr>
                <w:rFonts w:ascii="Times New Roman" w:hAnsi="Times New Roman" w:cs="Times New Roman"/>
                <w:lang w:val="lv-LV"/>
              </w:rPr>
              <w:t xml:space="preserve"> rīkā iegūtās informācijas analīze, tiek izmantota Valsts ieņēmumu dienesta datu bāze,</w:t>
            </w:r>
            <w:r w:rsidRPr="00DE05E9">
              <w:rPr>
                <w:rFonts w:ascii="Times New Roman" w:hAnsi="Times New Roman" w:cs="Times New Roman"/>
                <w:i/>
                <w:lang w:val="lv-LV"/>
              </w:rPr>
              <w:t xml:space="preserve"> Lursoft</w:t>
            </w:r>
            <w:r w:rsidRPr="00DE05E9">
              <w:rPr>
                <w:rFonts w:ascii="Times New Roman" w:hAnsi="Times New Roman" w:cs="Times New Roman"/>
                <w:lang w:val="lv-LV"/>
              </w:rPr>
              <w:t xml:space="preserve"> datu bāze, papildu risku saraksts u.c. informācijas avoti.</w:t>
            </w:r>
          </w:p>
          <w:p w14:paraId="4D07A7DC" w14:textId="0EB90F7B" w:rsidR="00B51D1E" w:rsidRDefault="00B51D1E" w:rsidP="00F7007B">
            <w:pPr>
              <w:jc w:val="both"/>
              <w:rPr>
                <w:rFonts w:ascii="Times New Roman" w:hAnsi="Times New Roman" w:cs="Times New Roman"/>
                <w:lang w:val="lv-LV"/>
              </w:rPr>
            </w:pPr>
          </w:p>
          <w:p w14:paraId="6C939A1A" w14:textId="5EE1608F" w:rsidR="00A9665E" w:rsidRPr="00A9665E" w:rsidRDefault="009A7B32" w:rsidP="00F7007B">
            <w:pPr>
              <w:jc w:val="both"/>
              <w:rPr>
                <w:rFonts w:ascii="Times New Roman" w:hAnsi="Times New Roman" w:cs="Times New Roman"/>
                <w:b/>
                <w:lang w:val="lv-LV"/>
              </w:rPr>
            </w:pPr>
            <w:r>
              <w:rPr>
                <w:rFonts w:ascii="Times New Roman" w:hAnsi="Times New Roman" w:cs="Times New Roman"/>
                <w:b/>
                <w:lang w:val="lv-LV"/>
              </w:rPr>
              <w:t>Iepirkumu veicēju administratīvā atbildība</w:t>
            </w:r>
          </w:p>
          <w:p w14:paraId="6347344C" w14:textId="77777777" w:rsidR="00B51D1E" w:rsidRPr="00DE05E9" w:rsidRDefault="00B51D1E" w:rsidP="00B51D1E">
            <w:pPr>
              <w:jc w:val="both"/>
              <w:rPr>
                <w:rFonts w:ascii="Times New Roman" w:hAnsi="Times New Roman" w:cs="Times New Roman"/>
                <w:lang w:val="lv-LV"/>
              </w:rPr>
            </w:pPr>
            <w:r w:rsidRPr="00DE05E9">
              <w:rPr>
                <w:rFonts w:ascii="Times New Roman" w:hAnsi="Times New Roman" w:cs="Times New Roman"/>
                <w:lang w:val="lv-LV"/>
              </w:rPr>
              <w:t>Iepirkumu uzraudzības birojs ierosina administratīvo pārkāpumu lietas gadījumos, kad iepirkuma līgumi tiek noslēgti, neievērojot publisko iepirkumu tiesību aktu prasības, kad iepirkumos par uzvarētājiem tiek izraudzīti iepirkuma dokumentu prasībām neatbilstoši piegādātāji vai noslēgto iepirkuma līgumu nosacījumi nepamatoti tiek grozīti par labu uzvarējušajam pretendentam.</w:t>
            </w:r>
          </w:p>
          <w:p w14:paraId="592E7B90" w14:textId="497A68C7" w:rsidR="00F7007B" w:rsidRPr="00A9665E" w:rsidRDefault="00F7007B" w:rsidP="00F7007B">
            <w:pPr>
              <w:jc w:val="both"/>
              <w:rPr>
                <w:rFonts w:ascii="Times New Roman" w:hAnsi="Times New Roman" w:cs="Times New Roman"/>
                <w:b/>
                <w:lang w:val="lv-LV"/>
              </w:rPr>
            </w:pPr>
          </w:p>
          <w:p w14:paraId="7812721B" w14:textId="1FA1BADF" w:rsidR="00A9665E" w:rsidRPr="00A9665E" w:rsidRDefault="009A7B32" w:rsidP="00F7007B">
            <w:pPr>
              <w:jc w:val="both"/>
              <w:rPr>
                <w:rFonts w:ascii="Times New Roman" w:hAnsi="Times New Roman" w:cs="Times New Roman"/>
                <w:b/>
                <w:lang w:val="lv-LV"/>
              </w:rPr>
            </w:pPr>
            <w:r>
              <w:rPr>
                <w:rFonts w:ascii="Times New Roman" w:hAnsi="Times New Roman" w:cs="Times New Roman"/>
                <w:b/>
                <w:lang w:val="lv-LV"/>
              </w:rPr>
              <w:t>Elektroniska pieteikumu un piedāvājumu iesniegšana</w:t>
            </w:r>
          </w:p>
          <w:p w14:paraId="46E8295F" w14:textId="55E956D2" w:rsidR="00F7007B" w:rsidRDefault="00F7007B" w:rsidP="00F7007B">
            <w:pPr>
              <w:jc w:val="both"/>
              <w:rPr>
                <w:rFonts w:ascii="Times New Roman" w:hAnsi="Times New Roman" w:cs="Times New Roman"/>
                <w:lang w:val="lv-LV"/>
              </w:rPr>
            </w:pPr>
            <w:r w:rsidRPr="00DE05E9">
              <w:rPr>
                <w:rFonts w:ascii="Times New Roman" w:hAnsi="Times New Roman" w:cs="Times New Roman"/>
                <w:lang w:val="lv-LV"/>
              </w:rPr>
              <w:t>No 2018.gada 1.aprīļa iepirkuma procedūrās piegādātājiem savi piedāvājumi ir jāiesniedz elektronisk</w:t>
            </w:r>
            <w:r w:rsidR="00B51D1E" w:rsidRPr="00DE05E9">
              <w:rPr>
                <w:rFonts w:ascii="Times New Roman" w:hAnsi="Times New Roman" w:cs="Times New Roman"/>
                <w:lang w:val="lv-LV"/>
              </w:rPr>
              <w:t>ā veidā (www.eis.gov.lv)</w:t>
            </w:r>
            <w:r w:rsidRPr="00DE05E9">
              <w:rPr>
                <w:rFonts w:ascii="Times New Roman" w:hAnsi="Times New Roman" w:cs="Times New Roman"/>
                <w:lang w:val="lv-LV"/>
              </w:rPr>
              <w:t>. Elektronisko piedāvājumu iesniegšanu ir uzskatāma par instrumentu, kas novērš tālākas manipulācijas</w:t>
            </w:r>
            <w:r w:rsidR="00B51D1E" w:rsidRPr="00DE05E9">
              <w:rPr>
                <w:rFonts w:ascii="Times New Roman" w:hAnsi="Times New Roman" w:cs="Times New Roman"/>
                <w:lang w:val="lv-LV"/>
              </w:rPr>
              <w:t xml:space="preserve"> un</w:t>
            </w:r>
            <w:r w:rsidRPr="00DE05E9">
              <w:rPr>
                <w:rFonts w:ascii="Times New Roman" w:hAnsi="Times New Roman" w:cs="Times New Roman"/>
                <w:lang w:val="lv-LV"/>
              </w:rPr>
              <w:t xml:space="preserve"> darbības ar piedāvājumiem.</w:t>
            </w:r>
          </w:p>
          <w:p w14:paraId="73B499CA" w14:textId="3D3560D2" w:rsidR="00302DA2" w:rsidRDefault="00302DA2" w:rsidP="00F7007B">
            <w:pPr>
              <w:jc w:val="both"/>
              <w:rPr>
                <w:rFonts w:ascii="Times New Roman" w:hAnsi="Times New Roman" w:cs="Times New Roman"/>
                <w:lang w:val="lv-LV"/>
              </w:rPr>
            </w:pPr>
          </w:p>
          <w:p w14:paraId="43D020AB" w14:textId="47FC36FD" w:rsidR="00302DA2" w:rsidRPr="005A170F" w:rsidRDefault="00302DA2" w:rsidP="00F7007B">
            <w:pPr>
              <w:jc w:val="both"/>
              <w:rPr>
                <w:rFonts w:ascii="Times New Roman" w:hAnsi="Times New Roman" w:cs="Times New Roman"/>
                <w:b/>
                <w:lang w:val="lv-LV"/>
              </w:rPr>
            </w:pPr>
            <w:r w:rsidRPr="005A170F">
              <w:rPr>
                <w:rFonts w:ascii="Times New Roman" w:hAnsi="Times New Roman" w:cs="Times New Roman"/>
                <w:b/>
                <w:lang w:val="lv-LV"/>
              </w:rPr>
              <w:t>Valsts mēroga kampaņa</w:t>
            </w:r>
          </w:p>
          <w:p w14:paraId="2E9F9D29" w14:textId="737B8F7A" w:rsidR="00302DA2" w:rsidRPr="005A170F" w:rsidRDefault="00302DA2" w:rsidP="00302DA2">
            <w:pPr>
              <w:jc w:val="both"/>
              <w:rPr>
                <w:rFonts w:ascii="Times New Roman" w:hAnsi="Times New Roman" w:cs="Times New Roman"/>
                <w:lang w:val="en-US"/>
              </w:rPr>
            </w:pPr>
            <w:r w:rsidRPr="005A170F">
              <w:rPr>
                <w:rFonts w:ascii="Times New Roman" w:hAnsi="Times New Roman" w:cs="Times New Roman"/>
                <w:i/>
                <w:lang w:val="en-US"/>
              </w:rPr>
              <w:t>#Atkrāpies!</w:t>
            </w:r>
            <w:r w:rsidRPr="005A170F">
              <w:rPr>
                <w:rFonts w:ascii="Times New Roman" w:hAnsi="Times New Roman" w:cs="Times New Roman"/>
                <w:lang w:val="en-US"/>
              </w:rPr>
              <w:t xml:space="preserve"> ir pretkrāpšanas kustība, kurā apvienojušās Latvijas valsts pārvaldes iestādes, kas cīnās pret krāpniecību dažādās jomās un izpausmēs, kā arī Latvijas iedzīvotāji un organizācijas, kas stingri iestājas pret jeb kāda veida krāpšanu. Vairāk informācijas un iespēja iesaistīties kustībā </w:t>
            </w:r>
            <w:r w:rsidRPr="005A170F">
              <w:rPr>
                <w:rFonts w:ascii="Times New Roman" w:hAnsi="Times New Roman" w:cs="Times New Roman"/>
                <w:bCs/>
                <w:lang w:val="en-US"/>
              </w:rPr>
              <w:t>www.atkrapies.lv</w:t>
            </w:r>
            <w:r w:rsidRPr="005A170F">
              <w:rPr>
                <w:rFonts w:ascii="Times New Roman" w:hAnsi="Times New Roman" w:cs="Times New Roman"/>
                <w:lang w:val="en-US"/>
              </w:rPr>
              <w:t>.</w:t>
            </w:r>
          </w:p>
          <w:p w14:paraId="31D671DC" w14:textId="000CE5D3" w:rsidR="00302DA2" w:rsidRPr="00DE05E9" w:rsidRDefault="00302DA2" w:rsidP="00F7007B">
            <w:pPr>
              <w:jc w:val="both"/>
              <w:rPr>
                <w:rFonts w:ascii="Times New Roman" w:hAnsi="Times New Roman" w:cs="Times New Roman"/>
                <w:lang w:val="lv-LV"/>
              </w:rPr>
            </w:pPr>
            <w:r w:rsidRPr="005A170F">
              <w:rPr>
                <w:rFonts w:ascii="Times New Roman" w:hAnsi="Times New Roman" w:cs="Times New Roman"/>
                <w:lang w:val="lv-LV"/>
              </w:rPr>
              <w:t>Kampaņas mērķis ir aicināt sabiedrību izpētīt un apdomāt pirms uzķerties, izzināt, pirms kļūt par krāpšanas upuri, kļūt kritiskākiem un izvērtēt riskus – gan tos, kas var rasties individuāli, gan tos, kuri pastāv valstiskā mērogā, ja tiek veicināta un tolerēta krāpšanās un ēnu ekonomika.</w:t>
            </w:r>
          </w:p>
          <w:p w14:paraId="274DF746" w14:textId="72905B52" w:rsidR="005F1507" w:rsidRPr="00DE05E9" w:rsidRDefault="005F1507" w:rsidP="00F7007B">
            <w:pPr>
              <w:jc w:val="both"/>
              <w:rPr>
                <w:rFonts w:ascii="Times New Roman" w:hAnsi="Times New Roman" w:cs="Times New Roman"/>
                <w:lang w:val="lv-LV"/>
              </w:rPr>
            </w:pPr>
          </w:p>
        </w:tc>
      </w:tr>
      <w:tr w:rsidR="007217FF" w:rsidRPr="00DE05E9" w14:paraId="21F995DE" w14:textId="77777777" w:rsidTr="00FB71FD">
        <w:tc>
          <w:tcPr>
            <w:tcW w:w="612" w:type="pct"/>
          </w:tcPr>
          <w:p w14:paraId="7C193813" w14:textId="15B5A0CF" w:rsidR="007217FF" w:rsidRPr="00DE05E9" w:rsidRDefault="007217FF" w:rsidP="00FB71FD">
            <w:pPr>
              <w:jc w:val="both"/>
              <w:rPr>
                <w:rFonts w:ascii="Times New Roman" w:hAnsi="Times New Roman" w:cs="Times New Roman"/>
              </w:rPr>
            </w:pPr>
            <w:r w:rsidRPr="00DE05E9">
              <w:rPr>
                <w:rFonts w:ascii="Times New Roman" w:hAnsi="Times New Roman" w:cs="Times New Roman"/>
              </w:rPr>
              <w:lastRenderedPageBreak/>
              <w:t xml:space="preserve">Describe the actions undertaken and/or mechanisms put in place to ensure compliance with the new provisions on the prevention, </w:t>
            </w:r>
            <w:r w:rsidRPr="00DE05E9">
              <w:rPr>
                <w:rFonts w:ascii="Times New Roman" w:hAnsi="Times New Roman" w:cs="Times New Roman"/>
              </w:rPr>
              <w:lastRenderedPageBreak/>
              <w:t>detection and adequate reporting of conflicts of interests</w:t>
            </w:r>
          </w:p>
        </w:tc>
        <w:tc>
          <w:tcPr>
            <w:tcW w:w="4388" w:type="pct"/>
          </w:tcPr>
          <w:p w14:paraId="52E9BFBE" w14:textId="64C322BE" w:rsidR="00B51D1E" w:rsidRPr="00A9665E" w:rsidRDefault="00B51D1E" w:rsidP="00B51D1E">
            <w:pPr>
              <w:jc w:val="both"/>
              <w:rPr>
                <w:rFonts w:ascii="Times New Roman" w:hAnsi="Times New Roman" w:cs="Times New Roman"/>
                <w:lang w:val="lv-LV"/>
              </w:rPr>
            </w:pPr>
            <w:r w:rsidRPr="00A9665E">
              <w:rPr>
                <w:rFonts w:ascii="Times New Roman" w:hAnsi="Times New Roman" w:cs="Times New Roman"/>
                <w:lang w:val="lv-LV"/>
              </w:rPr>
              <w:lastRenderedPageBreak/>
              <w:t>Likuma “Par interešu konflikta novēršanu valsts amatpersonu darbībā” 4.panta pirmās daļas 24.apakšpunktā noteikts, ka valsts amatpersona ir publiskā iepirkuma komisijas loceklis, savukārt Publisko iepirkumu likumā (25.pants), Sabiedrisko pakalpojumu sniedzēju iepirkumu likumā (30.pants) un Publiskās un privātās partnerības likumā (25.pants) noteikts plašāks subjektu loks, uz kuru attiecināmi ierobežojumi un aizliegumi, lai izvairītos no interešu konflikta, proti,  Publisko iepirkumu likums un Sabiedrisko pakalpojumu sniedzēju iepirkumu likums nosaka, ka papildus iepirkuma komisijas loceklim, arī iepirkuma procedūras dokumentu sagatavotājs (pasūtītāja amatpersona vai darbinieks/sabiedrisko pakalpojumu sniedzēja amatpersona vai darbinieks) un eksperts nedrīkst pārstāvēt kandidāta vai pretendenta intereses, kā arī nedrīkst būt saistīts ar kandidātu vai pretendentu.</w:t>
            </w:r>
          </w:p>
          <w:p w14:paraId="3CB611BD" w14:textId="6D48EB34" w:rsidR="00B51D1E" w:rsidRPr="00A9665E" w:rsidRDefault="00B51D1E" w:rsidP="00F7007B">
            <w:pPr>
              <w:jc w:val="both"/>
              <w:rPr>
                <w:rFonts w:ascii="Times New Roman" w:hAnsi="Times New Roman" w:cs="Times New Roman"/>
                <w:lang w:val="lv-LV"/>
              </w:rPr>
            </w:pPr>
          </w:p>
          <w:p w14:paraId="51E59122" w14:textId="793BE332" w:rsidR="00CF450C" w:rsidRPr="00DE05E9" w:rsidRDefault="00F7007B" w:rsidP="00CF450C">
            <w:pPr>
              <w:jc w:val="both"/>
              <w:rPr>
                <w:rFonts w:ascii="Times New Roman" w:hAnsi="Times New Roman" w:cs="Times New Roman"/>
                <w:lang w:val="lv-LV"/>
              </w:rPr>
            </w:pPr>
            <w:r w:rsidRPr="00A9665E">
              <w:rPr>
                <w:rFonts w:ascii="Times New Roman" w:hAnsi="Times New Roman" w:cs="Times New Roman"/>
                <w:lang w:val="lv-LV"/>
              </w:rPr>
              <w:t>Iepirkumu uzraudzī</w:t>
            </w:r>
            <w:r w:rsidR="00A9665E" w:rsidRPr="00A9665E">
              <w:rPr>
                <w:rFonts w:ascii="Times New Roman" w:hAnsi="Times New Roman" w:cs="Times New Roman"/>
                <w:lang w:val="lv-LV"/>
              </w:rPr>
              <w:t>b</w:t>
            </w:r>
            <w:r w:rsidRPr="00A9665E">
              <w:rPr>
                <w:rFonts w:ascii="Times New Roman" w:hAnsi="Times New Roman" w:cs="Times New Roman"/>
                <w:lang w:val="lv-LV"/>
              </w:rPr>
              <w:t>as birojs un Centrālā finanšu un līgumu aģentūra, veicot iepirkumu pārbaudes, pārliecinās par apliecinājumu esamību un gadījumos, kad to rīcībā ir informācija par iespējamu interešu konfliktu, ziņo par to kompetentajām institūcijām. Iepirkumu uzraudzības birojs uzsāk administratīvo pārkāpumu lietvedību, ja</w:t>
            </w:r>
            <w:r w:rsidRPr="00DE05E9">
              <w:rPr>
                <w:rFonts w:ascii="Times New Roman" w:hAnsi="Times New Roman" w:cs="Times New Roman"/>
              </w:rPr>
              <w:t xml:space="preserve">, veicot resoriskās pārbaudes, no saņemtajiem iesniegumiem vai citiem informācijas </w:t>
            </w:r>
            <w:r w:rsidRPr="00DE05E9">
              <w:rPr>
                <w:rFonts w:ascii="Times New Roman" w:hAnsi="Times New Roman" w:cs="Times New Roman"/>
              </w:rPr>
              <w:lastRenderedPageBreak/>
              <w:t>avotiem saņemtas ziņas par iespējamu interešu konfliktu iepirkumu komisijas darbā</w:t>
            </w:r>
            <w:r w:rsidR="00CF450C">
              <w:rPr>
                <w:rFonts w:ascii="Times New Roman" w:hAnsi="Times New Roman" w:cs="Times New Roman"/>
              </w:rPr>
              <w:t xml:space="preserve">, tai skaitā </w:t>
            </w:r>
            <w:r w:rsidR="00CF450C" w:rsidRPr="00DE05E9">
              <w:rPr>
                <w:rFonts w:ascii="Times New Roman" w:hAnsi="Times New Roman" w:cs="Times New Roman"/>
              </w:rPr>
              <w:t>saistīto personu esamību/neesamību attiecībā uz visiem Publisko iepirkumu likumā un Sabiedrisko pakalpojumu sniedzēju iepirkumu likumā minētajiem subjektiem.</w:t>
            </w:r>
            <w:r w:rsidR="00CF450C">
              <w:rPr>
                <w:rFonts w:ascii="Times New Roman" w:hAnsi="Times New Roman" w:cs="Times New Roman"/>
              </w:rPr>
              <w:t xml:space="preserve"> Papildus tiek veikti arī šādi pasākumi:</w:t>
            </w:r>
          </w:p>
          <w:p w14:paraId="0AC89C2E" w14:textId="77777777" w:rsidR="00CF450C" w:rsidRPr="00A9665E" w:rsidRDefault="00CF450C" w:rsidP="00CF450C">
            <w:pPr>
              <w:pStyle w:val="ListParagraph"/>
              <w:numPr>
                <w:ilvl w:val="0"/>
                <w:numId w:val="21"/>
              </w:numPr>
              <w:jc w:val="both"/>
              <w:rPr>
                <w:rFonts w:ascii="Times New Roman" w:hAnsi="Times New Roman" w:cs="Times New Roman"/>
                <w:lang w:val="lv-LV"/>
              </w:rPr>
            </w:pPr>
            <w:r w:rsidRPr="00A9665E">
              <w:rPr>
                <w:rFonts w:ascii="Times New Roman" w:hAnsi="Times New Roman" w:cs="Times New Roman"/>
                <w:lang w:val="lv-LV"/>
              </w:rPr>
              <w:t>Iepirkumu uzraudzības biroja tīmekļvietnē publcēts detalizēts skaidrojums par iepirkuma dokumentu sagatavotāju identificēšnu un apliecinājumu parakstīšanas pienākumu.</w:t>
            </w:r>
          </w:p>
          <w:p w14:paraId="4D1C3919" w14:textId="77777777" w:rsidR="00CF450C" w:rsidRPr="00DE05E9" w:rsidRDefault="00CF450C" w:rsidP="00CF450C">
            <w:pPr>
              <w:pStyle w:val="ListParagraph"/>
              <w:numPr>
                <w:ilvl w:val="0"/>
                <w:numId w:val="21"/>
              </w:numPr>
              <w:jc w:val="both"/>
              <w:rPr>
                <w:rFonts w:ascii="Times New Roman" w:hAnsi="Times New Roman" w:cs="Times New Roman"/>
                <w:lang w:val="lv-LV"/>
              </w:rPr>
            </w:pPr>
            <w:r w:rsidRPr="00DE05E9">
              <w:rPr>
                <w:rFonts w:ascii="Times New Roman" w:hAnsi="Times New Roman" w:cs="Times New Roman"/>
                <w:lang w:val="lv-LV"/>
              </w:rPr>
              <w:t>Iepirkumu uzraudzības birojs ir iztrādājis un regulāri aktualizē Metodiku par iepirkumu pirmspārbaužu veikšanu sadarbības iestādei Eiropas Savienības struktūrfondu un Kohēzijas fonda 2014.-2020.gada plānošanas periodā (dokuments ir pieejams Iepirkumu uzraudzības biroja tīmekļvietnē https://www.iub.gov.lv/lv/node/98). Minētās metodikas pielikumā iekļautajās pārbaudes lapās ir ietverti pārbaudāmie jautājumi saistībā ar iespējama ineterešu konflikta konstatēšanu. Šādi jautājumi ir iekļauti arī Iepirkumu uzraudzības biroja iekšējos noteikumus, kas attiecas uz pirmspārbaužu veikšanu.</w:t>
            </w:r>
          </w:p>
          <w:p w14:paraId="4EC74A40" w14:textId="75AC0607" w:rsidR="00CF450C" w:rsidRPr="00887F51" w:rsidRDefault="00CF450C" w:rsidP="00887F51">
            <w:pPr>
              <w:pStyle w:val="ListParagraph"/>
              <w:numPr>
                <w:ilvl w:val="0"/>
                <w:numId w:val="21"/>
              </w:numPr>
              <w:jc w:val="both"/>
              <w:rPr>
                <w:rFonts w:ascii="Times New Roman" w:hAnsi="Times New Roman" w:cs="Times New Roman"/>
                <w:lang w:val="lv-LV"/>
              </w:rPr>
            </w:pPr>
            <w:r w:rsidRPr="00887F51">
              <w:rPr>
                <w:rFonts w:ascii="Times New Roman" w:hAnsi="Times New Roman" w:cs="Times New Roman"/>
                <w:lang w:val="lv-LV"/>
              </w:rPr>
              <w:t>Iepirkumu uzraudzības biroja</w:t>
            </w:r>
            <w:r w:rsidRPr="00887F51">
              <w:rPr>
                <w:rFonts w:ascii="Times New Roman" w:hAnsi="Times New Roman" w:cs="Times New Roman"/>
                <w:b/>
                <w:lang w:val="lv-LV"/>
              </w:rPr>
              <w:t xml:space="preserve"> </w:t>
            </w:r>
            <w:r w:rsidRPr="00887F51">
              <w:rPr>
                <w:rFonts w:ascii="Times New Roman" w:hAnsi="Times New Roman" w:cs="Times New Roman"/>
                <w:lang w:val="lv-LV"/>
              </w:rPr>
              <w:t>veikto pārbaužu ietvaros tiek risināti jautājumi un sniegts viedoklis par iespējamām interešu konflikta situācijām. Ja tiek veikta pirmspārbaude, informācija par tās rezultātu un konstatētajām neatbilstībām tiek ievadīta Kohēzijas politikas fondu vadības informācijas sistēmā.</w:t>
            </w:r>
          </w:p>
          <w:p w14:paraId="4E784EBE" w14:textId="77777777" w:rsidR="00CF450C" w:rsidRPr="00DE05E9" w:rsidRDefault="00CF450C" w:rsidP="00CF450C">
            <w:pPr>
              <w:jc w:val="both"/>
              <w:rPr>
                <w:rFonts w:ascii="Times New Roman" w:hAnsi="Times New Roman" w:cs="Times New Roman"/>
                <w:lang w:val="lv-LV"/>
              </w:rPr>
            </w:pPr>
          </w:p>
          <w:p w14:paraId="1CC2F23A" w14:textId="7E3265F6" w:rsidR="00F7007B" w:rsidRPr="00DE05E9" w:rsidRDefault="00F7007B" w:rsidP="00FB71FD">
            <w:pPr>
              <w:jc w:val="both"/>
              <w:rPr>
                <w:rFonts w:ascii="Times New Roman" w:hAnsi="Times New Roman" w:cs="Times New Roman"/>
              </w:rPr>
            </w:pPr>
          </w:p>
          <w:p w14:paraId="6DD16221" w14:textId="09F7E809" w:rsidR="001C6E39" w:rsidRPr="00DE05E9" w:rsidRDefault="00064F89" w:rsidP="00FB71FD">
            <w:pPr>
              <w:jc w:val="both"/>
              <w:rPr>
                <w:rFonts w:ascii="Times New Roman" w:hAnsi="Times New Roman" w:cs="Times New Roman"/>
                <w:lang w:val="lv-LV"/>
              </w:rPr>
            </w:pPr>
            <w:r w:rsidRPr="00DE05E9">
              <w:rPr>
                <w:rFonts w:ascii="Times New Roman" w:hAnsi="Times New Roman" w:cs="Times New Roman"/>
              </w:rPr>
              <w:t>S</w:t>
            </w:r>
            <w:r w:rsidR="00573749" w:rsidRPr="00DE05E9">
              <w:rPr>
                <w:rFonts w:ascii="Times New Roman" w:hAnsi="Times New Roman" w:cs="Times New Roman"/>
              </w:rPr>
              <w:t xml:space="preserve">askaņā ar Korupcijas novēršanas un apkarošanas biroja likuma 7.panta pirmās daļas 4.punktu </w:t>
            </w:r>
            <w:r w:rsidRPr="00DE05E9">
              <w:rPr>
                <w:rFonts w:ascii="Times New Roman" w:hAnsi="Times New Roman" w:cs="Times New Roman"/>
              </w:rPr>
              <w:t xml:space="preserve">Korupcijas novēršanas un apkarošanas birojs </w:t>
            </w:r>
            <w:r w:rsidR="00573749" w:rsidRPr="00DE05E9">
              <w:rPr>
                <w:rFonts w:ascii="Times New Roman" w:hAnsi="Times New Roman" w:cs="Times New Roman"/>
              </w:rPr>
              <w:t>kontrolē interešu konflikta novēršanu valsts amatpersonu darbībā, kā arī normatīvajos aktos noteikto aizliegumu un papildu ierobežojumu ievērošanu.</w:t>
            </w:r>
            <w:r w:rsidR="00C93231">
              <w:rPr>
                <w:rFonts w:ascii="Times New Roman" w:hAnsi="Times New Roman" w:cs="Times New Roman"/>
              </w:rPr>
              <w:t xml:space="preserve"> Korupcijas novēršanas un apkarošanas birojs izmeklē iespējamus korupcijas un interešu konflikta gadījumos publiskajs iepirkumos, pēc vajadzības konsultējoties vai piesaistot Iepirkumu uzraudzības biroja ekspertus.</w:t>
            </w:r>
            <w:r w:rsidR="00573749" w:rsidRPr="00DE05E9">
              <w:rPr>
                <w:rFonts w:ascii="Times New Roman" w:hAnsi="Times New Roman" w:cs="Times New Roman"/>
              </w:rPr>
              <w:t xml:space="preserve"> </w:t>
            </w:r>
          </w:p>
          <w:p w14:paraId="23F76250" w14:textId="77777777" w:rsidR="00A9665E" w:rsidRDefault="00A9665E" w:rsidP="00C01C08">
            <w:pPr>
              <w:jc w:val="both"/>
              <w:rPr>
                <w:rFonts w:ascii="Times New Roman" w:hAnsi="Times New Roman" w:cs="Times New Roman"/>
                <w:b/>
                <w:lang w:val="lv-LV"/>
              </w:rPr>
            </w:pPr>
          </w:p>
          <w:p w14:paraId="6E893D17" w14:textId="77EB1A84" w:rsidR="00EA1F97" w:rsidRPr="00DE05E9" w:rsidRDefault="00EA1F97" w:rsidP="00CF450C">
            <w:pPr>
              <w:jc w:val="both"/>
              <w:rPr>
                <w:rFonts w:ascii="Times New Roman" w:hAnsi="Times New Roman" w:cs="Times New Roman"/>
                <w:lang w:val="lv-LV"/>
              </w:rPr>
            </w:pPr>
          </w:p>
        </w:tc>
      </w:tr>
      <w:tr w:rsidR="00253552" w:rsidRPr="00DE05E9" w14:paraId="4CDE2A28" w14:textId="77777777" w:rsidTr="00FB71FD">
        <w:tc>
          <w:tcPr>
            <w:tcW w:w="612" w:type="pct"/>
          </w:tcPr>
          <w:p w14:paraId="1DCB95B7" w14:textId="123EA8CA" w:rsidR="00253552" w:rsidRPr="00DE05E9" w:rsidRDefault="00524104" w:rsidP="00FB71FD">
            <w:pPr>
              <w:pStyle w:val="Heading3"/>
              <w:jc w:val="both"/>
              <w:outlineLvl w:val="2"/>
              <w:rPr>
                <w:rFonts w:ascii="Times New Roman" w:hAnsi="Times New Roman" w:cs="Times New Roman"/>
              </w:rPr>
            </w:pPr>
            <w:r w:rsidRPr="00DE05E9">
              <w:rPr>
                <w:rFonts w:ascii="Times New Roman" w:hAnsi="Times New Roman" w:cs="Times New Roman"/>
              </w:rPr>
              <w:lastRenderedPageBreak/>
              <w:t>III</w:t>
            </w:r>
            <w:r w:rsidR="00253552" w:rsidRPr="00DE05E9">
              <w:rPr>
                <w:rFonts w:ascii="Times New Roman" w:hAnsi="Times New Roman" w:cs="Times New Roman"/>
              </w:rPr>
              <w:t xml:space="preserve">.2. </w:t>
            </w:r>
            <w:r w:rsidR="0037143F" w:rsidRPr="00DE05E9">
              <w:rPr>
                <w:rFonts w:ascii="Times New Roman" w:hAnsi="Times New Roman" w:cs="Times New Roman"/>
              </w:rPr>
              <w:t>Supporting documents</w:t>
            </w:r>
          </w:p>
        </w:tc>
        <w:tc>
          <w:tcPr>
            <w:tcW w:w="4388" w:type="pct"/>
          </w:tcPr>
          <w:p w14:paraId="263B52A4" w14:textId="77777777" w:rsidR="00253552" w:rsidRPr="00DE05E9" w:rsidRDefault="00253552" w:rsidP="00FB71FD">
            <w:pPr>
              <w:jc w:val="both"/>
              <w:rPr>
                <w:rFonts w:ascii="Times New Roman" w:hAnsi="Times New Roman" w:cs="Times New Roman"/>
                <w:i/>
              </w:rPr>
            </w:pPr>
          </w:p>
        </w:tc>
      </w:tr>
      <w:tr w:rsidR="00253552" w:rsidRPr="00DE05E9" w14:paraId="02400CED" w14:textId="77777777" w:rsidTr="00FB71FD">
        <w:tc>
          <w:tcPr>
            <w:tcW w:w="612" w:type="pct"/>
          </w:tcPr>
          <w:p w14:paraId="02040C70" w14:textId="08DE06DB" w:rsidR="00253552" w:rsidRPr="00DE05E9" w:rsidRDefault="00253552" w:rsidP="00FB71FD">
            <w:pPr>
              <w:pStyle w:val="Heading3"/>
              <w:jc w:val="both"/>
              <w:outlineLvl w:val="2"/>
              <w:rPr>
                <w:rFonts w:ascii="Times New Roman" w:hAnsi="Times New Roman" w:cs="Times New Roman"/>
                <w:b w:val="0"/>
              </w:rPr>
            </w:pPr>
            <w:r w:rsidRPr="00DE05E9">
              <w:rPr>
                <w:rFonts w:ascii="Times New Roman" w:hAnsi="Times New Roman" w:cs="Times New Roman"/>
                <w:b w:val="0"/>
              </w:rPr>
              <w:t xml:space="preserve">Please provide any available </w:t>
            </w:r>
            <w:r w:rsidR="0037143F" w:rsidRPr="00DE05E9">
              <w:rPr>
                <w:rFonts w:ascii="Times New Roman" w:hAnsi="Times New Roman" w:cs="Times New Roman"/>
                <w:b w:val="0"/>
              </w:rPr>
              <w:t>evidence</w:t>
            </w:r>
            <w:r w:rsidRPr="00DE05E9">
              <w:rPr>
                <w:rFonts w:ascii="Times New Roman" w:hAnsi="Times New Roman" w:cs="Times New Roman"/>
                <w:b w:val="0"/>
              </w:rPr>
              <w:t xml:space="preserve"> on the actions/mechanisms and measures described under section </w:t>
            </w:r>
            <w:r w:rsidR="00046AD1" w:rsidRPr="00DE05E9">
              <w:rPr>
                <w:rFonts w:ascii="Times New Roman" w:hAnsi="Times New Roman" w:cs="Times New Roman"/>
                <w:b w:val="0"/>
              </w:rPr>
              <w:t>III</w:t>
            </w:r>
            <w:r w:rsidRPr="00DE05E9">
              <w:rPr>
                <w:rFonts w:ascii="Times New Roman" w:hAnsi="Times New Roman" w:cs="Times New Roman"/>
                <w:b w:val="0"/>
              </w:rPr>
              <w:t xml:space="preserve">.1. above </w:t>
            </w:r>
            <w:r w:rsidR="00B72720" w:rsidRPr="00DE05E9">
              <w:rPr>
                <w:rFonts w:ascii="Times New Roman" w:hAnsi="Times New Roman" w:cs="Times New Roman"/>
                <w:b w:val="0"/>
              </w:rPr>
              <w:t>demonstrating</w:t>
            </w:r>
            <w:r w:rsidRPr="00DE05E9">
              <w:rPr>
                <w:rFonts w:ascii="Times New Roman" w:hAnsi="Times New Roman" w:cs="Times New Roman"/>
                <w:b w:val="0"/>
              </w:rPr>
              <w:t xml:space="preserve"> compliance with </w:t>
            </w:r>
            <w:r w:rsidRPr="00DE05E9">
              <w:rPr>
                <w:rFonts w:ascii="Times New Roman" w:hAnsi="Times New Roman" w:cs="Times New Roman"/>
                <w:b w:val="0"/>
              </w:rPr>
              <w:lastRenderedPageBreak/>
              <w:t xml:space="preserve">the new provisions on the prevention, detection and adequate reporting of public procurement irregularities and conflicts of interests  </w:t>
            </w:r>
          </w:p>
        </w:tc>
        <w:tc>
          <w:tcPr>
            <w:tcW w:w="4388" w:type="pct"/>
          </w:tcPr>
          <w:p w14:paraId="02B5A52B" w14:textId="77777777" w:rsidR="00E67E50" w:rsidRPr="00DE05E9" w:rsidRDefault="00E67E50" w:rsidP="00FB71FD">
            <w:pPr>
              <w:jc w:val="both"/>
              <w:rPr>
                <w:rFonts w:ascii="Times New Roman" w:hAnsi="Times New Roman" w:cs="Times New Roman"/>
                <w:i/>
                <w:lang w:val="lv-LV"/>
              </w:rPr>
            </w:pPr>
          </w:p>
          <w:p w14:paraId="1A957245" w14:textId="72C40654" w:rsidR="00064F89" w:rsidRPr="00767D3C" w:rsidRDefault="00E737CB" w:rsidP="00FB71FD">
            <w:pPr>
              <w:jc w:val="both"/>
              <w:rPr>
                <w:rFonts w:ascii="Times New Roman" w:hAnsi="Times New Roman" w:cs="Times New Roman"/>
                <w:i/>
                <w:u w:val="single"/>
                <w:lang w:val="lv-LV"/>
              </w:rPr>
            </w:pPr>
            <w:r w:rsidRPr="00767D3C">
              <w:rPr>
                <w:rFonts w:ascii="Times New Roman" w:hAnsi="Times New Roman" w:cs="Times New Roman"/>
                <w:i/>
                <w:u w:val="single"/>
                <w:lang w:val="lv-LV"/>
              </w:rPr>
              <w:t>Konkurences likuma pārkāpumu izmeklēšana iepirkumu jomā</w:t>
            </w:r>
          </w:p>
          <w:p w14:paraId="2176ECCA" w14:textId="742BC78D" w:rsidR="00E737CB" w:rsidRPr="00DE05E9" w:rsidRDefault="00E737CB" w:rsidP="00FB71FD">
            <w:pPr>
              <w:jc w:val="both"/>
              <w:rPr>
                <w:rFonts w:ascii="Times New Roman" w:hAnsi="Times New Roman" w:cs="Times New Roman"/>
                <w:lang w:val="lv-LV"/>
              </w:rPr>
            </w:pPr>
            <w:r w:rsidRPr="00DE05E9">
              <w:rPr>
                <w:rFonts w:ascii="Times New Roman" w:hAnsi="Times New Roman" w:cs="Times New Roman"/>
                <w:lang w:val="lv-LV"/>
              </w:rPr>
              <w:t xml:space="preserve">2017.gadā pieņemtie </w:t>
            </w:r>
            <w:r w:rsidR="00064F89" w:rsidRPr="00DE05E9">
              <w:rPr>
                <w:rStyle w:val="Strong"/>
                <w:rFonts w:ascii="Times New Roman" w:hAnsi="Times New Roman" w:cs="Times New Roman"/>
                <w:b w:val="0"/>
                <w:lang w:val="lv-LV"/>
              </w:rPr>
              <w:t>Konkurences Padome</w:t>
            </w:r>
            <w:r w:rsidR="00E67E50" w:rsidRPr="00DE05E9">
              <w:rPr>
                <w:rStyle w:val="Strong"/>
                <w:rFonts w:ascii="Times New Roman" w:hAnsi="Times New Roman" w:cs="Times New Roman"/>
                <w:b w:val="0"/>
                <w:lang w:val="lv-LV"/>
              </w:rPr>
              <w:t>s</w:t>
            </w:r>
            <w:r w:rsidRPr="00DE05E9">
              <w:rPr>
                <w:rFonts w:ascii="Times New Roman" w:hAnsi="Times New Roman" w:cs="Times New Roman"/>
                <w:lang w:val="lv-LV"/>
              </w:rPr>
              <w:t xml:space="preserve"> lēmumi, kas attiecas uz aizliegtām vienošanām iepirkumos publicēti </w:t>
            </w:r>
            <w:r w:rsidR="00064F89" w:rsidRPr="00DE05E9">
              <w:rPr>
                <w:rFonts w:ascii="Times New Roman" w:hAnsi="Times New Roman" w:cs="Times New Roman"/>
                <w:lang w:val="lv-LV"/>
              </w:rPr>
              <w:t>Konkurences Padomes</w:t>
            </w:r>
            <w:r w:rsidRPr="00DE05E9">
              <w:rPr>
                <w:rFonts w:ascii="Times New Roman" w:hAnsi="Times New Roman" w:cs="Times New Roman"/>
                <w:lang w:val="lv-LV"/>
              </w:rPr>
              <w:t xml:space="preserve"> </w:t>
            </w:r>
            <w:r w:rsidR="0095158C" w:rsidRPr="00DE05E9">
              <w:rPr>
                <w:rFonts w:ascii="Times New Roman" w:hAnsi="Times New Roman" w:cs="Times New Roman"/>
                <w:lang w:val="lv-LV"/>
              </w:rPr>
              <w:t>tīmekļvietnē</w:t>
            </w:r>
            <w:r w:rsidR="0095158C" w:rsidRPr="00DE05E9">
              <w:t xml:space="preserve"> </w:t>
            </w:r>
            <w:r w:rsidR="0095158C" w:rsidRPr="00DE05E9">
              <w:rPr>
                <w:rFonts w:ascii="Times New Roman" w:hAnsi="Times New Roman" w:cs="Times New Roman"/>
                <w:lang w:val="lv-LV"/>
              </w:rPr>
              <w:t>https://www.kp.gov.lv/lv/konkurences-padomes-lemumi</w:t>
            </w:r>
          </w:p>
          <w:p w14:paraId="682E48F5" w14:textId="558E0AC2" w:rsidR="0095158C" w:rsidRPr="00767D3C" w:rsidRDefault="00E737CB" w:rsidP="00FB71FD">
            <w:pPr>
              <w:jc w:val="both"/>
              <w:rPr>
                <w:rFonts w:ascii="Times New Roman" w:hAnsi="Times New Roman" w:cs="Times New Roman"/>
                <w:i/>
                <w:u w:val="single"/>
                <w:lang w:val="lv-LV"/>
              </w:rPr>
            </w:pPr>
            <w:r w:rsidRPr="00767D3C">
              <w:rPr>
                <w:rFonts w:ascii="Times New Roman" w:hAnsi="Times New Roman" w:cs="Times New Roman"/>
                <w:i/>
                <w:u w:val="single"/>
                <w:lang w:val="lv-LV"/>
              </w:rPr>
              <w:t xml:space="preserve">Izglītošana un pasūtītāju radīto konkurences ierobežojumu novēršana iepirkumos </w:t>
            </w:r>
          </w:p>
          <w:p w14:paraId="3EC6211D" w14:textId="54F082B7" w:rsidR="0095158C" w:rsidRDefault="0095158C" w:rsidP="00FB71FD">
            <w:pPr>
              <w:jc w:val="both"/>
              <w:rPr>
                <w:rFonts w:ascii="Times New Roman" w:hAnsi="Times New Roman" w:cs="Times New Roman"/>
                <w:lang w:val="lv-LV"/>
              </w:rPr>
            </w:pPr>
            <w:r w:rsidRPr="00DE05E9">
              <w:rPr>
                <w:rFonts w:ascii="Times New Roman" w:hAnsi="Times New Roman" w:cs="Times New Roman"/>
                <w:lang w:val="lv-LV"/>
              </w:rPr>
              <w:t>Konkurences Padome izstrādā metodiskus materiālus par konkurences novērtēšanu.</w:t>
            </w:r>
          </w:p>
          <w:p w14:paraId="29D37AED" w14:textId="77777777" w:rsidR="00BE5C27" w:rsidRPr="00DE05E9" w:rsidRDefault="00BE5C27" w:rsidP="00FB71FD">
            <w:pPr>
              <w:jc w:val="both"/>
              <w:rPr>
                <w:rFonts w:ascii="Times New Roman" w:hAnsi="Times New Roman" w:cs="Times New Roman"/>
                <w:lang w:val="lv-LV"/>
              </w:rPr>
            </w:pPr>
          </w:p>
          <w:p w14:paraId="23EBFC6E" w14:textId="7B89C229" w:rsidR="00E737CB" w:rsidRPr="00BE5C27" w:rsidRDefault="00806277" w:rsidP="00FB71FD">
            <w:pPr>
              <w:jc w:val="both"/>
              <w:rPr>
                <w:rFonts w:ascii="Times New Roman" w:hAnsi="Times New Roman" w:cs="Times New Roman"/>
                <w:i/>
                <w:u w:val="single"/>
                <w:lang w:val="lv-LV"/>
              </w:rPr>
            </w:pPr>
            <w:r w:rsidRPr="00BE5C27">
              <w:rPr>
                <w:rFonts w:ascii="Times New Roman" w:hAnsi="Times New Roman" w:cs="Times New Roman"/>
                <w:i/>
                <w:u w:val="single"/>
                <w:lang w:val="lv-LV"/>
              </w:rPr>
              <w:t>Krāpšanas un i</w:t>
            </w:r>
            <w:r w:rsidR="00C93231" w:rsidRPr="00BE5C27">
              <w:rPr>
                <w:rFonts w:ascii="Times New Roman" w:hAnsi="Times New Roman" w:cs="Times New Roman"/>
                <w:i/>
                <w:u w:val="single"/>
                <w:lang w:val="lv-LV"/>
              </w:rPr>
              <w:t>nterešu konflikta risku pārbaude ES fondu finansētos iepirkumos</w:t>
            </w:r>
          </w:p>
          <w:p w14:paraId="45E840CC" w14:textId="4734867A" w:rsidR="00D9666E" w:rsidRPr="00DE05E9" w:rsidRDefault="00064F89" w:rsidP="00213298">
            <w:pPr>
              <w:jc w:val="both"/>
              <w:rPr>
                <w:rFonts w:ascii="Times New Roman" w:hAnsi="Times New Roman" w:cs="Times New Roman"/>
              </w:rPr>
            </w:pPr>
            <w:r w:rsidRPr="00DE05E9">
              <w:rPr>
                <w:rFonts w:ascii="Times New Roman" w:hAnsi="Times New Roman" w:cs="Times New Roman"/>
              </w:rPr>
              <w:t>Centrālā</w:t>
            </w:r>
            <w:r w:rsidR="00C93231">
              <w:rPr>
                <w:rFonts w:ascii="Times New Roman" w:hAnsi="Times New Roman" w:cs="Times New Roman"/>
              </w:rPr>
              <w:t>s</w:t>
            </w:r>
            <w:r w:rsidRPr="00DE05E9">
              <w:rPr>
                <w:rFonts w:ascii="Times New Roman" w:hAnsi="Times New Roman" w:cs="Times New Roman"/>
              </w:rPr>
              <w:t xml:space="preserve"> finanšu un līgumu aģentūra</w:t>
            </w:r>
            <w:r w:rsidR="00C93231">
              <w:rPr>
                <w:rFonts w:ascii="Times New Roman" w:hAnsi="Times New Roman" w:cs="Times New Roman"/>
              </w:rPr>
              <w:t>s veikto publisko iepirkumu pārbaužu ietvaros tiek vērtētas krāpšanas un interešu konflikta pazīmes</w:t>
            </w:r>
            <w:r w:rsidR="00806277">
              <w:rPr>
                <w:rFonts w:ascii="Times New Roman" w:hAnsi="Times New Roman" w:cs="Times New Roman"/>
              </w:rPr>
              <w:t xml:space="preserve"> -  </w:t>
            </w:r>
            <w:r w:rsidRPr="00DE05E9">
              <w:rPr>
                <w:rFonts w:ascii="Times New Roman" w:hAnsi="Times New Roman" w:cs="Times New Roman"/>
              </w:rPr>
              <w:t xml:space="preserve"> </w:t>
            </w:r>
            <w:r w:rsidR="00806277" w:rsidRPr="00DE05E9">
              <w:rPr>
                <w:rFonts w:ascii="Times New Roman" w:hAnsi="Times New Roman" w:cs="Times New Roman"/>
                <w:lang w:val="lv-LV"/>
              </w:rPr>
              <w:t xml:space="preserve">iepirkumu norises un pēcpārbaužu pārbaudes lapās ir jautājumi par to, vai komisijas darbībā un pieņemtajos lēmumos nav konstatējamas </w:t>
            </w:r>
            <w:r w:rsidR="00806277" w:rsidRPr="00DE05E9">
              <w:rPr>
                <w:rFonts w:ascii="Times New Roman" w:hAnsi="Times New Roman" w:cs="Times New Roman"/>
                <w:lang w:val="lv-LV"/>
              </w:rPr>
              <w:lastRenderedPageBreak/>
              <w:t>krāpšanas pazīmes, kā arī tiks norādīta saite uz krāpšanas indikatoru sarakstu un norādītas būtiskākās krāpšanas pazīmju jomas.</w:t>
            </w:r>
            <w:r w:rsidR="00806277">
              <w:rPr>
                <w:rFonts w:ascii="Times New Roman" w:hAnsi="Times New Roman" w:cs="Times New Roman"/>
                <w:lang w:val="lv-LV"/>
              </w:rPr>
              <w:t xml:space="preserve"> Tiek veikta arī </w:t>
            </w:r>
            <w:r w:rsidR="00806277" w:rsidRPr="00DE05E9">
              <w:rPr>
                <w:rFonts w:ascii="Times New Roman" w:hAnsi="Times New Roman" w:cs="Times New Roman"/>
                <w:lang w:val="lv-LV"/>
              </w:rPr>
              <w:t xml:space="preserve"> </w:t>
            </w:r>
            <w:r w:rsidR="00D9666E" w:rsidRPr="00DE05E9">
              <w:rPr>
                <w:rFonts w:ascii="Times New Roman" w:hAnsi="Times New Roman" w:cs="Times New Roman"/>
                <w:lang w:val="lv-LV"/>
              </w:rPr>
              <w:t>saistīto personu pārbaud</w:t>
            </w:r>
            <w:r w:rsidR="00806277">
              <w:rPr>
                <w:rFonts w:ascii="Times New Roman" w:hAnsi="Times New Roman" w:cs="Times New Roman"/>
                <w:lang w:val="lv-LV"/>
              </w:rPr>
              <w:t>e</w:t>
            </w:r>
            <w:r w:rsidR="00D9666E" w:rsidRPr="00DE05E9">
              <w:rPr>
                <w:rFonts w:ascii="Times New Roman" w:hAnsi="Times New Roman" w:cs="Times New Roman"/>
                <w:lang w:val="lv-LV"/>
              </w:rPr>
              <w:t>.</w:t>
            </w:r>
          </w:p>
          <w:p w14:paraId="5FB6C8BE" w14:textId="48A2B41F" w:rsidR="00D9666E" w:rsidRPr="00DE05E9" w:rsidRDefault="00D9666E" w:rsidP="0095158C">
            <w:pPr>
              <w:spacing w:after="200"/>
              <w:jc w:val="both"/>
              <w:rPr>
                <w:rFonts w:ascii="Times New Roman" w:hAnsi="Times New Roman" w:cs="Times New Roman"/>
                <w:lang w:val="lv-LV"/>
              </w:rPr>
            </w:pPr>
          </w:p>
        </w:tc>
      </w:tr>
      <w:tr w:rsidR="009C6F87" w:rsidRPr="00DE05E9" w14:paraId="2F7CD515" w14:textId="77777777" w:rsidTr="00FB71FD">
        <w:tc>
          <w:tcPr>
            <w:tcW w:w="612" w:type="pct"/>
          </w:tcPr>
          <w:p w14:paraId="7F372948" w14:textId="1887E523" w:rsidR="009C6F87" w:rsidRPr="00DE05E9" w:rsidRDefault="00A0326A" w:rsidP="00FB71FD">
            <w:pPr>
              <w:pStyle w:val="Heading3"/>
              <w:jc w:val="both"/>
              <w:outlineLvl w:val="2"/>
              <w:rPr>
                <w:rFonts w:ascii="Times New Roman" w:hAnsi="Times New Roman" w:cs="Times New Roman"/>
              </w:rPr>
            </w:pPr>
            <w:r w:rsidRPr="00DE05E9">
              <w:rPr>
                <w:rFonts w:ascii="Times New Roman" w:hAnsi="Times New Roman" w:cs="Times New Roman"/>
              </w:rPr>
              <w:lastRenderedPageBreak/>
              <w:t>III</w:t>
            </w:r>
            <w:r w:rsidR="009C6F87" w:rsidRPr="00DE05E9">
              <w:rPr>
                <w:rFonts w:ascii="Times New Roman" w:hAnsi="Times New Roman" w:cs="Times New Roman"/>
              </w:rPr>
              <w:t>.3. Quantitative indicators</w:t>
            </w:r>
          </w:p>
        </w:tc>
        <w:tc>
          <w:tcPr>
            <w:tcW w:w="4388" w:type="pct"/>
          </w:tcPr>
          <w:p w14:paraId="0237BDE6" w14:textId="7B05F8A0" w:rsidR="009C6F87" w:rsidRPr="00DE05E9" w:rsidRDefault="00740821" w:rsidP="00FB71FD">
            <w:pPr>
              <w:jc w:val="both"/>
              <w:rPr>
                <w:rFonts w:ascii="Times New Roman" w:hAnsi="Times New Roman" w:cs="Times New Roman"/>
                <w:i/>
              </w:rPr>
            </w:pPr>
            <w:r w:rsidRPr="00DE05E9">
              <w:rPr>
                <w:rFonts w:ascii="Times New Roman" w:hAnsi="Times New Roman" w:cs="Times New Roman"/>
                <w:i/>
              </w:rPr>
              <w:t xml:space="preserve">This section contains examples of quantitative </w:t>
            </w:r>
            <w:r w:rsidR="00D50216" w:rsidRPr="00DE05E9">
              <w:rPr>
                <w:rFonts w:ascii="Times New Roman" w:hAnsi="Times New Roman" w:cs="Times New Roman"/>
                <w:i/>
              </w:rPr>
              <w:t xml:space="preserve">indicators related to section </w:t>
            </w:r>
            <w:r w:rsidR="00247E16" w:rsidRPr="00DE05E9">
              <w:rPr>
                <w:rFonts w:ascii="Times New Roman" w:hAnsi="Times New Roman" w:cs="Times New Roman"/>
                <w:i/>
              </w:rPr>
              <w:t>III</w:t>
            </w:r>
            <w:r w:rsidR="00D50216" w:rsidRPr="00DE05E9">
              <w:rPr>
                <w:rFonts w:ascii="Times New Roman" w:hAnsi="Times New Roman" w:cs="Times New Roman"/>
                <w:i/>
              </w:rPr>
              <w:t xml:space="preserve">.1. </w:t>
            </w:r>
            <w:r w:rsidR="00752CC8" w:rsidRPr="00DE05E9">
              <w:rPr>
                <w:rFonts w:ascii="Times New Roman" w:hAnsi="Times New Roman" w:cs="Times New Roman"/>
                <w:i/>
              </w:rPr>
              <w:t xml:space="preserve"> Other indicators can also be included in the report.</w:t>
            </w:r>
          </w:p>
        </w:tc>
      </w:tr>
      <w:tr w:rsidR="009C6F87" w:rsidRPr="00DE05E9" w14:paraId="7E1C9B21" w14:textId="77777777" w:rsidTr="00FB71FD">
        <w:tc>
          <w:tcPr>
            <w:tcW w:w="612" w:type="pct"/>
          </w:tcPr>
          <w:p w14:paraId="0F2DF75B" w14:textId="68701BF9" w:rsidR="009C6F87" w:rsidRPr="00DE05E9" w:rsidRDefault="00567DA6" w:rsidP="00FB71FD">
            <w:pPr>
              <w:pStyle w:val="Heading3"/>
              <w:jc w:val="both"/>
              <w:outlineLvl w:val="2"/>
              <w:rPr>
                <w:rFonts w:ascii="Times New Roman" w:hAnsi="Times New Roman" w:cs="Times New Roman"/>
                <w:b w:val="0"/>
              </w:rPr>
            </w:pPr>
            <w:r w:rsidRPr="00DE05E9">
              <w:rPr>
                <w:rFonts w:ascii="Times New Roman" w:hAnsi="Times New Roman" w:cs="Times New Roman"/>
                <w:b w:val="0"/>
              </w:rPr>
              <w:t>Statistical d</w:t>
            </w:r>
            <w:r w:rsidR="00D50216" w:rsidRPr="00DE05E9">
              <w:rPr>
                <w:rFonts w:ascii="Times New Roman" w:hAnsi="Times New Roman" w:cs="Times New Roman"/>
                <w:b w:val="0"/>
              </w:rPr>
              <w:t xml:space="preserve">istribution of </w:t>
            </w:r>
            <w:r w:rsidR="00AA74C1" w:rsidRPr="00DE05E9">
              <w:rPr>
                <w:rFonts w:ascii="Times New Roman" w:hAnsi="Times New Roman" w:cs="Times New Roman"/>
                <w:b w:val="0"/>
              </w:rPr>
              <w:t xml:space="preserve">buyers by frequency of </w:t>
            </w:r>
            <w:r w:rsidR="00477293" w:rsidRPr="00DE05E9">
              <w:rPr>
                <w:rFonts w:ascii="Times New Roman" w:hAnsi="Times New Roman" w:cs="Times New Roman"/>
                <w:b w:val="0"/>
              </w:rPr>
              <w:t>actual</w:t>
            </w:r>
            <w:r w:rsidR="00AA74C1" w:rsidRPr="00DE05E9">
              <w:rPr>
                <w:rFonts w:ascii="Times New Roman" w:hAnsi="Times New Roman" w:cs="Times New Roman"/>
                <w:b w:val="0"/>
              </w:rPr>
              <w:t xml:space="preserve"> </w:t>
            </w:r>
            <w:r w:rsidR="00D50216" w:rsidRPr="00DE05E9">
              <w:rPr>
                <w:rFonts w:ascii="Times New Roman" w:hAnsi="Times New Roman" w:cs="Times New Roman"/>
                <w:b w:val="0"/>
              </w:rPr>
              <w:t xml:space="preserve">competition </w:t>
            </w:r>
          </w:p>
        </w:tc>
        <w:tc>
          <w:tcPr>
            <w:tcW w:w="4388" w:type="pct"/>
          </w:tcPr>
          <w:p w14:paraId="3786FA1F" w14:textId="3C8C7C05" w:rsidR="008147D5" w:rsidRPr="00DE05E9" w:rsidRDefault="00D906DC" w:rsidP="00FB71FD">
            <w:pPr>
              <w:pStyle w:val="NoSpacing"/>
              <w:jc w:val="both"/>
              <w:rPr>
                <w:rFonts w:ascii="Times New Roman" w:hAnsi="Times New Roman" w:cs="Times New Roman"/>
              </w:rPr>
            </w:pPr>
            <w:r w:rsidRPr="00DE05E9">
              <w:rPr>
                <w:rFonts w:ascii="Times New Roman" w:hAnsi="Times New Roman" w:cs="Times New Roman"/>
                <w:b/>
                <w:u w:val="single"/>
              </w:rPr>
              <w:t>Informācija par iepirkumiem, kas veikti saskaņā ar Publsiko iepirkumu likumu</w:t>
            </w:r>
          </w:p>
          <w:p w14:paraId="3BC3A3E0" w14:textId="77777777" w:rsidR="008147D5" w:rsidRPr="00DE05E9" w:rsidRDefault="008147D5" w:rsidP="00FB71FD">
            <w:pPr>
              <w:jc w:val="both"/>
              <w:rPr>
                <w:rFonts w:ascii="Times New Roman" w:hAnsi="Times New Roman" w:cs="Times New Roman"/>
                <w:lang w:val="lv-LV"/>
              </w:rPr>
            </w:pPr>
            <w:r w:rsidRPr="00DE05E9">
              <w:rPr>
                <w:rFonts w:ascii="Times New Roman" w:eastAsia="Times New Roman" w:hAnsi="Times New Roman" w:cs="Times New Roman"/>
                <w:color w:val="000000"/>
                <w:lang w:val="lv-LV"/>
              </w:rPr>
              <w:t>Dati apkopoti no Iepirkumu uzraudzības biroja tīmekļvietnē publicētajiem paziņojumiem par iepirkuma procedūru daļu skaitu atbilstoši III.3. punktā aprakstītajiem nosacījumiem par periodu no 2017. gada 1. janvāra līdz 2017. gada 31. decembrim, kur „Virs ES līgumcenu sliekšņa” piegādēm un pakalpojumiem no 135 000 EUR, būvdarbiem no 5 225 000 EUR.</w:t>
            </w:r>
          </w:p>
          <w:tbl>
            <w:tblPr>
              <w:tblW w:w="12049" w:type="dxa"/>
              <w:tblLook w:val="04A0" w:firstRow="1" w:lastRow="0" w:firstColumn="1" w:lastColumn="0" w:noHBand="0" w:noVBand="1"/>
            </w:tblPr>
            <w:tblGrid>
              <w:gridCol w:w="4253"/>
              <w:gridCol w:w="1134"/>
              <w:gridCol w:w="1134"/>
              <w:gridCol w:w="1134"/>
              <w:gridCol w:w="1134"/>
              <w:gridCol w:w="1134"/>
              <w:gridCol w:w="1134"/>
              <w:gridCol w:w="992"/>
            </w:tblGrid>
            <w:tr w:rsidR="008147D5" w:rsidRPr="00DE05E9" w14:paraId="1060D30D" w14:textId="77777777" w:rsidTr="00D906DC">
              <w:trPr>
                <w:trHeight w:val="375"/>
              </w:trPr>
              <w:tc>
                <w:tcPr>
                  <w:tcW w:w="4253" w:type="dxa"/>
                  <w:tcBorders>
                    <w:top w:val="nil"/>
                    <w:left w:val="nil"/>
                    <w:bottom w:val="nil"/>
                    <w:right w:val="nil"/>
                  </w:tcBorders>
                  <w:shd w:val="clear" w:color="auto" w:fill="auto"/>
                  <w:noWrap/>
                  <w:vAlign w:val="bottom"/>
                  <w:hideMark/>
                </w:tcPr>
                <w:p w14:paraId="5B72AF7A" w14:textId="77777777" w:rsidR="008147D5" w:rsidRPr="00DE05E9" w:rsidRDefault="008147D5" w:rsidP="00FB71FD">
                  <w:pPr>
                    <w:spacing w:after="0" w:line="240" w:lineRule="auto"/>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t>Viens piedāvājums (daļu skaits)</w:t>
                  </w:r>
                </w:p>
              </w:tc>
              <w:tc>
                <w:tcPr>
                  <w:tcW w:w="1134" w:type="dxa"/>
                  <w:tcBorders>
                    <w:top w:val="nil"/>
                    <w:left w:val="nil"/>
                    <w:bottom w:val="nil"/>
                    <w:right w:val="nil"/>
                  </w:tcBorders>
                  <w:shd w:val="clear" w:color="auto" w:fill="auto"/>
                  <w:noWrap/>
                  <w:vAlign w:val="bottom"/>
                  <w:hideMark/>
                </w:tcPr>
                <w:p w14:paraId="59C2B2C3" w14:textId="77777777" w:rsidR="008147D5" w:rsidRPr="00DE05E9" w:rsidRDefault="008147D5" w:rsidP="00FB71FD">
                  <w:pPr>
                    <w:spacing w:after="0" w:line="240" w:lineRule="auto"/>
                    <w:jc w:val="both"/>
                    <w:rPr>
                      <w:rFonts w:ascii="Times New Roman" w:eastAsia="Times New Roman" w:hAnsi="Times New Roman" w:cs="Times New Roman"/>
                      <w:b/>
                      <w:color w:val="000000"/>
                      <w:lang w:val="lv-LV"/>
                    </w:rPr>
                  </w:pPr>
                </w:p>
              </w:tc>
              <w:tc>
                <w:tcPr>
                  <w:tcW w:w="1134" w:type="dxa"/>
                  <w:tcBorders>
                    <w:top w:val="nil"/>
                    <w:left w:val="nil"/>
                    <w:bottom w:val="nil"/>
                    <w:right w:val="nil"/>
                  </w:tcBorders>
                  <w:shd w:val="clear" w:color="auto" w:fill="auto"/>
                  <w:noWrap/>
                  <w:vAlign w:val="bottom"/>
                  <w:hideMark/>
                </w:tcPr>
                <w:p w14:paraId="1D50BBB5" w14:textId="77777777" w:rsidR="008147D5" w:rsidRPr="00DE05E9" w:rsidRDefault="008147D5" w:rsidP="00FB71FD">
                  <w:pPr>
                    <w:spacing w:after="0" w:line="240" w:lineRule="auto"/>
                    <w:jc w:val="both"/>
                    <w:rPr>
                      <w:rFonts w:ascii="Times New Roman" w:eastAsia="Times New Roman" w:hAnsi="Times New Roman" w:cs="Times New Roman"/>
                      <w:b/>
                      <w:color w:val="000000"/>
                      <w:lang w:val="lv-LV"/>
                    </w:rPr>
                  </w:pPr>
                </w:p>
              </w:tc>
              <w:tc>
                <w:tcPr>
                  <w:tcW w:w="1134" w:type="dxa"/>
                  <w:tcBorders>
                    <w:top w:val="nil"/>
                    <w:left w:val="nil"/>
                    <w:bottom w:val="nil"/>
                    <w:right w:val="nil"/>
                  </w:tcBorders>
                  <w:shd w:val="clear" w:color="auto" w:fill="auto"/>
                  <w:noWrap/>
                  <w:vAlign w:val="bottom"/>
                  <w:hideMark/>
                </w:tcPr>
                <w:p w14:paraId="3D3DD291" w14:textId="77777777" w:rsidR="008147D5" w:rsidRPr="00DE05E9" w:rsidRDefault="008147D5" w:rsidP="00FB71FD">
                  <w:pPr>
                    <w:spacing w:after="0" w:line="240" w:lineRule="auto"/>
                    <w:jc w:val="both"/>
                    <w:rPr>
                      <w:rFonts w:ascii="Times New Roman" w:eastAsia="Times New Roman" w:hAnsi="Times New Roman" w:cs="Times New Roman"/>
                      <w:b/>
                      <w:color w:val="000000"/>
                      <w:lang w:val="lv-LV"/>
                    </w:rPr>
                  </w:pPr>
                </w:p>
              </w:tc>
              <w:tc>
                <w:tcPr>
                  <w:tcW w:w="1134" w:type="dxa"/>
                  <w:tcBorders>
                    <w:top w:val="nil"/>
                    <w:left w:val="nil"/>
                    <w:bottom w:val="nil"/>
                    <w:right w:val="nil"/>
                  </w:tcBorders>
                  <w:shd w:val="clear" w:color="auto" w:fill="auto"/>
                  <w:noWrap/>
                  <w:vAlign w:val="bottom"/>
                  <w:hideMark/>
                </w:tcPr>
                <w:p w14:paraId="07C3C6EB" w14:textId="77777777" w:rsidR="008147D5" w:rsidRPr="00DE05E9" w:rsidRDefault="008147D5" w:rsidP="00FB71FD">
                  <w:pPr>
                    <w:spacing w:after="0" w:line="240" w:lineRule="auto"/>
                    <w:jc w:val="both"/>
                    <w:rPr>
                      <w:rFonts w:ascii="Times New Roman" w:eastAsia="Times New Roman" w:hAnsi="Times New Roman" w:cs="Times New Roman"/>
                      <w:b/>
                      <w:color w:val="000000"/>
                      <w:lang w:val="lv-LV"/>
                    </w:rPr>
                  </w:pPr>
                </w:p>
              </w:tc>
              <w:tc>
                <w:tcPr>
                  <w:tcW w:w="1134" w:type="dxa"/>
                  <w:tcBorders>
                    <w:top w:val="nil"/>
                    <w:left w:val="nil"/>
                    <w:bottom w:val="nil"/>
                    <w:right w:val="nil"/>
                  </w:tcBorders>
                  <w:shd w:val="clear" w:color="auto" w:fill="auto"/>
                  <w:noWrap/>
                  <w:vAlign w:val="bottom"/>
                  <w:hideMark/>
                </w:tcPr>
                <w:p w14:paraId="7CB2C85C" w14:textId="77777777" w:rsidR="008147D5" w:rsidRPr="00DE05E9" w:rsidRDefault="008147D5" w:rsidP="00FB71FD">
                  <w:pPr>
                    <w:spacing w:after="0" w:line="240" w:lineRule="auto"/>
                    <w:jc w:val="both"/>
                    <w:rPr>
                      <w:rFonts w:ascii="Times New Roman" w:eastAsia="Times New Roman" w:hAnsi="Times New Roman" w:cs="Times New Roman"/>
                      <w:b/>
                      <w:color w:val="000000"/>
                      <w:lang w:val="lv-LV"/>
                    </w:rPr>
                  </w:pPr>
                </w:p>
              </w:tc>
              <w:tc>
                <w:tcPr>
                  <w:tcW w:w="1134" w:type="dxa"/>
                  <w:tcBorders>
                    <w:top w:val="nil"/>
                    <w:left w:val="nil"/>
                    <w:bottom w:val="nil"/>
                    <w:right w:val="nil"/>
                  </w:tcBorders>
                  <w:shd w:val="clear" w:color="auto" w:fill="auto"/>
                  <w:noWrap/>
                  <w:vAlign w:val="bottom"/>
                  <w:hideMark/>
                </w:tcPr>
                <w:p w14:paraId="71BD6AF4" w14:textId="77777777" w:rsidR="008147D5" w:rsidRPr="00DE05E9" w:rsidRDefault="008147D5" w:rsidP="00FB71FD">
                  <w:pPr>
                    <w:spacing w:after="0" w:line="240" w:lineRule="auto"/>
                    <w:jc w:val="both"/>
                    <w:rPr>
                      <w:rFonts w:ascii="Times New Roman" w:eastAsia="Times New Roman" w:hAnsi="Times New Roman" w:cs="Times New Roman"/>
                      <w:b/>
                      <w:color w:val="000000"/>
                      <w:lang w:val="lv-LV"/>
                    </w:rPr>
                  </w:pPr>
                </w:p>
              </w:tc>
              <w:tc>
                <w:tcPr>
                  <w:tcW w:w="992" w:type="dxa"/>
                  <w:tcBorders>
                    <w:top w:val="nil"/>
                    <w:left w:val="nil"/>
                    <w:bottom w:val="nil"/>
                    <w:right w:val="nil"/>
                  </w:tcBorders>
                  <w:shd w:val="clear" w:color="auto" w:fill="auto"/>
                  <w:noWrap/>
                  <w:vAlign w:val="bottom"/>
                  <w:hideMark/>
                </w:tcPr>
                <w:p w14:paraId="0ABD0476" w14:textId="77777777" w:rsidR="008147D5" w:rsidRPr="00DE05E9" w:rsidRDefault="008147D5" w:rsidP="00FB71FD">
                  <w:pPr>
                    <w:spacing w:after="0" w:line="240" w:lineRule="auto"/>
                    <w:jc w:val="both"/>
                    <w:rPr>
                      <w:rFonts w:ascii="Times New Roman" w:eastAsia="Times New Roman" w:hAnsi="Times New Roman" w:cs="Times New Roman"/>
                      <w:b/>
                      <w:color w:val="000000"/>
                      <w:lang w:val="lv-LV"/>
                    </w:rPr>
                  </w:pPr>
                </w:p>
              </w:tc>
            </w:tr>
          </w:tbl>
          <w:p w14:paraId="0E1C0153" w14:textId="5FC47096" w:rsidR="008147D5" w:rsidRPr="00DE05E9" w:rsidRDefault="008147D5" w:rsidP="00FB71FD">
            <w:pPr>
              <w:jc w:val="both"/>
              <w:rPr>
                <w:rFonts w:ascii="Times New Roman" w:hAnsi="Times New Roman" w:cs="Times New Roman"/>
              </w:rPr>
            </w:pPr>
          </w:p>
          <w:tbl>
            <w:tblPr>
              <w:tblW w:w="12049" w:type="dxa"/>
              <w:tblLook w:val="04A0" w:firstRow="1" w:lastRow="0" w:firstColumn="1" w:lastColumn="0" w:noHBand="0" w:noVBand="1"/>
            </w:tblPr>
            <w:tblGrid>
              <w:gridCol w:w="978"/>
              <w:gridCol w:w="1010"/>
              <w:gridCol w:w="1108"/>
              <w:gridCol w:w="1108"/>
              <w:gridCol w:w="1108"/>
              <w:gridCol w:w="1108"/>
              <w:gridCol w:w="1108"/>
              <w:gridCol w:w="1108"/>
              <w:gridCol w:w="1108"/>
              <w:gridCol w:w="1108"/>
              <w:gridCol w:w="1204"/>
            </w:tblGrid>
            <w:tr w:rsidR="008147D5" w:rsidRPr="00DE05E9" w14:paraId="1C967D5E" w14:textId="77777777" w:rsidTr="00D906DC">
              <w:trPr>
                <w:trHeight w:val="300"/>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8775C"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Intervāls</w:t>
                  </w:r>
                </w:p>
              </w:tc>
              <w:tc>
                <w:tcPr>
                  <w:tcW w:w="982" w:type="dxa"/>
                  <w:tcBorders>
                    <w:top w:val="single" w:sz="4" w:space="0" w:color="auto"/>
                    <w:left w:val="nil"/>
                    <w:bottom w:val="single" w:sz="4" w:space="0" w:color="auto"/>
                    <w:right w:val="single" w:sz="4" w:space="0" w:color="auto"/>
                  </w:tcBorders>
                  <w:shd w:val="clear" w:color="auto" w:fill="auto"/>
                  <w:noWrap/>
                  <w:vAlign w:val="bottom"/>
                  <w:hideMark/>
                </w:tcPr>
                <w:p w14:paraId="53C7C66F"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(0%;10%]</w:t>
                  </w:r>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32146B23"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(10%;20%]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45EFD3F"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(20%;30%]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B264A6D"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(30%;40%]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702310E"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(40%;50%]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20D0C8"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(50%;60%]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7F67BAC"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(60%;70%]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5F3485C"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(70%;80%]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12BA0DA"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(80%;90%]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1C6A435"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(90%;100%]</w:t>
                  </w:r>
                </w:p>
              </w:tc>
            </w:tr>
            <w:tr w:rsidR="008147D5" w:rsidRPr="00DE05E9" w14:paraId="3216B748" w14:textId="77777777" w:rsidTr="00D906DC">
              <w:trPr>
                <w:trHeight w:val="300"/>
              </w:trPr>
              <w:tc>
                <w:tcPr>
                  <w:tcW w:w="1028" w:type="dxa"/>
                  <w:tcBorders>
                    <w:top w:val="nil"/>
                    <w:left w:val="single" w:sz="4" w:space="0" w:color="auto"/>
                    <w:bottom w:val="single" w:sz="4" w:space="0" w:color="auto"/>
                    <w:right w:val="single" w:sz="4" w:space="0" w:color="auto"/>
                  </w:tcBorders>
                  <w:shd w:val="clear" w:color="auto" w:fill="auto"/>
                  <w:noWrap/>
                  <w:vAlign w:val="bottom"/>
                  <w:hideMark/>
                </w:tcPr>
                <w:p w14:paraId="54543924"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Pasūtītāju skaits</w:t>
                  </w:r>
                </w:p>
              </w:tc>
              <w:tc>
                <w:tcPr>
                  <w:tcW w:w="982" w:type="dxa"/>
                  <w:tcBorders>
                    <w:top w:val="nil"/>
                    <w:left w:val="nil"/>
                    <w:bottom w:val="single" w:sz="4" w:space="0" w:color="auto"/>
                    <w:right w:val="single" w:sz="4" w:space="0" w:color="auto"/>
                  </w:tcBorders>
                  <w:shd w:val="clear" w:color="auto" w:fill="auto"/>
                  <w:noWrap/>
                  <w:vAlign w:val="center"/>
                  <w:hideMark/>
                </w:tcPr>
                <w:p w14:paraId="3E210A8C"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8</w:t>
                  </w:r>
                </w:p>
              </w:tc>
              <w:tc>
                <w:tcPr>
                  <w:tcW w:w="1109" w:type="dxa"/>
                  <w:tcBorders>
                    <w:top w:val="nil"/>
                    <w:left w:val="nil"/>
                    <w:bottom w:val="single" w:sz="4" w:space="0" w:color="auto"/>
                    <w:right w:val="single" w:sz="4" w:space="0" w:color="auto"/>
                  </w:tcBorders>
                  <w:shd w:val="clear" w:color="auto" w:fill="auto"/>
                  <w:noWrap/>
                  <w:vAlign w:val="center"/>
                  <w:hideMark/>
                </w:tcPr>
                <w:p w14:paraId="149E68FD"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12</w:t>
                  </w:r>
                </w:p>
              </w:tc>
              <w:tc>
                <w:tcPr>
                  <w:tcW w:w="1134" w:type="dxa"/>
                  <w:tcBorders>
                    <w:top w:val="nil"/>
                    <w:left w:val="nil"/>
                    <w:bottom w:val="single" w:sz="4" w:space="0" w:color="auto"/>
                    <w:right w:val="single" w:sz="4" w:space="0" w:color="auto"/>
                  </w:tcBorders>
                  <w:shd w:val="clear" w:color="auto" w:fill="auto"/>
                  <w:noWrap/>
                  <w:vAlign w:val="center"/>
                  <w:hideMark/>
                </w:tcPr>
                <w:p w14:paraId="1C2E7A5E"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11</w:t>
                  </w:r>
                </w:p>
              </w:tc>
              <w:tc>
                <w:tcPr>
                  <w:tcW w:w="1134" w:type="dxa"/>
                  <w:tcBorders>
                    <w:top w:val="nil"/>
                    <w:left w:val="nil"/>
                    <w:bottom w:val="single" w:sz="4" w:space="0" w:color="auto"/>
                    <w:right w:val="single" w:sz="4" w:space="0" w:color="auto"/>
                  </w:tcBorders>
                  <w:shd w:val="clear" w:color="auto" w:fill="auto"/>
                  <w:noWrap/>
                  <w:vAlign w:val="center"/>
                  <w:hideMark/>
                </w:tcPr>
                <w:p w14:paraId="3E19346D"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14</w:t>
                  </w:r>
                </w:p>
              </w:tc>
              <w:tc>
                <w:tcPr>
                  <w:tcW w:w="1134" w:type="dxa"/>
                  <w:tcBorders>
                    <w:top w:val="nil"/>
                    <w:left w:val="nil"/>
                    <w:bottom w:val="single" w:sz="4" w:space="0" w:color="auto"/>
                    <w:right w:val="single" w:sz="4" w:space="0" w:color="auto"/>
                  </w:tcBorders>
                  <w:shd w:val="clear" w:color="auto" w:fill="auto"/>
                  <w:noWrap/>
                  <w:vAlign w:val="center"/>
                  <w:hideMark/>
                </w:tcPr>
                <w:p w14:paraId="67FD0FFD"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9</w:t>
                  </w:r>
                </w:p>
              </w:tc>
              <w:tc>
                <w:tcPr>
                  <w:tcW w:w="1134" w:type="dxa"/>
                  <w:tcBorders>
                    <w:top w:val="nil"/>
                    <w:left w:val="nil"/>
                    <w:bottom w:val="single" w:sz="4" w:space="0" w:color="auto"/>
                    <w:right w:val="single" w:sz="4" w:space="0" w:color="auto"/>
                  </w:tcBorders>
                  <w:shd w:val="clear" w:color="auto" w:fill="auto"/>
                  <w:noWrap/>
                  <w:vAlign w:val="center"/>
                  <w:hideMark/>
                </w:tcPr>
                <w:p w14:paraId="725B474E"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7</w:t>
                  </w:r>
                </w:p>
              </w:tc>
              <w:tc>
                <w:tcPr>
                  <w:tcW w:w="1134" w:type="dxa"/>
                  <w:tcBorders>
                    <w:top w:val="nil"/>
                    <w:left w:val="nil"/>
                    <w:bottom w:val="single" w:sz="4" w:space="0" w:color="auto"/>
                    <w:right w:val="single" w:sz="4" w:space="0" w:color="auto"/>
                  </w:tcBorders>
                  <w:shd w:val="clear" w:color="auto" w:fill="auto"/>
                  <w:noWrap/>
                  <w:vAlign w:val="center"/>
                  <w:hideMark/>
                </w:tcPr>
                <w:p w14:paraId="32CB78D8"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6</w:t>
                  </w:r>
                </w:p>
              </w:tc>
              <w:tc>
                <w:tcPr>
                  <w:tcW w:w="1134" w:type="dxa"/>
                  <w:tcBorders>
                    <w:top w:val="nil"/>
                    <w:left w:val="nil"/>
                    <w:bottom w:val="single" w:sz="4" w:space="0" w:color="auto"/>
                    <w:right w:val="single" w:sz="4" w:space="0" w:color="auto"/>
                  </w:tcBorders>
                  <w:shd w:val="clear" w:color="auto" w:fill="auto"/>
                  <w:noWrap/>
                  <w:vAlign w:val="center"/>
                  <w:hideMark/>
                </w:tcPr>
                <w:p w14:paraId="42E7B389"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3</w:t>
                  </w:r>
                </w:p>
              </w:tc>
              <w:tc>
                <w:tcPr>
                  <w:tcW w:w="1134" w:type="dxa"/>
                  <w:tcBorders>
                    <w:top w:val="nil"/>
                    <w:left w:val="nil"/>
                    <w:bottom w:val="single" w:sz="4" w:space="0" w:color="auto"/>
                    <w:right w:val="single" w:sz="4" w:space="0" w:color="auto"/>
                  </w:tcBorders>
                  <w:shd w:val="clear" w:color="auto" w:fill="auto"/>
                  <w:noWrap/>
                  <w:vAlign w:val="center"/>
                  <w:hideMark/>
                </w:tcPr>
                <w:p w14:paraId="4DDF6A08"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w:t>
                  </w:r>
                </w:p>
              </w:tc>
              <w:tc>
                <w:tcPr>
                  <w:tcW w:w="992" w:type="dxa"/>
                  <w:tcBorders>
                    <w:top w:val="nil"/>
                    <w:left w:val="nil"/>
                    <w:bottom w:val="single" w:sz="4" w:space="0" w:color="auto"/>
                    <w:right w:val="single" w:sz="4" w:space="0" w:color="auto"/>
                  </w:tcBorders>
                  <w:shd w:val="clear" w:color="auto" w:fill="auto"/>
                  <w:noWrap/>
                  <w:vAlign w:val="center"/>
                  <w:hideMark/>
                </w:tcPr>
                <w:p w14:paraId="0EF397E4" w14:textId="77777777" w:rsidR="008147D5" w:rsidRPr="00DE05E9" w:rsidRDefault="008147D5"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w:t>
                  </w:r>
                </w:p>
              </w:tc>
            </w:tr>
          </w:tbl>
          <w:p w14:paraId="5B5EE997" w14:textId="3B827121" w:rsidR="00FB71FD" w:rsidRPr="00DE05E9" w:rsidRDefault="00FB71FD" w:rsidP="00FB71FD">
            <w:pPr>
              <w:jc w:val="both"/>
              <w:rPr>
                <w:rFonts w:ascii="Times New Roman" w:hAnsi="Times New Roman" w:cs="Times New Roman"/>
              </w:rPr>
            </w:pPr>
          </w:p>
          <w:p w14:paraId="76BD5611" w14:textId="5D159022" w:rsidR="00D906DC" w:rsidRPr="00DE05E9" w:rsidRDefault="00D906DC" w:rsidP="00FB71FD">
            <w:pPr>
              <w:pStyle w:val="NoSpacing"/>
              <w:jc w:val="both"/>
              <w:rPr>
                <w:rFonts w:ascii="Times New Roman" w:hAnsi="Times New Roman" w:cs="Times New Roman"/>
              </w:rPr>
            </w:pPr>
            <w:r w:rsidRPr="00DE05E9">
              <w:rPr>
                <w:rFonts w:ascii="Times New Roman" w:hAnsi="Times New Roman" w:cs="Times New Roman"/>
                <w:b/>
                <w:u w:val="single"/>
              </w:rPr>
              <w:t>Informācija par iepirkumiem, kas veikti saskaņā ar Sabiedrisko pakalpojumu sniedzēju iepirkumu likumu</w:t>
            </w:r>
          </w:p>
          <w:p w14:paraId="01214FD8" w14:textId="77777777" w:rsidR="008147D5" w:rsidRPr="00DE05E9" w:rsidRDefault="008147D5" w:rsidP="00FB71FD">
            <w:pPr>
              <w:jc w:val="both"/>
              <w:rPr>
                <w:rFonts w:ascii="Times New Roman" w:hAnsi="Times New Roman" w:cs="Times New Roman"/>
              </w:rPr>
            </w:pPr>
          </w:p>
          <w:p w14:paraId="2FC7C831" w14:textId="77777777" w:rsidR="00D906DC" w:rsidRPr="00DE05E9" w:rsidRDefault="00D906DC" w:rsidP="00FB71FD">
            <w:pPr>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xml:space="preserve"> Dati apkopoti no Iepirkumu uzraudzības biroja tīmekļvietnē publicētajiem paziņojumiem par iepirkuma procedūru daļu skaitu atbilstoši III.3. punktā aprakstītajiem nosacījumiem par periodu no 2017. gada 1. janvāra līdz 2017. gada 31. decembrim, kur „Virs ES līgumcenu sliekšņa” piegādēm un pakalpojumiem no 418 000 EUR, būvdarbiem no 5 225 000 EUR.</w:t>
            </w:r>
          </w:p>
          <w:tbl>
            <w:tblPr>
              <w:tblW w:w="12960" w:type="dxa"/>
              <w:tblLook w:val="04A0" w:firstRow="1" w:lastRow="0" w:firstColumn="1" w:lastColumn="0" w:noHBand="0" w:noVBand="1"/>
            </w:tblPr>
            <w:tblGrid>
              <w:gridCol w:w="1336"/>
              <w:gridCol w:w="980"/>
              <w:gridCol w:w="1073"/>
              <w:gridCol w:w="1073"/>
              <w:gridCol w:w="1073"/>
              <w:gridCol w:w="1073"/>
              <w:gridCol w:w="1073"/>
              <w:gridCol w:w="1073"/>
              <w:gridCol w:w="1073"/>
              <w:gridCol w:w="1073"/>
              <w:gridCol w:w="1166"/>
            </w:tblGrid>
            <w:tr w:rsidR="00D906DC" w:rsidRPr="00DE05E9" w14:paraId="1076FFB0" w14:textId="77777777" w:rsidTr="00D906DC">
              <w:trPr>
                <w:trHeight w:val="375"/>
              </w:trPr>
              <w:tc>
                <w:tcPr>
                  <w:tcW w:w="4858" w:type="dxa"/>
                  <w:gridSpan w:val="4"/>
                  <w:tcBorders>
                    <w:top w:val="nil"/>
                    <w:left w:val="nil"/>
                    <w:bottom w:val="nil"/>
                    <w:right w:val="nil"/>
                  </w:tcBorders>
                  <w:shd w:val="clear" w:color="auto" w:fill="auto"/>
                  <w:noWrap/>
                  <w:vAlign w:val="bottom"/>
                  <w:hideMark/>
                </w:tcPr>
                <w:p w14:paraId="1E57C0C4"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t>Viens piedāvājums (daļu skaits)</w:t>
                  </w:r>
                </w:p>
              </w:tc>
              <w:tc>
                <w:tcPr>
                  <w:tcW w:w="1142" w:type="dxa"/>
                  <w:tcBorders>
                    <w:top w:val="nil"/>
                    <w:left w:val="nil"/>
                    <w:bottom w:val="nil"/>
                    <w:right w:val="nil"/>
                  </w:tcBorders>
                  <w:shd w:val="clear" w:color="auto" w:fill="auto"/>
                  <w:noWrap/>
                  <w:vAlign w:val="bottom"/>
                  <w:hideMark/>
                </w:tcPr>
                <w:p w14:paraId="278AE530"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1142" w:type="dxa"/>
                  <w:tcBorders>
                    <w:top w:val="nil"/>
                    <w:left w:val="nil"/>
                    <w:bottom w:val="nil"/>
                    <w:right w:val="nil"/>
                  </w:tcBorders>
                  <w:shd w:val="clear" w:color="auto" w:fill="auto"/>
                  <w:noWrap/>
                  <w:vAlign w:val="bottom"/>
                  <w:hideMark/>
                </w:tcPr>
                <w:p w14:paraId="16872EF1"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1142" w:type="dxa"/>
                  <w:tcBorders>
                    <w:top w:val="nil"/>
                    <w:left w:val="nil"/>
                    <w:bottom w:val="nil"/>
                    <w:right w:val="nil"/>
                  </w:tcBorders>
                  <w:shd w:val="clear" w:color="auto" w:fill="auto"/>
                  <w:noWrap/>
                  <w:vAlign w:val="bottom"/>
                  <w:hideMark/>
                </w:tcPr>
                <w:p w14:paraId="5B20987C"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1142" w:type="dxa"/>
                  <w:tcBorders>
                    <w:top w:val="nil"/>
                    <w:left w:val="nil"/>
                    <w:bottom w:val="nil"/>
                    <w:right w:val="nil"/>
                  </w:tcBorders>
                  <w:shd w:val="clear" w:color="auto" w:fill="auto"/>
                  <w:noWrap/>
                  <w:vAlign w:val="bottom"/>
                  <w:hideMark/>
                </w:tcPr>
                <w:p w14:paraId="0C86AB16"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1142" w:type="dxa"/>
                  <w:tcBorders>
                    <w:top w:val="nil"/>
                    <w:left w:val="nil"/>
                    <w:bottom w:val="nil"/>
                    <w:right w:val="nil"/>
                  </w:tcBorders>
                  <w:shd w:val="clear" w:color="auto" w:fill="auto"/>
                  <w:noWrap/>
                  <w:vAlign w:val="bottom"/>
                  <w:hideMark/>
                </w:tcPr>
                <w:p w14:paraId="255E1CE5"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1142" w:type="dxa"/>
                  <w:tcBorders>
                    <w:top w:val="nil"/>
                    <w:left w:val="nil"/>
                    <w:bottom w:val="nil"/>
                    <w:right w:val="nil"/>
                  </w:tcBorders>
                  <w:shd w:val="clear" w:color="auto" w:fill="auto"/>
                  <w:noWrap/>
                  <w:vAlign w:val="bottom"/>
                  <w:hideMark/>
                </w:tcPr>
                <w:p w14:paraId="268755FC"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1250" w:type="dxa"/>
                  <w:tcBorders>
                    <w:top w:val="nil"/>
                    <w:left w:val="nil"/>
                    <w:bottom w:val="nil"/>
                    <w:right w:val="nil"/>
                  </w:tcBorders>
                  <w:shd w:val="clear" w:color="auto" w:fill="auto"/>
                  <w:noWrap/>
                  <w:vAlign w:val="bottom"/>
                  <w:hideMark/>
                </w:tcPr>
                <w:p w14:paraId="30FA6164"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r>
            <w:tr w:rsidR="00D906DC" w:rsidRPr="00DE05E9" w14:paraId="71BF9BB5" w14:textId="77777777" w:rsidTr="00D906DC">
              <w:trPr>
                <w:trHeight w:val="300"/>
              </w:trPr>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BCBEB"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Intervāls</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14:paraId="510ACD10"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(0%;10%]</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2669BEB9"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(10%;20%]</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41C685DD"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(20%;30%]</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780A5423"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(30%;40%]</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3F4AAF49"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(40%;50%]</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2F336501"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(50%;60%]</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61B696E7"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(60%;70%]</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34C7F6F5"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(70%;80%]</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7659E314"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(80%;90%]</w:t>
                  </w:r>
                </w:p>
              </w:tc>
              <w:tc>
                <w:tcPr>
                  <w:tcW w:w="1250" w:type="dxa"/>
                  <w:tcBorders>
                    <w:top w:val="single" w:sz="4" w:space="0" w:color="auto"/>
                    <w:left w:val="nil"/>
                    <w:bottom w:val="single" w:sz="4" w:space="0" w:color="auto"/>
                    <w:right w:val="single" w:sz="4" w:space="0" w:color="auto"/>
                  </w:tcBorders>
                  <w:shd w:val="clear" w:color="auto" w:fill="auto"/>
                  <w:noWrap/>
                  <w:vAlign w:val="bottom"/>
                  <w:hideMark/>
                </w:tcPr>
                <w:p w14:paraId="71695A71"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(90%;100%]</w:t>
                  </w:r>
                </w:p>
              </w:tc>
            </w:tr>
            <w:tr w:rsidR="00D906DC" w:rsidRPr="00DE05E9" w14:paraId="3E404D50" w14:textId="77777777" w:rsidTr="00D906DC">
              <w:trPr>
                <w:trHeight w:val="300"/>
              </w:trPr>
              <w:tc>
                <w:tcPr>
                  <w:tcW w:w="1541" w:type="dxa"/>
                  <w:tcBorders>
                    <w:top w:val="nil"/>
                    <w:left w:val="single" w:sz="4" w:space="0" w:color="auto"/>
                    <w:bottom w:val="single" w:sz="4" w:space="0" w:color="auto"/>
                    <w:right w:val="single" w:sz="4" w:space="0" w:color="auto"/>
                  </w:tcBorders>
                  <w:shd w:val="clear" w:color="auto" w:fill="auto"/>
                  <w:noWrap/>
                  <w:vAlign w:val="bottom"/>
                  <w:hideMark/>
                </w:tcPr>
                <w:p w14:paraId="5EC555EE"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lastRenderedPageBreak/>
                    <w:t>Pasūtītāju skaits</w:t>
                  </w:r>
                </w:p>
              </w:tc>
              <w:tc>
                <w:tcPr>
                  <w:tcW w:w="1033" w:type="dxa"/>
                  <w:tcBorders>
                    <w:top w:val="nil"/>
                    <w:left w:val="nil"/>
                    <w:bottom w:val="single" w:sz="4" w:space="0" w:color="auto"/>
                    <w:right w:val="single" w:sz="4" w:space="0" w:color="auto"/>
                  </w:tcBorders>
                  <w:shd w:val="clear" w:color="auto" w:fill="auto"/>
                  <w:noWrap/>
                  <w:vAlign w:val="center"/>
                  <w:hideMark/>
                </w:tcPr>
                <w:p w14:paraId="537E69F2"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3</w:t>
                  </w:r>
                </w:p>
              </w:tc>
              <w:tc>
                <w:tcPr>
                  <w:tcW w:w="1142" w:type="dxa"/>
                  <w:tcBorders>
                    <w:top w:val="nil"/>
                    <w:left w:val="nil"/>
                    <w:bottom w:val="single" w:sz="4" w:space="0" w:color="auto"/>
                    <w:right w:val="single" w:sz="4" w:space="0" w:color="auto"/>
                  </w:tcBorders>
                  <w:shd w:val="clear" w:color="auto" w:fill="auto"/>
                  <w:noWrap/>
                  <w:vAlign w:val="center"/>
                  <w:hideMark/>
                </w:tcPr>
                <w:p w14:paraId="33B344A1"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w:t>
                  </w:r>
                </w:p>
              </w:tc>
              <w:tc>
                <w:tcPr>
                  <w:tcW w:w="1142" w:type="dxa"/>
                  <w:tcBorders>
                    <w:top w:val="nil"/>
                    <w:left w:val="nil"/>
                    <w:bottom w:val="single" w:sz="4" w:space="0" w:color="auto"/>
                    <w:right w:val="single" w:sz="4" w:space="0" w:color="auto"/>
                  </w:tcBorders>
                  <w:shd w:val="clear" w:color="auto" w:fill="auto"/>
                  <w:noWrap/>
                  <w:vAlign w:val="center"/>
                  <w:hideMark/>
                </w:tcPr>
                <w:p w14:paraId="7F5C948C"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w:t>
                  </w:r>
                </w:p>
              </w:tc>
              <w:tc>
                <w:tcPr>
                  <w:tcW w:w="1142" w:type="dxa"/>
                  <w:tcBorders>
                    <w:top w:val="nil"/>
                    <w:left w:val="nil"/>
                    <w:bottom w:val="single" w:sz="4" w:space="0" w:color="auto"/>
                    <w:right w:val="single" w:sz="4" w:space="0" w:color="auto"/>
                  </w:tcBorders>
                  <w:shd w:val="clear" w:color="auto" w:fill="auto"/>
                  <w:noWrap/>
                  <w:vAlign w:val="center"/>
                  <w:hideMark/>
                </w:tcPr>
                <w:p w14:paraId="1DBBCAAE"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w:t>
                  </w:r>
                </w:p>
              </w:tc>
              <w:tc>
                <w:tcPr>
                  <w:tcW w:w="1142" w:type="dxa"/>
                  <w:tcBorders>
                    <w:top w:val="nil"/>
                    <w:left w:val="nil"/>
                    <w:bottom w:val="single" w:sz="4" w:space="0" w:color="auto"/>
                    <w:right w:val="single" w:sz="4" w:space="0" w:color="auto"/>
                  </w:tcBorders>
                  <w:shd w:val="clear" w:color="auto" w:fill="auto"/>
                  <w:noWrap/>
                  <w:vAlign w:val="center"/>
                  <w:hideMark/>
                </w:tcPr>
                <w:p w14:paraId="485B2697"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w:t>
                  </w:r>
                </w:p>
              </w:tc>
              <w:tc>
                <w:tcPr>
                  <w:tcW w:w="1142" w:type="dxa"/>
                  <w:tcBorders>
                    <w:top w:val="nil"/>
                    <w:left w:val="nil"/>
                    <w:bottom w:val="single" w:sz="4" w:space="0" w:color="auto"/>
                    <w:right w:val="single" w:sz="4" w:space="0" w:color="auto"/>
                  </w:tcBorders>
                  <w:shd w:val="clear" w:color="auto" w:fill="auto"/>
                  <w:noWrap/>
                  <w:vAlign w:val="center"/>
                  <w:hideMark/>
                </w:tcPr>
                <w:p w14:paraId="6BE43D3A"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c>
                <w:tcPr>
                  <w:tcW w:w="1142" w:type="dxa"/>
                  <w:tcBorders>
                    <w:top w:val="nil"/>
                    <w:left w:val="nil"/>
                    <w:bottom w:val="single" w:sz="4" w:space="0" w:color="auto"/>
                    <w:right w:val="single" w:sz="4" w:space="0" w:color="auto"/>
                  </w:tcBorders>
                  <w:shd w:val="clear" w:color="auto" w:fill="auto"/>
                  <w:noWrap/>
                  <w:vAlign w:val="center"/>
                  <w:hideMark/>
                </w:tcPr>
                <w:p w14:paraId="2E0DDA20"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c>
                <w:tcPr>
                  <w:tcW w:w="1142" w:type="dxa"/>
                  <w:tcBorders>
                    <w:top w:val="nil"/>
                    <w:left w:val="nil"/>
                    <w:bottom w:val="single" w:sz="4" w:space="0" w:color="auto"/>
                    <w:right w:val="single" w:sz="4" w:space="0" w:color="auto"/>
                  </w:tcBorders>
                  <w:shd w:val="clear" w:color="auto" w:fill="auto"/>
                  <w:noWrap/>
                  <w:vAlign w:val="center"/>
                  <w:hideMark/>
                </w:tcPr>
                <w:p w14:paraId="6475C16F"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w:t>
                  </w:r>
                </w:p>
              </w:tc>
              <w:tc>
                <w:tcPr>
                  <w:tcW w:w="1142" w:type="dxa"/>
                  <w:tcBorders>
                    <w:top w:val="nil"/>
                    <w:left w:val="nil"/>
                    <w:bottom w:val="single" w:sz="4" w:space="0" w:color="auto"/>
                    <w:right w:val="single" w:sz="4" w:space="0" w:color="auto"/>
                  </w:tcBorders>
                  <w:shd w:val="clear" w:color="auto" w:fill="auto"/>
                  <w:noWrap/>
                  <w:vAlign w:val="center"/>
                  <w:hideMark/>
                </w:tcPr>
                <w:p w14:paraId="148AA7ED"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c>
                <w:tcPr>
                  <w:tcW w:w="1250" w:type="dxa"/>
                  <w:tcBorders>
                    <w:top w:val="nil"/>
                    <w:left w:val="nil"/>
                    <w:bottom w:val="single" w:sz="4" w:space="0" w:color="auto"/>
                    <w:right w:val="single" w:sz="4" w:space="0" w:color="auto"/>
                  </w:tcBorders>
                  <w:shd w:val="clear" w:color="auto" w:fill="auto"/>
                  <w:noWrap/>
                  <w:vAlign w:val="center"/>
                  <w:hideMark/>
                </w:tcPr>
                <w:p w14:paraId="2658F874"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r>
          </w:tbl>
          <w:p w14:paraId="1DD4F48E" w14:textId="1C800BC9" w:rsidR="008147D5" w:rsidRPr="00DE05E9" w:rsidRDefault="008147D5" w:rsidP="00FB71FD">
            <w:pPr>
              <w:jc w:val="both"/>
              <w:rPr>
                <w:rFonts w:ascii="Times New Roman" w:hAnsi="Times New Roman" w:cs="Times New Roman"/>
              </w:rPr>
            </w:pPr>
          </w:p>
          <w:p w14:paraId="7177058B" w14:textId="6A45A588" w:rsidR="00035954" w:rsidRPr="00DE05E9" w:rsidRDefault="00035954" w:rsidP="00FB71FD">
            <w:pPr>
              <w:jc w:val="both"/>
              <w:rPr>
                <w:rFonts w:ascii="Times New Roman" w:hAnsi="Times New Roman" w:cs="Times New Roman"/>
              </w:rPr>
            </w:pPr>
          </w:p>
        </w:tc>
      </w:tr>
      <w:tr w:rsidR="00D50216" w:rsidRPr="00DE05E9" w14:paraId="656FB1F8" w14:textId="77777777" w:rsidTr="00FB71FD">
        <w:tc>
          <w:tcPr>
            <w:tcW w:w="612" w:type="pct"/>
          </w:tcPr>
          <w:p w14:paraId="6A4A1A16" w14:textId="6CBF2D9E" w:rsidR="00D50216" w:rsidRPr="00DE05E9" w:rsidRDefault="007C1F4F" w:rsidP="00FB71FD">
            <w:pPr>
              <w:pStyle w:val="Heading3"/>
              <w:jc w:val="both"/>
              <w:outlineLvl w:val="2"/>
              <w:rPr>
                <w:rFonts w:ascii="Times New Roman" w:hAnsi="Times New Roman" w:cs="Times New Roman"/>
                <w:b w:val="0"/>
              </w:rPr>
            </w:pPr>
            <w:r w:rsidRPr="00DE05E9">
              <w:rPr>
                <w:rFonts w:ascii="Times New Roman" w:hAnsi="Times New Roman" w:cs="Times New Roman"/>
                <w:b w:val="0"/>
              </w:rPr>
              <w:lastRenderedPageBreak/>
              <w:t>Statistical distribution of buyers by frequency of using a negotiated procedure without the prior publication of a call of competition</w:t>
            </w:r>
          </w:p>
        </w:tc>
        <w:tc>
          <w:tcPr>
            <w:tcW w:w="4388" w:type="pct"/>
          </w:tcPr>
          <w:p w14:paraId="11296111" w14:textId="0873A130" w:rsidR="00D906DC" w:rsidRPr="00DE05E9" w:rsidRDefault="00D906DC" w:rsidP="00FB71FD">
            <w:pPr>
              <w:pStyle w:val="NoSpacing"/>
              <w:jc w:val="both"/>
              <w:rPr>
                <w:rFonts w:ascii="Times New Roman" w:hAnsi="Times New Roman" w:cs="Times New Roman"/>
              </w:rPr>
            </w:pPr>
            <w:r w:rsidRPr="00DE05E9">
              <w:rPr>
                <w:rFonts w:ascii="Times New Roman" w:hAnsi="Times New Roman" w:cs="Times New Roman"/>
                <w:b/>
                <w:u w:val="single"/>
              </w:rPr>
              <w:t>Informācija par iepirkumiem, kas veikti saskaņā ar Publsiko iepirkumu likumu</w:t>
            </w:r>
          </w:p>
          <w:p w14:paraId="7B7D9659" w14:textId="77777777" w:rsidR="00D906DC" w:rsidRPr="00DE05E9" w:rsidRDefault="00D906DC" w:rsidP="00FB71FD">
            <w:pPr>
              <w:jc w:val="both"/>
              <w:rPr>
                <w:rFonts w:ascii="Times New Roman" w:hAnsi="Times New Roman" w:cs="Times New Roman"/>
                <w:lang w:val="lv-LV"/>
              </w:rPr>
            </w:pPr>
            <w:r w:rsidRPr="00DE05E9">
              <w:rPr>
                <w:rFonts w:ascii="Times New Roman" w:eastAsia="Times New Roman" w:hAnsi="Times New Roman" w:cs="Times New Roman"/>
                <w:color w:val="000000"/>
                <w:lang w:val="lv-LV"/>
              </w:rPr>
              <w:t>Dati apkopoti no Iepirkumu uzraudzības biroja tīmekļvietnē publicētajiem paziņojumiem par sarunu procedūru, nepublicējot paziņojumu par līgumu, skaitu atbilstoši III.3. punktā aprakstītajiem nosacījumiem par periodu no 2017. gada 1. janvāra līdz 2017. gada 31. decembrim, kur „Virs ES līgumcenu sliekšņa” piegādēm un pakalpojumiem no 135 000 EUR, būvdarbiem no 5 225 000 EUR.</w:t>
            </w:r>
          </w:p>
          <w:tbl>
            <w:tblPr>
              <w:tblW w:w="12960" w:type="dxa"/>
              <w:tblLook w:val="04A0" w:firstRow="1" w:lastRow="0" w:firstColumn="1" w:lastColumn="0" w:noHBand="0" w:noVBand="1"/>
            </w:tblPr>
            <w:tblGrid>
              <w:gridCol w:w="1336"/>
              <w:gridCol w:w="980"/>
              <w:gridCol w:w="1073"/>
              <w:gridCol w:w="1073"/>
              <w:gridCol w:w="1073"/>
              <w:gridCol w:w="1073"/>
              <w:gridCol w:w="1073"/>
              <w:gridCol w:w="1073"/>
              <w:gridCol w:w="1073"/>
              <w:gridCol w:w="1073"/>
              <w:gridCol w:w="1166"/>
            </w:tblGrid>
            <w:tr w:rsidR="00D906DC" w:rsidRPr="00DE05E9" w14:paraId="48AC47F8" w14:textId="77777777" w:rsidTr="00D906DC">
              <w:trPr>
                <w:trHeight w:val="375"/>
              </w:trPr>
              <w:tc>
                <w:tcPr>
                  <w:tcW w:w="7142" w:type="dxa"/>
                  <w:gridSpan w:val="6"/>
                  <w:tcBorders>
                    <w:top w:val="nil"/>
                    <w:left w:val="nil"/>
                    <w:bottom w:val="nil"/>
                    <w:right w:val="nil"/>
                  </w:tcBorders>
                  <w:shd w:val="clear" w:color="auto" w:fill="auto"/>
                  <w:noWrap/>
                  <w:vAlign w:val="bottom"/>
                  <w:hideMark/>
                </w:tcPr>
                <w:p w14:paraId="1BFDD7FC"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p w14:paraId="45EA7848" w14:textId="1809D8EA" w:rsidR="00D906DC" w:rsidRPr="00DE05E9" w:rsidRDefault="00D906DC" w:rsidP="00FB71FD">
                  <w:pPr>
                    <w:spacing w:after="0" w:line="240" w:lineRule="auto"/>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t>Sarunu procedūras</w:t>
                  </w:r>
                  <w:r w:rsidR="00213298" w:rsidRPr="00DE05E9">
                    <w:rPr>
                      <w:rFonts w:ascii="Times New Roman" w:eastAsia="Times New Roman" w:hAnsi="Times New Roman" w:cs="Times New Roman"/>
                      <w:b/>
                      <w:color w:val="000000"/>
                      <w:lang w:val="lv-LV"/>
                    </w:rPr>
                    <w:t>,</w:t>
                  </w:r>
                  <w:r w:rsidRPr="00DE05E9">
                    <w:rPr>
                      <w:rFonts w:ascii="Times New Roman" w:eastAsia="Times New Roman" w:hAnsi="Times New Roman" w:cs="Times New Roman"/>
                      <w:b/>
                      <w:color w:val="000000"/>
                      <w:lang w:val="lv-LV"/>
                    </w:rPr>
                    <w:t xml:space="preserve"> nepublicējot paziņojumu par līgumu (procedūru skaits)</w:t>
                  </w:r>
                </w:p>
              </w:tc>
              <w:tc>
                <w:tcPr>
                  <w:tcW w:w="1142" w:type="dxa"/>
                  <w:tcBorders>
                    <w:top w:val="nil"/>
                    <w:left w:val="nil"/>
                    <w:bottom w:val="nil"/>
                    <w:right w:val="nil"/>
                  </w:tcBorders>
                  <w:shd w:val="clear" w:color="auto" w:fill="auto"/>
                  <w:noWrap/>
                  <w:vAlign w:val="bottom"/>
                  <w:hideMark/>
                </w:tcPr>
                <w:p w14:paraId="4F153D7E"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1142" w:type="dxa"/>
                  <w:tcBorders>
                    <w:top w:val="nil"/>
                    <w:left w:val="nil"/>
                    <w:bottom w:val="nil"/>
                    <w:right w:val="nil"/>
                  </w:tcBorders>
                  <w:shd w:val="clear" w:color="auto" w:fill="auto"/>
                  <w:noWrap/>
                  <w:vAlign w:val="bottom"/>
                  <w:hideMark/>
                </w:tcPr>
                <w:p w14:paraId="7CE4F4B8"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1142" w:type="dxa"/>
                  <w:tcBorders>
                    <w:top w:val="nil"/>
                    <w:left w:val="nil"/>
                    <w:bottom w:val="nil"/>
                    <w:right w:val="nil"/>
                  </w:tcBorders>
                  <w:shd w:val="clear" w:color="auto" w:fill="auto"/>
                  <w:noWrap/>
                  <w:vAlign w:val="bottom"/>
                  <w:hideMark/>
                </w:tcPr>
                <w:p w14:paraId="768D30E6"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1142" w:type="dxa"/>
                  <w:tcBorders>
                    <w:top w:val="nil"/>
                    <w:left w:val="nil"/>
                    <w:bottom w:val="nil"/>
                    <w:right w:val="nil"/>
                  </w:tcBorders>
                  <w:shd w:val="clear" w:color="auto" w:fill="auto"/>
                  <w:noWrap/>
                  <w:vAlign w:val="bottom"/>
                  <w:hideMark/>
                </w:tcPr>
                <w:p w14:paraId="2199E3B7"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1250" w:type="dxa"/>
                  <w:tcBorders>
                    <w:top w:val="nil"/>
                    <w:left w:val="nil"/>
                    <w:bottom w:val="nil"/>
                    <w:right w:val="nil"/>
                  </w:tcBorders>
                  <w:shd w:val="clear" w:color="auto" w:fill="auto"/>
                  <w:noWrap/>
                  <w:vAlign w:val="bottom"/>
                  <w:hideMark/>
                </w:tcPr>
                <w:p w14:paraId="27C19635"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r>
            <w:tr w:rsidR="00D906DC" w:rsidRPr="00DE05E9" w14:paraId="1C9AB320" w14:textId="77777777" w:rsidTr="00D906DC">
              <w:trPr>
                <w:trHeight w:val="300"/>
              </w:trPr>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1D155"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Intervāls</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14:paraId="21D8745C"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(0%;10%]</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07F4B608"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(10%;20%]</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51F804C2"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(20%;30%]</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32DB54A1"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(30%;40%]</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234A6946"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(40%;50%]</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78B57286"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(50%;60%]</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63F7858C"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(60%;70%]</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29CB4A44"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(70%;80%]</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76ECD696"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(80%;90%]</w:t>
                  </w:r>
                </w:p>
              </w:tc>
              <w:tc>
                <w:tcPr>
                  <w:tcW w:w="1250" w:type="dxa"/>
                  <w:tcBorders>
                    <w:top w:val="single" w:sz="4" w:space="0" w:color="auto"/>
                    <w:left w:val="nil"/>
                    <w:bottom w:val="single" w:sz="4" w:space="0" w:color="auto"/>
                    <w:right w:val="single" w:sz="4" w:space="0" w:color="auto"/>
                  </w:tcBorders>
                  <w:shd w:val="clear" w:color="auto" w:fill="auto"/>
                  <w:noWrap/>
                  <w:vAlign w:val="bottom"/>
                  <w:hideMark/>
                </w:tcPr>
                <w:p w14:paraId="76F1280F"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(90%;100%]</w:t>
                  </w:r>
                </w:p>
              </w:tc>
            </w:tr>
            <w:tr w:rsidR="00D906DC" w:rsidRPr="00DE05E9" w14:paraId="45CA3048" w14:textId="77777777" w:rsidTr="00D906DC">
              <w:trPr>
                <w:trHeight w:val="300"/>
              </w:trPr>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686D9"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Pasūtītāju skaits</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14:paraId="420023D3"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55</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14:paraId="1A6B2C32"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13</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14:paraId="1C8B4C23"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9</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14:paraId="26F4A99E"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4</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14:paraId="131BD024"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3</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14:paraId="2D0CC255"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14:paraId="5D87F4C5"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3</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14:paraId="43C604C1"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14:paraId="1EB13C21"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14:paraId="105C7391"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r>
          </w:tbl>
          <w:p w14:paraId="0B503055" w14:textId="5DEB0F5E" w:rsidR="00D906DC" w:rsidRPr="00DE05E9" w:rsidRDefault="00D906DC" w:rsidP="00FB71FD">
            <w:pPr>
              <w:jc w:val="both"/>
              <w:rPr>
                <w:rFonts w:ascii="Times New Roman" w:hAnsi="Times New Roman" w:cs="Times New Roman"/>
              </w:rPr>
            </w:pPr>
          </w:p>
          <w:p w14:paraId="1DB968FC" w14:textId="330E070A" w:rsidR="00D906DC" w:rsidRPr="00DE05E9" w:rsidRDefault="00D906DC" w:rsidP="00FB71FD">
            <w:pPr>
              <w:jc w:val="both"/>
              <w:rPr>
                <w:rFonts w:ascii="Times New Roman" w:hAnsi="Times New Roman" w:cs="Times New Roman"/>
              </w:rPr>
            </w:pPr>
          </w:p>
          <w:p w14:paraId="757BE416" w14:textId="77777777" w:rsidR="00D906DC" w:rsidRPr="00DE05E9" w:rsidRDefault="00D906DC" w:rsidP="00FB71FD">
            <w:pPr>
              <w:pStyle w:val="NoSpacing"/>
              <w:jc w:val="both"/>
              <w:rPr>
                <w:rFonts w:ascii="Times New Roman" w:hAnsi="Times New Roman" w:cs="Times New Roman"/>
              </w:rPr>
            </w:pPr>
            <w:r w:rsidRPr="00DE05E9">
              <w:rPr>
                <w:rFonts w:ascii="Times New Roman" w:hAnsi="Times New Roman" w:cs="Times New Roman"/>
                <w:b/>
                <w:u w:val="single"/>
              </w:rPr>
              <w:t>Informācija par iepirkumiem, kas veikti saskaņā ar Sabiedrisko pakalpojumu sniedzēju iepirkumu likumu</w:t>
            </w:r>
          </w:p>
          <w:p w14:paraId="3C30CB4C" w14:textId="339DD4DA" w:rsidR="00D906DC" w:rsidRPr="00DE05E9" w:rsidRDefault="00D906DC" w:rsidP="00FB71FD">
            <w:pPr>
              <w:jc w:val="both"/>
              <w:rPr>
                <w:rFonts w:ascii="Times New Roman" w:hAnsi="Times New Roman" w:cs="Times New Roman"/>
              </w:rPr>
            </w:pPr>
          </w:p>
          <w:p w14:paraId="4961BAF4" w14:textId="77777777" w:rsidR="00D906DC" w:rsidRPr="00DE05E9" w:rsidRDefault="00D906DC" w:rsidP="00FB71FD">
            <w:pPr>
              <w:jc w:val="both"/>
              <w:rPr>
                <w:rFonts w:ascii="Times New Roman" w:hAnsi="Times New Roman" w:cs="Times New Roman"/>
                <w:lang w:val="lv-LV"/>
              </w:rPr>
            </w:pPr>
            <w:r w:rsidRPr="00DE05E9">
              <w:rPr>
                <w:rFonts w:ascii="Times New Roman" w:eastAsia="Times New Roman" w:hAnsi="Times New Roman" w:cs="Times New Roman"/>
                <w:color w:val="000000"/>
                <w:lang w:val="lv-LV"/>
              </w:rPr>
              <w:t>Dati apkopoti no Iepirkumu uzraudzības biroja tīmekļvietnē publicētajiem paziņojumiem par sarunu procedūru, nepublicējot paziņojumu par līgumu, skaitu atbilstoši III.3. punktā aprakstītajiem nosacījumiem par periodu no 2017. gada 1. janvāra līdz 2017. gada 31. decembrim, kur „Virs ES līgumcenu sliekšņa” piegādēm un pakalpojumiem no 418 000 EUR, būvdarbiem no 5 225 000 EUR.</w:t>
            </w:r>
          </w:p>
          <w:tbl>
            <w:tblPr>
              <w:tblW w:w="12960" w:type="dxa"/>
              <w:tblLook w:val="04A0" w:firstRow="1" w:lastRow="0" w:firstColumn="1" w:lastColumn="0" w:noHBand="0" w:noVBand="1"/>
            </w:tblPr>
            <w:tblGrid>
              <w:gridCol w:w="1326"/>
              <w:gridCol w:w="981"/>
              <w:gridCol w:w="1074"/>
              <w:gridCol w:w="1074"/>
              <w:gridCol w:w="1074"/>
              <w:gridCol w:w="1074"/>
              <w:gridCol w:w="1074"/>
              <w:gridCol w:w="1074"/>
              <w:gridCol w:w="1074"/>
              <w:gridCol w:w="1074"/>
              <w:gridCol w:w="1167"/>
            </w:tblGrid>
            <w:tr w:rsidR="00D906DC" w:rsidRPr="00DE05E9" w14:paraId="38F0AE78" w14:textId="77777777" w:rsidTr="00D906DC">
              <w:trPr>
                <w:trHeight w:val="375"/>
              </w:trPr>
              <w:tc>
                <w:tcPr>
                  <w:tcW w:w="7136" w:type="dxa"/>
                  <w:gridSpan w:val="6"/>
                  <w:tcBorders>
                    <w:top w:val="nil"/>
                    <w:left w:val="nil"/>
                    <w:bottom w:val="nil"/>
                    <w:right w:val="nil"/>
                  </w:tcBorders>
                  <w:shd w:val="clear" w:color="auto" w:fill="auto"/>
                  <w:noWrap/>
                  <w:vAlign w:val="bottom"/>
                  <w:hideMark/>
                </w:tcPr>
                <w:p w14:paraId="6DD1859E" w14:textId="5CBE9C3F" w:rsidR="00D906DC" w:rsidRPr="00DE05E9" w:rsidRDefault="00D906DC" w:rsidP="00FB71FD">
                  <w:pPr>
                    <w:spacing w:after="0" w:line="240" w:lineRule="auto"/>
                    <w:jc w:val="both"/>
                    <w:rPr>
                      <w:rFonts w:ascii="Times New Roman" w:eastAsia="Times New Roman" w:hAnsi="Times New Roman" w:cs="Times New Roman"/>
                      <w:b/>
                      <w:color w:val="000000"/>
                      <w:lang w:val="lv-LV"/>
                    </w:rPr>
                  </w:pPr>
                </w:p>
                <w:p w14:paraId="454E0360" w14:textId="2525E7CF" w:rsidR="00D906DC" w:rsidRPr="00DE05E9" w:rsidRDefault="00D906DC" w:rsidP="00FB71FD">
                  <w:pPr>
                    <w:spacing w:after="0" w:line="240" w:lineRule="auto"/>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t>Sarunu procedūras</w:t>
                  </w:r>
                  <w:r w:rsidR="00213298" w:rsidRPr="00DE05E9">
                    <w:rPr>
                      <w:rFonts w:ascii="Times New Roman" w:eastAsia="Times New Roman" w:hAnsi="Times New Roman" w:cs="Times New Roman"/>
                      <w:b/>
                      <w:color w:val="000000"/>
                      <w:lang w:val="lv-LV"/>
                    </w:rPr>
                    <w:t>,</w:t>
                  </w:r>
                  <w:r w:rsidRPr="00DE05E9">
                    <w:rPr>
                      <w:rFonts w:ascii="Times New Roman" w:eastAsia="Times New Roman" w:hAnsi="Times New Roman" w:cs="Times New Roman"/>
                      <w:b/>
                      <w:color w:val="000000"/>
                      <w:lang w:val="lv-LV"/>
                    </w:rPr>
                    <w:t xml:space="preserve"> nepublicējot paziņojumu par līgumu (procedūru skaits)</w:t>
                  </w:r>
                </w:p>
              </w:tc>
              <w:tc>
                <w:tcPr>
                  <w:tcW w:w="1143" w:type="dxa"/>
                  <w:tcBorders>
                    <w:top w:val="nil"/>
                    <w:left w:val="nil"/>
                    <w:bottom w:val="nil"/>
                    <w:right w:val="nil"/>
                  </w:tcBorders>
                  <w:shd w:val="clear" w:color="auto" w:fill="auto"/>
                  <w:noWrap/>
                  <w:vAlign w:val="bottom"/>
                  <w:hideMark/>
                </w:tcPr>
                <w:p w14:paraId="5CE44075"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1143" w:type="dxa"/>
                  <w:tcBorders>
                    <w:top w:val="nil"/>
                    <w:left w:val="nil"/>
                    <w:bottom w:val="nil"/>
                    <w:right w:val="nil"/>
                  </w:tcBorders>
                  <w:shd w:val="clear" w:color="auto" w:fill="auto"/>
                  <w:noWrap/>
                  <w:vAlign w:val="bottom"/>
                  <w:hideMark/>
                </w:tcPr>
                <w:p w14:paraId="3B89A664"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1143" w:type="dxa"/>
                  <w:tcBorders>
                    <w:top w:val="nil"/>
                    <w:left w:val="nil"/>
                    <w:bottom w:val="nil"/>
                    <w:right w:val="nil"/>
                  </w:tcBorders>
                  <w:shd w:val="clear" w:color="auto" w:fill="auto"/>
                  <w:noWrap/>
                  <w:vAlign w:val="bottom"/>
                  <w:hideMark/>
                </w:tcPr>
                <w:p w14:paraId="2AC114A9"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1143" w:type="dxa"/>
                  <w:tcBorders>
                    <w:top w:val="nil"/>
                    <w:left w:val="nil"/>
                    <w:bottom w:val="nil"/>
                    <w:right w:val="nil"/>
                  </w:tcBorders>
                  <w:shd w:val="clear" w:color="auto" w:fill="auto"/>
                  <w:noWrap/>
                  <w:vAlign w:val="bottom"/>
                  <w:hideMark/>
                </w:tcPr>
                <w:p w14:paraId="4C425210"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1252" w:type="dxa"/>
                  <w:tcBorders>
                    <w:top w:val="nil"/>
                    <w:left w:val="nil"/>
                    <w:bottom w:val="nil"/>
                    <w:right w:val="nil"/>
                  </w:tcBorders>
                  <w:shd w:val="clear" w:color="auto" w:fill="auto"/>
                  <w:noWrap/>
                  <w:vAlign w:val="bottom"/>
                  <w:hideMark/>
                </w:tcPr>
                <w:p w14:paraId="27531245"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r>
            <w:tr w:rsidR="00D906DC" w:rsidRPr="00DE05E9" w14:paraId="2C5F4FCE" w14:textId="77777777" w:rsidTr="00D906DC">
              <w:trPr>
                <w:trHeight w:val="300"/>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1FD6D"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Intervāls</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14:paraId="3E43EB2E"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(0%;10%]</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14:paraId="4EA22079"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(10%;20%]</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14:paraId="3CC496DA"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(20%;30%]</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14:paraId="5CDBFB51"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(30%;40%]</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14:paraId="7E452F42"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(40%;50%]</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14:paraId="3F32F934"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(50%;60%]</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14:paraId="218F0E0B"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(60%;70%]</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14:paraId="081A80C9"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(70%;80%]</w:t>
                  </w:r>
                </w:p>
              </w:tc>
              <w:tc>
                <w:tcPr>
                  <w:tcW w:w="1143" w:type="dxa"/>
                  <w:tcBorders>
                    <w:top w:val="single" w:sz="4" w:space="0" w:color="auto"/>
                    <w:left w:val="nil"/>
                    <w:bottom w:val="single" w:sz="4" w:space="0" w:color="auto"/>
                    <w:right w:val="single" w:sz="4" w:space="0" w:color="auto"/>
                  </w:tcBorders>
                  <w:shd w:val="clear" w:color="auto" w:fill="auto"/>
                  <w:noWrap/>
                  <w:vAlign w:val="bottom"/>
                  <w:hideMark/>
                </w:tcPr>
                <w:p w14:paraId="7BCB48C0"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(80%;90%]</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14:paraId="40B2F49F"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(90%;100%]</w:t>
                  </w:r>
                </w:p>
              </w:tc>
            </w:tr>
            <w:tr w:rsidR="00D906DC" w:rsidRPr="00DE05E9" w14:paraId="3D45EC2D" w14:textId="77777777" w:rsidTr="00D906DC">
              <w:trPr>
                <w:trHeight w:val="300"/>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5F8555B8"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Pasūtītāju skaits</w:t>
                  </w:r>
                </w:p>
              </w:tc>
              <w:tc>
                <w:tcPr>
                  <w:tcW w:w="1036" w:type="dxa"/>
                  <w:tcBorders>
                    <w:top w:val="nil"/>
                    <w:left w:val="nil"/>
                    <w:bottom w:val="single" w:sz="4" w:space="0" w:color="auto"/>
                    <w:right w:val="single" w:sz="4" w:space="0" w:color="auto"/>
                  </w:tcBorders>
                  <w:shd w:val="clear" w:color="auto" w:fill="auto"/>
                  <w:noWrap/>
                  <w:vAlign w:val="center"/>
                  <w:hideMark/>
                </w:tcPr>
                <w:p w14:paraId="1936636A"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6</w:t>
                  </w:r>
                </w:p>
              </w:tc>
              <w:tc>
                <w:tcPr>
                  <w:tcW w:w="1143" w:type="dxa"/>
                  <w:tcBorders>
                    <w:top w:val="nil"/>
                    <w:left w:val="nil"/>
                    <w:bottom w:val="single" w:sz="4" w:space="0" w:color="auto"/>
                    <w:right w:val="single" w:sz="4" w:space="0" w:color="auto"/>
                  </w:tcBorders>
                  <w:shd w:val="clear" w:color="auto" w:fill="auto"/>
                  <w:noWrap/>
                  <w:vAlign w:val="center"/>
                  <w:hideMark/>
                </w:tcPr>
                <w:p w14:paraId="56909EBE"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w:t>
                  </w:r>
                </w:p>
              </w:tc>
              <w:tc>
                <w:tcPr>
                  <w:tcW w:w="1143" w:type="dxa"/>
                  <w:tcBorders>
                    <w:top w:val="nil"/>
                    <w:left w:val="nil"/>
                    <w:bottom w:val="single" w:sz="4" w:space="0" w:color="auto"/>
                    <w:right w:val="single" w:sz="4" w:space="0" w:color="auto"/>
                  </w:tcBorders>
                  <w:shd w:val="clear" w:color="auto" w:fill="auto"/>
                  <w:noWrap/>
                  <w:vAlign w:val="center"/>
                  <w:hideMark/>
                </w:tcPr>
                <w:p w14:paraId="0526B293"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w:t>
                  </w:r>
                </w:p>
              </w:tc>
              <w:tc>
                <w:tcPr>
                  <w:tcW w:w="1143" w:type="dxa"/>
                  <w:tcBorders>
                    <w:top w:val="nil"/>
                    <w:left w:val="nil"/>
                    <w:bottom w:val="single" w:sz="4" w:space="0" w:color="auto"/>
                    <w:right w:val="single" w:sz="4" w:space="0" w:color="auto"/>
                  </w:tcBorders>
                  <w:shd w:val="clear" w:color="auto" w:fill="auto"/>
                  <w:noWrap/>
                  <w:vAlign w:val="center"/>
                  <w:hideMark/>
                </w:tcPr>
                <w:p w14:paraId="389D52D2"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w:t>
                  </w:r>
                </w:p>
              </w:tc>
              <w:tc>
                <w:tcPr>
                  <w:tcW w:w="1143" w:type="dxa"/>
                  <w:tcBorders>
                    <w:top w:val="nil"/>
                    <w:left w:val="nil"/>
                    <w:bottom w:val="single" w:sz="4" w:space="0" w:color="auto"/>
                    <w:right w:val="single" w:sz="4" w:space="0" w:color="auto"/>
                  </w:tcBorders>
                  <w:shd w:val="clear" w:color="auto" w:fill="auto"/>
                  <w:noWrap/>
                  <w:vAlign w:val="center"/>
                  <w:hideMark/>
                </w:tcPr>
                <w:p w14:paraId="067F1C95"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c>
                <w:tcPr>
                  <w:tcW w:w="1143" w:type="dxa"/>
                  <w:tcBorders>
                    <w:top w:val="nil"/>
                    <w:left w:val="nil"/>
                    <w:bottom w:val="single" w:sz="4" w:space="0" w:color="auto"/>
                    <w:right w:val="single" w:sz="4" w:space="0" w:color="auto"/>
                  </w:tcBorders>
                  <w:shd w:val="clear" w:color="auto" w:fill="auto"/>
                  <w:noWrap/>
                  <w:vAlign w:val="center"/>
                  <w:hideMark/>
                </w:tcPr>
                <w:p w14:paraId="55782EE2"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c>
                <w:tcPr>
                  <w:tcW w:w="1143" w:type="dxa"/>
                  <w:tcBorders>
                    <w:top w:val="nil"/>
                    <w:left w:val="nil"/>
                    <w:bottom w:val="single" w:sz="4" w:space="0" w:color="auto"/>
                    <w:right w:val="single" w:sz="4" w:space="0" w:color="auto"/>
                  </w:tcBorders>
                  <w:shd w:val="clear" w:color="auto" w:fill="auto"/>
                  <w:noWrap/>
                  <w:vAlign w:val="center"/>
                  <w:hideMark/>
                </w:tcPr>
                <w:p w14:paraId="7EAB7B20"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c>
                <w:tcPr>
                  <w:tcW w:w="1143" w:type="dxa"/>
                  <w:tcBorders>
                    <w:top w:val="nil"/>
                    <w:left w:val="nil"/>
                    <w:bottom w:val="single" w:sz="4" w:space="0" w:color="auto"/>
                    <w:right w:val="single" w:sz="4" w:space="0" w:color="auto"/>
                  </w:tcBorders>
                  <w:shd w:val="clear" w:color="auto" w:fill="auto"/>
                  <w:noWrap/>
                  <w:vAlign w:val="center"/>
                  <w:hideMark/>
                </w:tcPr>
                <w:p w14:paraId="139F7177"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c>
                <w:tcPr>
                  <w:tcW w:w="1143" w:type="dxa"/>
                  <w:tcBorders>
                    <w:top w:val="nil"/>
                    <w:left w:val="nil"/>
                    <w:bottom w:val="single" w:sz="4" w:space="0" w:color="auto"/>
                    <w:right w:val="single" w:sz="4" w:space="0" w:color="auto"/>
                  </w:tcBorders>
                  <w:shd w:val="clear" w:color="auto" w:fill="auto"/>
                  <w:noWrap/>
                  <w:vAlign w:val="center"/>
                  <w:hideMark/>
                </w:tcPr>
                <w:p w14:paraId="66D09900"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c>
                <w:tcPr>
                  <w:tcW w:w="1252" w:type="dxa"/>
                  <w:tcBorders>
                    <w:top w:val="nil"/>
                    <w:left w:val="nil"/>
                    <w:bottom w:val="single" w:sz="4" w:space="0" w:color="auto"/>
                    <w:right w:val="single" w:sz="4" w:space="0" w:color="auto"/>
                  </w:tcBorders>
                  <w:shd w:val="clear" w:color="auto" w:fill="auto"/>
                  <w:noWrap/>
                  <w:vAlign w:val="center"/>
                  <w:hideMark/>
                </w:tcPr>
                <w:p w14:paraId="6B8A8CBC"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r>
          </w:tbl>
          <w:p w14:paraId="48FB8237" w14:textId="77777777" w:rsidR="00D906DC" w:rsidRPr="00DE05E9" w:rsidRDefault="00D906DC" w:rsidP="00FB71FD">
            <w:pPr>
              <w:jc w:val="both"/>
              <w:rPr>
                <w:rFonts w:ascii="Times New Roman" w:hAnsi="Times New Roman" w:cs="Times New Roman"/>
              </w:rPr>
            </w:pPr>
          </w:p>
          <w:p w14:paraId="37D79B5B" w14:textId="68E8AE0E" w:rsidR="00D906DC" w:rsidRPr="00DE05E9" w:rsidRDefault="00D906DC" w:rsidP="00FB71FD">
            <w:pPr>
              <w:jc w:val="both"/>
              <w:rPr>
                <w:rFonts w:ascii="Times New Roman" w:hAnsi="Times New Roman" w:cs="Times New Roman"/>
              </w:rPr>
            </w:pPr>
          </w:p>
        </w:tc>
      </w:tr>
      <w:tr w:rsidR="00D50216" w:rsidRPr="00DE05E9" w14:paraId="01D829E3" w14:textId="77777777" w:rsidTr="00FB71FD">
        <w:tc>
          <w:tcPr>
            <w:tcW w:w="612" w:type="pct"/>
          </w:tcPr>
          <w:p w14:paraId="01B6334F" w14:textId="11E88604" w:rsidR="00D50216" w:rsidRPr="00DE05E9" w:rsidRDefault="00517206" w:rsidP="00FB71FD">
            <w:pPr>
              <w:pStyle w:val="Heading3"/>
              <w:jc w:val="both"/>
              <w:outlineLvl w:val="2"/>
              <w:rPr>
                <w:rFonts w:ascii="Times New Roman" w:hAnsi="Times New Roman" w:cs="Times New Roman"/>
                <w:b w:val="0"/>
              </w:rPr>
            </w:pPr>
            <w:r w:rsidRPr="00DE05E9">
              <w:rPr>
                <w:rFonts w:ascii="Times New Roman" w:hAnsi="Times New Roman" w:cs="Times New Roman"/>
                <w:b w:val="0"/>
              </w:rPr>
              <w:t>Quantitative assessment of collusion risks</w:t>
            </w:r>
          </w:p>
        </w:tc>
        <w:tc>
          <w:tcPr>
            <w:tcW w:w="4388" w:type="pct"/>
          </w:tcPr>
          <w:p w14:paraId="1CB8D080" w14:textId="2F6C98BF" w:rsidR="009B1294" w:rsidRPr="00DE05E9" w:rsidRDefault="009B1294" w:rsidP="00FB71FD">
            <w:pPr>
              <w:pStyle w:val="NormalWeb"/>
              <w:spacing w:before="0" w:beforeAutospacing="0" w:after="0" w:afterAutospacing="0"/>
              <w:jc w:val="both"/>
              <w:rPr>
                <w:rStyle w:val="Strong"/>
                <w:sz w:val="22"/>
                <w:szCs w:val="22"/>
              </w:rPr>
            </w:pPr>
            <w:r w:rsidRPr="00DE05E9">
              <w:rPr>
                <w:rStyle w:val="Strong"/>
                <w:sz w:val="22"/>
                <w:szCs w:val="22"/>
              </w:rPr>
              <w:t>Konkurences padomes iesaiste.</w:t>
            </w:r>
          </w:p>
          <w:p w14:paraId="39B95FCE" w14:textId="030CCA48" w:rsidR="00E737CB" w:rsidRPr="00DE05E9" w:rsidRDefault="00E737CB" w:rsidP="00FB71FD">
            <w:pPr>
              <w:pStyle w:val="NormalWeb"/>
              <w:spacing w:before="0" w:beforeAutospacing="0" w:after="0" w:afterAutospacing="0"/>
              <w:jc w:val="both"/>
              <w:rPr>
                <w:rStyle w:val="Strong"/>
                <w:b w:val="0"/>
                <w:sz w:val="22"/>
                <w:szCs w:val="22"/>
              </w:rPr>
            </w:pPr>
            <w:r w:rsidRPr="00DE05E9">
              <w:rPr>
                <w:rStyle w:val="Strong"/>
                <w:b w:val="0"/>
                <w:sz w:val="22"/>
                <w:szCs w:val="22"/>
              </w:rPr>
              <w:t xml:space="preserve">Pēdējo gadu laikā </w:t>
            </w:r>
            <w:r w:rsidR="00064F89" w:rsidRPr="00DE05E9">
              <w:rPr>
                <w:rStyle w:val="Strong"/>
                <w:b w:val="0"/>
                <w:sz w:val="22"/>
                <w:szCs w:val="22"/>
              </w:rPr>
              <w:t>Konkurences Padome</w:t>
            </w:r>
            <w:r w:rsidRPr="00DE05E9">
              <w:rPr>
                <w:rStyle w:val="Strong"/>
                <w:b w:val="0"/>
                <w:sz w:val="22"/>
                <w:szCs w:val="22"/>
              </w:rPr>
              <w:t xml:space="preserve"> ir veikusi vairākas padziļinātas tirgus uzraudzības, ar mērķi identificēt iespējamos konkurences ierobežojumus un riskus, tostarp, kas var rasties publiskajos iepirkumos. </w:t>
            </w:r>
          </w:p>
          <w:p w14:paraId="64BCF3B1" w14:textId="0CBA87CD" w:rsidR="00E737CB" w:rsidRPr="00DE05E9" w:rsidRDefault="00E737CB" w:rsidP="00DE05E9">
            <w:pPr>
              <w:pStyle w:val="NormalWeb"/>
              <w:spacing w:before="0" w:beforeAutospacing="0" w:after="0" w:afterAutospacing="0"/>
              <w:ind w:firstLine="709"/>
              <w:jc w:val="both"/>
              <w:rPr>
                <w:strike/>
                <w:sz w:val="22"/>
                <w:szCs w:val="22"/>
              </w:rPr>
            </w:pPr>
            <w:r w:rsidRPr="00DE05E9">
              <w:rPr>
                <w:rStyle w:val="Strong"/>
                <w:b w:val="0"/>
                <w:sz w:val="22"/>
                <w:szCs w:val="22"/>
              </w:rPr>
              <w:lastRenderedPageBreak/>
              <w:t xml:space="preserve">1) </w:t>
            </w:r>
            <w:r w:rsidR="00064F89" w:rsidRPr="00DE05E9">
              <w:rPr>
                <w:rStyle w:val="Strong"/>
                <w:b w:val="0"/>
                <w:sz w:val="22"/>
                <w:szCs w:val="22"/>
              </w:rPr>
              <w:t>Konkurences Padome</w:t>
            </w:r>
            <w:r w:rsidRPr="00DE05E9">
              <w:rPr>
                <w:rStyle w:val="Strong"/>
                <w:b w:val="0"/>
                <w:sz w:val="22"/>
                <w:szCs w:val="22"/>
              </w:rPr>
              <w:t xml:space="preserve"> noslēdza </w:t>
            </w:r>
            <w:r w:rsidRPr="00DE05E9">
              <w:rPr>
                <w:sz w:val="22"/>
                <w:szCs w:val="22"/>
              </w:rPr>
              <w:t>Būvkomersantu sadarbības formu publiskajos iepirkumos tirgus uzraudzību</w:t>
            </w:r>
            <w:r w:rsidR="00313948" w:rsidRPr="00DE05E9">
              <w:rPr>
                <w:sz w:val="22"/>
                <w:szCs w:val="22"/>
              </w:rPr>
              <w:t xml:space="preserve"> (https://www.kp.gov.lv/lv/aktualitates/558-kp-pasutitaji-publiskajos-buvniecibas-iepirkumos-nepietiekami-kontrole-darbu-veicejus)</w:t>
            </w:r>
            <w:r w:rsidR="00937492" w:rsidRPr="00DE05E9">
              <w:rPr>
                <w:rStyle w:val="Strong"/>
                <w:b w:val="0"/>
                <w:sz w:val="22"/>
              </w:rPr>
              <w:t>.</w:t>
            </w:r>
            <w:r w:rsidRPr="00DE05E9">
              <w:rPr>
                <w:rStyle w:val="Strong"/>
                <w:b w:val="0"/>
                <w:sz w:val="22"/>
                <w:szCs w:val="22"/>
              </w:rPr>
              <w:t xml:space="preserve"> </w:t>
            </w:r>
          </w:p>
          <w:p w14:paraId="3FDDA890" w14:textId="77777777" w:rsidR="00E737CB" w:rsidRPr="00DE05E9" w:rsidRDefault="00E737CB" w:rsidP="00FB71FD">
            <w:pPr>
              <w:pStyle w:val="NormalWeb"/>
              <w:spacing w:before="0" w:beforeAutospacing="0" w:after="0" w:afterAutospacing="0"/>
              <w:ind w:firstLine="709"/>
              <w:jc w:val="both"/>
              <w:rPr>
                <w:sz w:val="22"/>
                <w:szCs w:val="22"/>
              </w:rPr>
            </w:pPr>
          </w:p>
          <w:p w14:paraId="35987F4B" w14:textId="3E3D84FC" w:rsidR="00E737CB" w:rsidRPr="00DE05E9" w:rsidRDefault="00E737CB" w:rsidP="00FB71FD">
            <w:pPr>
              <w:pStyle w:val="NormalWeb"/>
              <w:spacing w:before="0" w:beforeAutospacing="0" w:after="0" w:afterAutospacing="0"/>
              <w:ind w:firstLine="709"/>
              <w:jc w:val="both"/>
              <w:rPr>
                <w:color w:val="000000" w:themeColor="text1"/>
                <w:sz w:val="22"/>
                <w:szCs w:val="22"/>
              </w:rPr>
            </w:pPr>
            <w:r w:rsidRPr="00DE05E9">
              <w:rPr>
                <w:sz w:val="22"/>
                <w:szCs w:val="22"/>
              </w:rPr>
              <w:t xml:space="preserve">2) </w:t>
            </w:r>
            <w:r w:rsidRPr="00DE05E9">
              <w:rPr>
                <w:color w:val="000000" w:themeColor="text1"/>
                <w:sz w:val="22"/>
                <w:szCs w:val="22"/>
              </w:rPr>
              <w:t>Veiktās Ceļu un ielu būvniecības, rekonstrukcijas un periodiskās uzturēšanas tirgus uzraudzību</w:t>
            </w:r>
            <w:r w:rsidR="00313948" w:rsidRPr="00DE05E9">
              <w:rPr>
                <w:rStyle w:val="Hyperlink"/>
                <w:color w:val="000000" w:themeColor="text1"/>
                <w:sz w:val="22"/>
                <w:szCs w:val="22"/>
                <w:u w:val="none"/>
              </w:rPr>
              <w:t xml:space="preserve"> (https://kp.gov.lv/documents/c414af9575e1814e91f0a73b73b9f694d68afb25)</w:t>
            </w:r>
            <w:r w:rsidRPr="00DE05E9">
              <w:rPr>
                <w:color w:val="000000" w:themeColor="text1"/>
                <w:sz w:val="22"/>
                <w:szCs w:val="22"/>
              </w:rPr>
              <w:t xml:space="preserve"> ietvaros par laika periodu no 2010. līdz 2014. gadam </w:t>
            </w:r>
            <w:r w:rsidR="00064F89" w:rsidRPr="00DE05E9">
              <w:rPr>
                <w:rStyle w:val="Strong"/>
                <w:b w:val="0"/>
                <w:color w:val="000000" w:themeColor="text1"/>
                <w:sz w:val="22"/>
                <w:szCs w:val="22"/>
              </w:rPr>
              <w:t>Konkurences Padome</w:t>
            </w:r>
            <w:r w:rsidRPr="00DE05E9">
              <w:rPr>
                <w:color w:val="000000" w:themeColor="text1"/>
                <w:sz w:val="22"/>
                <w:szCs w:val="22"/>
              </w:rPr>
              <w:t xml:space="preserve"> analizēja 200 lielākos publiskos iepirkumus pēc to kopējās līgumu summas un informāciju par lielākajiem pasūtītājiem, kā arī ieguva un vērtēja tirgus informāciju no 20 lielākajām komercsabiedrībām, kas Latvijā ir iesaistīta attiecīgās jomas uzņēmējdarbības procesos.</w:t>
            </w:r>
          </w:p>
          <w:p w14:paraId="04800843" w14:textId="77777777" w:rsidR="00E67E50" w:rsidRPr="00DE05E9" w:rsidRDefault="00E67E50" w:rsidP="00FB71FD">
            <w:pPr>
              <w:pStyle w:val="NormalWeb"/>
              <w:spacing w:before="0" w:beforeAutospacing="0" w:after="0" w:afterAutospacing="0"/>
              <w:ind w:firstLine="709"/>
              <w:jc w:val="both"/>
              <w:rPr>
                <w:sz w:val="22"/>
                <w:szCs w:val="22"/>
              </w:rPr>
            </w:pPr>
          </w:p>
          <w:p w14:paraId="6A78F0A0" w14:textId="1DED79F1" w:rsidR="00DE05E9" w:rsidRPr="00DE05E9" w:rsidRDefault="00E737CB" w:rsidP="00DE05E9">
            <w:pPr>
              <w:pStyle w:val="NormalWeb"/>
              <w:spacing w:before="0" w:beforeAutospacing="0" w:after="0" w:afterAutospacing="0"/>
              <w:ind w:firstLine="709"/>
              <w:jc w:val="both"/>
              <w:rPr>
                <w:color w:val="0000FF" w:themeColor="hyperlink"/>
                <w:u w:val="single"/>
              </w:rPr>
            </w:pPr>
            <w:r w:rsidRPr="00DE05E9">
              <w:rPr>
                <w:sz w:val="22"/>
                <w:szCs w:val="22"/>
              </w:rPr>
              <w:t xml:space="preserve">3) Ar mērķi iegūt pilnīgāku priekštatu par konkurences likuma pārkāpumiem publiskajos iepirkumos, </w:t>
            </w:r>
            <w:r w:rsidR="00064F89" w:rsidRPr="00DE05E9">
              <w:rPr>
                <w:rStyle w:val="Strong"/>
                <w:b w:val="0"/>
                <w:sz w:val="22"/>
                <w:szCs w:val="22"/>
              </w:rPr>
              <w:t>Konkurences Padome</w:t>
            </w:r>
            <w:r w:rsidRPr="00DE05E9">
              <w:rPr>
                <w:sz w:val="22"/>
                <w:szCs w:val="22"/>
              </w:rPr>
              <w:t xml:space="preserve"> 2017.</w:t>
            </w:r>
            <w:r w:rsidRPr="00DE05E9">
              <w:rPr>
                <w:color w:val="000000" w:themeColor="text1"/>
                <w:sz w:val="22"/>
                <w:szCs w:val="22"/>
              </w:rPr>
              <w:t xml:space="preserve">gadā izstrādāja ekonomiski – analītisku pārskatu par </w:t>
            </w:r>
            <w:r w:rsidR="00064F89" w:rsidRPr="00DE05E9">
              <w:rPr>
                <w:rStyle w:val="Strong"/>
                <w:b w:val="0"/>
                <w:color w:val="000000" w:themeColor="text1"/>
                <w:sz w:val="22"/>
                <w:szCs w:val="22"/>
              </w:rPr>
              <w:t xml:space="preserve"> Konkurences Padome</w:t>
            </w:r>
            <w:r w:rsidRPr="00DE05E9">
              <w:rPr>
                <w:color w:val="000000" w:themeColor="text1"/>
                <w:sz w:val="22"/>
                <w:szCs w:val="22"/>
              </w:rPr>
              <w:t xml:space="preserve"> 2012.– 2016.gada pieņemtajiem lēmumiem karteļa vienošanos lietās un izteiktajiem brīdinājumiem publisko iepirkumu jomā</w:t>
            </w:r>
            <w:r w:rsidR="009B1294" w:rsidRPr="00DE05E9">
              <w:rPr>
                <w:rStyle w:val="Hyperlink"/>
                <w:color w:val="000000" w:themeColor="text1"/>
                <w:sz w:val="22"/>
                <w:szCs w:val="22"/>
                <w:u w:val="none"/>
              </w:rPr>
              <w:t xml:space="preserve"> (https://www.kp.gov.lv/documents/48e2504e138dfd532a277e47eb23d8b06eed6991)</w:t>
            </w:r>
            <w:r w:rsidRPr="00DE05E9">
              <w:rPr>
                <w:color w:val="000000" w:themeColor="text1"/>
                <w:sz w:val="22"/>
                <w:szCs w:val="22"/>
              </w:rPr>
              <w:t xml:space="preserve">. </w:t>
            </w:r>
          </w:p>
          <w:p w14:paraId="45DB1C44" w14:textId="141CA7A7" w:rsidR="00D1227F" w:rsidRPr="00DE05E9" w:rsidRDefault="00D1227F" w:rsidP="00FB71FD">
            <w:pPr>
              <w:jc w:val="both"/>
              <w:rPr>
                <w:rFonts w:ascii="Times New Roman" w:hAnsi="Times New Roman" w:cs="Times New Roman"/>
                <w:color w:val="0000FF" w:themeColor="hyperlink"/>
                <w:u w:val="single"/>
                <w:lang w:val="lv-LV"/>
              </w:rPr>
            </w:pPr>
          </w:p>
        </w:tc>
      </w:tr>
      <w:tr w:rsidR="00BD57A1" w:rsidRPr="00DE05E9" w14:paraId="1B9F93D1" w14:textId="77777777" w:rsidTr="00FB71FD">
        <w:tc>
          <w:tcPr>
            <w:tcW w:w="612" w:type="pct"/>
          </w:tcPr>
          <w:p w14:paraId="01D24DB3" w14:textId="6B1E5570" w:rsidR="009114CB" w:rsidRPr="00DE05E9" w:rsidRDefault="009114CB" w:rsidP="00FB71FD">
            <w:pPr>
              <w:jc w:val="both"/>
              <w:rPr>
                <w:rFonts w:ascii="Times New Roman" w:hAnsi="Times New Roman" w:cs="Times New Roman"/>
              </w:rPr>
            </w:pPr>
            <w:r w:rsidRPr="00DE05E9">
              <w:rPr>
                <w:rFonts w:ascii="Times New Roman" w:hAnsi="Times New Roman" w:cs="Times New Roman"/>
              </w:rPr>
              <w:lastRenderedPageBreak/>
              <w:t xml:space="preserve">Risk of undiscovered conflict of interest </w:t>
            </w:r>
          </w:p>
          <w:p w14:paraId="5601A529" w14:textId="77777777" w:rsidR="00BD57A1" w:rsidRPr="00DE05E9" w:rsidRDefault="00BD57A1" w:rsidP="00FB71FD">
            <w:pPr>
              <w:jc w:val="both"/>
              <w:rPr>
                <w:rFonts w:ascii="Times New Roman" w:hAnsi="Times New Roman" w:cs="Times New Roman"/>
              </w:rPr>
            </w:pPr>
          </w:p>
        </w:tc>
        <w:tc>
          <w:tcPr>
            <w:tcW w:w="4388" w:type="pct"/>
          </w:tcPr>
          <w:p w14:paraId="1829EE16" w14:textId="2FBD347E" w:rsidR="004229F7" w:rsidRPr="00DE05E9" w:rsidRDefault="00FB71FD" w:rsidP="00FB71FD">
            <w:pPr>
              <w:jc w:val="both"/>
              <w:rPr>
                <w:rFonts w:ascii="Times New Roman" w:hAnsi="Times New Roman" w:cs="Times New Roman"/>
              </w:rPr>
            </w:pPr>
            <w:r w:rsidRPr="00DE05E9">
              <w:rPr>
                <w:rFonts w:ascii="Times New Roman" w:hAnsi="Times New Roman" w:cs="Times New Roman"/>
              </w:rPr>
              <w:t>Publisko iepirkumu jomā šāda informācija netiek apkopota.</w:t>
            </w:r>
            <w:r w:rsidR="003675EB" w:rsidRPr="00DE05E9">
              <w:rPr>
                <w:rFonts w:ascii="Times New Roman" w:hAnsi="Times New Roman" w:cs="Times New Roman"/>
              </w:rPr>
              <w:t xml:space="preserve"> </w:t>
            </w:r>
          </w:p>
        </w:tc>
      </w:tr>
    </w:tbl>
    <w:p w14:paraId="34AB7F31" w14:textId="77777777" w:rsidR="00D24317" w:rsidRPr="00DE05E9" w:rsidRDefault="00D24317" w:rsidP="00FB71FD">
      <w:pPr>
        <w:pStyle w:val="NoSpacing"/>
        <w:jc w:val="both"/>
        <w:rPr>
          <w:rFonts w:ascii="Times New Roman" w:hAnsi="Times New Roman" w:cs="Times New Roman"/>
        </w:rPr>
      </w:pPr>
    </w:p>
    <w:p w14:paraId="34AB7F32" w14:textId="23B0DD75" w:rsidR="002222BD" w:rsidRPr="00DE05E9" w:rsidRDefault="00C25098" w:rsidP="00FB71FD">
      <w:pPr>
        <w:pStyle w:val="Heading2"/>
        <w:jc w:val="both"/>
        <w:rPr>
          <w:rFonts w:ascii="Times New Roman" w:hAnsi="Times New Roman" w:cs="Times New Roman"/>
        </w:rPr>
      </w:pPr>
      <w:r w:rsidRPr="00DE05E9">
        <w:rPr>
          <w:rFonts w:ascii="Times New Roman" w:hAnsi="Times New Roman" w:cs="Times New Roman"/>
        </w:rPr>
        <w:t>L</w:t>
      </w:r>
      <w:r w:rsidR="00FB6E7C" w:rsidRPr="00DE05E9">
        <w:rPr>
          <w:rFonts w:ascii="Times New Roman" w:hAnsi="Times New Roman" w:cs="Times New Roman"/>
        </w:rPr>
        <w:t>evel of SME</w:t>
      </w:r>
      <w:r w:rsidR="00B46F31" w:rsidRPr="00DE05E9">
        <w:rPr>
          <w:rFonts w:ascii="Times New Roman" w:hAnsi="Times New Roman" w:cs="Times New Roman"/>
        </w:rPr>
        <w:t>s</w:t>
      </w:r>
      <w:r w:rsidR="00B66F46" w:rsidRPr="00DE05E9">
        <w:rPr>
          <w:rFonts w:ascii="Times New Roman" w:hAnsi="Times New Roman" w:cs="Times New Roman"/>
        </w:rPr>
        <w:t>'</w:t>
      </w:r>
      <w:r w:rsidR="00FB6E7C" w:rsidRPr="00DE05E9">
        <w:rPr>
          <w:rFonts w:ascii="Times New Roman" w:hAnsi="Times New Roman" w:cs="Times New Roman"/>
        </w:rPr>
        <w:t xml:space="preserve"> participation in public procurement</w:t>
      </w:r>
    </w:p>
    <w:p w14:paraId="4F435E74" w14:textId="77777777" w:rsidR="009F3F80" w:rsidRPr="00DE05E9" w:rsidRDefault="009F3F80" w:rsidP="00FB71FD">
      <w:pPr>
        <w:pStyle w:val="NoSpacing"/>
        <w:jc w:val="both"/>
        <w:rPr>
          <w:rFonts w:ascii="Times New Roman" w:hAnsi="Times New Roman" w:cs="Times New Roman"/>
        </w:rPr>
      </w:pPr>
    </w:p>
    <w:p w14:paraId="5C968063" w14:textId="561C8E27" w:rsidR="00924198" w:rsidRPr="00DE05E9" w:rsidRDefault="009F3F80" w:rsidP="00FB71FD">
      <w:pPr>
        <w:pStyle w:val="NoSpacing"/>
        <w:jc w:val="both"/>
        <w:rPr>
          <w:rFonts w:ascii="Times New Roman" w:hAnsi="Times New Roman" w:cs="Times New Roman"/>
        </w:rPr>
      </w:pPr>
      <w:r w:rsidRPr="00DE05E9">
        <w:rPr>
          <w:rFonts w:ascii="Times New Roman" w:hAnsi="Times New Roman" w:cs="Times New Roman"/>
          <w:shd w:val="clear" w:color="auto" w:fill="FFFFFF"/>
        </w:rPr>
        <w:t>SMEs are</w:t>
      </w:r>
      <w:r w:rsidR="006B14AA" w:rsidRPr="00DE05E9">
        <w:rPr>
          <w:rStyle w:val="apple-converted-space"/>
          <w:rFonts w:ascii="Times New Roman" w:hAnsi="Times New Roman" w:cs="Times New Roman"/>
          <w:shd w:val="clear" w:color="auto" w:fill="FFFFFF"/>
        </w:rPr>
        <w:t xml:space="preserve"> </w:t>
      </w:r>
      <w:r w:rsidRPr="00DE05E9">
        <w:rPr>
          <w:rStyle w:val="Strong"/>
          <w:rFonts w:ascii="Times New Roman" w:hAnsi="Times New Roman" w:cs="Times New Roman"/>
          <w:b w:val="0"/>
          <w:shd w:val="clear" w:color="auto" w:fill="FFFFFF"/>
        </w:rPr>
        <w:t xml:space="preserve">defined </w:t>
      </w:r>
      <w:r w:rsidR="00924198" w:rsidRPr="00DE05E9">
        <w:rPr>
          <w:rStyle w:val="Strong"/>
          <w:rFonts w:ascii="Times New Roman" w:hAnsi="Times New Roman" w:cs="Times New Roman"/>
          <w:b w:val="0"/>
          <w:shd w:val="clear" w:color="auto" w:fill="FFFFFF"/>
        </w:rPr>
        <w:t xml:space="preserve">in the </w:t>
      </w:r>
      <w:r w:rsidR="00924198" w:rsidRPr="00DE05E9">
        <w:rPr>
          <w:rFonts w:ascii="Times New Roman" w:hAnsi="Times New Roman" w:cs="Times New Roman"/>
        </w:rPr>
        <w:t xml:space="preserve">Commission Recommendation (2003/361/EC) as having less than 250 persons employed and an </w:t>
      </w:r>
      <w:r w:rsidR="006B14AA" w:rsidRPr="00DE05E9">
        <w:rPr>
          <w:rFonts w:ascii="Times New Roman" w:hAnsi="Times New Roman" w:cs="Times New Roman"/>
        </w:rPr>
        <w:t xml:space="preserve">annual turnover of up to EUR 50 </w:t>
      </w:r>
      <w:r w:rsidR="00924198" w:rsidRPr="00DE05E9">
        <w:rPr>
          <w:rFonts w:ascii="Times New Roman" w:hAnsi="Times New Roman" w:cs="Times New Roman"/>
        </w:rPr>
        <w:t xml:space="preserve">million or a balance </w:t>
      </w:r>
      <w:r w:rsidR="006B14AA" w:rsidRPr="00DE05E9">
        <w:rPr>
          <w:rFonts w:ascii="Times New Roman" w:hAnsi="Times New Roman" w:cs="Times New Roman"/>
        </w:rPr>
        <w:t xml:space="preserve">sheet total of no more than EUR 43 </w:t>
      </w:r>
      <w:r w:rsidR="00924198" w:rsidRPr="00DE05E9">
        <w:rPr>
          <w:rFonts w:ascii="Times New Roman" w:hAnsi="Times New Roman" w:cs="Times New Roman"/>
        </w:rPr>
        <w:t>million. Further information is available at</w:t>
      </w:r>
    </w:p>
    <w:p w14:paraId="14C84DA1" w14:textId="788DD729" w:rsidR="00924198" w:rsidRPr="00DE05E9" w:rsidRDefault="00F90147" w:rsidP="00FB71FD">
      <w:pPr>
        <w:spacing w:after="0"/>
        <w:jc w:val="both"/>
        <w:rPr>
          <w:rFonts w:ascii="Times New Roman" w:hAnsi="Times New Roman" w:cs="Times New Roman"/>
          <w:color w:val="1F497D"/>
        </w:rPr>
      </w:pPr>
      <w:hyperlink r:id="rId24" w:history="1">
        <w:r w:rsidR="00924198" w:rsidRPr="00DE05E9">
          <w:rPr>
            <w:rStyle w:val="Hyperlink"/>
            <w:rFonts w:ascii="Times New Roman" w:hAnsi="Times New Roman" w:cs="Times New Roman"/>
          </w:rPr>
          <w:t>http://ec.europa.eu/growth/smes/business-friendly-environment/sme-definition_en</w:t>
        </w:r>
      </w:hyperlink>
      <w:r w:rsidR="00924198" w:rsidRPr="00DE05E9">
        <w:rPr>
          <w:rFonts w:ascii="Times New Roman" w:hAnsi="Times New Roman" w:cs="Times New Roman"/>
          <w:color w:val="1F497D"/>
        </w:rPr>
        <w:t>.</w:t>
      </w:r>
    </w:p>
    <w:p w14:paraId="269D9606" w14:textId="77777777" w:rsidR="000D31E8" w:rsidRPr="00DE05E9" w:rsidRDefault="000D31E8" w:rsidP="00FB71FD">
      <w:pPr>
        <w:spacing w:after="0"/>
        <w:jc w:val="both"/>
        <w:rPr>
          <w:rFonts w:ascii="Times New Roman" w:hAnsi="Times New Roman" w:cs="Times New Roman"/>
          <w:color w:val="1F497D"/>
        </w:rPr>
      </w:pPr>
    </w:p>
    <w:tbl>
      <w:tblPr>
        <w:tblStyle w:val="TableGrid"/>
        <w:tblW w:w="5000" w:type="pct"/>
        <w:tblLook w:val="04A0" w:firstRow="1" w:lastRow="0" w:firstColumn="1" w:lastColumn="0" w:noHBand="0" w:noVBand="1"/>
      </w:tblPr>
      <w:tblGrid>
        <w:gridCol w:w="4612"/>
        <w:gridCol w:w="9382"/>
      </w:tblGrid>
      <w:tr w:rsidR="00B54D84" w:rsidRPr="00DE05E9" w14:paraId="48222DAF" w14:textId="77777777" w:rsidTr="00B54D84">
        <w:tc>
          <w:tcPr>
            <w:tcW w:w="1648" w:type="pct"/>
          </w:tcPr>
          <w:p w14:paraId="5A956443" w14:textId="18F76D96" w:rsidR="00B54D84" w:rsidRPr="00DE05E9" w:rsidRDefault="00A0723C" w:rsidP="00FB71FD">
            <w:pPr>
              <w:jc w:val="both"/>
              <w:rPr>
                <w:rFonts w:ascii="Times New Roman" w:hAnsi="Times New Roman" w:cs="Times New Roman"/>
              </w:rPr>
            </w:pPr>
            <w:r w:rsidRPr="00DE05E9">
              <w:rPr>
                <w:rFonts w:ascii="Times New Roman" w:hAnsi="Times New Roman" w:cs="Times New Roman"/>
                <w:b/>
              </w:rPr>
              <w:t>IV</w:t>
            </w:r>
            <w:r w:rsidR="00B54D84" w:rsidRPr="00DE05E9">
              <w:rPr>
                <w:rFonts w:ascii="Times New Roman" w:hAnsi="Times New Roman" w:cs="Times New Roman"/>
                <w:b/>
              </w:rPr>
              <w:t>.1</w:t>
            </w:r>
            <w:r w:rsidR="00B72720" w:rsidRPr="00DE05E9">
              <w:rPr>
                <w:rFonts w:ascii="Times New Roman" w:hAnsi="Times New Roman" w:cs="Times New Roman"/>
                <w:b/>
              </w:rPr>
              <w:t>.</w:t>
            </w:r>
            <w:r w:rsidR="00B54D84" w:rsidRPr="00DE05E9">
              <w:rPr>
                <w:rFonts w:ascii="Times New Roman" w:hAnsi="Times New Roman" w:cs="Times New Roman"/>
                <w:b/>
              </w:rPr>
              <w:t xml:space="preserve"> </w:t>
            </w:r>
            <w:r w:rsidR="001D4DCD" w:rsidRPr="00DE05E9">
              <w:rPr>
                <w:rFonts w:ascii="Times New Roman" w:hAnsi="Times New Roman" w:cs="Times New Roman"/>
                <w:b/>
              </w:rPr>
              <w:t>Qualitative reporting on SME participation</w:t>
            </w:r>
          </w:p>
        </w:tc>
        <w:tc>
          <w:tcPr>
            <w:tcW w:w="3352" w:type="pct"/>
          </w:tcPr>
          <w:p w14:paraId="511FB2FB" w14:textId="2C532248" w:rsidR="00B54D84" w:rsidRPr="00DE05E9" w:rsidRDefault="00B54D84" w:rsidP="00FB71FD">
            <w:pPr>
              <w:jc w:val="both"/>
              <w:rPr>
                <w:rFonts w:ascii="Times New Roman" w:hAnsi="Times New Roman" w:cs="Times New Roman"/>
              </w:rPr>
            </w:pPr>
          </w:p>
        </w:tc>
      </w:tr>
      <w:tr w:rsidR="001D4DCD" w:rsidRPr="00DE05E9" w14:paraId="6AE7F73F" w14:textId="77777777" w:rsidTr="00B54D84">
        <w:tc>
          <w:tcPr>
            <w:tcW w:w="1648" w:type="pct"/>
          </w:tcPr>
          <w:p w14:paraId="4118229E" w14:textId="69A1F7D5" w:rsidR="001D4DCD" w:rsidRPr="00DE05E9" w:rsidRDefault="001D4DCD" w:rsidP="00FB71FD">
            <w:pPr>
              <w:jc w:val="both"/>
              <w:rPr>
                <w:rFonts w:ascii="Times New Roman" w:hAnsi="Times New Roman" w:cs="Times New Roman"/>
              </w:rPr>
            </w:pPr>
            <w:r w:rsidRPr="00DE05E9">
              <w:rPr>
                <w:rFonts w:ascii="Times New Roman" w:hAnsi="Times New Roman" w:cs="Times New Roman"/>
              </w:rPr>
              <w:t>Key challenges encountered</w:t>
            </w:r>
          </w:p>
          <w:p w14:paraId="180C718F" w14:textId="77777777" w:rsidR="001D4DCD" w:rsidRPr="00DE05E9" w:rsidRDefault="001D4DCD" w:rsidP="00FB71FD">
            <w:pPr>
              <w:jc w:val="both"/>
              <w:rPr>
                <w:rFonts w:ascii="Times New Roman" w:hAnsi="Times New Roman" w:cs="Times New Roman"/>
                <w:b/>
              </w:rPr>
            </w:pPr>
          </w:p>
        </w:tc>
        <w:tc>
          <w:tcPr>
            <w:tcW w:w="3352" w:type="pct"/>
          </w:tcPr>
          <w:p w14:paraId="54112E08" w14:textId="77777777" w:rsidR="001D4DCD" w:rsidRPr="00DE05E9" w:rsidRDefault="001D4DCD" w:rsidP="00FB71FD">
            <w:pPr>
              <w:jc w:val="both"/>
              <w:rPr>
                <w:rFonts w:ascii="Times New Roman" w:hAnsi="Times New Roman" w:cs="Times New Roman"/>
              </w:rPr>
            </w:pPr>
            <w:r w:rsidRPr="00DE05E9">
              <w:rPr>
                <w:rFonts w:ascii="Times New Roman" w:hAnsi="Times New Roman" w:cs="Times New Roman"/>
              </w:rPr>
              <w:t>The information should focus on:</w:t>
            </w:r>
          </w:p>
          <w:p w14:paraId="321FC033" w14:textId="77777777" w:rsidR="001D4DCD" w:rsidRPr="00DE05E9" w:rsidRDefault="001D4DCD" w:rsidP="00FB71FD">
            <w:pPr>
              <w:jc w:val="both"/>
              <w:rPr>
                <w:rFonts w:ascii="Times New Roman" w:hAnsi="Times New Roman" w:cs="Times New Roman"/>
              </w:rPr>
            </w:pPr>
            <w:r w:rsidRPr="00DE05E9">
              <w:rPr>
                <w:rFonts w:ascii="Times New Roman" w:hAnsi="Times New Roman" w:cs="Times New Roman"/>
              </w:rPr>
              <w:t>- key challenges encountered in facilitating the participation of SMEs in public procurement, if any</w:t>
            </w:r>
          </w:p>
          <w:p w14:paraId="071D2F76" w14:textId="77777777" w:rsidR="001D4DCD" w:rsidRPr="00DE05E9" w:rsidRDefault="001D4DCD" w:rsidP="00FB71FD">
            <w:pPr>
              <w:jc w:val="both"/>
              <w:rPr>
                <w:rFonts w:ascii="Times New Roman" w:hAnsi="Times New Roman" w:cs="Times New Roman"/>
              </w:rPr>
            </w:pPr>
            <w:r w:rsidRPr="00DE05E9">
              <w:rPr>
                <w:rFonts w:ascii="Times New Roman" w:hAnsi="Times New Roman" w:cs="Times New Roman"/>
              </w:rPr>
              <w:t xml:space="preserve">- measures taken to overcome them </w:t>
            </w:r>
          </w:p>
          <w:p w14:paraId="306D4475" w14:textId="638DDB48" w:rsidR="001D4DCD" w:rsidRPr="00DE05E9" w:rsidRDefault="001D4DCD" w:rsidP="00FB71FD">
            <w:pPr>
              <w:jc w:val="both"/>
              <w:rPr>
                <w:rFonts w:ascii="Times New Roman" w:hAnsi="Times New Roman" w:cs="Times New Roman"/>
              </w:rPr>
            </w:pPr>
            <w:r w:rsidRPr="00DE05E9">
              <w:rPr>
                <w:rFonts w:ascii="Times New Roman" w:hAnsi="Times New Roman" w:cs="Times New Roman"/>
              </w:rPr>
              <w:t xml:space="preserve">- difficulties still </w:t>
            </w:r>
            <w:r w:rsidR="0064577E" w:rsidRPr="00DE05E9">
              <w:rPr>
                <w:rFonts w:ascii="Times New Roman" w:hAnsi="Times New Roman" w:cs="Times New Roman"/>
              </w:rPr>
              <w:t>existing in the Member State</w:t>
            </w:r>
          </w:p>
        </w:tc>
      </w:tr>
      <w:tr w:rsidR="00B54D84" w:rsidRPr="00DE05E9" w14:paraId="15F782FD" w14:textId="77777777" w:rsidTr="00B54D84">
        <w:tc>
          <w:tcPr>
            <w:tcW w:w="1648" w:type="pct"/>
          </w:tcPr>
          <w:p w14:paraId="623F7EFE" w14:textId="47492F5E" w:rsidR="00B54D84" w:rsidRPr="00DE05E9" w:rsidRDefault="00092C5B" w:rsidP="00FB71FD">
            <w:pPr>
              <w:pStyle w:val="Heading3"/>
              <w:jc w:val="both"/>
              <w:outlineLvl w:val="2"/>
              <w:rPr>
                <w:rFonts w:ascii="Times New Roman" w:hAnsi="Times New Roman" w:cs="Times New Roman"/>
              </w:rPr>
            </w:pPr>
            <w:r w:rsidRPr="00DE05E9">
              <w:rPr>
                <w:rFonts w:ascii="Times New Roman" w:hAnsi="Times New Roman" w:cs="Times New Roman"/>
              </w:rPr>
              <w:t>IV</w:t>
            </w:r>
            <w:r w:rsidR="00E04DAF" w:rsidRPr="00DE05E9">
              <w:rPr>
                <w:rFonts w:ascii="Times New Roman" w:hAnsi="Times New Roman" w:cs="Times New Roman"/>
              </w:rPr>
              <w:t xml:space="preserve">.2. </w:t>
            </w:r>
            <w:r w:rsidR="0037143F" w:rsidRPr="00DE05E9">
              <w:rPr>
                <w:rFonts w:ascii="Times New Roman" w:hAnsi="Times New Roman" w:cs="Times New Roman"/>
              </w:rPr>
              <w:t>Supporting documents</w:t>
            </w:r>
          </w:p>
        </w:tc>
        <w:tc>
          <w:tcPr>
            <w:tcW w:w="3352" w:type="pct"/>
          </w:tcPr>
          <w:p w14:paraId="38F7D01C" w14:textId="77777777" w:rsidR="00B54D84" w:rsidRPr="00DE05E9" w:rsidRDefault="00B54D84" w:rsidP="00FB71FD">
            <w:pPr>
              <w:jc w:val="both"/>
              <w:rPr>
                <w:rFonts w:ascii="Times New Roman" w:hAnsi="Times New Roman" w:cs="Times New Roman"/>
                <w:i/>
              </w:rPr>
            </w:pPr>
          </w:p>
        </w:tc>
      </w:tr>
      <w:tr w:rsidR="00B54D84" w:rsidRPr="00DE05E9" w14:paraId="161AD0D2" w14:textId="77777777" w:rsidTr="00B54D84">
        <w:tc>
          <w:tcPr>
            <w:tcW w:w="1648" w:type="pct"/>
          </w:tcPr>
          <w:p w14:paraId="5368DBF5" w14:textId="5DAB0D7A" w:rsidR="00B54D84" w:rsidRPr="00DE05E9" w:rsidRDefault="00E04DAF" w:rsidP="00FB71FD">
            <w:pPr>
              <w:pStyle w:val="Heading3"/>
              <w:jc w:val="both"/>
              <w:outlineLvl w:val="2"/>
              <w:rPr>
                <w:rFonts w:ascii="Times New Roman" w:hAnsi="Times New Roman" w:cs="Times New Roman"/>
                <w:b w:val="0"/>
              </w:rPr>
            </w:pPr>
            <w:r w:rsidRPr="00DE05E9">
              <w:rPr>
                <w:rFonts w:ascii="Times New Roman" w:hAnsi="Times New Roman" w:cs="Times New Roman"/>
                <w:b w:val="0"/>
              </w:rPr>
              <w:t xml:space="preserve">Please report any available evidence or supporting document </w:t>
            </w:r>
            <w:r w:rsidR="00B72720" w:rsidRPr="00DE05E9">
              <w:rPr>
                <w:rFonts w:ascii="Times New Roman" w:hAnsi="Times New Roman" w:cs="Times New Roman"/>
                <w:b w:val="0"/>
              </w:rPr>
              <w:t xml:space="preserve">for point </w:t>
            </w:r>
            <w:r w:rsidR="00426F49" w:rsidRPr="00DE05E9">
              <w:rPr>
                <w:rFonts w:ascii="Times New Roman" w:hAnsi="Times New Roman" w:cs="Times New Roman"/>
                <w:b w:val="0"/>
              </w:rPr>
              <w:t>IV</w:t>
            </w:r>
            <w:r w:rsidR="00B72720" w:rsidRPr="00DE05E9">
              <w:rPr>
                <w:rFonts w:ascii="Times New Roman" w:hAnsi="Times New Roman" w:cs="Times New Roman"/>
                <w:b w:val="0"/>
              </w:rPr>
              <w:t xml:space="preserve">.1, </w:t>
            </w:r>
            <w:r w:rsidRPr="00DE05E9">
              <w:rPr>
                <w:rFonts w:ascii="Times New Roman" w:hAnsi="Times New Roman" w:cs="Times New Roman"/>
                <w:b w:val="0"/>
              </w:rPr>
              <w:t xml:space="preserve">illustrating the measures, </w:t>
            </w:r>
            <w:r w:rsidRPr="00DE05E9">
              <w:rPr>
                <w:rFonts w:ascii="Times New Roman" w:hAnsi="Times New Roman" w:cs="Times New Roman"/>
                <w:b w:val="0"/>
              </w:rPr>
              <w:lastRenderedPageBreak/>
              <w:t>achievements or challenges faced, relating to the facilitation of the participatio</w:t>
            </w:r>
            <w:r w:rsidR="006753EC" w:rsidRPr="00DE05E9">
              <w:rPr>
                <w:rFonts w:ascii="Times New Roman" w:hAnsi="Times New Roman" w:cs="Times New Roman"/>
                <w:b w:val="0"/>
              </w:rPr>
              <w:t>n of SMEs in public procurement</w:t>
            </w:r>
          </w:p>
        </w:tc>
        <w:tc>
          <w:tcPr>
            <w:tcW w:w="3352" w:type="pct"/>
          </w:tcPr>
          <w:p w14:paraId="30827D0D" w14:textId="77777777" w:rsidR="00B05349" w:rsidRPr="00B05349" w:rsidRDefault="00B05349" w:rsidP="00B05349">
            <w:pPr>
              <w:jc w:val="both"/>
              <w:rPr>
                <w:rFonts w:ascii="Times New Roman" w:hAnsi="Times New Roman" w:cs="Times New Roman"/>
              </w:rPr>
            </w:pPr>
            <w:r w:rsidRPr="00B05349">
              <w:rPr>
                <w:rFonts w:ascii="Times New Roman" w:hAnsi="Times New Roman" w:cs="Times New Roman"/>
                <w:b/>
                <w:bCs/>
              </w:rPr>
              <w:lastRenderedPageBreak/>
              <w:t>Jaunais Publisko iepirkumu likums:</w:t>
            </w:r>
          </w:p>
          <w:p w14:paraId="50DB2EBE" w14:textId="6C663252" w:rsidR="00B05349" w:rsidRPr="00B05349" w:rsidRDefault="00B05349" w:rsidP="00B05349">
            <w:pPr>
              <w:jc w:val="both"/>
              <w:rPr>
                <w:rFonts w:ascii="Times New Roman" w:hAnsi="Times New Roman" w:cs="Times New Roman"/>
              </w:rPr>
            </w:pPr>
            <w:r w:rsidRPr="00B05349">
              <w:rPr>
                <w:rFonts w:ascii="Times New Roman" w:hAnsi="Times New Roman" w:cs="Times New Roman"/>
              </w:rPr>
              <w:lastRenderedPageBreak/>
              <w:t xml:space="preserve"> 1)  paredz, ka pasūtītājs mēneša laikā no gadskārtējā budžeta apstiprināšanas dienas </w:t>
            </w:r>
            <w:r w:rsidRPr="00B05349">
              <w:rPr>
                <w:rFonts w:ascii="Times New Roman" w:hAnsi="Times New Roman" w:cs="Times New Roman"/>
                <w:u w:val="single"/>
              </w:rPr>
              <w:t>publicē informāciju par plānotajiem iepirkumiem un iepirkuma procedūrām</w:t>
            </w:r>
            <w:r w:rsidRPr="00B05349">
              <w:rPr>
                <w:rFonts w:ascii="Times New Roman" w:hAnsi="Times New Roman" w:cs="Times New Roman"/>
              </w:rPr>
              <w:t>, norādot plānoto iepirkuma priekšmetu, iepirkuma veikšanas kārtību, plānoto CPV kodu, iepirkuma līguma veidu, plānoto iepirkuma izsludināšanas gadu un ceturksni vai mēnesi</w:t>
            </w:r>
            <w:r w:rsidR="00727DCA">
              <w:rPr>
                <w:rFonts w:ascii="Times New Roman" w:hAnsi="Times New Roman" w:cs="Times New Roman"/>
              </w:rPr>
              <w:t>,</w:t>
            </w:r>
            <w:r w:rsidRPr="00B05349">
              <w:rPr>
                <w:rFonts w:ascii="Times New Roman" w:hAnsi="Times New Roman" w:cs="Times New Roman"/>
              </w:rPr>
              <w:t xml:space="preserve"> </w:t>
            </w:r>
            <w:r w:rsidR="00727DCA">
              <w:rPr>
                <w:rFonts w:ascii="Times New Roman" w:hAnsi="Times New Roman" w:cs="Times New Roman"/>
              </w:rPr>
              <w:t>t</w:t>
            </w:r>
            <w:r w:rsidRPr="00B05349">
              <w:rPr>
                <w:rFonts w:ascii="Times New Roman" w:hAnsi="Times New Roman" w:cs="Times New Roman"/>
              </w:rPr>
              <w:t>ādā veidā savlaicīgi sniedzot informāciju piegādātajiem par saviem plānotajiem iepirkumiem</w:t>
            </w:r>
            <w:r w:rsidR="003A451D">
              <w:rPr>
                <w:rFonts w:ascii="Times New Roman" w:hAnsi="Times New Roman" w:cs="Times New Roman"/>
              </w:rPr>
              <w:t>;</w:t>
            </w:r>
          </w:p>
          <w:p w14:paraId="3CE7FB3F" w14:textId="59F3FFD1" w:rsidR="00B05349" w:rsidRPr="00B05349" w:rsidRDefault="00B05349" w:rsidP="00B05349">
            <w:pPr>
              <w:jc w:val="both"/>
              <w:rPr>
                <w:rFonts w:ascii="Times New Roman" w:hAnsi="Times New Roman" w:cs="Times New Roman"/>
              </w:rPr>
            </w:pPr>
            <w:r w:rsidRPr="00B05349">
              <w:rPr>
                <w:rFonts w:ascii="Times New Roman" w:hAnsi="Times New Roman" w:cs="Times New Roman"/>
              </w:rPr>
              <w:t xml:space="preserve"> 2) paredzēta pakāpeniska pilnīga pāreja uz </w:t>
            </w:r>
            <w:r w:rsidRPr="00B05349">
              <w:rPr>
                <w:rFonts w:ascii="Times New Roman" w:hAnsi="Times New Roman" w:cs="Times New Roman"/>
                <w:u w:val="single"/>
              </w:rPr>
              <w:t>elektronisk</w:t>
            </w:r>
            <w:r w:rsidR="00727DCA">
              <w:rPr>
                <w:rFonts w:ascii="Times New Roman" w:hAnsi="Times New Roman" w:cs="Times New Roman"/>
                <w:u w:val="single"/>
              </w:rPr>
              <w:t>u</w:t>
            </w:r>
            <w:r w:rsidRPr="00B05349">
              <w:rPr>
                <w:rFonts w:ascii="Times New Roman" w:hAnsi="Times New Roman" w:cs="Times New Roman"/>
                <w:u w:val="single"/>
              </w:rPr>
              <w:t xml:space="preserve"> pieteikumu un piedāvājumu saņemšanu</w:t>
            </w:r>
            <w:r w:rsidRPr="00B05349">
              <w:rPr>
                <w:rFonts w:ascii="Times New Roman" w:hAnsi="Times New Roman" w:cs="Times New Roman"/>
              </w:rPr>
              <w:t xml:space="preserve">. </w:t>
            </w:r>
          </w:p>
          <w:p w14:paraId="2A9E7F1F" w14:textId="38FD29F5" w:rsidR="00B05349" w:rsidRPr="00B05349" w:rsidRDefault="00B05349" w:rsidP="00B05349">
            <w:pPr>
              <w:jc w:val="both"/>
              <w:rPr>
                <w:rFonts w:ascii="Times New Roman" w:hAnsi="Times New Roman" w:cs="Times New Roman"/>
                <w:sz w:val="24"/>
                <w:szCs w:val="24"/>
              </w:rPr>
            </w:pPr>
            <w:r w:rsidRPr="00B05349">
              <w:rPr>
                <w:rFonts w:ascii="Times New Roman" w:hAnsi="Times New Roman" w:cs="Times New Roman"/>
              </w:rPr>
              <w:t> - Centralizēto iepirkumu institūciju</w:t>
            </w:r>
            <w:r w:rsidR="00727DCA">
              <w:rPr>
                <w:rFonts w:ascii="Times New Roman" w:hAnsi="Times New Roman" w:cs="Times New Roman"/>
              </w:rPr>
              <w:t xml:space="preserve"> veiktajām </w:t>
            </w:r>
            <w:r w:rsidRPr="00B05349">
              <w:rPr>
                <w:rFonts w:ascii="Times New Roman" w:hAnsi="Times New Roman" w:cs="Times New Roman"/>
              </w:rPr>
              <w:t xml:space="preserve"> iepirkum</w:t>
            </w:r>
            <w:r w:rsidR="00727DCA">
              <w:rPr>
                <w:rFonts w:ascii="Times New Roman" w:hAnsi="Times New Roman" w:cs="Times New Roman"/>
              </w:rPr>
              <w:t>a</w:t>
            </w:r>
            <w:r w:rsidRPr="00B05349">
              <w:rPr>
                <w:rFonts w:ascii="Times New Roman" w:hAnsi="Times New Roman" w:cs="Times New Roman"/>
              </w:rPr>
              <w:t xml:space="preserve"> procedūrām</w:t>
            </w:r>
            <w:r w:rsidR="00727DCA">
              <w:rPr>
                <w:rFonts w:ascii="Times New Roman" w:hAnsi="Times New Roman" w:cs="Times New Roman"/>
              </w:rPr>
              <w:t xml:space="preserve">, kuru paredzamā vērtība sasniedz </w:t>
            </w:r>
            <w:r w:rsidRPr="00B05349">
              <w:rPr>
                <w:rFonts w:ascii="Times New Roman" w:hAnsi="Times New Roman" w:cs="Times New Roman"/>
              </w:rPr>
              <w:t xml:space="preserve"> ES</w:t>
            </w:r>
            <w:r w:rsidR="00727DCA">
              <w:rPr>
                <w:rFonts w:ascii="Times New Roman" w:hAnsi="Times New Roman" w:cs="Times New Roman"/>
              </w:rPr>
              <w:t xml:space="preserve"> direktīvā noteiktās </w:t>
            </w:r>
            <w:r w:rsidRPr="00B05349">
              <w:rPr>
                <w:rFonts w:ascii="Times New Roman" w:hAnsi="Times New Roman" w:cs="Times New Roman"/>
              </w:rPr>
              <w:t xml:space="preserve"> </w:t>
            </w:r>
            <w:r w:rsidR="00727DCA">
              <w:rPr>
                <w:rFonts w:ascii="Times New Roman" w:hAnsi="Times New Roman" w:cs="Times New Roman"/>
              </w:rPr>
              <w:t xml:space="preserve">robežvērtības </w:t>
            </w:r>
            <w:r w:rsidRPr="00B05349">
              <w:rPr>
                <w:rFonts w:ascii="Times New Roman" w:hAnsi="Times New Roman" w:cs="Times New Roman"/>
              </w:rPr>
              <w:t>no 2017.gada 18.aprīļa;</w:t>
            </w:r>
          </w:p>
          <w:p w14:paraId="1D7F9CEF" w14:textId="42B93ABF" w:rsidR="00B05349" w:rsidRPr="00B05349" w:rsidRDefault="00B05349" w:rsidP="00B05349">
            <w:pPr>
              <w:jc w:val="both"/>
              <w:rPr>
                <w:rFonts w:ascii="Times New Roman" w:hAnsi="Times New Roman" w:cs="Times New Roman"/>
              </w:rPr>
            </w:pPr>
            <w:r w:rsidRPr="00B05349">
              <w:rPr>
                <w:rFonts w:ascii="Times New Roman" w:hAnsi="Times New Roman" w:cs="Times New Roman"/>
              </w:rPr>
              <w:t xml:space="preserve">- </w:t>
            </w:r>
            <w:r w:rsidR="00727DCA">
              <w:rPr>
                <w:rFonts w:ascii="Times New Roman" w:hAnsi="Times New Roman" w:cs="Times New Roman"/>
              </w:rPr>
              <w:t>Visām i</w:t>
            </w:r>
            <w:r w:rsidRPr="00B05349">
              <w:rPr>
                <w:rFonts w:ascii="Times New Roman" w:hAnsi="Times New Roman" w:cs="Times New Roman"/>
              </w:rPr>
              <w:t>epirkum</w:t>
            </w:r>
            <w:r w:rsidR="00727DCA">
              <w:rPr>
                <w:rFonts w:ascii="Times New Roman" w:hAnsi="Times New Roman" w:cs="Times New Roman"/>
              </w:rPr>
              <w:t>a</w:t>
            </w:r>
            <w:r w:rsidRPr="00B05349">
              <w:rPr>
                <w:rFonts w:ascii="Times New Roman" w:hAnsi="Times New Roman" w:cs="Times New Roman"/>
              </w:rPr>
              <w:t xml:space="preserve"> procedūrām, kuru </w:t>
            </w:r>
            <w:r w:rsidR="00727DCA">
              <w:rPr>
                <w:rFonts w:ascii="Times New Roman" w:hAnsi="Times New Roman" w:cs="Times New Roman"/>
              </w:rPr>
              <w:t xml:space="preserve">paredzamā vērtība sasniedz </w:t>
            </w:r>
            <w:r w:rsidRPr="00B05349">
              <w:rPr>
                <w:rFonts w:ascii="Times New Roman" w:hAnsi="Times New Roman" w:cs="Times New Roman"/>
              </w:rPr>
              <w:t xml:space="preserve"> ES </w:t>
            </w:r>
            <w:r w:rsidR="00727DCA">
              <w:rPr>
                <w:rFonts w:ascii="Times New Roman" w:hAnsi="Times New Roman" w:cs="Times New Roman"/>
              </w:rPr>
              <w:t>direktīvās noteiktās robežvērtības</w:t>
            </w:r>
            <w:r w:rsidR="00727DCA" w:rsidRPr="00B05349">
              <w:rPr>
                <w:rFonts w:ascii="Times New Roman" w:hAnsi="Times New Roman" w:cs="Times New Roman"/>
              </w:rPr>
              <w:t xml:space="preserve"> </w:t>
            </w:r>
            <w:r w:rsidRPr="00B05349">
              <w:rPr>
                <w:rFonts w:ascii="Times New Roman" w:hAnsi="Times New Roman" w:cs="Times New Roman"/>
              </w:rPr>
              <w:t>no 2017.gada 1.oktobra;</w:t>
            </w:r>
          </w:p>
          <w:p w14:paraId="43B43A0A" w14:textId="13046313" w:rsidR="00B05349" w:rsidRPr="00B05349" w:rsidRDefault="00B05349" w:rsidP="00B05349">
            <w:pPr>
              <w:jc w:val="both"/>
              <w:rPr>
                <w:rFonts w:ascii="Times New Roman" w:hAnsi="Times New Roman" w:cs="Times New Roman"/>
              </w:rPr>
            </w:pPr>
            <w:r w:rsidRPr="00B05349">
              <w:rPr>
                <w:rFonts w:ascii="Times New Roman" w:hAnsi="Times New Roman" w:cs="Times New Roman"/>
              </w:rPr>
              <w:t xml:space="preserve">- </w:t>
            </w:r>
            <w:r w:rsidR="00727DCA">
              <w:rPr>
                <w:rFonts w:ascii="Times New Roman" w:hAnsi="Times New Roman" w:cs="Times New Roman"/>
              </w:rPr>
              <w:t>Visām i</w:t>
            </w:r>
            <w:r w:rsidRPr="00B05349">
              <w:rPr>
                <w:rFonts w:ascii="Times New Roman" w:hAnsi="Times New Roman" w:cs="Times New Roman"/>
              </w:rPr>
              <w:t>epirkum</w:t>
            </w:r>
            <w:r w:rsidR="00727DCA">
              <w:rPr>
                <w:rFonts w:ascii="Times New Roman" w:hAnsi="Times New Roman" w:cs="Times New Roman"/>
              </w:rPr>
              <w:t>a</w:t>
            </w:r>
            <w:r w:rsidRPr="00B05349">
              <w:rPr>
                <w:rFonts w:ascii="Times New Roman" w:hAnsi="Times New Roman" w:cs="Times New Roman"/>
              </w:rPr>
              <w:t xml:space="preserve"> procedūrām, kuru </w:t>
            </w:r>
            <w:r w:rsidR="00727DCA">
              <w:rPr>
                <w:rFonts w:ascii="Times New Roman" w:hAnsi="Times New Roman" w:cs="Times New Roman"/>
              </w:rPr>
              <w:t xml:space="preserve">paredzamā vērtība ir mazāka par </w:t>
            </w:r>
            <w:r w:rsidRPr="00B05349">
              <w:rPr>
                <w:rFonts w:ascii="Times New Roman" w:hAnsi="Times New Roman" w:cs="Times New Roman"/>
              </w:rPr>
              <w:t xml:space="preserve">ES </w:t>
            </w:r>
            <w:r w:rsidR="00727DCA">
              <w:rPr>
                <w:rFonts w:ascii="Times New Roman" w:hAnsi="Times New Roman" w:cs="Times New Roman"/>
              </w:rPr>
              <w:t xml:space="preserve">direktīvās noteiktajām robežvērtībām </w:t>
            </w:r>
            <w:r w:rsidRPr="00B05349">
              <w:rPr>
                <w:rFonts w:ascii="Times New Roman" w:hAnsi="Times New Roman" w:cs="Times New Roman"/>
              </w:rPr>
              <w:t>no 2018.gada 1.aprīļa;</w:t>
            </w:r>
          </w:p>
          <w:p w14:paraId="74237AD4" w14:textId="1A9218B8" w:rsidR="00B05349" w:rsidRPr="00B05349" w:rsidRDefault="00B05349" w:rsidP="00B05349">
            <w:pPr>
              <w:jc w:val="both"/>
              <w:rPr>
                <w:rFonts w:ascii="Times New Roman" w:hAnsi="Times New Roman" w:cs="Times New Roman"/>
              </w:rPr>
            </w:pPr>
            <w:r w:rsidRPr="00B05349">
              <w:rPr>
                <w:rFonts w:ascii="Times New Roman" w:hAnsi="Times New Roman" w:cs="Times New Roman"/>
              </w:rPr>
              <w:t xml:space="preserve">- </w:t>
            </w:r>
            <w:r w:rsidR="00727DCA">
              <w:rPr>
                <w:rFonts w:ascii="Times New Roman" w:hAnsi="Times New Roman" w:cs="Times New Roman"/>
              </w:rPr>
              <w:t xml:space="preserve">Mazas vērtības iepirkumiem, kam piemērojams atvieglots režīms atbilstoši </w:t>
            </w:r>
            <w:r w:rsidRPr="00B05349">
              <w:rPr>
                <w:rFonts w:ascii="Times New Roman" w:hAnsi="Times New Roman" w:cs="Times New Roman"/>
              </w:rPr>
              <w:t>Publisko iepirkumu likuma</w:t>
            </w:r>
            <w:r w:rsidR="00727DCA">
              <w:rPr>
                <w:rFonts w:ascii="Times New Roman" w:hAnsi="Times New Roman" w:cs="Times New Roman"/>
              </w:rPr>
              <w:t xml:space="preserve">m (9.pants)  un sociālo un citu īpašu pakalpojumu iepirkumam </w:t>
            </w:r>
            <w:r w:rsidRPr="00B05349">
              <w:rPr>
                <w:rFonts w:ascii="Times New Roman" w:hAnsi="Times New Roman" w:cs="Times New Roman"/>
              </w:rPr>
              <w:t xml:space="preserve"> </w:t>
            </w:r>
            <w:r w:rsidR="00727DCA">
              <w:rPr>
                <w:rFonts w:ascii="Times New Roman" w:hAnsi="Times New Roman" w:cs="Times New Roman"/>
              </w:rPr>
              <w:t>(</w:t>
            </w:r>
            <w:r w:rsidRPr="00B05349">
              <w:rPr>
                <w:rFonts w:ascii="Times New Roman" w:hAnsi="Times New Roman" w:cs="Times New Roman"/>
              </w:rPr>
              <w:t>10.pant</w:t>
            </w:r>
            <w:r w:rsidR="00727DCA">
              <w:rPr>
                <w:rFonts w:ascii="Times New Roman" w:hAnsi="Times New Roman" w:cs="Times New Roman"/>
              </w:rPr>
              <w:t xml:space="preserve">s) </w:t>
            </w:r>
            <w:r w:rsidRPr="00B05349">
              <w:rPr>
                <w:rFonts w:ascii="Times New Roman" w:hAnsi="Times New Roman" w:cs="Times New Roman"/>
              </w:rPr>
              <w:t>no 2019.gada 1.janvāra;</w:t>
            </w:r>
          </w:p>
          <w:p w14:paraId="06A60F8B" w14:textId="0462D1EB" w:rsidR="00B05349" w:rsidRPr="00B05349" w:rsidRDefault="00B05349" w:rsidP="00B05349">
            <w:pPr>
              <w:jc w:val="both"/>
              <w:rPr>
                <w:rFonts w:ascii="Times New Roman" w:hAnsi="Times New Roman" w:cs="Times New Roman"/>
              </w:rPr>
            </w:pPr>
            <w:r w:rsidRPr="00B05349">
              <w:rPr>
                <w:rFonts w:ascii="Times New Roman" w:hAnsi="Times New Roman" w:cs="Times New Roman"/>
              </w:rPr>
              <w:t xml:space="preserve">Elektroniska pieteikumu un piedāvājumu saņemšana mazina administratīvo slogu un izmaksas, </w:t>
            </w:r>
            <w:r w:rsidR="008A75A9">
              <w:rPr>
                <w:rFonts w:ascii="Times New Roman" w:hAnsi="Times New Roman" w:cs="Times New Roman"/>
              </w:rPr>
              <w:t>kā arī</w:t>
            </w:r>
            <w:r w:rsidRPr="00B05349">
              <w:rPr>
                <w:rFonts w:ascii="Times New Roman" w:hAnsi="Times New Roman" w:cs="Times New Roman"/>
              </w:rPr>
              <w:t xml:space="preserve"> paātrina iepirkuma procesu un nodrošinās lielāku atklātību.</w:t>
            </w:r>
          </w:p>
          <w:p w14:paraId="722F9C04" w14:textId="2D2E21F3" w:rsidR="00B05349" w:rsidRPr="00B05349" w:rsidRDefault="00B05349" w:rsidP="00B05349">
            <w:pPr>
              <w:jc w:val="both"/>
              <w:rPr>
                <w:rFonts w:ascii="Times New Roman" w:hAnsi="Times New Roman" w:cs="Times New Roman"/>
                <w:sz w:val="24"/>
                <w:szCs w:val="24"/>
              </w:rPr>
            </w:pPr>
            <w:r w:rsidRPr="00B05349">
              <w:rPr>
                <w:rFonts w:ascii="Times New Roman" w:hAnsi="Times New Roman" w:cs="Times New Roman"/>
              </w:rPr>
              <w:t xml:space="preserve">3) </w:t>
            </w:r>
            <w:r w:rsidR="003A451D">
              <w:rPr>
                <w:rFonts w:ascii="Times New Roman" w:hAnsi="Times New Roman" w:cs="Times New Roman"/>
              </w:rPr>
              <w:t xml:space="preserve">izslēgšanas noteikumu, tostarp </w:t>
            </w:r>
            <w:r w:rsidRPr="00B05349">
              <w:rPr>
                <w:rFonts w:ascii="Times New Roman" w:hAnsi="Times New Roman" w:cs="Times New Roman"/>
              </w:rPr>
              <w:t xml:space="preserve"> </w:t>
            </w:r>
            <w:r w:rsidRPr="00B05349">
              <w:rPr>
                <w:rFonts w:ascii="Times New Roman" w:hAnsi="Times New Roman" w:cs="Times New Roman"/>
                <w:u w:val="single"/>
              </w:rPr>
              <w:t>nodokļu nomaksas pārbaude</w:t>
            </w:r>
            <w:r w:rsidR="003A451D">
              <w:rPr>
                <w:rFonts w:ascii="Times New Roman" w:hAnsi="Times New Roman" w:cs="Times New Roman"/>
                <w:u w:val="single"/>
              </w:rPr>
              <w:t xml:space="preserve"> paredzēta tikai uzvarējušajam pretendentam, kas ļauj būtiski mazināt administratīvo slogu</w:t>
            </w:r>
            <w:r w:rsidR="00E32B3B">
              <w:rPr>
                <w:rFonts w:ascii="Times New Roman" w:hAnsi="Times New Roman" w:cs="Times New Roman"/>
                <w:u w:val="single"/>
              </w:rPr>
              <w:t xml:space="preserve">. </w:t>
            </w:r>
            <w:r w:rsidR="00E32B3B" w:rsidRPr="00B05349">
              <w:rPr>
                <w:rFonts w:ascii="Times New Roman" w:hAnsi="Times New Roman" w:cs="Times New Roman"/>
              </w:rPr>
              <w:t xml:space="preserve">Pasūtītājs par pretendenta </w:t>
            </w:r>
            <w:r w:rsidR="00E32B3B" w:rsidRPr="00B05349">
              <w:rPr>
                <w:rFonts w:ascii="Times New Roman" w:hAnsi="Times New Roman" w:cs="Times New Roman"/>
                <w:u w:val="single"/>
              </w:rPr>
              <w:t>izslēgšanas nosacījumu pārbaudī veic elektroniski</w:t>
            </w:r>
            <w:r w:rsidR="00E32B3B" w:rsidRPr="00B05349">
              <w:rPr>
                <w:rFonts w:ascii="Times New Roman" w:hAnsi="Times New Roman" w:cs="Times New Roman"/>
              </w:rPr>
              <w:t>, līdz ar to pretendentam nav jāsagatavo un jāiesniedz izziņas par sevi.</w:t>
            </w:r>
            <w:r w:rsidR="003A451D">
              <w:rPr>
                <w:rFonts w:ascii="Times New Roman" w:hAnsi="Times New Roman" w:cs="Times New Roman"/>
                <w:u w:val="single"/>
              </w:rPr>
              <w:t>;</w:t>
            </w:r>
            <w:r w:rsidRPr="00B05349">
              <w:rPr>
                <w:rFonts w:ascii="Times New Roman" w:hAnsi="Times New Roman" w:cs="Times New Roman"/>
              </w:rPr>
              <w:t>.</w:t>
            </w:r>
          </w:p>
          <w:p w14:paraId="22B68E19" w14:textId="1B952C70" w:rsidR="00B05349" w:rsidRPr="00B05349" w:rsidRDefault="00B05349" w:rsidP="00B05349">
            <w:pPr>
              <w:jc w:val="both"/>
              <w:rPr>
                <w:rFonts w:ascii="Times New Roman" w:hAnsi="Times New Roman" w:cs="Times New Roman"/>
              </w:rPr>
            </w:pPr>
            <w:r w:rsidRPr="00B05349">
              <w:rPr>
                <w:rFonts w:ascii="Times New Roman" w:hAnsi="Times New Roman" w:cs="Times New Roman"/>
              </w:rPr>
              <w:t xml:space="preserve"> 4) </w:t>
            </w:r>
            <w:r w:rsidRPr="00B05349">
              <w:rPr>
                <w:rFonts w:ascii="Times New Roman" w:hAnsi="Times New Roman" w:cs="Times New Roman"/>
                <w:u w:val="single"/>
              </w:rPr>
              <w:t>piegādātāju uzticamības atjaunošanu</w:t>
            </w:r>
            <w:r w:rsidRPr="00B05349">
              <w:rPr>
                <w:rFonts w:ascii="Times New Roman" w:hAnsi="Times New Roman" w:cs="Times New Roman"/>
              </w:rPr>
              <w:t xml:space="preserve">, ja kandidāts vai </w:t>
            </w:r>
            <w:r w:rsidR="003A451D">
              <w:rPr>
                <w:rFonts w:ascii="Times New Roman" w:hAnsi="Times New Roman" w:cs="Times New Roman"/>
              </w:rPr>
              <w:t>pretendents</w:t>
            </w:r>
            <w:r w:rsidRPr="00B05349">
              <w:rPr>
                <w:rFonts w:ascii="Times New Roman" w:hAnsi="Times New Roman" w:cs="Times New Roman"/>
              </w:rPr>
              <w:t>, atbilst Publisko iepirkumu likumā  noteiktajiem izslēgšanas gadījum</w:t>
            </w:r>
            <w:r w:rsidR="003A451D">
              <w:rPr>
                <w:rFonts w:ascii="Times New Roman" w:hAnsi="Times New Roman" w:cs="Times New Roman"/>
              </w:rPr>
              <w:t>ie</w:t>
            </w:r>
            <w:r w:rsidRPr="00B05349">
              <w:rPr>
                <w:rFonts w:ascii="Times New Roman" w:hAnsi="Times New Roman" w:cs="Times New Roman"/>
              </w:rPr>
              <w:t>m, tam ir iespēja pierādīt pasūtītājam, ka tas ir veicis pasākumus, lai atjaunotu savu uzticamību un novērstu nākotnē tādu pašu un līdzīgu gadījumu atkārtošanos.</w:t>
            </w:r>
          </w:p>
          <w:p w14:paraId="5C89383B" w14:textId="22471BB0" w:rsidR="00B05349" w:rsidRPr="00B05349" w:rsidRDefault="00B05349" w:rsidP="00B05349">
            <w:pPr>
              <w:jc w:val="both"/>
              <w:rPr>
                <w:rFonts w:ascii="Times New Roman" w:hAnsi="Times New Roman" w:cs="Times New Roman"/>
              </w:rPr>
            </w:pPr>
            <w:r w:rsidRPr="00B05349">
              <w:rPr>
                <w:rFonts w:ascii="Times New Roman" w:hAnsi="Times New Roman" w:cs="Times New Roman"/>
              </w:rPr>
              <w:t xml:space="preserve"> 5) paredz </w:t>
            </w:r>
            <w:r w:rsidRPr="00B05349">
              <w:rPr>
                <w:rFonts w:ascii="Times New Roman" w:hAnsi="Times New Roman" w:cs="Times New Roman"/>
                <w:u w:val="single"/>
              </w:rPr>
              <w:t>Eiropas vienoto iepirkuma procedūras dokumentu</w:t>
            </w:r>
            <w:r w:rsidRPr="00B05349">
              <w:rPr>
                <w:rFonts w:ascii="Times New Roman" w:hAnsi="Times New Roman" w:cs="Times New Roman"/>
              </w:rPr>
              <w:t xml:space="preserve">, kas kalpo kā sākotnējais pierādījums atbilstībai paziņojumā par līgumu vai iepirkumu procedūras dokumentos noteiktajām pretendentu un kandidātu atlases prasībām. Pasūtītājs </w:t>
            </w:r>
            <w:r w:rsidR="003A451D">
              <w:rPr>
                <w:rFonts w:ascii="Times New Roman" w:hAnsi="Times New Roman" w:cs="Times New Roman"/>
              </w:rPr>
              <w:t xml:space="preserve">pierādījumus par </w:t>
            </w:r>
            <w:r w:rsidRPr="00B05349">
              <w:rPr>
                <w:rFonts w:ascii="Times New Roman" w:hAnsi="Times New Roman" w:cs="Times New Roman"/>
              </w:rPr>
              <w:t xml:space="preserve">atbilstību paziņojumā par līgumu vai iepirkuma procedūras dokumentos </w:t>
            </w:r>
            <w:r w:rsidR="003A451D">
              <w:rPr>
                <w:rFonts w:ascii="Times New Roman" w:hAnsi="Times New Roman" w:cs="Times New Roman"/>
              </w:rPr>
              <w:t xml:space="preserve">noteiktajām prasībām </w:t>
            </w:r>
            <w:r w:rsidRPr="00B05349">
              <w:rPr>
                <w:rFonts w:ascii="Times New Roman" w:hAnsi="Times New Roman" w:cs="Times New Roman"/>
              </w:rPr>
              <w:t>pieprasa tikai pretendentam, kam būtu piešķiramas iepirkuma līguma slēgšanas tiesības</w:t>
            </w:r>
            <w:r w:rsidR="003A451D">
              <w:rPr>
                <w:rFonts w:ascii="Times New Roman" w:hAnsi="Times New Roman" w:cs="Times New Roman"/>
              </w:rPr>
              <w:t>, tādējādi</w:t>
            </w:r>
            <w:r w:rsidRPr="00B05349">
              <w:rPr>
                <w:rFonts w:ascii="Times New Roman" w:hAnsi="Times New Roman" w:cs="Times New Roman"/>
              </w:rPr>
              <w:t>. samazin</w:t>
            </w:r>
            <w:r w:rsidR="003A451D">
              <w:rPr>
                <w:rFonts w:ascii="Times New Roman" w:hAnsi="Times New Roman" w:cs="Times New Roman"/>
              </w:rPr>
              <w:t>ot</w:t>
            </w:r>
            <w:r w:rsidRPr="00B05349">
              <w:rPr>
                <w:rFonts w:ascii="Times New Roman" w:hAnsi="Times New Roman" w:cs="Times New Roman"/>
              </w:rPr>
              <w:t xml:space="preserve"> administratīvo slogu piegādātājiem.  </w:t>
            </w:r>
          </w:p>
          <w:p w14:paraId="69816685" w14:textId="0FEE73E2" w:rsidR="00B05349" w:rsidRPr="00B05349" w:rsidRDefault="00B05349" w:rsidP="00B05349">
            <w:pPr>
              <w:jc w:val="both"/>
              <w:rPr>
                <w:rFonts w:ascii="Times New Roman" w:hAnsi="Times New Roman" w:cs="Times New Roman"/>
              </w:rPr>
            </w:pPr>
            <w:r w:rsidRPr="00B05349">
              <w:rPr>
                <w:rFonts w:ascii="Times New Roman" w:hAnsi="Times New Roman" w:cs="Times New Roman"/>
              </w:rPr>
              <w:t xml:space="preserve">6) tiek paredzēts, ka gadījumos, kad apakšuzņēmējs </w:t>
            </w:r>
            <w:r w:rsidR="003A451D">
              <w:rPr>
                <w:rFonts w:ascii="Times New Roman" w:hAnsi="Times New Roman" w:cs="Times New Roman"/>
              </w:rPr>
              <w:t>vai</w:t>
            </w:r>
            <w:r w:rsidR="003A451D" w:rsidRPr="00B05349">
              <w:rPr>
                <w:rFonts w:ascii="Times New Roman" w:hAnsi="Times New Roman" w:cs="Times New Roman"/>
              </w:rPr>
              <w:t xml:space="preserve"> </w:t>
            </w:r>
            <w:r w:rsidRPr="00B05349">
              <w:rPr>
                <w:rFonts w:ascii="Times New Roman" w:hAnsi="Times New Roman" w:cs="Times New Roman"/>
              </w:rPr>
              <w:t>persona, uz kur</w:t>
            </w:r>
            <w:r w:rsidR="003A451D">
              <w:rPr>
                <w:rFonts w:ascii="Times New Roman" w:hAnsi="Times New Roman" w:cs="Times New Roman"/>
              </w:rPr>
              <w:t>as</w:t>
            </w:r>
            <w:r w:rsidRPr="00B05349">
              <w:rPr>
                <w:rFonts w:ascii="Times New Roman" w:hAnsi="Times New Roman" w:cs="Times New Roman"/>
              </w:rPr>
              <w:t xml:space="preserve"> iespējām pretendents vai kandidāts balstās, atbilst Publisko iepirkumu likumā noteiktajiem izslēgšanas gadījumiem, pasūtītājs neizslēdz pretendentu un kandidātu no dalības iepirkuma procedūrā, bet pieprasa </w:t>
            </w:r>
            <w:r w:rsidRPr="00B05349">
              <w:rPr>
                <w:rFonts w:ascii="Times New Roman" w:hAnsi="Times New Roman" w:cs="Times New Roman"/>
                <w:u w:val="single"/>
              </w:rPr>
              <w:t xml:space="preserve">nomainīt apakšuzņēmēju </w:t>
            </w:r>
            <w:r w:rsidR="003A451D">
              <w:rPr>
                <w:rFonts w:ascii="Times New Roman" w:hAnsi="Times New Roman" w:cs="Times New Roman"/>
                <w:u w:val="single"/>
              </w:rPr>
              <w:t>vai</w:t>
            </w:r>
            <w:r w:rsidR="003A451D" w:rsidRPr="00B05349">
              <w:rPr>
                <w:rFonts w:ascii="Times New Roman" w:hAnsi="Times New Roman" w:cs="Times New Roman"/>
                <w:u w:val="single"/>
              </w:rPr>
              <w:t xml:space="preserve"> </w:t>
            </w:r>
            <w:r w:rsidRPr="00B05349">
              <w:rPr>
                <w:rFonts w:ascii="Times New Roman" w:hAnsi="Times New Roman" w:cs="Times New Roman"/>
                <w:u w:val="single"/>
              </w:rPr>
              <w:t>personu</w:t>
            </w:r>
            <w:r w:rsidRPr="00B05349">
              <w:rPr>
                <w:rFonts w:ascii="Times New Roman" w:hAnsi="Times New Roman" w:cs="Times New Roman"/>
              </w:rPr>
              <w:t>, uz kur</w:t>
            </w:r>
            <w:r w:rsidR="003A451D">
              <w:rPr>
                <w:rFonts w:ascii="Times New Roman" w:hAnsi="Times New Roman" w:cs="Times New Roman"/>
              </w:rPr>
              <w:t>as</w:t>
            </w:r>
            <w:r w:rsidRPr="00B05349">
              <w:rPr>
                <w:rFonts w:ascii="Times New Roman" w:hAnsi="Times New Roman" w:cs="Times New Roman"/>
              </w:rPr>
              <w:t xml:space="preserve"> iespējām pretendents vai kandidāts balstās.</w:t>
            </w:r>
          </w:p>
          <w:p w14:paraId="704C47A7" w14:textId="22DF0399" w:rsidR="00FB63B8" w:rsidRPr="00B05349" w:rsidRDefault="00B05349" w:rsidP="00FB71FD">
            <w:pPr>
              <w:jc w:val="both"/>
              <w:rPr>
                <w:rFonts w:ascii="Times New Roman" w:hAnsi="Times New Roman" w:cs="Times New Roman"/>
              </w:rPr>
            </w:pPr>
            <w:r w:rsidRPr="00B05349">
              <w:rPr>
                <w:rFonts w:ascii="Times New Roman" w:hAnsi="Times New Roman" w:cs="Times New Roman"/>
              </w:rPr>
              <w:t xml:space="preserve">7) </w:t>
            </w:r>
            <w:r w:rsidR="00214CF4" w:rsidRPr="00B05349">
              <w:rPr>
                <w:rFonts w:ascii="Times New Roman" w:hAnsi="Times New Roman" w:cs="Times New Roman"/>
              </w:rPr>
              <w:t xml:space="preserve">Publisko </w:t>
            </w:r>
            <w:r w:rsidR="00214CF4" w:rsidRPr="00B05349">
              <w:rPr>
                <w:rFonts w:ascii="Times New Roman" w:hAnsi="Times New Roman" w:cs="Times New Roman"/>
                <w:u w:val="single"/>
              </w:rPr>
              <w:t>iepirkumu likuma 63.</w:t>
            </w:r>
            <w:r w:rsidR="00FB63B8" w:rsidRPr="00B05349">
              <w:rPr>
                <w:rFonts w:ascii="Times New Roman" w:hAnsi="Times New Roman" w:cs="Times New Roman"/>
                <w:u w:val="single"/>
              </w:rPr>
              <w:t>panta piektajā daļā paredzētā iespēja veikt tiešus</w:t>
            </w:r>
            <w:r w:rsidR="00FB63B8" w:rsidRPr="00B05349">
              <w:rPr>
                <w:rFonts w:ascii="Times New Roman" w:hAnsi="Times New Roman" w:cs="Times New Roman"/>
              </w:rPr>
              <w:t xml:space="preserve"> maksājumus </w:t>
            </w:r>
            <w:r w:rsidR="007A644D" w:rsidRPr="00B05349">
              <w:rPr>
                <w:rFonts w:ascii="Times New Roman" w:hAnsi="Times New Roman" w:cs="Times New Roman"/>
              </w:rPr>
              <w:t>apakšuzņēmējam</w:t>
            </w:r>
            <w:r w:rsidR="00CD2AE6" w:rsidRPr="00B05349">
              <w:rPr>
                <w:rFonts w:ascii="Times New Roman" w:hAnsi="Times New Roman" w:cs="Times New Roman"/>
              </w:rPr>
              <w:t>;</w:t>
            </w:r>
          </w:p>
          <w:p w14:paraId="0A130105" w14:textId="39599E47" w:rsidR="00E142AE" w:rsidRPr="00DE05E9" w:rsidRDefault="00B05349" w:rsidP="00FB71FD">
            <w:pPr>
              <w:jc w:val="both"/>
              <w:rPr>
                <w:rFonts w:ascii="Times New Roman" w:hAnsi="Times New Roman" w:cs="Times New Roman"/>
              </w:rPr>
            </w:pPr>
            <w:r w:rsidRPr="00B05349">
              <w:rPr>
                <w:rFonts w:ascii="Times New Roman" w:hAnsi="Times New Roman" w:cs="Times New Roman"/>
              </w:rPr>
              <w:lastRenderedPageBreak/>
              <w:t xml:space="preserve">8) </w:t>
            </w:r>
            <w:r w:rsidR="00E32B3B">
              <w:rPr>
                <w:rFonts w:ascii="Times New Roman" w:hAnsi="Times New Roman" w:cs="Times New Roman"/>
              </w:rPr>
              <w:t>Noteikts pienākums pasūtītājiem, kad vien tas iespējams, paredzēt līguma slēgšanas tiesību piešķiršanu atsevišķās daļās vai iepirkuma procedūras ziņojumā iekļaut pamatojumu iepirkuma ne</w:t>
            </w:r>
            <w:r w:rsidR="008A75A9">
              <w:rPr>
                <w:rFonts w:ascii="Times New Roman" w:hAnsi="Times New Roman" w:cs="Times New Roman"/>
              </w:rPr>
              <w:t>sa</w:t>
            </w:r>
            <w:r w:rsidR="00E32B3B">
              <w:rPr>
                <w:rFonts w:ascii="Times New Roman" w:hAnsi="Times New Roman" w:cs="Times New Roman"/>
              </w:rPr>
              <w:t>dalīšana</w:t>
            </w:r>
            <w:r w:rsidR="008A75A9">
              <w:rPr>
                <w:rFonts w:ascii="Times New Roman" w:hAnsi="Times New Roman" w:cs="Times New Roman"/>
              </w:rPr>
              <w:t>i</w:t>
            </w:r>
            <w:r w:rsidR="00E32B3B">
              <w:rPr>
                <w:rFonts w:ascii="Times New Roman" w:hAnsi="Times New Roman" w:cs="Times New Roman"/>
              </w:rPr>
              <w:t xml:space="preserve">. </w:t>
            </w:r>
          </w:p>
        </w:tc>
      </w:tr>
      <w:tr w:rsidR="00B54D84" w:rsidRPr="00DE05E9" w14:paraId="0055167D" w14:textId="77777777" w:rsidTr="00B54D84">
        <w:tc>
          <w:tcPr>
            <w:tcW w:w="1648" w:type="pct"/>
          </w:tcPr>
          <w:p w14:paraId="3451850A" w14:textId="336824B6" w:rsidR="00E04DAF" w:rsidRPr="00DE05E9" w:rsidRDefault="000A2192" w:rsidP="00FB71FD">
            <w:pPr>
              <w:pStyle w:val="Heading3"/>
              <w:jc w:val="both"/>
              <w:outlineLvl w:val="2"/>
              <w:rPr>
                <w:rFonts w:ascii="Times New Roman" w:hAnsi="Times New Roman" w:cs="Times New Roman"/>
              </w:rPr>
            </w:pPr>
            <w:r w:rsidRPr="00DE05E9">
              <w:rPr>
                <w:rFonts w:ascii="Times New Roman" w:hAnsi="Times New Roman" w:cs="Times New Roman"/>
              </w:rPr>
              <w:lastRenderedPageBreak/>
              <w:t>IV</w:t>
            </w:r>
            <w:r w:rsidR="00E04DAF" w:rsidRPr="00DE05E9">
              <w:rPr>
                <w:rFonts w:ascii="Times New Roman" w:hAnsi="Times New Roman" w:cs="Times New Roman"/>
              </w:rPr>
              <w:t xml:space="preserve">.3. Quantitative indicators </w:t>
            </w:r>
          </w:p>
          <w:p w14:paraId="1DC9BE04" w14:textId="24719443" w:rsidR="00B54D84" w:rsidRPr="00DE05E9" w:rsidRDefault="00B54D84" w:rsidP="00FB71FD">
            <w:pPr>
              <w:pStyle w:val="Heading3"/>
              <w:jc w:val="both"/>
              <w:outlineLvl w:val="2"/>
              <w:rPr>
                <w:rFonts w:ascii="Times New Roman" w:hAnsi="Times New Roman" w:cs="Times New Roman"/>
                <w:b w:val="0"/>
              </w:rPr>
            </w:pPr>
          </w:p>
        </w:tc>
        <w:tc>
          <w:tcPr>
            <w:tcW w:w="3352" w:type="pct"/>
          </w:tcPr>
          <w:p w14:paraId="5F8B5BFE" w14:textId="06692BDD" w:rsidR="00B54D84" w:rsidRPr="00DE05E9" w:rsidRDefault="00B54D84" w:rsidP="00FB71FD">
            <w:pPr>
              <w:jc w:val="both"/>
              <w:rPr>
                <w:rFonts w:ascii="Times New Roman" w:hAnsi="Times New Roman" w:cs="Times New Roman"/>
                <w:i/>
              </w:rPr>
            </w:pPr>
            <w:r w:rsidRPr="00DE05E9">
              <w:rPr>
                <w:rFonts w:ascii="Times New Roman" w:hAnsi="Times New Roman" w:cs="Times New Roman"/>
                <w:i/>
              </w:rPr>
              <w:t xml:space="preserve">This section contains examples of quantitative indicators related to section </w:t>
            </w:r>
            <w:r w:rsidR="00247E16" w:rsidRPr="00DE05E9">
              <w:rPr>
                <w:rFonts w:ascii="Times New Roman" w:hAnsi="Times New Roman" w:cs="Times New Roman"/>
                <w:i/>
              </w:rPr>
              <w:t>IV</w:t>
            </w:r>
            <w:r w:rsidRPr="00DE05E9">
              <w:rPr>
                <w:rFonts w:ascii="Times New Roman" w:hAnsi="Times New Roman" w:cs="Times New Roman"/>
                <w:i/>
              </w:rPr>
              <w:t>.1.  Other indicators can also be included in the report.</w:t>
            </w:r>
          </w:p>
        </w:tc>
      </w:tr>
      <w:tr w:rsidR="00B54D84" w:rsidRPr="00DE05E9" w14:paraId="379D2F6D" w14:textId="77777777" w:rsidTr="00B54D84">
        <w:tc>
          <w:tcPr>
            <w:tcW w:w="1648" w:type="pct"/>
          </w:tcPr>
          <w:p w14:paraId="1DEBB2CA" w14:textId="03321ED0" w:rsidR="00B54D84" w:rsidRPr="00DE05E9" w:rsidRDefault="00E04DAF" w:rsidP="00FB71FD">
            <w:pPr>
              <w:jc w:val="both"/>
              <w:rPr>
                <w:rFonts w:ascii="Times New Roman" w:hAnsi="Times New Roman" w:cs="Times New Roman"/>
                <w:b/>
              </w:rPr>
            </w:pPr>
            <w:r w:rsidRPr="00DE05E9">
              <w:rPr>
                <w:rFonts w:ascii="Times New Roman" w:hAnsi="Times New Roman" w:cs="Times New Roman"/>
              </w:rPr>
              <w:t>Please provide, when available, any quantitative data (statistics, etc.) illustrating the achievements and challenges ident</w:t>
            </w:r>
            <w:r w:rsidR="006753EC" w:rsidRPr="00DE05E9">
              <w:rPr>
                <w:rFonts w:ascii="Times New Roman" w:hAnsi="Times New Roman" w:cs="Times New Roman"/>
              </w:rPr>
              <w:t xml:space="preserve">ified under section </w:t>
            </w:r>
            <w:r w:rsidR="00426F49" w:rsidRPr="00DE05E9">
              <w:rPr>
                <w:rFonts w:ascii="Times New Roman" w:hAnsi="Times New Roman" w:cs="Times New Roman"/>
              </w:rPr>
              <w:t>IV</w:t>
            </w:r>
            <w:r w:rsidR="006753EC" w:rsidRPr="00DE05E9">
              <w:rPr>
                <w:rFonts w:ascii="Times New Roman" w:hAnsi="Times New Roman" w:cs="Times New Roman"/>
              </w:rPr>
              <w:t>.1. above</w:t>
            </w:r>
          </w:p>
        </w:tc>
        <w:tc>
          <w:tcPr>
            <w:tcW w:w="3352" w:type="pct"/>
          </w:tcPr>
          <w:p w14:paraId="24901FED" w14:textId="018BFF0F" w:rsidR="00D906DC" w:rsidRPr="00DE05E9" w:rsidRDefault="00D906DC" w:rsidP="00FB71FD">
            <w:pPr>
              <w:pStyle w:val="NoSpacing"/>
              <w:jc w:val="both"/>
              <w:rPr>
                <w:rFonts w:ascii="Times New Roman" w:hAnsi="Times New Roman" w:cs="Times New Roman"/>
              </w:rPr>
            </w:pPr>
            <w:r w:rsidRPr="00DE05E9">
              <w:rPr>
                <w:rFonts w:ascii="Times New Roman" w:hAnsi="Times New Roman" w:cs="Times New Roman"/>
                <w:b/>
                <w:u w:val="single"/>
              </w:rPr>
              <w:t>Informācija par iepirkumiem, kas veikti saskaņā ar Publisko iepirkumu likumu</w:t>
            </w:r>
          </w:p>
          <w:p w14:paraId="0F85656B" w14:textId="77777777" w:rsidR="00D906DC" w:rsidRPr="00DE05E9" w:rsidRDefault="00D906DC" w:rsidP="00FB71FD">
            <w:pPr>
              <w:jc w:val="both"/>
              <w:rPr>
                <w:rFonts w:ascii="Times New Roman" w:eastAsia="Times New Roman" w:hAnsi="Times New Roman" w:cs="Times New Roman"/>
                <w:b/>
                <w:bCs/>
                <w:color w:val="000000"/>
                <w:lang w:val="lv-LV"/>
              </w:rPr>
            </w:pPr>
            <w:r w:rsidRPr="00DE05E9">
              <w:rPr>
                <w:rFonts w:ascii="Times New Roman" w:eastAsia="Times New Roman" w:hAnsi="Times New Roman" w:cs="Times New Roman"/>
                <w:color w:val="000000"/>
                <w:lang w:val="lv-LV"/>
              </w:rPr>
              <w:t>Dati apkopoti no Iepirkumu uzraudzības biroja tīmekļvietnē publicētajiem paziņojumiem par iepirkuma procedūru (ar sākumu) daļu skaitu (iepirkuma līgumi un iepirkuma līgumi vispārīgās vienošanās ietvaros, izņemot vispārīgās vienošanās) par periodu no 2017. gada 1. marta līdz 2017. gada 31. decembrim, kur „Virs ES līgumcenu sliekšņa” piegādēm un pakalpojumiem no 135 000 EUR, būvdarbiem no 5 225 000 EUR; „Zem ES līgumcenu sliekšņa” piegādēm un pakalpojumiem no 42 000 EUR līdz 134 999,99 EUR, būvdarbiem no 170 000 EUR līdz 5 224 999,99 EUR.</w:t>
            </w:r>
          </w:p>
          <w:tbl>
            <w:tblPr>
              <w:tblW w:w="8920" w:type="dxa"/>
              <w:tblLook w:val="04A0" w:firstRow="1" w:lastRow="0" w:firstColumn="1" w:lastColumn="0" w:noHBand="0" w:noVBand="1"/>
            </w:tblPr>
            <w:tblGrid>
              <w:gridCol w:w="2579"/>
              <w:gridCol w:w="2721"/>
              <w:gridCol w:w="2660"/>
              <w:gridCol w:w="960"/>
            </w:tblGrid>
            <w:tr w:rsidR="00D906DC" w:rsidRPr="00DE05E9" w14:paraId="5DE868CA" w14:textId="77777777" w:rsidTr="00D906DC">
              <w:trPr>
                <w:trHeight w:val="375"/>
              </w:trPr>
              <w:tc>
                <w:tcPr>
                  <w:tcW w:w="5300" w:type="dxa"/>
                  <w:gridSpan w:val="2"/>
                  <w:tcBorders>
                    <w:top w:val="nil"/>
                    <w:left w:val="nil"/>
                    <w:bottom w:val="nil"/>
                    <w:right w:val="nil"/>
                  </w:tcBorders>
                  <w:shd w:val="clear" w:color="auto" w:fill="auto"/>
                  <w:noWrap/>
                  <w:vAlign w:val="bottom"/>
                  <w:hideMark/>
                </w:tcPr>
                <w:p w14:paraId="0B90742B"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t>Mazie un vidējie uzņēmumi (MVU)</w:t>
                  </w:r>
                </w:p>
              </w:tc>
              <w:tc>
                <w:tcPr>
                  <w:tcW w:w="2660" w:type="dxa"/>
                  <w:tcBorders>
                    <w:top w:val="nil"/>
                    <w:left w:val="nil"/>
                    <w:bottom w:val="nil"/>
                    <w:right w:val="nil"/>
                  </w:tcBorders>
                  <w:shd w:val="clear" w:color="auto" w:fill="auto"/>
                  <w:noWrap/>
                  <w:vAlign w:val="bottom"/>
                  <w:hideMark/>
                </w:tcPr>
                <w:p w14:paraId="3FC5553C"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960" w:type="dxa"/>
                  <w:tcBorders>
                    <w:top w:val="nil"/>
                    <w:left w:val="nil"/>
                    <w:bottom w:val="nil"/>
                    <w:right w:val="nil"/>
                  </w:tcBorders>
                  <w:shd w:val="clear" w:color="auto" w:fill="auto"/>
                  <w:noWrap/>
                  <w:vAlign w:val="bottom"/>
                  <w:hideMark/>
                </w:tcPr>
                <w:p w14:paraId="1063C0CE"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r>
            <w:tr w:rsidR="00D906DC" w:rsidRPr="00DE05E9" w14:paraId="04195101" w14:textId="77777777" w:rsidTr="00D906DC">
              <w:trPr>
                <w:trHeight w:val="300"/>
              </w:trPr>
              <w:tc>
                <w:tcPr>
                  <w:tcW w:w="25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8F1F0"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w:t>
                  </w:r>
                </w:p>
              </w:tc>
              <w:tc>
                <w:tcPr>
                  <w:tcW w:w="2721" w:type="dxa"/>
                  <w:tcBorders>
                    <w:top w:val="single" w:sz="4" w:space="0" w:color="auto"/>
                    <w:left w:val="nil"/>
                    <w:bottom w:val="single" w:sz="4" w:space="0" w:color="auto"/>
                    <w:right w:val="single" w:sz="4" w:space="0" w:color="auto"/>
                  </w:tcBorders>
                  <w:shd w:val="clear" w:color="auto" w:fill="auto"/>
                  <w:noWrap/>
                  <w:vAlign w:val="bottom"/>
                  <w:hideMark/>
                </w:tcPr>
                <w:p w14:paraId="4A3654E3"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xml:space="preserve">Kopējais piedāvājumu skaits </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14:paraId="216353FF"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Piedāvājumu skaits no MVU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A9A14B5"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w:t>
                  </w:r>
                </w:p>
              </w:tc>
            </w:tr>
            <w:tr w:rsidR="00D906DC" w:rsidRPr="00DE05E9" w14:paraId="73FCFA3A" w14:textId="77777777" w:rsidTr="00D906DC">
              <w:trPr>
                <w:trHeight w:val="300"/>
              </w:trPr>
              <w:tc>
                <w:tcPr>
                  <w:tcW w:w="2579" w:type="dxa"/>
                  <w:tcBorders>
                    <w:top w:val="nil"/>
                    <w:left w:val="single" w:sz="4" w:space="0" w:color="auto"/>
                    <w:bottom w:val="single" w:sz="4" w:space="0" w:color="auto"/>
                    <w:right w:val="single" w:sz="4" w:space="0" w:color="auto"/>
                  </w:tcBorders>
                  <w:shd w:val="clear" w:color="auto" w:fill="auto"/>
                  <w:noWrap/>
                  <w:vAlign w:val="bottom"/>
                  <w:hideMark/>
                </w:tcPr>
                <w:p w14:paraId="5A45408B"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Virs ES līgumcenu sliekšņa</w:t>
                  </w:r>
                </w:p>
              </w:tc>
              <w:tc>
                <w:tcPr>
                  <w:tcW w:w="2721" w:type="dxa"/>
                  <w:tcBorders>
                    <w:top w:val="nil"/>
                    <w:left w:val="nil"/>
                    <w:bottom w:val="single" w:sz="4" w:space="0" w:color="auto"/>
                    <w:right w:val="single" w:sz="4" w:space="0" w:color="auto"/>
                  </w:tcBorders>
                  <w:shd w:val="clear" w:color="auto" w:fill="auto"/>
                  <w:noWrap/>
                  <w:vAlign w:val="bottom"/>
                  <w:hideMark/>
                </w:tcPr>
                <w:p w14:paraId="2DCA02A4"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7633</w:t>
                  </w:r>
                </w:p>
              </w:tc>
              <w:tc>
                <w:tcPr>
                  <w:tcW w:w="2660" w:type="dxa"/>
                  <w:tcBorders>
                    <w:top w:val="nil"/>
                    <w:left w:val="nil"/>
                    <w:bottom w:val="single" w:sz="4" w:space="0" w:color="auto"/>
                    <w:right w:val="single" w:sz="4" w:space="0" w:color="auto"/>
                  </w:tcBorders>
                  <w:shd w:val="clear" w:color="auto" w:fill="auto"/>
                  <w:noWrap/>
                  <w:vAlign w:val="bottom"/>
                  <w:hideMark/>
                </w:tcPr>
                <w:p w14:paraId="39D427DE"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4193</w:t>
                  </w:r>
                </w:p>
              </w:tc>
              <w:tc>
                <w:tcPr>
                  <w:tcW w:w="960" w:type="dxa"/>
                  <w:tcBorders>
                    <w:top w:val="nil"/>
                    <w:left w:val="nil"/>
                    <w:bottom w:val="single" w:sz="4" w:space="0" w:color="auto"/>
                    <w:right w:val="single" w:sz="4" w:space="0" w:color="auto"/>
                  </w:tcBorders>
                  <w:shd w:val="clear" w:color="auto" w:fill="auto"/>
                  <w:noWrap/>
                  <w:vAlign w:val="bottom"/>
                  <w:hideMark/>
                </w:tcPr>
                <w:p w14:paraId="1B0A44C5"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55%</w:t>
                  </w:r>
                </w:p>
              </w:tc>
            </w:tr>
            <w:tr w:rsidR="00D906DC" w:rsidRPr="00DE05E9" w14:paraId="31F81C21" w14:textId="77777777" w:rsidTr="00D906DC">
              <w:trPr>
                <w:trHeight w:val="300"/>
              </w:trPr>
              <w:tc>
                <w:tcPr>
                  <w:tcW w:w="2579" w:type="dxa"/>
                  <w:tcBorders>
                    <w:top w:val="nil"/>
                    <w:left w:val="single" w:sz="4" w:space="0" w:color="auto"/>
                    <w:bottom w:val="single" w:sz="4" w:space="0" w:color="auto"/>
                    <w:right w:val="single" w:sz="4" w:space="0" w:color="auto"/>
                  </w:tcBorders>
                  <w:shd w:val="clear" w:color="auto" w:fill="auto"/>
                  <w:noWrap/>
                  <w:vAlign w:val="bottom"/>
                  <w:hideMark/>
                </w:tcPr>
                <w:p w14:paraId="4B1879E8"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Zem ES līgumcenu sliekšņa</w:t>
                  </w:r>
                </w:p>
              </w:tc>
              <w:tc>
                <w:tcPr>
                  <w:tcW w:w="2721" w:type="dxa"/>
                  <w:tcBorders>
                    <w:top w:val="nil"/>
                    <w:left w:val="nil"/>
                    <w:bottom w:val="single" w:sz="4" w:space="0" w:color="auto"/>
                    <w:right w:val="single" w:sz="4" w:space="0" w:color="auto"/>
                  </w:tcBorders>
                  <w:shd w:val="clear" w:color="auto" w:fill="auto"/>
                  <w:noWrap/>
                  <w:vAlign w:val="bottom"/>
                  <w:hideMark/>
                </w:tcPr>
                <w:p w14:paraId="0509966C"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14165</w:t>
                  </w:r>
                </w:p>
              </w:tc>
              <w:tc>
                <w:tcPr>
                  <w:tcW w:w="2660" w:type="dxa"/>
                  <w:tcBorders>
                    <w:top w:val="nil"/>
                    <w:left w:val="nil"/>
                    <w:bottom w:val="single" w:sz="4" w:space="0" w:color="auto"/>
                    <w:right w:val="single" w:sz="4" w:space="0" w:color="auto"/>
                  </w:tcBorders>
                  <w:shd w:val="clear" w:color="auto" w:fill="auto"/>
                  <w:noWrap/>
                  <w:vAlign w:val="bottom"/>
                  <w:hideMark/>
                </w:tcPr>
                <w:p w14:paraId="5BDC583E"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7620</w:t>
                  </w:r>
                </w:p>
              </w:tc>
              <w:tc>
                <w:tcPr>
                  <w:tcW w:w="960" w:type="dxa"/>
                  <w:tcBorders>
                    <w:top w:val="nil"/>
                    <w:left w:val="nil"/>
                    <w:bottom w:val="single" w:sz="4" w:space="0" w:color="auto"/>
                    <w:right w:val="single" w:sz="4" w:space="0" w:color="auto"/>
                  </w:tcBorders>
                  <w:shd w:val="clear" w:color="auto" w:fill="auto"/>
                  <w:noWrap/>
                  <w:vAlign w:val="bottom"/>
                  <w:hideMark/>
                </w:tcPr>
                <w:p w14:paraId="2F322667"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54%</w:t>
                  </w:r>
                </w:p>
              </w:tc>
            </w:tr>
            <w:tr w:rsidR="00D906DC" w:rsidRPr="00DE05E9" w14:paraId="43F0F206" w14:textId="77777777" w:rsidTr="00D906DC">
              <w:trPr>
                <w:trHeight w:val="300"/>
              </w:trPr>
              <w:tc>
                <w:tcPr>
                  <w:tcW w:w="2579" w:type="dxa"/>
                  <w:tcBorders>
                    <w:top w:val="nil"/>
                    <w:left w:val="nil"/>
                    <w:bottom w:val="nil"/>
                    <w:right w:val="nil"/>
                  </w:tcBorders>
                  <w:shd w:val="clear" w:color="auto" w:fill="auto"/>
                  <w:noWrap/>
                  <w:vAlign w:val="bottom"/>
                  <w:hideMark/>
                </w:tcPr>
                <w:p w14:paraId="165BE83F"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p>
              </w:tc>
              <w:tc>
                <w:tcPr>
                  <w:tcW w:w="2721" w:type="dxa"/>
                  <w:tcBorders>
                    <w:top w:val="nil"/>
                    <w:left w:val="nil"/>
                    <w:bottom w:val="nil"/>
                    <w:right w:val="nil"/>
                  </w:tcBorders>
                  <w:shd w:val="clear" w:color="auto" w:fill="auto"/>
                  <w:noWrap/>
                  <w:vAlign w:val="bottom"/>
                  <w:hideMark/>
                </w:tcPr>
                <w:p w14:paraId="5EE96C96"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c>
                <w:tcPr>
                  <w:tcW w:w="2660" w:type="dxa"/>
                  <w:tcBorders>
                    <w:top w:val="nil"/>
                    <w:left w:val="nil"/>
                    <w:bottom w:val="nil"/>
                    <w:right w:val="nil"/>
                  </w:tcBorders>
                  <w:shd w:val="clear" w:color="auto" w:fill="auto"/>
                  <w:noWrap/>
                  <w:vAlign w:val="bottom"/>
                  <w:hideMark/>
                </w:tcPr>
                <w:p w14:paraId="3BF79D12"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c>
                <w:tcPr>
                  <w:tcW w:w="960" w:type="dxa"/>
                  <w:tcBorders>
                    <w:top w:val="nil"/>
                    <w:left w:val="nil"/>
                    <w:bottom w:val="nil"/>
                    <w:right w:val="nil"/>
                  </w:tcBorders>
                  <w:shd w:val="clear" w:color="auto" w:fill="auto"/>
                  <w:noWrap/>
                  <w:vAlign w:val="bottom"/>
                  <w:hideMark/>
                </w:tcPr>
                <w:p w14:paraId="25518891"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r>
            <w:tr w:rsidR="00D906DC" w:rsidRPr="00DE05E9" w14:paraId="4AB21461" w14:textId="77777777" w:rsidTr="00D906DC">
              <w:trPr>
                <w:trHeight w:val="300"/>
              </w:trPr>
              <w:tc>
                <w:tcPr>
                  <w:tcW w:w="2579" w:type="dxa"/>
                  <w:tcBorders>
                    <w:top w:val="nil"/>
                    <w:left w:val="nil"/>
                    <w:bottom w:val="nil"/>
                    <w:right w:val="nil"/>
                  </w:tcBorders>
                  <w:shd w:val="clear" w:color="auto" w:fill="auto"/>
                  <w:noWrap/>
                  <w:vAlign w:val="bottom"/>
                  <w:hideMark/>
                </w:tcPr>
                <w:p w14:paraId="0D81B7BC"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c>
                <w:tcPr>
                  <w:tcW w:w="2721" w:type="dxa"/>
                  <w:tcBorders>
                    <w:top w:val="nil"/>
                    <w:left w:val="nil"/>
                    <w:bottom w:val="nil"/>
                    <w:right w:val="nil"/>
                  </w:tcBorders>
                  <w:shd w:val="clear" w:color="auto" w:fill="auto"/>
                  <w:noWrap/>
                  <w:vAlign w:val="bottom"/>
                  <w:hideMark/>
                </w:tcPr>
                <w:p w14:paraId="44725BD2"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c>
                <w:tcPr>
                  <w:tcW w:w="2660" w:type="dxa"/>
                  <w:tcBorders>
                    <w:top w:val="nil"/>
                    <w:left w:val="nil"/>
                    <w:bottom w:val="nil"/>
                    <w:right w:val="nil"/>
                  </w:tcBorders>
                  <w:shd w:val="clear" w:color="auto" w:fill="auto"/>
                  <w:noWrap/>
                  <w:vAlign w:val="bottom"/>
                  <w:hideMark/>
                </w:tcPr>
                <w:p w14:paraId="72396DCA"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c>
                <w:tcPr>
                  <w:tcW w:w="960" w:type="dxa"/>
                  <w:tcBorders>
                    <w:top w:val="nil"/>
                    <w:left w:val="nil"/>
                    <w:bottom w:val="nil"/>
                    <w:right w:val="nil"/>
                  </w:tcBorders>
                  <w:shd w:val="clear" w:color="auto" w:fill="auto"/>
                  <w:noWrap/>
                  <w:vAlign w:val="bottom"/>
                  <w:hideMark/>
                </w:tcPr>
                <w:p w14:paraId="2035CACE"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r>
            <w:tr w:rsidR="00D906DC" w:rsidRPr="00DE05E9" w14:paraId="1CDDBF1A" w14:textId="77777777" w:rsidTr="00D906DC">
              <w:trPr>
                <w:trHeight w:val="300"/>
              </w:trPr>
              <w:tc>
                <w:tcPr>
                  <w:tcW w:w="25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4BB62"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w:t>
                  </w:r>
                </w:p>
              </w:tc>
              <w:tc>
                <w:tcPr>
                  <w:tcW w:w="2721" w:type="dxa"/>
                  <w:tcBorders>
                    <w:top w:val="single" w:sz="4" w:space="0" w:color="auto"/>
                    <w:left w:val="nil"/>
                    <w:bottom w:val="single" w:sz="4" w:space="0" w:color="auto"/>
                    <w:right w:val="single" w:sz="4" w:space="0" w:color="auto"/>
                  </w:tcBorders>
                  <w:shd w:val="clear" w:color="auto" w:fill="auto"/>
                  <w:noWrap/>
                  <w:vAlign w:val="bottom"/>
                  <w:hideMark/>
                </w:tcPr>
                <w:p w14:paraId="125578E5"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Kopējais uzvarētāju skaits</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14:paraId="740B97F2"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Uzvarētāju skaits - MVU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BD105F0"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w:t>
                  </w:r>
                </w:p>
              </w:tc>
            </w:tr>
            <w:tr w:rsidR="00D906DC" w:rsidRPr="00DE05E9" w14:paraId="065AD0DB" w14:textId="77777777" w:rsidTr="00D906DC">
              <w:trPr>
                <w:trHeight w:val="300"/>
              </w:trPr>
              <w:tc>
                <w:tcPr>
                  <w:tcW w:w="2579" w:type="dxa"/>
                  <w:tcBorders>
                    <w:top w:val="nil"/>
                    <w:left w:val="single" w:sz="4" w:space="0" w:color="auto"/>
                    <w:bottom w:val="single" w:sz="4" w:space="0" w:color="auto"/>
                    <w:right w:val="single" w:sz="4" w:space="0" w:color="auto"/>
                  </w:tcBorders>
                  <w:shd w:val="clear" w:color="auto" w:fill="auto"/>
                  <w:noWrap/>
                  <w:vAlign w:val="bottom"/>
                  <w:hideMark/>
                </w:tcPr>
                <w:p w14:paraId="01F9061E"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Virs ES līgumcenu sliekšņa</w:t>
                  </w:r>
                </w:p>
              </w:tc>
              <w:tc>
                <w:tcPr>
                  <w:tcW w:w="2721" w:type="dxa"/>
                  <w:tcBorders>
                    <w:top w:val="nil"/>
                    <w:left w:val="nil"/>
                    <w:bottom w:val="single" w:sz="4" w:space="0" w:color="auto"/>
                    <w:right w:val="single" w:sz="4" w:space="0" w:color="auto"/>
                  </w:tcBorders>
                  <w:shd w:val="clear" w:color="auto" w:fill="auto"/>
                  <w:noWrap/>
                  <w:vAlign w:val="bottom"/>
                  <w:hideMark/>
                </w:tcPr>
                <w:p w14:paraId="496C4CD1"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2557</w:t>
                  </w:r>
                </w:p>
              </w:tc>
              <w:tc>
                <w:tcPr>
                  <w:tcW w:w="2660" w:type="dxa"/>
                  <w:tcBorders>
                    <w:top w:val="nil"/>
                    <w:left w:val="nil"/>
                    <w:bottom w:val="single" w:sz="4" w:space="0" w:color="auto"/>
                    <w:right w:val="single" w:sz="4" w:space="0" w:color="auto"/>
                  </w:tcBorders>
                  <w:shd w:val="clear" w:color="auto" w:fill="auto"/>
                  <w:noWrap/>
                  <w:vAlign w:val="bottom"/>
                  <w:hideMark/>
                </w:tcPr>
                <w:p w14:paraId="5ACBD64D"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1532</w:t>
                  </w:r>
                </w:p>
              </w:tc>
              <w:tc>
                <w:tcPr>
                  <w:tcW w:w="960" w:type="dxa"/>
                  <w:tcBorders>
                    <w:top w:val="nil"/>
                    <w:left w:val="nil"/>
                    <w:bottom w:val="single" w:sz="4" w:space="0" w:color="auto"/>
                    <w:right w:val="single" w:sz="4" w:space="0" w:color="auto"/>
                  </w:tcBorders>
                  <w:shd w:val="clear" w:color="auto" w:fill="auto"/>
                  <w:noWrap/>
                  <w:vAlign w:val="bottom"/>
                  <w:hideMark/>
                </w:tcPr>
                <w:p w14:paraId="58E939CA"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60%</w:t>
                  </w:r>
                </w:p>
              </w:tc>
            </w:tr>
            <w:tr w:rsidR="00D906DC" w:rsidRPr="00DE05E9" w14:paraId="711366ED" w14:textId="77777777" w:rsidTr="00D906DC">
              <w:trPr>
                <w:trHeight w:val="300"/>
              </w:trPr>
              <w:tc>
                <w:tcPr>
                  <w:tcW w:w="2579" w:type="dxa"/>
                  <w:tcBorders>
                    <w:top w:val="nil"/>
                    <w:left w:val="single" w:sz="4" w:space="0" w:color="auto"/>
                    <w:bottom w:val="single" w:sz="4" w:space="0" w:color="auto"/>
                    <w:right w:val="single" w:sz="4" w:space="0" w:color="auto"/>
                  </w:tcBorders>
                  <w:shd w:val="clear" w:color="auto" w:fill="auto"/>
                  <w:noWrap/>
                  <w:vAlign w:val="bottom"/>
                  <w:hideMark/>
                </w:tcPr>
                <w:p w14:paraId="650B0632"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Zem ES līgumcenu sliekšņa</w:t>
                  </w:r>
                </w:p>
              </w:tc>
              <w:tc>
                <w:tcPr>
                  <w:tcW w:w="2721" w:type="dxa"/>
                  <w:tcBorders>
                    <w:top w:val="nil"/>
                    <w:left w:val="nil"/>
                    <w:bottom w:val="single" w:sz="4" w:space="0" w:color="auto"/>
                    <w:right w:val="single" w:sz="4" w:space="0" w:color="auto"/>
                  </w:tcBorders>
                  <w:shd w:val="clear" w:color="auto" w:fill="auto"/>
                  <w:noWrap/>
                  <w:vAlign w:val="bottom"/>
                  <w:hideMark/>
                </w:tcPr>
                <w:p w14:paraId="72F9A58C"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4685</w:t>
                  </w:r>
                </w:p>
              </w:tc>
              <w:tc>
                <w:tcPr>
                  <w:tcW w:w="2660" w:type="dxa"/>
                  <w:tcBorders>
                    <w:top w:val="nil"/>
                    <w:left w:val="nil"/>
                    <w:bottom w:val="single" w:sz="4" w:space="0" w:color="auto"/>
                    <w:right w:val="single" w:sz="4" w:space="0" w:color="auto"/>
                  </w:tcBorders>
                  <w:shd w:val="clear" w:color="auto" w:fill="auto"/>
                  <w:noWrap/>
                  <w:vAlign w:val="bottom"/>
                  <w:hideMark/>
                </w:tcPr>
                <w:p w14:paraId="6E50CF96"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2635</w:t>
                  </w:r>
                </w:p>
              </w:tc>
              <w:tc>
                <w:tcPr>
                  <w:tcW w:w="960" w:type="dxa"/>
                  <w:tcBorders>
                    <w:top w:val="nil"/>
                    <w:left w:val="nil"/>
                    <w:bottom w:val="single" w:sz="4" w:space="0" w:color="auto"/>
                    <w:right w:val="single" w:sz="4" w:space="0" w:color="auto"/>
                  </w:tcBorders>
                  <w:shd w:val="clear" w:color="auto" w:fill="auto"/>
                  <w:noWrap/>
                  <w:vAlign w:val="bottom"/>
                  <w:hideMark/>
                </w:tcPr>
                <w:p w14:paraId="2D38A4B4"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56%</w:t>
                  </w:r>
                </w:p>
              </w:tc>
            </w:tr>
            <w:tr w:rsidR="00D906DC" w:rsidRPr="00DE05E9" w14:paraId="563B6F68" w14:textId="77777777" w:rsidTr="00D906DC">
              <w:trPr>
                <w:trHeight w:val="300"/>
              </w:trPr>
              <w:tc>
                <w:tcPr>
                  <w:tcW w:w="2579" w:type="dxa"/>
                  <w:tcBorders>
                    <w:top w:val="nil"/>
                    <w:left w:val="nil"/>
                    <w:bottom w:val="nil"/>
                    <w:right w:val="nil"/>
                  </w:tcBorders>
                  <w:shd w:val="clear" w:color="auto" w:fill="auto"/>
                  <w:noWrap/>
                  <w:vAlign w:val="bottom"/>
                  <w:hideMark/>
                </w:tcPr>
                <w:p w14:paraId="106094A0"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p>
              </w:tc>
              <w:tc>
                <w:tcPr>
                  <w:tcW w:w="2721" w:type="dxa"/>
                  <w:tcBorders>
                    <w:top w:val="nil"/>
                    <w:left w:val="nil"/>
                    <w:bottom w:val="nil"/>
                    <w:right w:val="nil"/>
                  </w:tcBorders>
                  <w:shd w:val="clear" w:color="auto" w:fill="auto"/>
                  <w:noWrap/>
                  <w:vAlign w:val="bottom"/>
                  <w:hideMark/>
                </w:tcPr>
                <w:p w14:paraId="643281C9"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c>
                <w:tcPr>
                  <w:tcW w:w="2660" w:type="dxa"/>
                  <w:tcBorders>
                    <w:top w:val="nil"/>
                    <w:left w:val="nil"/>
                    <w:bottom w:val="nil"/>
                    <w:right w:val="nil"/>
                  </w:tcBorders>
                  <w:shd w:val="clear" w:color="auto" w:fill="auto"/>
                  <w:noWrap/>
                  <w:vAlign w:val="bottom"/>
                  <w:hideMark/>
                </w:tcPr>
                <w:p w14:paraId="00A9D6B0"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c>
                <w:tcPr>
                  <w:tcW w:w="960" w:type="dxa"/>
                  <w:tcBorders>
                    <w:top w:val="nil"/>
                    <w:left w:val="nil"/>
                    <w:bottom w:val="nil"/>
                    <w:right w:val="nil"/>
                  </w:tcBorders>
                  <w:shd w:val="clear" w:color="auto" w:fill="auto"/>
                  <w:noWrap/>
                  <w:vAlign w:val="bottom"/>
                  <w:hideMark/>
                </w:tcPr>
                <w:p w14:paraId="0E9DC92D"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r>
            <w:tr w:rsidR="00D906DC" w:rsidRPr="00DE05E9" w14:paraId="6FA155D9" w14:textId="77777777" w:rsidTr="00D906DC">
              <w:trPr>
                <w:trHeight w:val="300"/>
              </w:trPr>
              <w:tc>
                <w:tcPr>
                  <w:tcW w:w="2579" w:type="dxa"/>
                  <w:tcBorders>
                    <w:top w:val="nil"/>
                    <w:left w:val="nil"/>
                    <w:bottom w:val="nil"/>
                    <w:right w:val="nil"/>
                  </w:tcBorders>
                  <w:shd w:val="clear" w:color="auto" w:fill="auto"/>
                  <w:noWrap/>
                  <w:vAlign w:val="bottom"/>
                  <w:hideMark/>
                </w:tcPr>
                <w:p w14:paraId="412DC6A1"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c>
                <w:tcPr>
                  <w:tcW w:w="2721" w:type="dxa"/>
                  <w:tcBorders>
                    <w:top w:val="nil"/>
                    <w:left w:val="nil"/>
                    <w:bottom w:val="nil"/>
                    <w:right w:val="nil"/>
                  </w:tcBorders>
                  <w:shd w:val="clear" w:color="auto" w:fill="auto"/>
                  <w:noWrap/>
                  <w:vAlign w:val="bottom"/>
                  <w:hideMark/>
                </w:tcPr>
                <w:p w14:paraId="1429E88E"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c>
                <w:tcPr>
                  <w:tcW w:w="2660" w:type="dxa"/>
                  <w:tcBorders>
                    <w:top w:val="nil"/>
                    <w:left w:val="nil"/>
                    <w:bottom w:val="nil"/>
                    <w:right w:val="nil"/>
                  </w:tcBorders>
                  <w:shd w:val="clear" w:color="auto" w:fill="auto"/>
                  <w:noWrap/>
                  <w:vAlign w:val="bottom"/>
                  <w:hideMark/>
                </w:tcPr>
                <w:p w14:paraId="26CB4FCD"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c>
                <w:tcPr>
                  <w:tcW w:w="960" w:type="dxa"/>
                  <w:tcBorders>
                    <w:top w:val="nil"/>
                    <w:left w:val="nil"/>
                    <w:bottom w:val="nil"/>
                    <w:right w:val="nil"/>
                  </w:tcBorders>
                  <w:shd w:val="clear" w:color="auto" w:fill="auto"/>
                  <w:noWrap/>
                  <w:vAlign w:val="bottom"/>
                  <w:hideMark/>
                </w:tcPr>
                <w:p w14:paraId="60C1387F"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r>
            <w:tr w:rsidR="00D906DC" w:rsidRPr="00DE05E9" w14:paraId="3950130D" w14:textId="77777777" w:rsidTr="00D906DC">
              <w:trPr>
                <w:trHeight w:val="300"/>
              </w:trPr>
              <w:tc>
                <w:tcPr>
                  <w:tcW w:w="25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74D63"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w:t>
                  </w:r>
                </w:p>
              </w:tc>
              <w:tc>
                <w:tcPr>
                  <w:tcW w:w="2721" w:type="dxa"/>
                  <w:tcBorders>
                    <w:top w:val="single" w:sz="4" w:space="0" w:color="auto"/>
                    <w:left w:val="nil"/>
                    <w:bottom w:val="single" w:sz="4" w:space="0" w:color="auto"/>
                    <w:right w:val="single" w:sz="4" w:space="0" w:color="auto"/>
                  </w:tcBorders>
                  <w:shd w:val="clear" w:color="auto" w:fill="auto"/>
                  <w:noWrap/>
                  <w:vAlign w:val="bottom"/>
                  <w:hideMark/>
                </w:tcPr>
                <w:p w14:paraId="651083A3"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Kopējā līgumcena (EUR bez PVN)</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14:paraId="4596F8A7"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Līgumcena (EUR bez PVN) - MVU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BCE02D9"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w:t>
                  </w:r>
                </w:p>
              </w:tc>
            </w:tr>
            <w:tr w:rsidR="00D906DC" w:rsidRPr="00DE05E9" w14:paraId="79966233" w14:textId="77777777" w:rsidTr="00D906DC">
              <w:trPr>
                <w:trHeight w:val="300"/>
              </w:trPr>
              <w:tc>
                <w:tcPr>
                  <w:tcW w:w="2579" w:type="dxa"/>
                  <w:tcBorders>
                    <w:top w:val="nil"/>
                    <w:left w:val="single" w:sz="4" w:space="0" w:color="auto"/>
                    <w:bottom w:val="single" w:sz="4" w:space="0" w:color="auto"/>
                    <w:right w:val="single" w:sz="4" w:space="0" w:color="auto"/>
                  </w:tcBorders>
                  <w:shd w:val="clear" w:color="auto" w:fill="auto"/>
                  <w:noWrap/>
                  <w:vAlign w:val="bottom"/>
                  <w:hideMark/>
                </w:tcPr>
                <w:p w14:paraId="4FF7B9DB"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Virs ES līgumcenu sliekšņa</w:t>
                  </w:r>
                </w:p>
              </w:tc>
              <w:tc>
                <w:tcPr>
                  <w:tcW w:w="2721" w:type="dxa"/>
                  <w:tcBorders>
                    <w:top w:val="nil"/>
                    <w:left w:val="nil"/>
                    <w:bottom w:val="single" w:sz="4" w:space="0" w:color="auto"/>
                    <w:right w:val="single" w:sz="4" w:space="0" w:color="auto"/>
                  </w:tcBorders>
                  <w:shd w:val="clear" w:color="auto" w:fill="auto"/>
                  <w:noWrap/>
                  <w:vAlign w:val="bottom"/>
                  <w:hideMark/>
                </w:tcPr>
                <w:p w14:paraId="6DA1E21E"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633 856 435</w:t>
                  </w:r>
                </w:p>
              </w:tc>
              <w:tc>
                <w:tcPr>
                  <w:tcW w:w="2660" w:type="dxa"/>
                  <w:tcBorders>
                    <w:top w:val="nil"/>
                    <w:left w:val="nil"/>
                    <w:bottom w:val="single" w:sz="4" w:space="0" w:color="auto"/>
                    <w:right w:val="single" w:sz="4" w:space="0" w:color="auto"/>
                  </w:tcBorders>
                  <w:shd w:val="clear" w:color="auto" w:fill="auto"/>
                  <w:noWrap/>
                  <w:vAlign w:val="bottom"/>
                  <w:hideMark/>
                </w:tcPr>
                <w:p w14:paraId="766C97C0"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387 952 376</w:t>
                  </w:r>
                </w:p>
              </w:tc>
              <w:tc>
                <w:tcPr>
                  <w:tcW w:w="960" w:type="dxa"/>
                  <w:tcBorders>
                    <w:top w:val="nil"/>
                    <w:left w:val="nil"/>
                    <w:bottom w:val="single" w:sz="4" w:space="0" w:color="auto"/>
                    <w:right w:val="single" w:sz="4" w:space="0" w:color="auto"/>
                  </w:tcBorders>
                  <w:shd w:val="clear" w:color="auto" w:fill="auto"/>
                  <w:noWrap/>
                  <w:vAlign w:val="bottom"/>
                  <w:hideMark/>
                </w:tcPr>
                <w:p w14:paraId="3F068E85"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61%</w:t>
                  </w:r>
                </w:p>
              </w:tc>
            </w:tr>
            <w:tr w:rsidR="00D906DC" w:rsidRPr="00DE05E9" w14:paraId="47789CFC" w14:textId="77777777" w:rsidTr="00D906DC">
              <w:trPr>
                <w:trHeight w:val="300"/>
              </w:trPr>
              <w:tc>
                <w:tcPr>
                  <w:tcW w:w="2579" w:type="dxa"/>
                  <w:tcBorders>
                    <w:top w:val="nil"/>
                    <w:left w:val="single" w:sz="4" w:space="0" w:color="auto"/>
                    <w:bottom w:val="single" w:sz="4" w:space="0" w:color="auto"/>
                    <w:right w:val="single" w:sz="4" w:space="0" w:color="auto"/>
                  </w:tcBorders>
                  <w:shd w:val="clear" w:color="auto" w:fill="auto"/>
                  <w:noWrap/>
                  <w:vAlign w:val="bottom"/>
                  <w:hideMark/>
                </w:tcPr>
                <w:p w14:paraId="19422F39"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Zem ES līgumcenu sliekšņa</w:t>
                  </w:r>
                </w:p>
              </w:tc>
              <w:tc>
                <w:tcPr>
                  <w:tcW w:w="2721" w:type="dxa"/>
                  <w:tcBorders>
                    <w:top w:val="nil"/>
                    <w:left w:val="nil"/>
                    <w:bottom w:val="single" w:sz="4" w:space="0" w:color="auto"/>
                    <w:right w:val="single" w:sz="4" w:space="0" w:color="auto"/>
                  </w:tcBorders>
                  <w:shd w:val="clear" w:color="auto" w:fill="auto"/>
                  <w:noWrap/>
                  <w:vAlign w:val="bottom"/>
                  <w:hideMark/>
                </w:tcPr>
                <w:p w14:paraId="1B1A5861"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452 452 961</w:t>
                  </w:r>
                </w:p>
              </w:tc>
              <w:tc>
                <w:tcPr>
                  <w:tcW w:w="2660" w:type="dxa"/>
                  <w:tcBorders>
                    <w:top w:val="nil"/>
                    <w:left w:val="nil"/>
                    <w:bottom w:val="single" w:sz="4" w:space="0" w:color="auto"/>
                    <w:right w:val="single" w:sz="4" w:space="0" w:color="auto"/>
                  </w:tcBorders>
                  <w:shd w:val="clear" w:color="auto" w:fill="auto"/>
                  <w:noWrap/>
                  <w:vAlign w:val="bottom"/>
                  <w:hideMark/>
                </w:tcPr>
                <w:p w14:paraId="5CBD3D54"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277 231 490</w:t>
                  </w:r>
                </w:p>
              </w:tc>
              <w:tc>
                <w:tcPr>
                  <w:tcW w:w="960" w:type="dxa"/>
                  <w:tcBorders>
                    <w:top w:val="nil"/>
                    <w:left w:val="nil"/>
                    <w:bottom w:val="single" w:sz="4" w:space="0" w:color="auto"/>
                    <w:right w:val="single" w:sz="4" w:space="0" w:color="auto"/>
                  </w:tcBorders>
                  <w:shd w:val="clear" w:color="auto" w:fill="auto"/>
                  <w:noWrap/>
                  <w:vAlign w:val="bottom"/>
                  <w:hideMark/>
                </w:tcPr>
                <w:p w14:paraId="62E6B347"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61%</w:t>
                  </w:r>
                </w:p>
              </w:tc>
            </w:tr>
          </w:tbl>
          <w:p w14:paraId="6D9D45D0" w14:textId="77777777" w:rsidR="00D906DC" w:rsidRPr="00DE05E9" w:rsidRDefault="00D906DC" w:rsidP="00FB71FD">
            <w:pPr>
              <w:jc w:val="both"/>
              <w:rPr>
                <w:rFonts w:ascii="Times New Roman" w:hAnsi="Times New Roman" w:cs="Times New Roman"/>
                <w:i/>
              </w:rPr>
            </w:pPr>
          </w:p>
          <w:p w14:paraId="545F8B59" w14:textId="77777777" w:rsidR="00D906DC" w:rsidRPr="00DE05E9" w:rsidRDefault="00D906DC" w:rsidP="00FB71FD">
            <w:pPr>
              <w:jc w:val="both"/>
              <w:rPr>
                <w:rFonts w:ascii="Times New Roman" w:hAnsi="Times New Roman" w:cs="Times New Roman"/>
                <w:i/>
              </w:rPr>
            </w:pPr>
          </w:p>
          <w:p w14:paraId="090A0E0A" w14:textId="77777777" w:rsidR="000A2513" w:rsidRDefault="000A2513" w:rsidP="00FB71FD">
            <w:pPr>
              <w:pStyle w:val="NoSpacing"/>
              <w:jc w:val="both"/>
              <w:rPr>
                <w:rFonts w:ascii="Times New Roman" w:hAnsi="Times New Roman" w:cs="Times New Roman"/>
                <w:b/>
                <w:u w:val="single"/>
              </w:rPr>
            </w:pPr>
          </w:p>
          <w:p w14:paraId="5FFDCFC1" w14:textId="73366693" w:rsidR="00D906DC" w:rsidRPr="00DE05E9" w:rsidRDefault="00D906DC" w:rsidP="00FB71FD">
            <w:pPr>
              <w:pStyle w:val="NoSpacing"/>
              <w:jc w:val="both"/>
              <w:rPr>
                <w:rFonts w:ascii="Times New Roman" w:hAnsi="Times New Roman" w:cs="Times New Roman"/>
              </w:rPr>
            </w:pPr>
            <w:r w:rsidRPr="00DE05E9">
              <w:rPr>
                <w:rFonts w:ascii="Times New Roman" w:hAnsi="Times New Roman" w:cs="Times New Roman"/>
                <w:b/>
                <w:u w:val="single"/>
              </w:rPr>
              <w:t>Informācija par iepirkumiem, kas veikti saskaņā ar Sabiedrisko pakalpojumu sniedzēju iepirkumu likumu</w:t>
            </w:r>
          </w:p>
          <w:p w14:paraId="19309C8C" w14:textId="77777777" w:rsidR="00D906DC" w:rsidRPr="00DE05E9" w:rsidRDefault="00D906DC" w:rsidP="00FB71FD">
            <w:pPr>
              <w:jc w:val="both"/>
              <w:rPr>
                <w:rFonts w:ascii="Times New Roman" w:hAnsi="Times New Roman" w:cs="Times New Roman"/>
                <w:i/>
              </w:rPr>
            </w:pPr>
          </w:p>
          <w:p w14:paraId="443981D8" w14:textId="77777777" w:rsidR="00D906DC" w:rsidRPr="00DE05E9" w:rsidRDefault="00D906DC" w:rsidP="00FB71FD">
            <w:pPr>
              <w:jc w:val="both"/>
              <w:rPr>
                <w:rFonts w:ascii="Times New Roman" w:eastAsia="Times New Roman" w:hAnsi="Times New Roman" w:cs="Times New Roman"/>
                <w:b/>
                <w:bCs/>
                <w:color w:val="000000"/>
                <w:lang w:val="lv-LV"/>
              </w:rPr>
            </w:pPr>
            <w:r w:rsidRPr="00DE05E9">
              <w:rPr>
                <w:rFonts w:ascii="Times New Roman" w:eastAsia="Times New Roman" w:hAnsi="Times New Roman" w:cs="Times New Roman"/>
                <w:color w:val="000000"/>
                <w:lang w:val="lv-LV"/>
              </w:rPr>
              <w:t>Dati apkopoti no Iepirkumu uzraudzības biroja tīmekļvietnē publicētajiem paziņojumiem par iepirkuma procedūru (ar sākumu) daļu skaitu (iepirkuma līgumi un iepirkuma līgumi vispārīgās vienošanās ietvaros, izņemot vispārīgās vienošanās) par periodu no 2017. gada 1. aprīļa līdz 2017. gada 31. decembrim, kur „Virs ES līgumcenu sliekšņa” piegādēm un pakalpojumiem no 418 000 EUR, būvdarbiem no 5 225 000 EUR.</w:t>
            </w:r>
          </w:p>
          <w:tbl>
            <w:tblPr>
              <w:tblW w:w="8920" w:type="dxa"/>
              <w:tblLook w:val="04A0" w:firstRow="1" w:lastRow="0" w:firstColumn="1" w:lastColumn="0" w:noHBand="0" w:noVBand="1"/>
            </w:tblPr>
            <w:tblGrid>
              <w:gridCol w:w="2551"/>
              <w:gridCol w:w="2749"/>
              <w:gridCol w:w="2660"/>
              <w:gridCol w:w="960"/>
            </w:tblGrid>
            <w:tr w:rsidR="00D906DC" w:rsidRPr="00DE05E9" w14:paraId="1707F3C9" w14:textId="77777777" w:rsidTr="00D906DC">
              <w:trPr>
                <w:trHeight w:val="375"/>
              </w:trPr>
              <w:tc>
                <w:tcPr>
                  <w:tcW w:w="5300" w:type="dxa"/>
                  <w:gridSpan w:val="2"/>
                  <w:tcBorders>
                    <w:top w:val="nil"/>
                    <w:left w:val="nil"/>
                    <w:bottom w:val="nil"/>
                    <w:right w:val="nil"/>
                  </w:tcBorders>
                  <w:shd w:val="clear" w:color="auto" w:fill="auto"/>
                  <w:noWrap/>
                  <w:vAlign w:val="bottom"/>
                  <w:hideMark/>
                </w:tcPr>
                <w:p w14:paraId="6D3705B8"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t>Mazie un vidējie uzņēmumi (MVU)</w:t>
                  </w:r>
                </w:p>
              </w:tc>
              <w:tc>
                <w:tcPr>
                  <w:tcW w:w="2660" w:type="dxa"/>
                  <w:tcBorders>
                    <w:top w:val="nil"/>
                    <w:left w:val="nil"/>
                    <w:bottom w:val="nil"/>
                    <w:right w:val="nil"/>
                  </w:tcBorders>
                  <w:shd w:val="clear" w:color="auto" w:fill="auto"/>
                  <w:noWrap/>
                  <w:vAlign w:val="bottom"/>
                  <w:hideMark/>
                </w:tcPr>
                <w:p w14:paraId="72E36445"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960" w:type="dxa"/>
                  <w:tcBorders>
                    <w:top w:val="nil"/>
                    <w:left w:val="nil"/>
                    <w:bottom w:val="nil"/>
                    <w:right w:val="nil"/>
                  </w:tcBorders>
                  <w:shd w:val="clear" w:color="auto" w:fill="auto"/>
                  <w:noWrap/>
                  <w:vAlign w:val="bottom"/>
                  <w:hideMark/>
                </w:tcPr>
                <w:p w14:paraId="188A91CC"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r>
            <w:tr w:rsidR="00D906DC" w:rsidRPr="00DE05E9" w14:paraId="0435E061" w14:textId="77777777" w:rsidTr="00D906DC">
              <w:trPr>
                <w:trHeight w:val="30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03419"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w:t>
                  </w:r>
                </w:p>
              </w:tc>
              <w:tc>
                <w:tcPr>
                  <w:tcW w:w="2749" w:type="dxa"/>
                  <w:tcBorders>
                    <w:top w:val="single" w:sz="4" w:space="0" w:color="auto"/>
                    <w:left w:val="nil"/>
                    <w:bottom w:val="single" w:sz="4" w:space="0" w:color="auto"/>
                    <w:right w:val="single" w:sz="4" w:space="0" w:color="auto"/>
                  </w:tcBorders>
                  <w:shd w:val="clear" w:color="auto" w:fill="auto"/>
                  <w:noWrap/>
                  <w:vAlign w:val="bottom"/>
                  <w:hideMark/>
                </w:tcPr>
                <w:p w14:paraId="197B60E7"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xml:space="preserve">Kopējais piedāvājumu skaits </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14:paraId="2D412BC7"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Piedāvājumu skaits no MVU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8392B10"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w:t>
                  </w:r>
                </w:p>
              </w:tc>
            </w:tr>
            <w:tr w:rsidR="00D906DC" w:rsidRPr="00DE05E9" w14:paraId="106FBC76" w14:textId="77777777" w:rsidTr="00D906DC">
              <w:trPr>
                <w:trHeight w:val="300"/>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21ED9B5E"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Virs ES līgumcenu sliekšņa</w:t>
                  </w:r>
                </w:p>
              </w:tc>
              <w:tc>
                <w:tcPr>
                  <w:tcW w:w="2749" w:type="dxa"/>
                  <w:tcBorders>
                    <w:top w:val="nil"/>
                    <w:left w:val="nil"/>
                    <w:bottom w:val="single" w:sz="4" w:space="0" w:color="auto"/>
                    <w:right w:val="single" w:sz="4" w:space="0" w:color="auto"/>
                  </w:tcBorders>
                  <w:shd w:val="clear" w:color="auto" w:fill="auto"/>
                  <w:noWrap/>
                  <w:vAlign w:val="bottom"/>
                  <w:hideMark/>
                </w:tcPr>
                <w:p w14:paraId="336E2C7B"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199</w:t>
                  </w:r>
                </w:p>
              </w:tc>
              <w:tc>
                <w:tcPr>
                  <w:tcW w:w="2660" w:type="dxa"/>
                  <w:tcBorders>
                    <w:top w:val="nil"/>
                    <w:left w:val="nil"/>
                    <w:bottom w:val="single" w:sz="4" w:space="0" w:color="auto"/>
                    <w:right w:val="single" w:sz="4" w:space="0" w:color="auto"/>
                  </w:tcBorders>
                  <w:shd w:val="clear" w:color="auto" w:fill="auto"/>
                  <w:noWrap/>
                  <w:vAlign w:val="bottom"/>
                  <w:hideMark/>
                </w:tcPr>
                <w:p w14:paraId="24AD4187"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58</w:t>
                  </w:r>
                </w:p>
              </w:tc>
              <w:tc>
                <w:tcPr>
                  <w:tcW w:w="960" w:type="dxa"/>
                  <w:tcBorders>
                    <w:top w:val="nil"/>
                    <w:left w:val="nil"/>
                    <w:bottom w:val="single" w:sz="4" w:space="0" w:color="auto"/>
                    <w:right w:val="single" w:sz="4" w:space="0" w:color="auto"/>
                  </w:tcBorders>
                  <w:shd w:val="clear" w:color="auto" w:fill="auto"/>
                  <w:noWrap/>
                  <w:vAlign w:val="bottom"/>
                  <w:hideMark/>
                </w:tcPr>
                <w:p w14:paraId="25B79F87"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29%</w:t>
                  </w:r>
                </w:p>
              </w:tc>
            </w:tr>
            <w:tr w:rsidR="00D906DC" w:rsidRPr="00DE05E9" w14:paraId="52D92179" w14:textId="77777777" w:rsidTr="00D906DC">
              <w:trPr>
                <w:trHeight w:val="300"/>
              </w:trPr>
              <w:tc>
                <w:tcPr>
                  <w:tcW w:w="2551" w:type="dxa"/>
                  <w:tcBorders>
                    <w:top w:val="nil"/>
                    <w:left w:val="nil"/>
                    <w:bottom w:val="nil"/>
                    <w:right w:val="nil"/>
                  </w:tcBorders>
                  <w:shd w:val="clear" w:color="auto" w:fill="auto"/>
                  <w:noWrap/>
                  <w:vAlign w:val="bottom"/>
                  <w:hideMark/>
                </w:tcPr>
                <w:p w14:paraId="299DBA1C"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p>
              </w:tc>
              <w:tc>
                <w:tcPr>
                  <w:tcW w:w="2749" w:type="dxa"/>
                  <w:tcBorders>
                    <w:top w:val="nil"/>
                    <w:left w:val="nil"/>
                    <w:bottom w:val="nil"/>
                    <w:right w:val="nil"/>
                  </w:tcBorders>
                  <w:shd w:val="clear" w:color="auto" w:fill="auto"/>
                  <w:noWrap/>
                  <w:vAlign w:val="bottom"/>
                  <w:hideMark/>
                </w:tcPr>
                <w:p w14:paraId="22F98357"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c>
                <w:tcPr>
                  <w:tcW w:w="2660" w:type="dxa"/>
                  <w:tcBorders>
                    <w:top w:val="nil"/>
                    <w:left w:val="nil"/>
                    <w:bottom w:val="nil"/>
                    <w:right w:val="nil"/>
                  </w:tcBorders>
                  <w:shd w:val="clear" w:color="auto" w:fill="auto"/>
                  <w:noWrap/>
                  <w:vAlign w:val="bottom"/>
                  <w:hideMark/>
                </w:tcPr>
                <w:p w14:paraId="593058CD"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c>
                <w:tcPr>
                  <w:tcW w:w="960" w:type="dxa"/>
                  <w:tcBorders>
                    <w:top w:val="nil"/>
                    <w:left w:val="nil"/>
                    <w:bottom w:val="nil"/>
                    <w:right w:val="nil"/>
                  </w:tcBorders>
                  <w:shd w:val="clear" w:color="auto" w:fill="auto"/>
                  <w:noWrap/>
                  <w:vAlign w:val="bottom"/>
                  <w:hideMark/>
                </w:tcPr>
                <w:p w14:paraId="2ECB9328"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r>
            <w:tr w:rsidR="00D906DC" w:rsidRPr="00DE05E9" w14:paraId="51C1F011" w14:textId="77777777" w:rsidTr="00D906DC">
              <w:trPr>
                <w:trHeight w:val="300"/>
              </w:trPr>
              <w:tc>
                <w:tcPr>
                  <w:tcW w:w="2551" w:type="dxa"/>
                  <w:tcBorders>
                    <w:top w:val="nil"/>
                    <w:left w:val="nil"/>
                    <w:bottom w:val="nil"/>
                    <w:right w:val="nil"/>
                  </w:tcBorders>
                  <w:shd w:val="clear" w:color="auto" w:fill="auto"/>
                  <w:noWrap/>
                  <w:vAlign w:val="bottom"/>
                  <w:hideMark/>
                </w:tcPr>
                <w:p w14:paraId="6EE604C8"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c>
                <w:tcPr>
                  <w:tcW w:w="2749" w:type="dxa"/>
                  <w:tcBorders>
                    <w:top w:val="nil"/>
                    <w:left w:val="nil"/>
                    <w:bottom w:val="nil"/>
                    <w:right w:val="nil"/>
                  </w:tcBorders>
                  <w:shd w:val="clear" w:color="auto" w:fill="auto"/>
                  <w:noWrap/>
                  <w:vAlign w:val="bottom"/>
                  <w:hideMark/>
                </w:tcPr>
                <w:p w14:paraId="09526718"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c>
                <w:tcPr>
                  <w:tcW w:w="2660" w:type="dxa"/>
                  <w:tcBorders>
                    <w:top w:val="nil"/>
                    <w:left w:val="nil"/>
                    <w:bottom w:val="nil"/>
                    <w:right w:val="nil"/>
                  </w:tcBorders>
                  <w:shd w:val="clear" w:color="auto" w:fill="auto"/>
                  <w:noWrap/>
                  <w:vAlign w:val="bottom"/>
                  <w:hideMark/>
                </w:tcPr>
                <w:p w14:paraId="3949AFB4"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c>
                <w:tcPr>
                  <w:tcW w:w="960" w:type="dxa"/>
                  <w:tcBorders>
                    <w:top w:val="nil"/>
                    <w:left w:val="nil"/>
                    <w:bottom w:val="nil"/>
                    <w:right w:val="nil"/>
                  </w:tcBorders>
                  <w:shd w:val="clear" w:color="auto" w:fill="auto"/>
                  <w:noWrap/>
                  <w:vAlign w:val="bottom"/>
                  <w:hideMark/>
                </w:tcPr>
                <w:p w14:paraId="5AE657C4"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r>
            <w:tr w:rsidR="00D906DC" w:rsidRPr="00DE05E9" w14:paraId="15651646" w14:textId="77777777" w:rsidTr="00D906DC">
              <w:trPr>
                <w:trHeight w:val="30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38B4E"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w:t>
                  </w:r>
                </w:p>
              </w:tc>
              <w:tc>
                <w:tcPr>
                  <w:tcW w:w="2749" w:type="dxa"/>
                  <w:tcBorders>
                    <w:top w:val="single" w:sz="4" w:space="0" w:color="auto"/>
                    <w:left w:val="nil"/>
                    <w:bottom w:val="single" w:sz="4" w:space="0" w:color="auto"/>
                    <w:right w:val="single" w:sz="4" w:space="0" w:color="auto"/>
                  </w:tcBorders>
                  <w:shd w:val="clear" w:color="auto" w:fill="auto"/>
                  <w:noWrap/>
                  <w:vAlign w:val="bottom"/>
                  <w:hideMark/>
                </w:tcPr>
                <w:p w14:paraId="26A3DB9F"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Kopējais uzvarētāju skaits</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14:paraId="772D23A6"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Uzvarētāju skaits - MVU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9BD7CAF"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w:t>
                  </w:r>
                </w:p>
              </w:tc>
            </w:tr>
            <w:tr w:rsidR="00D906DC" w:rsidRPr="00DE05E9" w14:paraId="325BFF8E" w14:textId="77777777" w:rsidTr="00D906DC">
              <w:trPr>
                <w:trHeight w:val="300"/>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621446F5"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Virs ES līgumcenu sliekšņa</w:t>
                  </w:r>
                </w:p>
              </w:tc>
              <w:tc>
                <w:tcPr>
                  <w:tcW w:w="2749" w:type="dxa"/>
                  <w:tcBorders>
                    <w:top w:val="nil"/>
                    <w:left w:val="nil"/>
                    <w:bottom w:val="single" w:sz="4" w:space="0" w:color="auto"/>
                    <w:right w:val="single" w:sz="4" w:space="0" w:color="auto"/>
                  </w:tcBorders>
                  <w:shd w:val="clear" w:color="auto" w:fill="auto"/>
                  <w:noWrap/>
                  <w:vAlign w:val="bottom"/>
                  <w:hideMark/>
                </w:tcPr>
                <w:p w14:paraId="3EF30271"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70</w:t>
                  </w:r>
                </w:p>
              </w:tc>
              <w:tc>
                <w:tcPr>
                  <w:tcW w:w="2660" w:type="dxa"/>
                  <w:tcBorders>
                    <w:top w:val="nil"/>
                    <w:left w:val="nil"/>
                    <w:bottom w:val="single" w:sz="4" w:space="0" w:color="auto"/>
                    <w:right w:val="single" w:sz="4" w:space="0" w:color="auto"/>
                  </w:tcBorders>
                  <w:shd w:val="clear" w:color="auto" w:fill="auto"/>
                  <w:noWrap/>
                  <w:vAlign w:val="bottom"/>
                  <w:hideMark/>
                </w:tcPr>
                <w:p w14:paraId="0BB16FF0"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29</w:t>
                  </w:r>
                </w:p>
              </w:tc>
              <w:tc>
                <w:tcPr>
                  <w:tcW w:w="960" w:type="dxa"/>
                  <w:tcBorders>
                    <w:top w:val="nil"/>
                    <w:left w:val="nil"/>
                    <w:bottom w:val="single" w:sz="4" w:space="0" w:color="auto"/>
                    <w:right w:val="single" w:sz="4" w:space="0" w:color="auto"/>
                  </w:tcBorders>
                  <w:shd w:val="clear" w:color="auto" w:fill="auto"/>
                  <w:noWrap/>
                  <w:vAlign w:val="bottom"/>
                  <w:hideMark/>
                </w:tcPr>
                <w:p w14:paraId="311FF738"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41%</w:t>
                  </w:r>
                </w:p>
              </w:tc>
            </w:tr>
            <w:tr w:rsidR="00D906DC" w:rsidRPr="00DE05E9" w14:paraId="5E666090" w14:textId="77777777" w:rsidTr="00D906DC">
              <w:trPr>
                <w:trHeight w:val="300"/>
              </w:trPr>
              <w:tc>
                <w:tcPr>
                  <w:tcW w:w="2551" w:type="dxa"/>
                  <w:tcBorders>
                    <w:top w:val="nil"/>
                    <w:left w:val="nil"/>
                    <w:bottom w:val="nil"/>
                    <w:right w:val="nil"/>
                  </w:tcBorders>
                  <w:shd w:val="clear" w:color="auto" w:fill="auto"/>
                  <w:noWrap/>
                  <w:vAlign w:val="bottom"/>
                  <w:hideMark/>
                </w:tcPr>
                <w:p w14:paraId="0E67A6C2"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p>
              </w:tc>
              <w:tc>
                <w:tcPr>
                  <w:tcW w:w="2749" w:type="dxa"/>
                  <w:tcBorders>
                    <w:top w:val="nil"/>
                    <w:left w:val="nil"/>
                    <w:bottom w:val="nil"/>
                    <w:right w:val="nil"/>
                  </w:tcBorders>
                  <w:shd w:val="clear" w:color="auto" w:fill="auto"/>
                  <w:noWrap/>
                  <w:vAlign w:val="bottom"/>
                  <w:hideMark/>
                </w:tcPr>
                <w:p w14:paraId="39750E7C"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c>
                <w:tcPr>
                  <w:tcW w:w="2660" w:type="dxa"/>
                  <w:tcBorders>
                    <w:top w:val="nil"/>
                    <w:left w:val="nil"/>
                    <w:bottom w:val="nil"/>
                    <w:right w:val="nil"/>
                  </w:tcBorders>
                  <w:shd w:val="clear" w:color="auto" w:fill="auto"/>
                  <w:noWrap/>
                  <w:vAlign w:val="bottom"/>
                  <w:hideMark/>
                </w:tcPr>
                <w:p w14:paraId="5AB972C0"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c>
                <w:tcPr>
                  <w:tcW w:w="960" w:type="dxa"/>
                  <w:tcBorders>
                    <w:top w:val="nil"/>
                    <w:left w:val="nil"/>
                    <w:bottom w:val="nil"/>
                    <w:right w:val="nil"/>
                  </w:tcBorders>
                  <w:shd w:val="clear" w:color="auto" w:fill="auto"/>
                  <w:noWrap/>
                  <w:vAlign w:val="bottom"/>
                  <w:hideMark/>
                </w:tcPr>
                <w:p w14:paraId="17742970"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r>
            <w:tr w:rsidR="00D906DC" w:rsidRPr="00DE05E9" w14:paraId="62D8A9A2" w14:textId="77777777" w:rsidTr="00D906DC">
              <w:trPr>
                <w:trHeight w:val="300"/>
              </w:trPr>
              <w:tc>
                <w:tcPr>
                  <w:tcW w:w="2551" w:type="dxa"/>
                  <w:tcBorders>
                    <w:top w:val="nil"/>
                    <w:left w:val="nil"/>
                    <w:bottom w:val="nil"/>
                    <w:right w:val="nil"/>
                  </w:tcBorders>
                  <w:shd w:val="clear" w:color="auto" w:fill="auto"/>
                  <w:noWrap/>
                  <w:vAlign w:val="bottom"/>
                  <w:hideMark/>
                </w:tcPr>
                <w:p w14:paraId="18935AF8"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c>
                <w:tcPr>
                  <w:tcW w:w="2749" w:type="dxa"/>
                  <w:tcBorders>
                    <w:top w:val="nil"/>
                    <w:left w:val="nil"/>
                    <w:bottom w:val="nil"/>
                    <w:right w:val="nil"/>
                  </w:tcBorders>
                  <w:shd w:val="clear" w:color="auto" w:fill="auto"/>
                  <w:noWrap/>
                  <w:vAlign w:val="bottom"/>
                  <w:hideMark/>
                </w:tcPr>
                <w:p w14:paraId="681589B9"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c>
                <w:tcPr>
                  <w:tcW w:w="2660" w:type="dxa"/>
                  <w:tcBorders>
                    <w:top w:val="nil"/>
                    <w:left w:val="nil"/>
                    <w:bottom w:val="nil"/>
                    <w:right w:val="nil"/>
                  </w:tcBorders>
                  <w:shd w:val="clear" w:color="auto" w:fill="auto"/>
                  <w:noWrap/>
                  <w:vAlign w:val="bottom"/>
                  <w:hideMark/>
                </w:tcPr>
                <w:p w14:paraId="1D516FCD"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c>
                <w:tcPr>
                  <w:tcW w:w="960" w:type="dxa"/>
                  <w:tcBorders>
                    <w:top w:val="nil"/>
                    <w:left w:val="nil"/>
                    <w:bottom w:val="nil"/>
                    <w:right w:val="nil"/>
                  </w:tcBorders>
                  <w:shd w:val="clear" w:color="auto" w:fill="auto"/>
                  <w:noWrap/>
                  <w:vAlign w:val="bottom"/>
                  <w:hideMark/>
                </w:tcPr>
                <w:p w14:paraId="583ACD09"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r>
            <w:tr w:rsidR="00D906DC" w:rsidRPr="00DE05E9" w14:paraId="40313B04" w14:textId="77777777" w:rsidTr="00D906DC">
              <w:trPr>
                <w:trHeight w:val="30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0A41D"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w:t>
                  </w:r>
                </w:p>
              </w:tc>
              <w:tc>
                <w:tcPr>
                  <w:tcW w:w="2749" w:type="dxa"/>
                  <w:tcBorders>
                    <w:top w:val="single" w:sz="4" w:space="0" w:color="auto"/>
                    <w:left w:val="nil"/>
                    <w:bottom w:val="single" w:sz="4" w:space="0" w:color="auto"/>
                    <w:right w:val="single" w:sz="4" w:space="0" w:color="auto"/>
                  </w:tcBorders>
                  <w:shd w:val="clear" w:color="auto" w:fill="auto"/>
                  <w:noWrap/>
                  <w:vAlign w:val="bottom"/>
                  <w:hideMark/>
                </w:tcPr>
                <w:p w14:paraId="26D4B478"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Kopējā līgumcena (EUR bez PVN)</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14:paraId="491C2175"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Līgumcena (EUR bez PVN) - MVU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73C5261"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w:t>
                  </w:r>
                </w:p>
              </w:tc>
            </w:tr>
            <w:tr w:rsidR="00D906DC" w:rsidRPr="00DE05E9" w14:paraId="39E1FD32" w14:textId="77777777" w:rsidTr="00D906DC">
              <w:trPr>
                <w:trHeight w:val="300"/>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3BB1D1E2"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Virs ES līgumcenu sliekšņa</w:t>
                  </w:r>
                </w:p>
              </w:tc>
              <w:tc>
                <w:tcPr>
                  <w:tcW w:w="2749" w:type="dxa"/>
                  <w:tcBorders>
                    <w:top w:val="nil"/>
                    <w:left w:val="nil"/>
                    <w:bottom w:val="single" w:sz="4" w:space="0" w:color="auto"/>
                    <w:right w:val="single" w:sz="4" w:space="0" w:color="auto"/>
                  </w:tcBorders>
                  <w:shd w:val="clear" w:color="auto" w:fill="auto"/>
                  <w:noWrap/>
                  <w:vAlign w:val="bottom"/>
                  <w:hideMark/>
                </w:tcPr>
                <w:p w14:paraId="2FCDA53E"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94 193 169</w:t>
                  </w:r>
                </w:p>
              </w:tc>
              <w:tc>
                <w:tcPr>
                  <w:tcW w:w="2660" w:type="dxa"/>
                  <w:tcBorders>
                    <w:top w:val="nil"/>
                    <w:left w:val="nil"/>
                    <w:bottom w:val="single" w:sz="4" w:space="0" w:color="auto"/>
                    <w:right w:val="single" w:sz="4" w:space="0" w:color="auto"/>
                  </w:tcBorders>
                  <w:shd w:val="clear" w:color="auto" w:fill="auto"/>
                  <w:noWrap/>
                  <w:vAlign w:val="bottom"/>
                  <w:hideMark/>
                </w:tcPr>
                <w:p w14:paraId="7F4902B4"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54 866 147</w:t>
                  </w:r>
                </w:p>
              </w:tc>
              <w:tc>
                <w:tcPr>
                  <w:tcW w:w="960" w:type="dxa"/>
                  <w:tcBorders>
                    <w:top w:val="nil"/>
                    <w:left w:val="nil"/>
                    <w:bottom w:val="single" w:sz="4" w:space="0" w:color="auto"/>
                    <w:right w:val="single" w:sz="4" w:space="0" w:color="auto"/>
                  </w:tcBorders>
                  <w:shd w:val="clear" w:color="auto" w:fill="auto"/>
                  <w:noWrap/>
                  <w:vAlign w:val="bottom"/>
                  <w:hideMark/>
                </w:tcPr>
                <w:p w14:paraId="2EF9A2A9"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58%</w:t>
                  </w:r>
                </w:p>
              </w:tc>
            </w:tr>
          </w:tbl>
          <w:p w14:paraId="54722F2F" w14:textId="77777777" w:rsidR="00D906DC" w:rsidRPr="00DE05E9" w:rsidRDefault="00D906DC" w:rsidP="00FB71FD">
            <w:pPr>
              <w:jc w:val="both"/>
              <w:rPr>
                <w:rFonts w:ascii="Times New Roman" w:hAnsi="Times New Roman" w:cs="Times New Roman"/>
                <w:i/>
              </w:rPr>
            </w:pPr>
          </w:p>
          <w:p w14:paraId="641125EF" w14:textId="77777777" w:rsidR="00D906DC" w:rsidRPr="00DE05E9" w:rsidRDefault="00D906DC" w:rsidP="00FB71FD">
            <w:pPr>
              <w:jc w:val="both"/>
              <w:rPr>
                <w:rFonts w:ascii="Times New Roman" w:hAnsi="Times New Roman" w:cs="Times New Roman"/>
                <w:i/>
              </w:rPr>
            </w:pPr>
          </w:p>
          <w:p w14:paraId="2603BD0D" w14:textId="77777777" w:rsidR="00D906DC" w:rsidRPr="00DE05E9" w:rsidRDefault="00D906DC" w:rsidP="00FB71FD">
            <w:pPr>
              <w:jc w:val="both"/>
              <w:rPr>
                <w:rFonts w:ascii="Times New Roman" w:hAnsi="Times New Roman" w:cs="Times New Roman"/>
                <w:i/>
              </w:rPr>
            </w:pPr>
          </w:p>
          <w:p w14:paraId="5313BF42" w14:textId="24FA00F7" w:rsidR="00D906DC" w:rsidRPr="00DE05E9" w:rsidRDefault="00D906DC" w:rsidP="00FB71FD">
            <w:pPr>
              <w:jc w:val="both"/>
              <w:rPr>
                <w:rFonts w:ascii="Times New Roman" w:hAnsi="Times New Roman" w:cs="Times New Roman"/>
                <w:i/>
              </w:rPr>
            </w:pPr>
          </w:p>
        </w:tc>
      </w:tr>
    </w:tbl>
    <w:p w14:paraId="34AB7F43" w14:textId="694A07F8" w:rsidR="001C5F45" w:rsidRDefault="001C5F45" w:rsidP="00FB71FD">
      <w:pPr>
        <w:jc w:val="both"/>
        <w:rPr>
          <w:rFonts w:ascii="Times New Roman" w:hAnsi="Times New Roman" w:cs="Times New Roman"/>
        </w:rPr>
      </w:pPr>
    </w:p>
    <w:p w14:paraId="34AB7F4A" w14:textId="41FC6B2C" w:rsidR="00C9307F" w:rsidRPr="00DE05E9" w:rsidRDefault="00C554EC" w:rsidP="00FB71FD">
      <w:pPr>
        <w:pStyle w:val="Heading2"/>
        <w:jc w:val="both"/>
        <w:rPr>
          <w:rFonts w:ascii="Times New Roman" w:hAnsi="Times New Roman" w:cs="Times New Roman"/>
        </w:rPr>
      </w:pPr>
      <w:r w:rsidRPr="00DE05E9">
        <w:rPr>
          <w:rFonts w:ascii="Times New Roman" w:hAnsi="Times New Roman" w:cs="Times New Roman"/>
        </w:rPr>
        <w:t>Information on the practical implementation of national strategic procurement</w:t>
      </w:r>
    </w:p>
    <w:p w14:paraId="34AB7F4C" w14:textId="03BA04F0" w:rsidR="00123723" w:rsidRPr="00DE05E9" w:rsidRDefault="00123723" w:rsidP="00FB71FD">
      <w:pPr>
        <w:spacing w:line="240" w:lineRule="auto"/>
        <w:jc w:val="both"/>
        <w:rPr>
          <w:rFonts w:ascii="Times New Roman" w:hAnsi="Times New Roman" w:cs="Times New Roman"/>
        </w:rPr>
      </w:pPr>
    </w:p>
    <w:tbl>
      <w:tblPr>
        <w:tblStyle w:val="TableGrid"/>
        <w:tblW w:w="5000" w:type="pct"/>
        <w:tblLook w:val="04A0" w:firstRow="1" w:lastRow="0" w:firstColumn="1" w:lastColumn="0" w:noHBand="0" w:noVBand="1"/>
      </w:tblPr>
      <w:tblGrid>
        <w:gridCol w:w="1465"/>
        <w:gridCol w:w="12529"/>
      </w:tblGrid>
      <w:tr w:rsidR="00994F58" w:rsidRPr="00DE05E9" w14:paraId="5B6BBFBA" w14:textId="77777777" w:rsidTr="00205FF9">
        <w:tc>
          <w:tcPr>
            <w:tcW w:w="523" w:type="pct"/>
          </w:tcPr>
          <w:p w14:paraId="5C6C3770" w14:textId="7B220A08" w:rsidR="00994F58" w:rsidRPr="00DE05E9" w:rsidRDefault="00994F58" w:rsidP="00FB71FD">
            <w:pPr>
              <w:pStyle w:val="Heading3"/>
              <w:jc w:val="both"/>
              <w:outlineLvl w:val="2"/>
              <w:rPr>
                <w:rFonts w:ascii="Times New Roman" w:hAnsi="Times New Roman" w:cs="Times New Roman"/>
              </w:rPr>
            </w:pPr>
            <w:r w:rsidRPr="00DE05E9">
              <w:rPr>
                <w:rFonts w:ascii="Times New Roman" w:hAnsi="Times New Roman" w:cs="Times New Roman"/>
              </w:rPr>
              <w:t>V.1 Green procurement ('GPP')</w:t>
            </w:r>
          </w:p>
        </w:tc>
        <w:tc>
          <w:tcPr>
            <w:tcW w:w="4477" w:type="pct"/>
          </w:tcPr>
          <w:p w14:paraId="3E97AA44" w14:textId="129E1845" w:rsidR="00994F58" w:rsidRPr="00DE05E9" w:rsidRDefault="00994F58" w:rsidP="00FB71FD">
            <w:pPr>
              <w:jc w:val="both"/>
              <w:rPr>
                <w:rFonts w:ascii="Times New Roman" w:hAnsi="Times New Roman" w:cs="Times New Roman"/>
              </w:rPr>
            </w:pPr>
            <w:r w:rsidRPr="00DE05E9">
              <w:rPr>
                <w:rFonts w:ascii="Times New Roman" w:hAnsi="Times New Roman" w:cs="Times New Roman"/>
              </w:rPr>
              <w:t>Green Public Procurement ('GPP') is defined as "a process whereby public authorities seek to procure goods, services and works with a reduced environmental impact throughout their life cycle when compared to goods, services and works with the same primary function that would otherwise be procured."</w:t>
            </w:r>
            <w:r w:rsidRPr="00DE05E9">
              <w:rPr>
                <w:rStyle w:val="FootnoteReference"/>
                <w:rFonts w:ascii="Times New Roman" w:hAnsi="Times New Roman" w:cs="Times New Roman"/>
              </w:rPr>
              <w:footnoteReference w:id="2"/>
            </w:r>
            <w:r w:rsidRPr="00DE05E9">
              <w:rPr>
                <w:rFonts w:ascii="Times New Roman" w:hAnsi="Times New Roman" w:cs="Times New Roman"/>
              </w:rPr>
              <w:t xml:space="preserve"> A voluntary target of 50 % GPP per Member State in number and value of relevant procedures was proposed by the Commission and welcomed by the Council in 2008.</w:t>
            </w:r>
          </w:p>
        </w:tc>
      </w:tr>
      <w:tr w:rsidR="005F0ADF" w:rsidRPr="00DE05E9" w14:paraId="19FBB54C" w14:textId="77777777" w:rsidTr="00205FF9">
        <w:trPr>
          <w:trHeight w:val="324"/>
        </w:trPr>
        <w:tc>
          <w:tcPr>
            <w:tcW w:w="523" w:type="pct"/>
          </w:tcPr>
          <w:p w14:paraId="3DF76B1B" w14:textId="2DD2EA66" w:rsidR="005F0ADF" w:rsidRPr="00DE05E9" w:rsidRDefault="00F13DA8" w:rsidP="00FB71FD">
            <w:pPr>
              <w:pStyle w:val="Heading3"/>
              <w:jc w:val="both"/>
              <w:outlineLvl w:val="2"/>
              <w:rPr>
                <w:rFonts w:ascii="Times New Roman" w:hAnsi="Times New Roman" w:cs="Times New Roman"/>
              </w:rPr>
            </w:pPr>
            <w:r w:rsidRPr="00DE05E9">
              <w:rPr>
                <w:rFonts w:ascii="Times New Roman" w:hAnsi="Times New Roman" w:cs="Times New Roman"/>
              </w:rPr>
              <w:t>V</w:t>
            </w:r>
            <w:r w:rsidR="005F0ADF" w:rsidRPr="00DE05E9">
              <w:rPr>
                <w:rFonts w:ascii="Times New Roman" w:hAnsi="Times New Roman" w:cs="Times New Roman"/>
              </w:rPr>
              <w:t>.1.</w:t>
            </w:r>
            <w:r w:rsidR="00994F58" w:rsidRPr="00DE05E9">
              <w:rPr>
                <w:rFonts w:ascii="Times New Roman" w:hAnsi="Times New Roman" w:cs="Times New Roman"/>
              </w:rPr>
              <w:t>1</w:t>
            </w:r>
            <w:r w:rsidR="005F0ADF" w:rsidRPr="00DE05E9">
              <w:rPr>
                <w:rFonts w:ascii="Times New Roman" w:hAnsi="Times New Roman" w:cs="Times New Roman"/>
              </w:rPr>
              <w:t xml:space="preserve"> </w:t>
            </w:r>
            <w:r w:rsidR="00C96DD0" w:rsidRPr="00DE05E9">
              <w:rPr>
                <w:rFonts w:ascii="Times New Roman" w:hAnsi="Times New Roman" w:cs="Times New Roman"/>
              </w:rPr>
              <w:t>Qualitative reporting</w:t>
            </w:r>
            <w:r w:rsidR="00C96DD0" w:rsidRPr="00DE05E9">
              <w:rPr>
                <w:rFonts w:ascii="Times New Roman" w:hAnsi="Times New Roman" w:cs="Times New Roman"/>
                <w:b w:val="0"/>
              </w:rPr>
              <w:t xml:space="preserve"> </w:t>
            </w:r>
          </w:p>
        </w:tc>
        <w:tc>
          <w:tcPr>
            <w:tcW w:w="4477" w:type="pct"/>
          </w:tcPr>
          <w:p w14:paraId="57D4CE50" w14:textId="77777777" w:rsidR="005F0ADF" w:rsidRPr="00DE05E9" w:rsidRDefault="005F0ADF" w:rsidP="00FB71FD">
            <w:pPr>
              <w:jc w:val="both"/>
              <w:rPr>
                <w:rFonts w:ascii="Times New Roman" w:hAnsi="Times New Roman" w:cs="Times New Roman"/>
              </w:rPr>
            </w:pPr>
          </w:p>
        </w:tc>
      </w:tr>
      <w:tr w:rsidR="005F0ADF" w:rsidRPr="00DE05E9" w14:paraId="05B5832A" w14:textId="77777777" w:rsidTr="00205FF9">
        <w:tc>
          <w:tcPr>
            <w:tcW w:w="523" w:type="pct"/>
          </w:tcPr>
          <w:p w14:paraId="6866DD1A" w14:textId="7E7A9B98" w:rsidR="005F0ADF" w:rsidRPr="00DE05E9" w:rsidRDefault="005F0ADF" w:rsidP="00FB71FD">
            <w:pPr>
              <w:jc w:val="both"/>
              <w:rPr>
                <w:rFonts w:ascii="Times New Roman" w:hAnsi="Times New Roman" w:cs="Times New Roman"/>
              </w:rPr>
            </w:pPr>
            <w:r w:rsidRPr="00DE05E9">
              <w:rPr>
                <w:rFonts w:ascii="Times New Roman" w:hAnsi="Times New Roman" w:cs="Times New Roman"/>
              </w:rPr>
              <w:t>Key challenges encountered</w:t>
            </w:r>
          </w:p>
        </w:tc>
        <w:tc>
          <w:tcPr>
            <w:tcW w:w="4477" w:type="pct"/>
          </w:tcPr>
          <w:p w14:paraId="585C467E" w14:textId="071130C9" w:rsidR="00573749" w:rsidRPr="00DE05E9" w:rsidRDefault="009B1294" w:rsidP="00FB71FD">
            <w:pPr>
              <w:jc w:val="both"/>
              <w:rPr>
                <w:rFonts w:ascii="Times New Roman" w:hAnsi="Times New Roman" w:cs="Times New Roman"/>
              </w:rPr>
            </w:pPr>
            <w:r w:rsidRPr="00DE05E9">
              <w:rPr>
                <w:rFonts w:ascii="Times New Roman" w:hAnsi="Times New Roman" w:cs="Times New Roman"/>
              </w:rPr>
              <w:t>2017.</w:t>
            </w:r>
            <w:r w:rsidR="00E67E50" w:rsidRPr="00DE05E9">
              <w:rPr>
                <w:rFonts w:ascii="Times New Roman" w:hAnsi="Times New Roman" w:cs="Times New Roman"/>
              </w:rPr>
              <w:t>gada 20.jūnijā pieņemti Ministu kabineta</w:t>
            </w:r>
            <w:r w:rsidR="00573749" w:rsidRPr="00DE05E9">
              <w:rPr>
                <w:rFonts w:ascii="Times New Roman" w:hAnsi="Times New Roman" w:cs="Times New Roman"/>
              </w:rPr>
              <w:t xml:space="preserve"> noteikumi Nr.353 “Prasības zaļajam publiskajam iepirkumam un to piemērošanas kārtība”. Lai atvieglotu M</w:t>
            </w:r>
            <w:r w:rsidR="00E142AE" w:rsidRPr="00DE05E9">
              <w:rPr>
                <w:rFonts w:ascii="Times New Roman" w:hAnsi="Times New Roman" w:cs="Times New Roman"/>
              </w:rPr>
              <w:t>inistru kabineta</w:t>
            </w:r>
            <w:r w:rsidR="00573749" w:rsidRPr="00DE05E9">
              <w:rPr>
                <w:rFonts w:ascii="Times New Roman" w:hAnsi="Times New Roman" w:cs="Times New Roman"/>
              </w:rPr>
              <w:t xml:space="preserve"> noteikumu ieviešanu, tika organizēti reģionālie semināri iepirkumu speciālistiem par </w:t>
            </w:r>
            <w:r w:rsidR="00E67E50" w:rsidRPr="00DE05E9">
              <w:rPr>
                <w:rFonts w:ascii="Times New Roman" w:hAnsi="Times New Roman" w:cs="Times New Roman"/>
              </w:rPr>
              <w:t>Zaļā publiskā iepirkuma</w:t>
            </w:r>
            <w:r w:rsidR="00573749" w:rsidRPr="00DE05E9">
              <w:rPr>
                <w:rFonts w:ascii="Times New Roman" w:hAnsi="Times New Roman" w:cs="Times New Roman"/>
              </w:rPr>
              <w:t xml:space="preserve"> p</w:t>
            </w:r>
            <w:r w:rsidR="00E67E50" w:rsidRPr="00DE05E9">
              <w:rPr>
                <w:rFonts w:ascii="Times New Roman" w:hAnsi="Times New Roman" w:cs="Times New Roman"/>
              </w:rPr>
              <w:t>iemērošanu gan pirms, gan pēc Ministru kabineta</w:t>
            </w:r>
            <w:r w:rsidR="00573749" w:rsidRPr="00DE05E9">
              <w:rPr>
                <w:rFonts w:ascii="Times New Roman" w:hAnsi="Times New Roman" w:cs="Times New Roman"/>
              </w:rPr>
              <w:t xml:space="preserve"> noteikumu stāšanās spēkā.  Zaļai</w:t>
            </w:r>
            <w:r w:rsidR="00E142AE" w:rsidRPr="00DE05E9">
              <w:rPr>
                <w:rFonts w:ascii="Times New Roman" w:hAnsi="Times New Roman" w:cs="Times New Roman"/>
              </w:rPr>
              <w:t>s</w:t>
            </w:r>
            <w:r w:rsidR="00573749" w:rsidRPr="00DE05E9">
              <w:rPr>
                <w:rFonts w:ascii="Times New Roman" w:hAnsi="Times New Roman" w:cs="Times New Roman"/>
              </w:rPr>
              <w:t xml:space="preserve"> publiskais iepirkums ir viens no 2014.-2020</w:t>
            </w:r>
            <w:r w:rsidR="00E142AE" w:rsidRPr="00DE05E9">
              <w:rPr>
                <w:rFonts w:ascii="Times New Roman" w:hAnsi="Times New Roman" w:cs="Times New Roman"/>
              </w:rPr>
              <w:t>.</w:t>
            </w:r>
            <w:r w:rsidR="00573749" w:rsidRPr="00DE05E9">
              <w:rPr>
                <w:rFonts w:ascii="Times New Roman" w:hAnsi="Times New Roman" w:cs="Times New Roman"/>
              </w:rPr>
              <w:t>gada Eiropas reģionālā</w:t>
            </w:r>
            <w:r w:rsidR="00E142AE" w:rsidRPr="00DE05E9">
              <w:rPr>
                <w:rFonts w:ascii="Times New Roman" w:hAnsi="Times New Roman" w:cs="Times New Roman"/>
              </w:rPr>
              <w:t xml:space="preserve"> </w:t>
            </w:r>
            <w:r w:rsidR="00573749" w:rsidRPr="00DE05E9">
              <w:rPr>
                <w:rFonts w:ascii="Times New Roman" w:hAnsi="Times New Roman" w:cs="Times New Roman"/>
              </w:rPr>
              <w:t>attīstības f</w:t>
            </w:r>
            <w:r w:rsidR="00E142AE" w:rsidRPr="00DE05E9">
              <w:rPr>
                <w:rFonts w:ascii="Times New Roman" w:hAnsi="Times New Roman" w:cs="Times New Roman"/>
              </w:rPr>
              <w:t>onda, Eiropas sociālā fonda un K</w:t>
            </w:r>
            <w:r w:rsidR="00573749" w:rsidRPr="00DE05E9">
              <w:rPr>
                <w:rFonts w:ascii="Times New Roman" w:hAnsi="Times New Roman" w:cs="Times New Roman"/>
              </w:rPr>
              <w:t xml:space="preserve">ohēzijas fonda horizontālā principa “ilgtspējīga attīstība” īstenošanas instrumentiem. Lai atvieglotu šī principa īstenošanu, ir sagatavoti ieteikumi projektu veidlapu aizpildīšanai un metodika īstenošanas uzraudzībai. Vides aizsardzības un reģionālās attīstības ministrija ir atjaunojusi un papildinājusi savas tīmekļvietnes </w:t>
            </w:r>
            <w:r w:rsidR="00E67E50" w:rsidRPr="00DE05E9">
              <w:rPr>
                <w:rFonts w:ascii="Times New Roman" w:hAnsi="Times New Roman" w:cs="Times New Roman"/>
              </w:rPr>
              <w:t>Zaļā publiskā iepirkuma</w:t>
            </w:r>
            <w:r w:rsidR="00573749" w:rsidRPr="00DE05E9">
              <w:rPr>
                <w:rFonts w:ascii="Times New Roman" w:hAnsi="Times New Roman" w:cs="Times New Roman"/>
              </w:rPr>
              <w:t xml:space="preserve"> sadaļu, kurā ir ievietojusi informāciju par </w:t>
            </w:r>
            <w:r w:rsidR="00E67E50" w:rsidRPr="00DE05E9">
              <w:rPr>
                <w:rFonts w:ascii="Times New Roman" w:hAnsi="Times New Roman" w:cs="Times New Roman"/>
              </w:rPr>
              <w:t>Zaļā publiskā iepirkuma</w:t>
            </w:r>
            <w:r w:rsidR="00573749" w:rsidRPr="00DE05E9">
              <w:rPr>
                <w:rFonts w:ascii="Times New Roman" w:hAnsi="Times New Roman" w:cs="Times New Roman"/>
              </w:rPr>
              <w:t xml:space="preserve"> piemērošanas vadlīnijām, aprites cikla izmaksu aprēķina kalkulatoriem, enerģiju patērējošam precēm, kā arī ar audiovizuālajiem materiāliem, kas popularizē un skaidro </w:t>
            </w:r>
            <w:r w:rsidR="00E67E50" w:rsidRPr="00DE05E9">
              <w:rPr>
                <w:rFonts w:ascii="Times New Roman" w:hAnsi="Times New Roman" w:cs="Times New Roman"/>
              </w:rPr>
              <w:t>Zaļā publiskā iepirkuma</w:t>
            </w:r>
            <w:r w:rsidR="00573749" w:rsidRPr="00DE05E9">
              <w:rPr>
                <w:rFonts w:ascii="Times New Roman" w:hAnsi="Times New Roman" w:cs="Times New Roman"/>
              </w:rPr>
              <w:t xml:space="preserve"> ieguvumus, tā piemērošanu un atpazīšanu, kā arī labās prakses piemērus</w:t>
            </w:r>
            <w:r w:rsidR="002A1707" w:rsidRPr="00DE05E9">
              <w:rPr>
                <w:rFonts w:ascii="Times New Roman" w:hAnsi="Times New Roman" w:cs="Times New Roman"/>
              </w:rPr>
              <w:t xml:space="preserve"> (tīmekļvietne: http://www.varam.gov.lv/lat/darbibas_veidi/zalais_publiskais_iepirkums/)</w:t>
            </w:r>
            <w:r w:rsidR="00573749" w:rsidRPr="00DE05E9">
              <w:rPr>
                <w:rFonts w:ascii="Times New Roman" w:hAnsi="Times New Roman" w:cs="Times New Roman"/>
              </w:rPr>
              <w:t xml:space="preserve">. </w:t>
            </w:r>
          </w:p>
          <w:p w14:paraId="5A9E4B24" w14:textId="76774343" w:rsidR="00E67E50" w:rsidRPr="00DE05E9" w:rsidRDefault="00E67E50" w:rsidP="00FB71FD">
            <w:pPr>
              <w:jc w:val="both"/>
              <w:rPr>
                <w:rFonts w:ascii="Times New Roman" w:hAnsi="Times New Roman" w:cs="Times New Roman"/>
              </w:rPr>
            </w:pPr>
          </w:p>
        </w:tc>
      </w:tr>
      <w:tr w:rsidR="005F0ADF" w:rsidRPr="00DE05E9" w14:paraId="70A73762" w14:textId="77777777" w:rsidTr="00205FF9">
        <w:tc>
          <w:tcPr>
            <w:tcW w:w="523" w:type="pct"/>
          </w:tcPr>
          <w:p w14:paraId="1F75A8FE" w14:textId="756A27F1" w:rsidR="005F0ADF" w:rsidRPr="00DE05E9" w:rsidRDefault="00D5004D" w:rsidP="00FB71FD">
            <w:pPr>
              <w:pStyle w:val="Heading3"/>
              <w:jc w:val="both"/>
              <w:outlineLvl w:val="2"/>
              <w:rPr>
                <w:rFonts w:ascii="Times New Roman" w:hAnsi="Times New Roman" w:cs="Times New Roman"/>
              </w:rPr>
            </w:pPr>
            <w:r w:rsidRPr="00DE05E9">
              <w:rPr>
                <w:rFonts w:ascii="Times New Roman" w:hAnsi="Times New Roman" w:cs="Times New Roman"/>
              </w:rPr>
              <w:t>V</w:t>
            </w:r>
            <w:r w:rsidR="005F0ADF" w:rsidRPr="00DE05E9">
              <w:rPr>
                <w:rFonts w:ascii="Times New Roman" w:hAnsi="Times New Roman" w:cs="Times New Roman"/>
              </w:rPr>
              <w:t xml:space="preserve">.1.2. </w:t>
            </w:r>
            <w:r w:rsidR="0037143F" w:rsidRPr="00DE05E9">
              <w:rPr>
                <w:rFonts w:ascii="Times New Roman" w:hAnsi="Times New Roman" w:cs="Times New Roman"/>
              </w:rPr>
              <w:t>Supporting documents</w:t>
            </w:r>
          </w:p>
        </w:tc>
        <w:tc>
          <w:tcPr>
            <w:tcW w:w="4477" w:type="pct"/>
          </w:tcPr>
          <w:p w14:paraId="7FE0DDBA" w14:textId="77777777" w:rsidR="005F0ADF" w:rsidRPr="00DE05E9" w:rsidRDefault="005F0ADF" w:rsidP="00FB71FD">
            <w:pPr>
              <w:jc w:val="both"/>
              <w:rPr>
                <w:rFonts w:ascii="Times New Roman" w:hAnsi="Times New Roman" w:cs="Times New Roman"/>
                <w:i/>
              </w:rPr>
            </w:pPr>
          </w:p>
        </w:tc>
      </w:tr>
      <w:tr w:rsidR="005F0ADF" w:rsidRPr="00DE05E9" w14:paraId="0FD36345" w14:textId="77777777" w:rsidTr="00205FF9">
        <w:tc>
          <w:tcPr>
            <w:tcW w:w="523" w:type="pct"/>
          </w:tcPr>
          <w:p w14:paraId="5A048C62" w14:textId="048B32BA" w:rsidR="005F0ADF" w:rsidRPr="00DE05E9" w:rsidRDefault="005F0ADF" w:rsidP="00FB71FD">
            <w:pPr>
              <w:pStyle w:val="Heading3"/>
              <w:jc w:val="both"/>
              <w:outlineLvl w:val="2"/>
              <w:rPr>
                <w:rFonts w:ascii="Times New Roman" w:hAnsi="Times New Roman" w:cs="Times New Roman"/>
                <w:b w:val="0"/>
              </w:rPr>
            </w:pPr>
            <w:r w:rsidRPr="00DE05E9">
              <w:rPr>
                <w:rFonts w:ascii="Times New Roman" w:hAnsi="Times New Roman" w:cs="Times New Roman"/>
                <w:b w:val="0"/>
              </w:rPr>
              <w:t xml:space="preserve">Please report any available evidence or supporting document </w:t>
            </w:r>
            <w:r w:rsidR="006753EC" w:rsidRPr="00DE05E9">
              <w:rPr>
                <w:rFonts w:ascii="Times New Roman" w:hAnsi="Times New Roman" w:cs="Times New Roman"/>
                <w:b w:val="0"/>
              </w:rPr>
              <w:t xml:space="preserve">for point </w:t>
            </w:r>
            <w:r w:rsidR="00426F49" w:rsidRPr="00DE05E9">
              <w:rPr>
                <w:rFonts w:ascii="Times New Roman" w:hAnsi="Times New Roman" w:cs="Times New Roman"/>
                <w:b w:val="0"/>
              </w:rPr>
              <w:t>V</w:t>
            </w:r>
            <w:r w:rsidR="006753EC" w:rsidRPr="00DE05E9">
              <w:rPr>
                <w:rFonts w:ascii="Times New Roman" w:hAnsi="Times New Roman" w:cs="Times New Roman"/>
                <w:b w:val="0"/>
              </w:rPr>
              <w:t xml:space="preserve">.1, </w:t>
            </w:r>
            <w:r w:rsidRPr="00DE05E9">
              <w:rPr>
                <w:rFonts w:ascii="Times New Roman" w:hAnsi="Times New Roman" w:cs="Times New Roman"/>
                <w:b w:val="0"/>
              </w:rPr>
              <w:t xml:space="preserve">illustrating the measures, achievements or challenges </w:t>
            </w:r>
            <w:r w:rsidRPr="00DE05E9">
              <w:rPr>
                <w:rFonts w:ascii="Times New Roman" w:hAnsi="Times New Roman" w:cs="Times New Roman"/>
                <w:b w:val="0"/>
              </w:rPr>
              <w:lastRenderedPageBreak/>
              <w:t xml:space="preserve">faced, relating to the </w:t>
            </w:r>
            <w:r w:rsidR="00C96DD0" w:rsidRPr="00DE05E9">
              <w:rPr>
                <w:rFonts w:ascii="Times New Roman" w:hAnsi="Times New Roman" w:cs="Times New Roman"/>
                <w:b w:val="0"/>
              </w:rPr>
              <w:t>promotion</w:t>
            </w:r>
            <w:r w:rsidRPr="00DE05E9">
              <w:rPr>
                <w:rFonts w:ascii="Times New Roman" w:hAnsi="Times New Roman" w:cs="Times New Roman"/>
                <w:b w:val="0"/>
              </w:rPr>
              <w:t xml:space="preserve"> of </w:t>
            </w:r>
            <w:r w:rsidR="003236CE" w:rsidRPr="00DE05E9">
              <w:rPr>
                <w:rFonts w:ascii="Times New Roman" w:hAnsi="Times New Roman" w:cs="Times New Roman"/>
                <w:b w:val="0"/>
              </w:rPr>
              <w:t>green public</w:t>
            </w:r>
            <w:r w:rsidRPr="00DE05E9">
              <w:rPr>
                <w:rFonts w:ascii="Times New Roman" w:hAnsi="Times New Roman" w:cs="Times New Roman"/>
                <w:b w:val="0"/>
              </w:rPr>
              <w:t xml:space="preserve"> procurement. </w:t>
            </w:r>
          </w:p>
        </w:tc>
        <w:tc>
          <w:tcPr>
            <w:tcW w:w="4477" w:type="pct"/>
          </w:tcPr>
          <w:p w14:paraId="3DD77BAD" w14:textId="05DF7B7A" w:rsidR="002A1707" w:rsidRPr="00DE05E9" w:rsidRDefault="002A1707" w:rsidP="00FB71FD">
            <w:pPr>
              <w:jc w:val="both"/>
              <w:rPr>
                <w:rFonts w:ascii="Times New Roman" w:hAnsi="Times New Roman" w:cs="Times New Roman"/>
              </w:rPr>
            </w:pPr>
            <w:r w:rsidRPr="00DE05E9">
              <w:rPr>
                <w:rFonts w:ascii="Times New Roman" w:hAnsi="Times New Roman" w:cs="Times New Roman"/>
              </w:rPr>
              <w:lastRenderedPageBreak/>
              <w:t>Veiktie pasākumi, kas saistīt</w:t>
            </w:r>
            <w:r w:rsidR="00491A7C">
              <w:rPr>
                <w:rFonts w:ascii="Times New Roman" w:hAnsi="Times New Roman" w:cs="Times New Roman"/>
              </w:rPr>
              <w:t>i</w:t>
            </w:r>
            <w:r w:rsidRPr="00DE05E9">
              <w:rPr>
                <w:rFonts w:ascii="Times New Roman" w:hAnsi="Times New Roman" w:cs="Times New Roman"/>
              </w:rPr>
              <w:t xml:space="preserve"> ar videi draudzīgu publisko iepirkumu.</w:t>
            </w:r>
          </w:p>
          <w:p w14:paraId="20887BD7" w14:textId="77777777" w:rsidR="002A1707" w:rsidRPr="00DE05E9" w:rsidRDefault="002A1707" w:rsidP="00FB71FD">
            <w:pPr>
              <w:ind w:left="360"/>
              <w:jc w:val="both"/>
              <w:rPr>
                <w:rFonts w:ascii="Times New Roman" w:hAnsi="Times New Roman" w:cs="Times New Roman"/>
              </w:rPr>
            </w:pPr>
          </w:p>
          <w:p w14:paraId="2AC087C6" w14:textId="2B2542EA" w:rsidR="00573749" w:rsidRPr="00DE05E9" w:rsidRDefault="00573749" w:rsidP="00FB71FD">
            <w:pPr>
              <w:pStyle w:val="ListParagraph"/>
              <w:numPr>
                <w:ilvl w:val="0"/>
                <w:numId w:val="20"/>
              </w:numPr>
              <w:jc w:val="both"/>
              <w:rPr>
                <w:rFonts w:ascii="Times New Roman" w:hAnsi="Times New Roman" w:cs="Times New Roman"/>
              </w:rPr>
            </w:pPr>
            <w:r w:rsidRPr="00DE05E9">
              <w:rPr>
                <w:rFonts w:ascii="Times New Roman" w:hAnsi="Times New Roman" w:cs="Times New Roman"/>
              </w:rPr>
              <w:t>Publisko iepirkumu likuma 1.pant</w:t>
            </w:r>
            <w:r w:rsidR="00922A05" w:rsidRPr="00DE05E9">
              <w:rPr>
                <w:rFonts w:ascii="Times New Roman" w:hAnsi="Times New Roman" w:cs="Times New Roman"/>
              </w:rPr>
              <w:t>a 34.punkt</w:t>
            </w:r>
            <w:r w:rsidR="00CD397D" w:rsidRPr="00DE05E9">
              <w:rPr>
                <w:rFonts w:ascii="Times New Roman" w:hAnsi="Times New Roman" w:cs="Times New Roman"/>
              </w:rPr>
              <w:t>ā ir definēts zaļai</w:t>
            </w:r>
            <w:r w:rsidR="00491A7C">
              <w:rPr>
                <w:rFonts w:ascii="Times New Roman" w:hAnsi="Times New Roman" w:cs="Times New Roman"/>
              </w:rPr>
              <w:t>s</w:t>
            </w:r>
            <w:r w:rsidR="00CD397D" w:rsidRPr="00DE05E9">
              <w:rPr>
                <w:rFonts w:ascii="Times New Roman" w:hAnsi="Times New Roman" w:cs="Times New Roman"/>
              </w:rPr>
              <w:t xml:space="preserve"> publiskais iepirkums - </w:t>
            </w:r>
            <w:r w:rsidR="00922A05" w:rsidRPr="00DE05E9">
              <w:rPr>
                <w:rFonts w:ascii="Times New Roman" w:hAnsi="Times New Roman" w:cs="Times New Roman"/>
              </w:rPr>
              <w:t xml:space="preserve"> </w:t>
            </w:r>
            <w:r w:rsidR="00CD397D" w:rsidRPr="00DE05E9">
              <w:rPr>
                <w:rFonts w:ascii="Times New Roman" w:hAnsi="Times New Roman" w:cs="Times New Roman"/>
              </w:rPr>
              <w:t>tādu preču, pakalpojumu un būvdarbu iepirkums, kuru ietekme uz vidi to aprites ciklā ir mazāka nekā precēm, pakalpojumiem un būvdarbiem ar tādu pašu lietojuma mērķi, kas iegādāti, nepiemērojot zaļā publiskā iepirkuma principus</w:t>
            </w:r>
            <w:r w:rsidR="002A1707" w:rsidRPr="00DE05E9">
              <w:rPr>
                <w:rFonts w:ascii="Times New Roman" w:hAnsi="Times New Roman" w:cs="Times New Roman"/>
              </w:rPr>
              <w:t>;</w:t>
            </w:r>
          </w:p>
          <w:p w14:paraId="622A933C" w14:textId="428CEE03" w:rsidR="002A1707" w:rsidRPr="00DE05E9" w:rsidRDefault="002A1707" w:rsidP="00FB71FD">
            <w:pPr>
              <w:pStyle w:val="ListParagraph"/>
              <w:numPr>
                <w:ilvl w:val="0"/>
                <w:numId w:val="20"/>
              </w:numPr>
              <w:jc w:val="both"/>
              <w:rPr>
                <w:rFonts w:ascii="Times New Roman" w:hAnsi="Times New Roman" w:cs="Times New Roman"/>
              </w:rPr>
            </w:pPr>
            <w:r w:rsidRPr="00DE05E9">
              <w:rPr>
                <w:rFonts w:ascii="Times New Roman" w:hAnsi="Times New Roman" w:cs="Times New Roman"/>
              </w:rPr>
              <w:t xml:space="preserve">2015.gadā izstrādāts Zaļā iepirkuma veicināšanas plāns 2015.-2017.gadam, nosakot, ka 2015.gada beigās zaļā iepirkumā iegādāto preču un pakalpojumu apjomama jāsasniedz vismaz 15% finasiālajā izteiksmē no kopējā valsts un pašvaldību iestāžu veikto iepirkumu apjoma. </w:t>
            </w:r>
            <w:hyperlink r:id="rId25" w:history="1">
              <w:r w:rsidRPr="00DE05E9">
                <w:rPr>
                  <w:rStyle w:val="Hyperlink"/>
                  <w:rFonts w:ascii="Times New Roman" w:hAnsi="Times New Roman" w:cs="Times New Roman"/>
                </w:rPr>
                <w:t>http://www.varam.gov.lv/eng/darbibas_veidi/green_public_procurement/</w:t>
              </w:r>
            </w:hyperlink>
          </w:p>
          <w:p w14:paraId="6B8EA2BF" w14:textId="73311329" w:rsidR="00573749" w:rsidRPr="00491A7C" w:rsidRDefault="00573749" w:rsidP="00491A7C">
            <w:pPr>
              <w:pStyle w:val="ListParagraph"/>
              <w:numPr>
                <w:ilvl w:val="0"/>
                <w:numId w:val="20"/>
              </w:numPr>
              <w:jc w:val="both"/>
              <w:rPr>
                <w:rFonts w:ascii="Times New Roman" w:hAnsi="Times New Roman" w:cs="Times New Roman"/>
              </w:rPr>
            </w:pPr>
            <w:r w:rsidRPr="00DE05E9">
              <w:rPr>
                <w:rFonts w:ascii="Times New Roman" w:hAnsi="Times New Roman" w:cs="Times New Roman"/>
              </w:rPr>
              <w:t xml:space="preserve"> </w:t>
            </w:r>
            <w:r w:rsidR="00CD397D" w:rsidRPr="00DE05E9">
              <w:rPr>
                <w:rFonts w:ascii="Times New Roman" w:hAnsi="Times New Roman" w:cs="Times New Roman"/>
              </w:rPr>
              <w:t>Tika pieņemt</w:t>
            </w:r>
            <w:r w:rsidR="00483C87" w:rsidRPr="00DE05E9">
              <w:rPr>
                <w:rFonts w:ascii="Times New Roman" w:hAnsi="Times New Roman" w:cs="Times New Roman"/>
              </w:rPr>
              <w:t>i</w:t>
            </w:r>
            <w:r w:rsidR="00CD397D" w:rsidRPr="00DE05E9">
              <w:rPr>
                <w:rFonts w:ascii="Times New Roman" w:hAnsi="Times New Roman" w:cs="Times New Roman"/>
              </w:rPr>
              <w:t xml:space="preserve"> </w:t>
            </w:r>
            <w:r w:rsidR="002A1707" w:rsidRPr="00DE05E9">
              <w:rPr>
                <w:rFonts w:ascii="Times New Roman" w:hAnsi="Times New Roman" w:cs="Times New Roman"/>
              </w:rPr>
              <w:t>M</w:t>
            </w:r>
            <w:r w:rsidR="00CD397D" w:rsidRPr="00DE05E9">
              <w:rPr>
                <w:rFonts w:ascii="Times New Roman" w:hAnsi="Times New Roman" w:cs="Times New Roman"/>
              </w:rPr>
              <w:t>inistru kabineta</w:t>
            </w:r>
            <w:r w:rsidR="002A1707" w:rsidRPr="00DE05E9">
              <w:rPr>
                <w:rFonts w:ascii="Times New Roman" w:hAnsi="Times New Roman" w:cs="Times New Roman"/>
              </w:rPr>
              <w:t xml:space="preserve"> </w:t>
            </w:r>
            <w:r w:rsidR="00CD397D" w:rsidRPr="00DE05E9">
              <w:rPr>
                <w:rFonts w:ascii="Times New Roman" w:hAnsi="Times New Roman" w:cs="Times New Roman"/>
              </w:rPr>
              <w:t xml:space="preserve">2017.gada 20.jūnija </w:t>
            </w:r>
            <w:r w:rsidR="002A1707" w:rsidRPr="00DE05E9">
              <w:rPr>
                <w:rFonts w:ascii="Times New Roman" w:hAnsi="Times New Roman" w:cs="Times New Roman"/>
              </w:rPr>
              <w:t xml:space="preserve">noteikumi Nr.353 “Prasības zaļajam publiskajam iepirkumam un to piemērošanas kārtība”. </w:t>
            </w:r>
            <w:r w:rsidR="00CD397D" w:rsidRPr="00DE05E9">
              <w:rPr>
                <w:rFonts w:ascii="Times New Roman" w:hAnsi="Times New Roman" w:cs="Times New Roman"/>
              </w:rPr>
              <w:t>Minēto</w:t>
            </w:r>
            <w:r w:rsidR="002A1707" w:rsidRPr="00DE05E9">
              <w:rPr>
                <w:rFonts w:ascii="Times New Roman" w:hAnsi="Times New Roman" w:cs="Times New Roman"/>
              </w:rPr>
              <w:t xml:space="preserve"> noteikumu 1.pielikums nosaka obligāti piemērojamās preču un pakalpojumu grupas valsts un </w:t>
            </w:r>
            <w:r w:rsidR="002A1707" w:rsidRPr="00DE05E9">
              <w:rPr>
                <w:rFonts w:ascii="Times New Roman" w:hAnsi="Times New Roman" w:cs="Times New Roman"/>
              </w:rPr>
              <w:lastRenderedPageBreak/>
              <w:t>pašvaldību iepirkumos.</w:t>
            </w:r>
            <w:r w:rsidR="00491A7C">
              <w:rPr>
                <w:rFonts w:ascii="Times New Roman" w:hAnsi="Times New Roman" w:cs="Times New Roman"/>
              </w:rPr>
              <w:t xml:space="preserve"> I</w:t>
            </w:r>
            <w:r w:rsidR="002A1707" w:rsidRPr="00491A7C">
              <w:rPr>
                <w:rFonts w:ascii="Times New Roman" w:hAnsi="Times New Roman" w:cs="Times New Roman"/>
              </w:rPr>
              <w:t>r noteiktas 7 preču un pakalpojumu grupas, kurām obligāti jāpiemēro zaļais publiskais iepirkums, un 14 preču grupas, kurām tas jāpiemēro brīvprātīgi.</w:t>
            </w:r>
            <w:r w:rsidR="002A1707" w:rsidRPr="00491A7C">
              <w:rPr>
                <w:rFonts w:ascii="Times New Roman" w:hAnsi="Times New Roman" w:cs="Times New Roman"/>
                <w:color w:val="FF0000"/>
              </w:rPr>
              <w:t xml:space="preserve"> </w:t>
            </w:r>
            <w:r w:rsidR="002A1707" w:rsidRPr="00491A7C">
              <w:rPr>
                <w:rFonts w:ascii="Times New Roman" w:hAnsi="Times New Roman" w:cs="Times New Roman"/>
              </w:rPr>
              <w:t>1. un 2. Pielikums nosaka kādas prasības, kritēriju un līguma izpildes noteikumi, jāiekļauj atbilstošo preču un pakalpojumu iepirkumu dokumentācijā. Papildus, Vides aizsardzības un reģionālās attīstības ministrijas mājas lapā (</w:t>
            </w:r>
            <w:hyperlink r:id="rId26" w:history="1">
              <w:r w:rsidR="002A1707" w:rsidRPr="00491A7C">
                <w:rPr>
                  <w:rStyle w:val="Hyperlink"/>
                  <w:rFonts w:ascii="Times New Roman" w:hAnsi="Times New Roman" w:cs="Times New Roman"/>
                </w:rPr>
                <w:t>http://www.varam.gov.lv/lat/darbibas_veidi/zalais_publiskais_iepirkums/</w:t>
              </w:r>
            </w:hyperlink>
            <w:r w:rsidR="002A1707" w:rsidRPr="00491A7C">
              <w:rPr>
                <w:rFonts w:ascii="Times New Roman" w:hAnsi="Times New Roman" w:cs="Times New Roman"/>
              </w:rPr>
              <w:t>) ir pieejam</w:t>
            </w:r>
            <w:r w:rsidR="00B51D1E" w:rsidRPr="00491A7C">
              <w:rPr>
                <w:rFonts w:ascii="Times New Roman" w:hAnsi="Times New Roman" w:cs="Times New Roman"/>
              </w:rPr>
              <w:t>i</w:t>
            </w:r>
            <w:r w:rsidR="002A1707" w:rsidRPr="00491A7C">
              <w:rPr>
                <w:rFonts w:ascii="Times New Roman" w:hAnsi="Times New Roman" w:cs="Times New Roman"/>
              </w:rPr>
              <w:t xml:space="preserve"> </w:t>
            </w:r>
            <w:r w:rsidR="00B51D1E" w:rsidRPr="00491A7C">
              <w:rPr>
                <w:rFonts w:ascii="Times New Roman" w:hAnsi="Times New Roman" w:cs="Times New Roman"/>
              </w:rPr>
              <w:t>skaidrojumi</w:t>
            </w:r>
            <w:r w:rsidR="002A1707" w:rsidRPr="00491A7C">
              <w:rPr>
                <w:rFonts w:ascii="Times New Roman" w:hAnsi="Times New Roman" w:cs="Times New Roman"/>
              </w:rPr>
              <w:t xml:space="preserve">. </w:t>
            </w:r>
            <w:r w:rsidR="00B51D1E" w:rsidRPr="00491A7C">
              <w:rPr>
                <w:rFonts w:ascii="Times New Roman" w:hAnsi="Times New Roman" w:cs="Times New Roman"/>
              </w:rPr>
              <w:t>Ministru kabienta 2017.gada 20.jūnija noteikumi Nr.353 “Prasības zaļajam publiskajam iepirkumam un to piemērošanas kārtība”</w:t>
            </w:r>
            <w:r w:rsidR="002A1707" w:rsidRPr="00491A7C">
              <w:rPr>
                <w:rFonts w:ascii="Times New Roman" w:hAnsi="Times New Roman" w:cs="Times New Roman"/>
              </w:rPr>
              <w:t>aptver sekojošas preču, pakalpojumu un būvdarbu kategorijas:</w:t>
            </w:r>
          </w:p>
          <w:p w14:paraId="453FA9EE" w14:textId="2BF71EA8" w:rsidR="00573749" w:rsidRPr="00DE05E9" w:rsidRDefault="00573749" w:rsidP="00FB71FD">
            <w:pPr>
              <w:jc w:val="both"/>
              <w:rPr>
                <w:rFonts w:ascii="Times New Roman" w:hAnsi="Times New Roman" w:cs="Times New Roman"/>
                <w:u w:val="single"/>
              </w:rPr>
            </w:pPr>
            <w:r w:rsidRPr="00DE05E9">
              <w:rPr>
                <w:rFonts w:ascii="Times New Roman" w:hAnsi="Times New Roman" w:cs="Times New Roman"/>
                <w:u w:val="single"/>
              </w:rPr>
              <w:t>Preču un pakalpojumu grupas</w:t>
            </w:r>
            <w:r w:rsidR="00483C87" w:rsidRPr="00DE05E9">
              <w:rPr>
                <w:rFonts w:ascii="Times New Roman" w:hAnsi="Times New Roman" w:cs="Times New Roman"/>
                <w:u w:val="single"/>
              </w:rPr>
              <w:t>,</w:t>
            </w:r>
            <w:r w:rsidRPr="00DE05E9">
              <w:rPr>
                <w:rFonts w:ascii="Times New Roman" w:hAnsi="Times New Roman" w:cs="Times New Roman"/>
                <w:u w:val="single"/>
              </w:rPr>
              <w:t xml:space="preserve"> kam valsts un pašvaldību iestāžu iepirkumos Zaļais publiskais iepirkums piemērojams obligāti:</w:t>
            </w:r>
          </w:p>
          <w:p w14:paraId="3666ED46" w14:textId="77777777" w:rsidR="00573749" w:rsidRPr="00DE05E9" w:rsidRDefault="00573749" w:rsidP="00FB71FD">
            <w:pPr>
              <w:ind w:left="360"/>
              <w:jc w:val="both"/>
              <w:rPr>
                <w:rFonts w:ascii="Times New Roman" w:hAnsi="Times New Roman" w:cs="Times New Roman"/>
              </w:rPr>
            </w:pPr>
            <w:r w:rsidRPr="00DE05E9">
              <w:rPr>
                <w:rFonts w:ascii="Times New Roman" w:hAnsi="Times New Roman" w:cs="Times New Roman"/>
              </w:rPr>
              <w:t xml:space="preserve">1. Biroja papīrs. </w:t>
            </w:r>
          </w:p>
          <w:p w14:paraId="25A959CB" w14:textId="77777777" w:rsidR="00573749" w:rsidRPr="00DE05E9" w:rsidRDefault="00573749" w:rsidP="00FB71FD">
            <w:pPr>
              <w:ind w:left="360"/>
              <w:jc w:val="both"/>
              <w:rPr>
                <w:rFonts w:ascii="Times New Roman" w:hAnsi="Times New Roman" w:cs="Times New Roman"/>
              </w:rPr>
            </w:pPr>
            <w:r w:rsidRPr="00DE05E9">
              <w:rPr>
                <w:rFonts w:ascii="Times New Roman" w:hAnsi="Times New Roman" w:cs="Times New Roman"/>
              </w:rPr>
              <w:t>2. Drukas iekārtas.</w:t>
            </w:r>
          </w:p>
          <w:p w14:paraId="6CE67F89" w14:textId="77777777" w:rsidR="00573749" w:rsidRPr="00DE05E9" w:rsidRDefault="00573749" w:rsidP="00FB71FD">
            <w:pPr>
              <w:ind w:left="360"/>
              <w:jc w:val="both"/>
              <w:rPr>
                <w:rFonts w:ascii="Times New Roman" w:hAnsi="Times New Roman" w:cs="Times New Roman"/>
              </w:rPr>
            </w:pPr>
            <w:r w:rsidRPr="00DE05E9">
              <w:rPr>
                <w:rFonts w:ascii="Times New Roman" w:hAnsi="Times New Roman" w:cs="Times New Roman"/>
              </w:rPr>
              <w:t>3. Datortehnika un informācijas un komunikācijas tehnoloģiju (IKT) infrastruktūra.</w:t>
            </w:r>
          </w:p>
          <w:p w14:paraId="61B78CD9" w14:textId="77777777" w:rsidR="00573749" w:rsidRPr="00DE05E9" w:rsidRDefault="00573749" w:rsidP="00FB71FD">
            <w:pPr>
              <w:ind w:left="360"/>
              <w:jc w:val="both"/>
              <w:rPr>
                <w:rFonts w:ascii="Times New Roman" w:hAnsi="Times New Roman" w:cs="Times New Roman"/>
              </w:rPr>
            </w:pPr>
            <w:r w:rsidRPr="00DE05E9">
              <w:rPr>
                <w:rFonts w:ascii="Times New Roman" w:hAnsi="Times New Roman" w:cs="Times New Roman"/>
              </w:rPr>
              <w:t>4. Pārtika un ēdināšanas pakalpojumi.</w:t>
            </w:r>
          </w:p>
          <w:p w14:paraId="59A35831" w14:textId="77777777" w:rsidR="00573749" w:rsidRPr="00DE05E9" w:rsidRDefault="00573749" w:rsidP="00FB71FD">
            <w:pPr>
              <w:ind w:left="360"/>
              <w:jc w:val="both"/>
              <w:rPr>
                <w:rFonts w:ascii="Times New Roman" w:hAnsi="Times New Roman" w:cs="Times New Roman"/>
              </w:rPr>
            </w:pPr>
            <w:r w:rsidRPr="00DE05E9">
              <w:rPr>
                <w:rFonts w:ascii="Times New Roman" w:hAnsi="Times New Roman" w:cs="Times New Roman"/>
              </w:rPr>
              <w:t>5. Tīrīšanas līdzekļi un pakalpojumi.</w:t>
            </w:r>
          </w:p>
          <w:p w14:paraId="6A7B3733" w14:textId="77777777" w:rsidR="00573749" w:rsidRPr="00DE05E9" w:rsidRDefault="00573749" w:rsidP="00FB71FD">
            <w:pPr>
              <w:ind w:left="360"/>
              <w:jc w:val="both"/>
              <w:rPr>
                <w:rFonts w:ascii="Times New Roman" w:hAnsi="Times New Roman" w:cs="Times New Roman"/>
              </w:rPr>
            </w:pPr>
            <w:r w:rsidRPr="00DE05E9">
              <w:rPr>
                <w:rFonts w:ascii="Times New Roman" w:hAnsi="Times New Roman" w:cs="Times New Roman"/>
              </w:rPr>
              <w:t>6. Iekštelpu apgaismojums.</w:t>
            </w:r>
          </w:p>
          <w:p w14:paraId="140192D8" w14:textId="77777777" w:rsidR="00573749" w:rsidRPr="00DE05E9" w:rsidRDefault="00573749" w:rsidP="00FB71FD">
            <w:pPr>
              <w:ind w:left="360"/>
              <w:jc w:val="both"/>
              <w:rPr>
                <w:rFonts w:ascii="Times New Roman" w:hAnsi="Times New Roman" w:cs="Times New Roman"/>
              </w:rPr>
            </w:pPr>
            <w:r w:rsidRPr="00DE05E9">
              <w:rPr>
                <w:rFonts w:ascii="Times New Roman" w:hAnsi="Times New Roman" w:cs="Times New Roman"/>
              </w:rPr>
              <w:t>7. Ielu apgaismojums un satiksmes signāli.</w:t>
            </w:r>
          </w:p>
          <w:p w14:paraId="7A3DE080" w14:textId="0CD50F3B" w:rsidR="00573749" w:rsidRPr="00DE05E9" w:rsidRDefault="00573749" w:rsidP="00FB71FD">
            <w:pPr>
              <w:jc w:val="both"/>
              <w:rPr>
                <w:rFonts w:ascii="Times New Roman" w:hAnsi="Times New Roman" w:cs="Times New Roman"/>
                <w:u w:val="single"/>
              </w:rPr>
            </w:pPr>
            <w:r w:rsidRPr="00DE05E9">
              <w:rPr>
                <w:rFonts w:ascii="Times New Roman" w:hAnsi="Times New Roman" w:cs="Times New Roman"/>
                <w:u w:val="single"/>
              </w:rPr>
              <w:t>Būvdarbi un preču un pakalpojumu grupas, kurām noteiktas ZPI prasības un  kritēriji</w:t>
            </w:r>
            <w:r w:rsidR="0085543F" w:rsidRPr="00DE05E9">
              <w:rPr>
                <w:rFonts w:ascii="Times New Roman" w:hAnsi="Times New Roman" w:cs="Times New Roman"/>
                <w:u w:val="single"/>
              </w:rPr>
              <w:t>:</w:t>
            </w:r>
          </w:p>
          <w:p w14:paraId="32DA8F61" w14:textId="03F6F80F" w:rsidR="00573749" w:rsidRPr="00DE05E9" w:rsidRDefault="00573749" w:rsidP="00FB71FD">
            <w:pPr>
              <w:ind w:left="360"/>
              <w:jc w:val="both"/>
              <w:rPr>
                <w:rFonts w:ascii="Times New Roman" w:hAnsi="Times New Roman" w:cs="Times New Roman"/>
              </w:rPr>
            </w:pPr>
            <w:r w:rsidRPr="00DE05E9">
              <w:rPr>
                <w:rFonts w:ascii="Times New Roman" w:hAnsi="Times New Roman" w:cs="Times New Roman"/>
              </w:rPr>
              <w:t>1.Būvdarbi (biroju ēkas)</w:t>
            </w:r>
            <w:r w:rsidR="0085543F" w:rsidRPr="00DE05E9">
              <w:rPr>
                <w:rFonts w:ascii="Times New Roman" w:hAnsi="Times New Roman" w:cs="Times New Roman"/>
              </w:rPr>
              <w:t>.</w:t>
            </w:r>
          </w:p>
          <w:p w14:paraId="05BB3FE7" w14:textId="51E026D6" w:rsidR="00573749" w:rsidRPr="00DE05E9" w:rsidRDefault="00573749" w:rsidP="00FB71FD">
            <w:pPr>
              <w:ind w:left="360"/>
              <w:jc w:val="both"/>
              <w:rPr>
                <w:rFonts w:ascii="Times New Roman" w:hAnsi="Times New Roman" w:cs="Times New Roman"/>
              </w:rPr>
            </w:pPr>
            <w:r w:rsidRPr="00DE05E9">
              <w:rPr>
                <w:rFonts w:ascii="Times New Roman" w:hAnsi="Times New Roman" w:cs="Times New Roman"/>
              </w:rPr>
              <w:t>2. Ceļu būve un satiksmes zīmes</w:t>
            </w:r>
            <w:r w:rsidR="0085543F" w:rsidRPr="00DE05E9">
              <w:rPr>
                <w:rFonts w:ascii="Times New Roman" w:hAnsi="Times New Roman" w:cs="Times New Roman"/>
              </w:rPr>
              <w:t>.</w:t>
            </w:r>
          </w:p>
          <w:p w14:paraId="7B8F3537" w14:textId="236DCA47" w:rsidR="00573749" w:rsidRPr="00DE05E9" w:rsidRDefault="00573749" w:rsidP="00FB71FD">
            <w:pPr>
              <w:ind w:left="360"/>
              <w:jc w:val="both"/>
              <w:rPr>
                <w:rFonts w:ascii="Times New Roman" w:hAnsi="Times New Roman" w:cs="Times New Roman"/>
              </w:rPr>
            </w:pPr>
            <w:r w:rsidRPr="00DE05E9">
              <w:rPr>
                <w:rFonts w:ascii="Times New Roman" w:hAnsi="Times New Roman" w:cs="Times New Roman"/>
              </w:rPr>
              <w:t>3. Ūdens sildītāji siltuma ražošanai</w:t>
            </w:r>
            <w:r w:rsidR="0085543F" w:rsidRPr="00DE05E9">
              <w:rPr>
                <w:rFonts w:ascii="Times New Roman" w:hAnsi="Times New Roman" w:cs="Times New Roman"/>
              </w:rPr>
              <w:t>.</w:t>
            </w:r>
          </w:p>
          <w:p w14:paraId="3FF976F1" w14:textId="5E7B5AC3" w:rsidR="00573749" w:rsidRPr="00DE05E9" w:rsidRDefault="00573749" w:rsidP="00FB71FD">
            <w:pPr>
              <w:ind w:left="360"/>
              <w:jc w:val="both"/>
              <w:rPr>
                <w:rFonts w:ascii="Times New Roman" w:hAnsi="Times New Roman" w:cs="Times New Roman"/>
              </w:rPr>
            </w:pPr>
            <w:r w:rsidRPr="00DE05E9">
              <w:rPr>
                <w:rFonts w:ascii="Times New Roman" w:hAnsi="Times New Roman" w:cs="Times New Roman"/>
              </w:rPr>
              <w:t>4. Dārzkopības produkti un pakalpojumi</w:t>
            </w:r>
            <w:r w:rsidR="0085543F" w:rsidRPr="00DE05E9">
              <w:rPr>
                <w:rFonts w:ascii="Times New Roman" w:hAnsi="Times New Roman" w:cs="Times New Roman"/>
              </w:rPr>
              <w:t>.</w:t>
            </w:r>
          </w:p>
          <w:p w14:paraId="6054CE0C" w14:textId="46EE9E80" w:rsidR="00573749" w:rsidRPr="00DE05E9" w:rsidRDefault="00573749" w:rsidP="00FB71FD">
            <w:pPr>
              <w:ind w:left="360"/>
              <w:jc w:val="both"/>
              <w:rPr>
                <w:rFonts w:ascii="Times New Roman" w:hAnsi="Times New Roman" w:cs="Times New Roman"/>
              </w:rPr>
            </w:pPr>
            <w:r w:rsidRPr="00DE05E9">
              <w:rPr>
                <w:rFonts w:ascii="Times New Roman" w:hAnsi="Times New Roman" w:cs="Times New Roman"/>
              </w:rPr>
              <w:t>5. Elektroenerģija</w:t>
            </w:r>
            <w:r w:rsidR="0085543F" w:rsidRPr="00DE05E9">
              <w:rPr>
                <w:rFonts w:ascii="Times New Roman" w:hAnsi="Times New Roman" w:cs="Times New Roman"/>
              </w:rPr>
              <w:t>.</w:t>
            </w:r>
          </w:p>
          <w:p w14:paraId="30717BAD" w14:textId="29EFD3F0" w:rsidR="00573749" w:rsidRPr="00DE05E9" w:rsidRDefault="00573749" w:rsidP="00FB71FD">
            <w:pPr>
              <w:ind w:left="360"/>
              <w:jc w:val="both"/>
              <w:rPr>
                <w:rFonts w:ascii="Times New Roman" w:hAnsi="Times New Roman" w:cs="Times New Roman"/>
              </w:rPr>
            </w:pPr>
            <w:r w:rsidRPr="00DE05E9">
              <w:rPr>
                <w:rFonts w:ascii="Times New Roman" w:hAnsi="Times New Roman" w:cs="Times New Roman"/>
              </w:rPr>
              <w:t>6. Klozetpodi un pisuāri</w:t>
            </w:r>
            <w:r w:rsidR="0085543F" w:rsidRPr="00DE05E9">
              <w:rPr>
                <w:rFonts w:ascii="Times New Roman" w:hAnsi="Times New Roman" w:cs="Times New Roman"/>
              </w:rPr>
              <w:t>.</w:t>
            </w:r>
          </w:p>
          <w:p w14:paraId="0CA2631C" w14:textId="0CA93AFD" w:rsidR="00573749" w:rsidRPr="00DE05E9" w:rsidRDefault="00573749" w:rsidP="00FB71FD">
            <w:pPr>
              <w:ind w:left="360"/>
              <w:jc w:val="both"/>
              <w:rPr>
                <w:rFonts w:ascii="Times New Roman" w:hAnsi="Times New Roman" w:cs="Times New Roman"/>
              </w:rPr>
            </w:pPr>
            <w:r w:rsidRPr="00DE05E9">
              <w:rPr>
                <w:rFonts w:ascii="Times New Roman" w:hAnsi="Times New Roman" w:cs="Times New Roman"/>
              </w:rPr>
              <w:t>7. Koģenerācijas iekārtas</w:t>
            </w:r>
            <w:r w:rsidR="0085543F" w:rsidRPr="00DE05E9">
              <w:rPr>
                <w:rFonts w:ascii="Times New Roman" w:hAnsi="Times New Roman" w:cs="Times New Roman"/>
              </w:rPr>
              <w:t>.</w:t>
            </w:r>
          </w:p>
          <w:p w14:paraId="4CC0D2AF" w14:textId="262A8AEF" w:rsidR="00573749" w:rsidRPr="00DE05E9" w:rsidRDefault="00573749" w:rsidP="00FB71FD">
            <w:pPr>
              <w:ind w:left="360"/>
              <w:jc w:val="both"/>
              <w:rPr>
                <w:rFonts w:ascii="Times New Roman" w:hAnsi="Times New Roman" w:cs="Times New Roman"/>
              </w:rPr>
            </w:pPr>
            <w:r w:rsidRPr="00DE05E9">
              <w:rPr>
                <w:rFonts w:ascii="Times New Roman" w:hAnsi="Times New Roman" w:cs="Times New Roman"/>
              </w:rPr>
              <w:t>8. Mēbeles</w:t>
            </w:r>
            <w:r w:rsidR="0085543F" w:rsidRPr="00DE05E9">
              <w:rPr>
                <w:rFonts w:ascii="Times New Roman" w:hAnsi="Times New Roman" w:cs="Times New Roman"/>
              </w:rPr>
              <w:t>.</w:t>
            </w:r>
          </w:p>
          <w:p w14:paraId="1C5F4F2E" w14:textId="078869C2" w:rsidR="00573749" w:rsidRPr="00DE05E9" w:rsidRDefault="00573749" w:rsidP="00FB71FD">
            <w:pPr>
              <w:ind w:left="360"/>
              <w:jc w:val="both"/>
              <w:rPr>
                <w:rFonts w:ascii="Times New Roman" w:hAnsi="Times New Roman" w:cs="Times New Roman"/>
              </w:rPr>
            </w:pPr>
            <w:r w:rsidRPr="00DE05E9">
              <w:rPr>
                <w:rFonts w:ascii="Times New Roman" w:hAnsi="Times New Roman" w:cs="Times New Roman"/>
              </w:rPr>
              <w:t>9. Notekūdeņu infrastruktūra</w:t>
            </w:r>
            <w:r w:rsidR="0085543F" w:rsidRPr="00DE05E9">
              <w:rPr>
                <w:rFonts w:ascii="Times New Roman" w:hAnsi="Times New Roman" w:cs="Times New Roman"/>
              </w:rPr>
              <w:t>.</w:t>
            </w:r>
          </w:p>
          <w:p w14:paraId="0F6D55C1" w14:textId="1A1B06A9" w:rsidR="00573749" w:rsidRPr="00DE05E9" w:rsidRDefault="00573749" w:rsidP="00FB71FD">
            <w:pPr>
              <w:ind w:left="360"/>
              <w:jc w:val="both"/>
              <w:rPr>
                <w:rFonts w:ascii="Times New Roman" w:hAnsi="Times New Roman" w:cs="Times New Roman"/>
              </w:rPr>
            </w:pPr>
            <w:r w:rsidRPr="00DE05E9">
              <w:rPr>
                <w:rFonts w:ascii="Times New Roman" w:hAnsi="Times New Roman" w:cs="Times New Roman"/>
              </w:rPr>
              <w:t>10. Sienu paneļi</w:t>
            </w:r>
            <w:r w:rsidR="0085543F" w:rsidRPr="00DE05E9">
              <w:rPr>
                <w:rFonts w:ascii="Times New Roman" w:hAnsi="Times New Roman" w:cs="Times New Roman"/>
              </w:rPr>
              <w:t>.</w:t>
            </w:r>
          </w:p>
          <w:p w14:paraId="707F8FDF" w14:textId="7AF106AB" w:rsidR="00573749" w:rsidRPr="00DE05E9" w:rsidRDefault="00573749" w:rsidP="00FB71FD">
            <w:pPr>
              <w:ind w:left="360"/>
              <w:jc w:val="both"/>
              <w:rPr>
                <w:rFonts w:ascii="Times New Roman" w:hAnsi="Times New Roman" w:cs="Times New Roman"/>
              </w:rPr>
            </w:pPr>
            <w:r w:rsidRPr="00DE05E9">
              <w:rPr>
                <w:rFonts w:ascii="Times New Roman" w:hAnsi="Times New Roman" w:cs="Times New Roman"/>
              </w:rPr>
              <w:t>11. Izlietnes krāni, dušas uzgaļi un to aprīkojums</w:t>
            </w:r>
            <w:r w:rsidR="0085543F" w:rsidRPr="00DE05E9">
              <w:rPr>
                <w:rFonts w:ascii="Times New Roman" w:hAnsi="Times New Roman" w:cs="Times New Roman"/>
              </w:rPr>
              <w:t>.</w:t>
            </w:r>
          </w:p>
          <w:p w14:paraId="68BF5825" w14:textId="01C1A5E3" w:rsidR="00573749" w:rsidRPr="00DE05E9" w:rsidRDefault="00573749" w:rsidP="00FB71FD">
            <w:pPr>
              <w:ind w:left="360"/>
              <w:jc w:val="both"/>
              <w:rPr>
                <w:rFonts w:ascii="Times New Roman" w:hAnsi="Times New Roman" w:cs="Times New Roman"/>
              </w:rPr>
            </w:pPr>
            <w:r w:rsidRPr="00DE05E9">
              <w:rPr>
                <w:rFonts w:ascii="Times New Roman" w:hAnsi="Times New Roman" w:cs="Times New Roman"/>
              </w:rPr>
              <w:t>12. Tekstilpreces</w:t>
            </w:r>
            <w:r w:rsidR="0085543F" w:rsidRPr="00DE05E9">
              <w:rPr>
                <w:rFonts w:ascii="Times New Roman" w:hAnsi="Times New Roman" w:cs="Times New Roman"/>
              </w:rPr>
              <w:t>.</w:t>
            </w:r>
          </w:p>
          <w:p w14:paraId="0FA56048" w14:textId="5E60C207" w:rsidR="00573749" w:rsidRPr="00DE05E9" w:rsidRDefault="00573749" w:rsidP="00FB71FD">
            <w:pPr>
              <w:ind w:left="360"/>
              <w:jc w:val="both"/>
              <w:rPr>
                <w:rFonts w:ascii="Times New Roman" w:hAnsi="Times New Roman" w:cs="Times New Roman"/>
              </w:rPr>
            </w:pPr>
            <w:r w:rsidRPr="00DE05E9">
              <w:rPr>
                <w:rFonts w:ascii="Times New Roman" w:hAnsi="Times New Roman" w:cs="Times New Roman"/>
              </w:rPr>
              <w:t>13. Transports</w:t>
            </w:r>
            <w:r w:rsidR="0085543F" w:rsidRPr="00DE05E9">
              <w:rPr>
                <w:rFonts w:ascii="Times New Roman" w:hAnsi="Times New Roman" w:cs="Times New Roman"/>
              </w:rPr>
              <w:t>.</w:t>
            </w:r>
          </w:p>
          <w:p w14:paraId="566B5FA7" w14:textId="4B9C3189" w:rsidR="00573749" w:rsidRPr="00DE05E9" w:rsidRDefault="00573749" w:rsidP="00FB71FD">
            <w:pPr>
              <w:ind w:left="360"/>
              <w:jc w:val="both"/>
              <w:rPr>
                <w:rFonts w:ascii="Times New Roman" w:hAnsi="Times New Roman" w:cs="Times New Roman"/>
              </w:rPr>
            </w:pPr>
            <w:r w:rsidRPr="00DE05E9">
              <w:rPr>
                <w:rFonts w:ascii="Times New Roman" w:hAnsi="Times New Roman" w:cs="Times New Roman"/>
              </w:rPr>
              <w:t xml:space="preserve">14. Veselības aprūpes elektriskās un elektroniskās </w:t>
            </w:r>
            <w:r w:rsidR="00F22C59" w:rsidRPr="00DE05E9">
              <w:rPr>
                <w:rFonts w:ascii="Times New Roman" w:hAnsi="Times New Roman" w:cs="Times New Roman"/>
              </w:rPr>
              <w:t>iekārtas (veselības aprūpe)</w:t>
            </w:r>
            <w:r w:rsidR="0085543F" w:rsidRPr="00DE05E9">
              <w:rPr>
                <w:rFonts w:ascii="Times New Roman" w:hAnsi="Times New Roman" w:cs="Times New Roman"/>
              </w:rPr>
              <w:t>.</w:t>
            </w:r>
          </w:p>
          <w:p w14:paraId="70417E07" w14:textId="77777777" w:rsidR="00573749" w:rsidRPr="00DE05E9" w:rsidRDefault="00573749" w:rsidP="00FB71FD">
            <w:pPr>
              <w:ind w:left="360"/>
              <w:jc w:val="both"/>
              <w:rPr>
                <w:rFonts w:ascii="Times New Roman" w:hAnsi="Times New Roman" w:cs="Times New Roman"/>
              </w:rPr>
            </w:pPr>
          </w:p>
          <w:p w14:paraId="04FF153E" w14:textId="14FA7D2E" w:rsidR="00573749" w:rsidRPr="00DE05E9" w:rsidRDefault="00573749" w:rsidP="00483C87">
            <w:pPr>
              <w:pStyle w:val="ListParagraph"/>
              <w:numPr>
                <w:ilvl w:val="0"/>
                <w:numId w:val="13"/>
              </w:numPr>
              <w:jc w:val="both"/>
              <w:rPr>
                <w:rFonts w:ascii="Times New Roman" w:hAnsi="Times New Roman" w:cs="Times New Roman"/>
              </w:rPr>
            </w:pPr>
            <w:r w:rsidRPr="00DE05E9">
              <w:rPr>
                <w:rFonts w:ascii="Times New Roman" w:hAnsi="Times New Roman" w:cs="Times New Roman"/>
              </w:rPr>
              <w:t xml:space="preserve">Vides aizsardzības un reģionālās attīstības ministrijas </w:t>
            </w:r>
            <w:r w:rsidR="00483C87" w:rsidRPr="00DE05E9">
              <w:rPr>
                <w:rFonts w:ascii="Times New Roman" w:hAnsi="Times New Roman" w:cs="Times New Roman"/>
              </w:rPr>
              <w:t>tīmekļvietnē</w:t>
            </w:r>
            <w:r w:rsidR="00483C87" w:rsidRPr="00DE05E9">
              <w:t xml:space="preserve"> (</w:t>
            </w:r>
            <w:r w:rsidR="00483C87" w:rsidRPr="00DE05E9">
              <w:rPr>
                <w:rFonts w:ascii="Times New Roman" w:hAnsi="Times New Roman" w:cs="Times New Roman"/>
              </w:rPr>
              <w:t>http://www.varam.gov.lv/lat/darbibas_veidi/zalais_publiskais_iepirkums/?doc=24440)</w:t>
            </w:r>
            <w:r w:rsidRPr="00DE05E9">
              <w:rPr>
                <w:rFonts w:ascii="Times New Roman" w:hAnsi="Times New Roman" w:cs="Times New Roman"/>
              </w:rPr>
              <w:t xml:space="preserve"> pieejamās vadlīnijās sadaļā  - “</w:t>
            </w:r>
            <w:r w:rsidR="00483C87" w:rsidRPr="00DE05E9">
              <w:rPr>
                <w:rFonts w:ascii="Times New Roman" w:hAnsi="Times New Roman" w:cs="Times New Roman"/>
              </w:rPr>
              <w:t>Informatīvie un audiovizuālie materiāli</w:t>
            </w:r>
            <w:r w:rsidRPr="00DE05E9">
              <w:rPr>
                <w:rFonts w:ascii="Times New Roman" w:hAnsi="Times New Roman" w:cs="Times New Roman"/>
              </w:rPr>
              <w:t>”, tiek sniegta informācija pear ekomarķējumiem un standartiem, kas attiecināmi uz atbilstošo preču,</w:t>
            </w:r>
            <w:r w:rsidR="00922A05" w:rsidRPr="00DE05E9">
              <w:rPr>
                <w:rFonts w:ascii="Times New Roman" w:hAnsi="Times New Roman" w:cs="Times New Roman"/>
              </w:rPr>
              <w:t xml:space="preserve"> pakalpojumu vai būvdarbu grupu</w:t>
            </w:r>
            <w:r w:rsidRPr="00DE05E9">
              <w:rPr>
                <w:rFonts w:ascii="Times New Roman" w:hAnsi="Times New Roman" w:cs="Times New Roman"/>
              </w:rPr>
              <w:t>.  Elektroniskajā iepirkumu sistēmā ir atsevišķa sadaļa, kurā var iegādāties zaļajam iepirkumam atbilstošas preces. Zaļajam iepirkumam atbilstošajām precēm i</w:t>
            </w:r>
            <w:r w:rsidR="00491A7C">
              <w:rPr>
                <w:rFonts w:ascii="Times New Roman" w:hAnsi="Times New Roman" w:cs="Times New Roman"/>
              </w:rPr>
              <w:t>zmanto jau eks</w:t>
            </w:r>
            <w:r w:rsidRPr="00DE05E9">
              <w:rPr>
                <w:rFonts w:ascii="Times New Roman" w:hAnsi="Times New Roman" w:cs="Times New Roman"/>
              </w:rPr>
              <w:t>istējošos marķējumus, piem. Energy Star, Nordic Swan.</w:t>
            </w:r>
          </w:p>
          <w:p w14:paraId="48DEA4EB" w14:textId="29D2F075" w:rsidR="00573749" w:rsidRPr="00DE05E9" w:rsidRDefault="00CD397D" w:rsidP="00FB71FD">
            <w:pPr>
              <w:pStyle w:val="ListParagraph"/>
              <w:numPr>
                <w:ilvl w:val="0"/>
                <w:numId w:val="13"/>
              </w:numPr>
              <w:jc w:val="both"/>
              <w:rPr>
                <w:rFonts w:ascii="Times New Roman" w:hAnsi="Times New Roman" w:cs="Times New Roman"/>
                <w:lang w:val="lv-LV"/>
              </w:rPr>
            </w:pPr>
            <w:r w:rsidRPr="00DE05E9">
              <w:rPr>
                <w:rFonts w:ascii="Times New Roman" w:hAnsi="Times New Roman" w:cs="Times New Roman"/>
                <w:lang w:val="lv-LV"/>
              </w:rPr>
              <w:lastRenderedPageBreak/>
              <w:t>Pieņemto Ministru kabineta</w:t>
            </w:r>
            <w:r w:rsidR="00573749" w:rsidRPr="00DE05E9">
              <w:rPr>
                <w:rFonts w:ascii="Times New Roman" w:hAnsi="Times New Roman" w:cs="Times New Roman"/>
                <w:lang w:val="lv-LV"/>
              </w:rPr>
              <w:t xml:space="preserve"> </w:t>
            </w:r>
            <w:r w:rsidRPr="00DE05E9">
              <w:rPr>
                <w:rFonts w:ascii="Times New Roman" w:hAnsi="Times New Roman" w:cs="Times New Roman"/>
                <w:lang w:val="lv-LV"/>
              </w:rPr>
              <w:t xml:space="preserve">2017.gada 20.jūnija </w:t>
            </w:r>
            <w:r w:rsidR="00573749" w:rsidRPr="00DE05E9">
              <w:rPr>
                <w:rFonts w:ascii="Times New Roman" w:hAnsi="Times New Roman" w:cs="Times New Roman"/>
                <w:lang w:val="lv-LV"/>
              </w:rPr>
              <w:t xml:space="preserve">noteikumu Nr.353 “Prasības zaļajam publiskajam iepirkumam un to piemērošanas kārtība” 1. un 2. pielikumā noteiktās preču, pakalpojumu un būvdarbu grupas, kā arī grupām specifiski noteiktās prasības, kritēriju un līgumu izpildes noteikumi balstās uz Eiropas Komisijas izstrādātajām </w:t>
            </w:r>
            <w:r w:rsidR="001C6E39" w:rsidRPr="00DE05E9">
              <w:rPr>
                <w:rFonts w:ascii="Times New Roman" w:hAnsi="Times New Roman" w:cs="Times New Roman"/>
                <w:lang w:val="lv-LV"/>
              </w:rPr>
              <w:t>Zaļā publiskā iepirkuma</w:t>
            </w:r>
            <w:r w:rsidR="00573749" w:rsidRPr="00DE05E9">
              <w:rPr>
                <w:rFonts w:ascii="Times New Roman" w:hAnsi="Times New Roman" w:cs="Times New Roman"/>
                <w:lang w:val="lv-LV"/>
              </w:rPr>
              <w:t xml:space="preserve"> piemērošanas vadlīnijām.</w:t>
            </w:r>
          </w:p>
          <w:p w14:paraId="398FDDBF" w14:textId="6CBDB924" w:rsidR="00573749" w:rsidRPr="00DE05E9" w:rsidRDefault="00573749" w:rsidP="001C6E39">
            <w:pPr>
              <w:pStyle w:val="ListParagraph"/>
              <w:numPr>
                <w:ilvl w:val="0"/>
                <w:numId w:val="13"/>
              </w:numPr>
              <w:jc w:val="both"/>
              <w:rPr>
                <w:rFonts w:ascii="Times New Roman" w:hAnsi="Times New Roman" w:cs="Times New Roman"/>
                <w:lang w:val="lv-LV"/>
              </w:rPr>
            </w:pPr>
            <w:r w:rsidRPr="00DE05E9">
              <w:rPr>
                <w:rFonts w:ascii="Times New Roman" w:hAnsi="Times New Roman" w:cs="Times New Roman"/>
                <w:lang w:val="lv-LV"/>
              </w:rPr>
              <w:t xml:space="preserve">Zaļā iepirkuma veicināšanas plānā 2015.-2017. gadam tika noteiktas rīcības ne tikai attiecībā uz normatīvā regulējuma izstrādi, bet arī uz metodisko atbalstu un </w:t>
            </w:r>
            <w:r w:rsidR="001C6E39" w:rsidRPr="00DE05E9">
              <w:rPr>
                <w:rFonts w:ascii="Times New Roman" w:hAnsi="Times New Roman" w:cs="Times New Roman"/>
                <w:lang w:val="lv-LV"/>
              </w:rPr>
              <w:t>Zaļā publiskā iepirkuma</w:t>
            </w:r>
            <w:r w:rsidRPr="00DE05E9">
              <w:rPr>
                <w:rFonts w:ascii="Times New Roman" w:hAnsi="Times New Roman" w:cs="Times New Roman"/>
                <w:lang w:val="lv-LV"/>
              </w:rPr>
              <w:t xml:space="preserve"> popularizēšanas aktivitātēm. Jau 2015. gadā Vides aizsardzības un reģionālās attīstības ministrija uzsāka ikgadēju izglītojošu reģionālo semināru ciklu, kuros tika sniegta informācija un skaidrojumi par </w:t>
            </w:r>
            <w:r w:rsidR="00CD397D" w:rsidRPr="00DE05E9">
              <w:rPr>
                <w:rFonts w:ascii="Times New Roman" w:hAnsi="Times New Roman" w:cs="Times New Roman"/>
                <w:lang w:val="lv-LV"/>
              </w:rPr>
              <w:t>zaļā publiskā iepirkuma</w:t>
            </w:r>
            <w:r w:rsidRPr="00DE05E9">
              <w:rPr>
                <w:rFonts w:ascii="Times New Roman" w:hAnsi="Times New Roman" w:cs="Times New Roman"/>
                <w:lang w:val="lv-LV"/>
              </w:rPr>
              <w:t xml:space="preserve"> piemērošanas iespējām valsts un pašvaldību iepirkumos.</w:t>
            </w:r>
            <w:r w:rsidRPr="00DE05E9">
              <w:rPr>
                <w:rFonts w:ascii="Times New Roman" w:hAnsi="Times New Roman" w:cs="Times New Roman"/>
                <w:color w:val="FF0000"/>
                <w:lang w:val="lv-LV"/>
              </w:rPr>
              <w:t xml:space="preserve"> </w:t>
            </w:r>
            <w:r w:rsidRPr="00DE05E9">
              <w:rPr>
                <w:rFonts w:ascii="Times New Roman" w:hAnsi="Times New Roman" w:cs="Times New Roman"/>
                <w:lang w:val="lv-LV"/>
              </w:rPr>
              <w:t xml:space="preserve">(2015.g. -5; 2016.g.-10, 2107.-gadā 5 reģionālie semināri), semināros tika iesaistīti nozaru eksperti, uzņēmēji, kas deva iespējas padziļināti diskutēt par </w:t>
            </w:r>
            <w:r w:rsidR="001C6E39" w:rsidRPr="00DE05E9">
              <w:rPr>
                <w:rFonts w:ascii="Times New Roman" w:hAnsi="Times New Roman" w:cs="Times New Roman"/>
                <w:lang w:val="lv-LV"/>
              </w:rPr>
              <w:t xml:space="preserve">Zaļā publiskā iepirkuma </w:t>
            </w:r>
            <w:r w:rsidRPr="00DE05E9">
              <w:rPr>
                <w:rFonts w:ascii="Times New Roman" w:hAnsi="Times New Roman" w:cs="Times New Roman"/>
                <w:lang w:val="lv-LV"/>
              </w:rPr>
              <w:t xml:space="preserve">piemērošanu prioritārajās nozarēs piem. pārtika un ēdināšanas pakalpojumi, būvniecība un apgaismojums. Līdz ar </w:t>
            </w:r>
            <w:r w:rsidR="00CD397D" w:rsidRPr="00DE05E9">
              <w:rPr>
                <w:rFonts w:ascii="Times New Roman" w:hAnsi="Times New Roman" w:cs="Times New Roman"/>
                <w:lang w:val="lv-LV"/>
              </w:rPr>
              <w:t xml:space="preserve">Ministru kabineta 2017.gada 20.jūnija noteikumu Nr.353 “Prasības zaļajam publiskajam iepirkumam un to piemērošanas kārtība” </w:t>
            </w:r>
            <w:r w:rsidRPr="00DE05E9">
              <w:rPr>
                <w:rFonts w:ascii="Times New Roman" w:hAnsi="Times New Roman" w:cs="Times New Roman"/>
                <w:lang w:val="lv-LV"/>
              </w:rPr>
              <w:t xml:space="preserve">stāšanos spēkā </w:t>
            </w:r>
            <w:r w:rsidR="00CD397D" w:rsidRPr="00DE05E9">
              <w:rPr>
                <w:rFonts w:ascii="Times New Roman" w:hAnsi="Times New Roman" w:cs="Times New Roman"/>
                <w:lang w:val="lv-LV"/>
              </w:rPr>
              <w:t>Vides aizsardzības un reģionālās attīstības ministrija</w:t>
            </w:r>
            <w:r w:rsidRPr="00DE05E9">
              <w:rPr>
                <w:rFonts w:ascii="Times New Roman" w:hAnsi="Times New Roman" w:cs="Times New Roman"/>
                <w:lang w:val="lv-LV"/>
              </w:rPr>
              <w:t xml:space="preserve"> nodrošina konsultācijas par specifiskiem </w:t>
            </w:r>
            <w:r w:rsidR="00CD397D" w:rsidRPr="00DE05E9">
              <w:rPr>
                <w:rFonts w:ascii="Times New Roman" w:hAnsi="Times New Roman" w:cs="Times New Roman"/>
                <w:lang w:val="lv-LV"/>
              </w:rPr>
              <w:t>zaļā publiskā iepirkuma</w:t>
            </w:r>
            <w:r w:rsidRPr="00DE05E9">
              <w:rPr>
                <w:rFonts w:ascii="Times New Roman" w:hAnsi="Times New Roman" w:cs="Times New Roman"/>
                <w:lang w:val="lv-LV"/>
              </w:rPr>
              <w:t xml:space="preserve"> piemērošanas aspektiem projektu sagatavotājiem, iepirkumu speciālistiem, kā arī par </w:t>
            </w:r>
            <w:r w:rsidR="00CD397D" w:rsidRPr="00DE05E9">
              <w:rPr>
                <w:rFonts w:ascii="Times New Roman" w:hAnsi="Times New Roman" w:cs="Times New Roman"/>
                <w:lang w:val="lv-LV"/>
              </w:rPr>
              <w:t>Eiropas Savineības</w:t>
            </w:r>
            <w:r w:rsidRPr="00DE05E9">
              <w:rPr>
                <w:rFonts w:ascii="Times New Roman" w:hAnsi="Times New Roman" w:cs="Times New Roman"/>
                <w:lang w:val="lv-LV"/>
              </w:rPr>
              <w:t xml:space="preserve"> fondu ieviešanu atbildīgajām iestādēm. Lai veicinātu </w:t>
            </w:r>
            <w:r w:rsidR="00CD397D" w:rsidRPr="00DE05E9">
              <w:rPr>
                <w:rFonts w:ascii="Times New Roman" w:hAnsi="Times New Roman" w:cs="Times New Roman"/>
                <w:lang w:val="lv-LV"/>
              </w:rPr>
              <w:t>zaļā publiskā iepirkuma</w:t>
            </w:r>
            <w:r w:rsidRPr="00DE05E9">
              <w:rPr>
                <w:rFonts w:ascii="Times New Roman" w:hAnsi="Times New Roman" w:cs="Times New Roman"/>
                <w:lang w:val="lv-LV"/>
              </w:rPr>
              <w:t xml:space="preserve"> piemērošanu </w:t>
            </w:r>
            <w:r w:rsidR="00CD397D" w:rsidRPr="00DE05E9">
              <w:rPr>
                <w:rFonts w:ascii="Times New Roman" w:hAnsi="Times New Roman" w:cs="Times New Roman"/>
                <w:lang w:val="lv-LV"/>
              </w:rPr>
              <w:t>Eiropas Savineības fondu p</w:t>
            </w:r>
            <w:r w:rsidR="00491A7C">
              <w:rPr>
                <w:rFonts w:ascii="Times New Roman" w:hAnsi="Times New Roman" w:cs="Times New Roman"/>
                <w:lang w:val="lv-LV"/>
              </w:rPr>
              <w:t>rojektos,</w:t>
            </w:r>
            <w:r w:rsidR="00CD397D" w:rsidRPr="00DE05E9">
              <w:rPr>
                <w:rFonts w:ascii="Times New Roman" w:hAnsi="Times New Roman" w:cs="Times New Roman"/>
                <w:lang w:val="lv-LV"/>
              </w:rPr>
              <w:t xml:space="preserve">  2017.</w:t>
            </w:r>
            <w:r w:rsidRPr="00DE05E9">
              <w:rPr>
                <w:rFonts w:ascii="Times New Roman" w:hAnsi="Times New Roman" w:cs="Times New Roman"/>
                <w:lang w:val="lv-LV"/>
              </w:rPr>
              <w:t>gadā  </w:t>
            </w:r>
            <w:r w:rsidR="00CD397D" w:rsidRPr="00DE05E9">
              <w:rPr>
                <w:rFonts w:ascii="Times New Roman" w:hAnsi="Times New Roman" w:cs="Times New Roman"/>
                <w:lang w:val="lv-LV"/>
              </w:rPr>
              <w:t xml:space="preserve">gadā Vides aizsardzības un reģionālās attīstības ministrija </w:t>
            </w:r>
            <w:r w:rsidRPr="00DE05E9">
              <w:rPr>
                <w:rFonts w:ascii="Times New Roman" w:hAnsi="Times New Roman" w:cs="Times New Roman"/>
                <w:lang w:val="lv-LV"/>
              </w:rPr>
              <w:t>sniedza skaidrojumus un metodiskus norādījumus projektu sagatavotājiem Centrālās finanšu līgumu aģentūras organizētajos reģionālajos semināros (4 semināri).</w:t>
            </w:r>
          </w:p>
          <w:p w14:paraId="60BEB930" w14:textId="19ADAD83" w:rsidR="00F103C9" w:rsidRPr="00DE05E9" w:rsidRDefault="00F103C9" w:rsidP="00491A7C">
            <w:pPr>
              <w:jc w:val="both"/>
              <w:rPr>
                <w:rFonts w:ascii="Times New Roman" w:hAnsi="Times New Roman" w:cs="Times New Roman"/>
                <w:lang w:val="lv-LV"/>
              </w:rPr>
            </w:pPr>
          </w:p>
        </w:tc>
      </w:tr>
      <w:tr w:rsidR="005F0ADF" w:rsidRPr="00DE05E9" w14:paraId="024043AF" w14:textId="77777777" w:rsidTr="00205FF9">
        <w:tc>
          <w:tcPr>
            <w:tcW w:w="523" w:type="pct"/>
          </w:tcPr>
          <w:p w14:paraId="3B941912" w14:textId="19CB1C99" w:rsidR="005F0ADF" w:rsidRPr="00DE05E9" w:rsidRDefault="007C7271" w:rsidP="00FB71FD">
            <w:pPr>
              <w:pStyle w:val="Heading3"/>
              <w:jc w:val="both"/>
              <w:outlineLvl w:val="2"/>
              <w:rPr>
                <w:rFonts w:ascii="Times New Roman" w:hAnsi="Times New Roman" w:cs="Times New Roman"/>
                <w:b w:val="0"/>
              </w:rPr>
            </w:pPr>
            <w:r w:rsidRPr="00DE05E9">
              <w:rPr>
                <w:rFonts w:ascii="Times New Roman" w:hAnsi="Times New Roman" w:cs="Times New Roman"/>
              </w:rPr>
              <w:lastRenderedPageBreak/>
              <w:t>V</w:t>
            </w:r>
            <w:r w:rsidR="005F0ADF" w:rsidRPr="00DE05E9">
              <w:rPr>
                <w:rFonts w:ascii="Times New Roman" w:hAnsi="Times New Roman" w:cs="Times New Roman"/>
              </w:rPr>
              <w:t>.1.3. Quantitative indicators</w:t>
            </w:r>
          </w:p>
        </w:tc>
        <w:tc>
          <w:tcPr>
            <w:tcW w:w="4477" w:type="pct"/>
          </w:tcPr>
          <w:p w14:paraId="3B929A8F" w14:textId="3239D973" w:rsidR="005F0ADF" w:rsidRPr="00DE05E9" w:rsidRDefault="005F0ADF" w:rsidP="00FB71FD">
            <w:pPr>
              <w:jc w:val="both"/>
              <w:rPr>
                <w:rFonts w:ascii="Times New Roman" w:hAnsi="Times New Roman" w:cs="Times New Roman"/>
                <w:i/>
              </w:rPr>
            </w:pPr>
            <w:r w:rsidRPr="00DE05E9">
              <w:rPr>
                <w:rFonts w:ascii="Times New Roman" w:hAnsi="Times New Roman" w:cs="Times New Roman"/>
                <w:i/>
              </w:rPr>
              <w:t>This section contains examples of quantitative</w:t>
            </w:r>
            <w:r w:rsidR="00247E16" w:rsidRPr="00DE05E9">
              <w:rPr>
                <w:rFonts w:ascii="Times New Roman" w:hAnsi="Times New Roman" w:cs="Times New Roman"/>
                <w:i/>
              </w:rPr>
              <w:t xml:space="preserve"> indicators related to section V.</w:t>
            </w:r>
            <w:r w:rsidRPr="00DE05E9">
              <w:rPr>
                <w:rFonts w:ascii="Times New Roman" w:hAnsi="Times New Roman" w:cs="Times New Roman"/>
                <w:i/>
              </w:rPr>
              <w:t>1.  Other indicators can also be included in the report.</w:t>
            </w:r>
          </w:p>
        </w:tc>
      </w:tr>
      <w:tr w:rsidR="005F0ADF" w:rsidRPr="00DE05E9" w14:paraId="24E93C97" w14:textId="77777777" w:rsidTr="00205FF9">
        <w:tc>
          <w:tcPr>
            <w:tcW w:w="523" w:type="pct"/>
          </w:tcPr>
          <w:p w14:paraId="76713AFB" w14:textId="0305C4A9" w:rsidR="005F0ADF" w:rsidRPr="00DE05E9" w:rsidRDefault="005F0ADF" w:rsidP="00FB71FD">
            <w:pPr>
              <w:jc w:val="both"/>
              <w:rPr>
                <w:rFonts w:ascii="Times New Roman" w:hAnsi="Times New Roman" w:cs="Times New Roman"/>
                <w:b/>
              </w:rPr>
            </w:pPr>
            <w:r w:rsidRPr="00DE05E9">
              <w:rPr>
                <w:rFonts w:ascii="Times New Roman" w:hAnsi="Times New Roman" w:cs="Times New Roman"/>
              </w:rPr>
              <w:t xml:space="preserve">Please provide, when available, any quantitative data (statistics, etc.) illustrating the achievements and challenges identified under section </w:t>
            </w:r>
            <w:r w:rsidR="00B34CD3" w:rsidRPr="00DE05E9">
              <w:rPr>
                <w:rFonts w:ascii="Times New Roman" w:hAnsi="Times New Roman" w:cs="Times New Roman"/>
              </w:rPr>
              <w:t>V</w:t>
            </w:r>
            <w:r w:rsidRPr="00DE05E9">
              <w:rPr>
                <w:rFonts w:ascii="Times New Roman" w:hAnsi="Times New Roman" w:cs="Times New Roman"/>
              </w:rPr>
              <w:t>.1.</w:t>
            </w:r>
            <w:r w:rsidR="002C131E" w:rsidRPr="00DE05E9">
              <w:rPr>
                <w:rFonts w:ascii="Times New Roman" w:hAnsi="Times New Roman" w:cs="Times New Roman"/>
              </w:rPr>
              <w:t>1</w:t>
            </w:r>
            <w:r w:rsidRPr="00DE05E9">
              <w:rPr>
                <w:rFonts w:ascii="Times New Roman" w:hAnsi="Times New Roman" w:cs="Times New Roman"/>
              </w:rPr>
              <w:t xml:space="preserve"> above. To the extent </w:t>
            </w:r>
            <w:r w:rsidRPr="00DE05E9">
              <w:rPr>
                <w:rFonts w:ascii="Times New Roman" w:hAnsi="Times New Roman" w:cs="Times New Roman"/>
              </w:rPr>
              <w:lastRenderedPageBreak/>
              <w:t>possible, these indicators should be further g</w:t>
            </w:r>
            <w:r w:rsidR="006753EC" w:rsidRPr="00DE05E9">
              <w:rPr>
                <w:rFonts w:ascii="Times New Roman" w:hAnsi="Times New Roman" w:cs="Times New Roman"/>
              </w:rPr>
              <w:t>rouped by type of legal problem.</w:t>
            </w:r>
          </w:p>
        </w:tc>
        <w:tc>
          <w:tcPr>
            <w:tcW w:w="4477" w:type="pct"/>
          </w:tcPr>
          <w:p w14:paraId="36A428C1" w14:textId="6C7D1877" w:rsidR="00573749" w:rsidRPr="00DE05E9" w:rsidRDefault="00CD397D" w:rsidP="00FB71FD">
            <w:pPr>
              <w:jc w:val="both"/>
              <w:rPr>
                <w:rFonts w:ascii="Times New Roman" w:hAnsi="Times New Roman" w:cs="Times New Roman"/>
              </w:rPr>
            </w:pPr>
            <w:r w:rsidRPr="00DE05E9">
              <w:rPr>
                <w:rFonts w:ascii="Times New Roman" w:hAnsi="Times New Roman" w:cs="Times New Roman"/>
              </w:rPr>
              <w:lastRenderedPageBreak/>
              <w:t>Uz doto brīdi tiek gatavots</w:t>
            </w:r>
            <w:r w:rsidR="00573749" w:rsidRPr="00DE05E9">
              <w:rPr>
                <w:rFonts w:ascii="Times New Roman" w:hAnsi="Times New Roman" w:cs="Times New Roman"/>
              </w:rPr>
              <w:t xml:space="preserve"> gadskārtējais Informatīvais ziņojums par Zaļā publiskā iepirkuma veicināšanas plāna 2015.-2017. gadam izpildi, balstoties uz Iepirkumu uzraudzības biroja apkopotajiem datiem.</w:t>
            </w:r>
            <w:r w:rsidR="00F103C9" w:rsidRPr="00DE05E9">
              <w:rPr>
                <w:rFonts w:ascii="Times New Roman" w:hAnsi="Times New Roman" w:cs="Times New Roman"/>
              </w:rPr>
              <w:t xml:space="preserve"> Informatīvo ziņojumu valdībā plānots apstiprināt līdz 2018.gada jūnijam. </w:t>
            </w:r>
            <w:r w:rsidR="00573749" w:rsidRPr="00DE05E9">
              <w:rPr>
                <w:rFonts w:ascii="Times New Roman" w:hAnsi="Times New Roman" w:cs="Times New Roman"/>
              </w:rPr>
              <w:t xml:space="preserve">Ziņojumā informācija par </w:t>
            </w:r>
            <w:r w:rsidR="00F103C9" w:rsidRPr="00DE05E9">
              <w:rPr>
                <w:rFonts w:ascii="Times New Roman" w:hAnsi="Times New Roman" w:cs="Times New Roman"/>
              </w:rPr>
              <w:t>Z</w:t>
            </w:r>
            <w:r w:rsidR="00573749" w:rsidRPr="00DE05E9">
              <w:rPr>
                <w:rFonts w:ascii="Times New Roman" w:hAnsi="Times New Roman" w:cs="Times New Roman"/>
              </w:rPr>
              <w:t>aļo</w:t>
            </w:r>
            <w:r w:rsidR="00F103C9" w:rsidRPr="00DE05E9">
              <w:rPr>
                <w:rFonts w:ascii="Times New Roman" w:hAnsi="Times New Roman" w:cs="Times New Roman"/>
              </w:rPr>
              <w:t xml:space="preserve"> publisko</w:t>
            </w:r>
            <w:r w:rsidR="00573749" w:rsidRPr="00DE05E9">
              <w:rPr>
                <w:rFonts w:ascii="Times New Roman" w:hAnsi="Times New Roman" w:cs="Times New Roman"/>
              </w:rPr>
              <w:t xml:space="preserve"> iepirkumu tiek </w:t>
            </w:r>
            <w:r w:rsidR="00F103C9" w:rsidRPr="00DE05E9">
              <w:rPr>
                <w:rFonts w:ascii="Times New Roman" w:hAnsi="Times New Roman" w:cs="Times New Roman"/>
              </w:rPr>
              <w:t>analizē</w:t>
            </w:r>
            <w:r w:rsidR="00573749" w:rsidRPr="00DE05E9">
              <w:rPr>
                <w:rFonts w:ascii="Times New Roman" w:hAnsi="Times New Roman" w:cs="Times New Roman"/>
              </w:rPr>
              <w:t>t</w:t>
            </w:r>
            <w:r w:rsidR="00F103C9" w:rsidRPr="00DE05E9">
              <w:rPr>
                <w:rFonts w:ascii="Times New Roman" w:hAnsi="Times New Roman" w:cs="Times New Roman"/>
              </w:rPr>
              <w:t>i</w:t>
            </w:r>
            <w:r w:rsidR="00573749" w:rsidRPr="00DE05E9">
              <w:rPr>
                <w:rFonts w:ascii="Times New Roman" w:hAnsi="Times New Roman" w:cs="Times New Roman"/>
              </w:rPr>
              <w:t xml:space="preserve"> </w:t>
            </w:r>
            <w:r w:rsidR="00F103C9" w:rsidRPr="00DE05E9">
              <w:rPr>
                <w:rFonts w:ascii="Times New Roman" w:hAnsi="Times New Roman" w:cs="Times New Roman"/>
              </w:rPr>
              <w:t>Z</w:t>
            </w:r>
            <w:r w:rsidR="00DF0383" w:rsidRPr="00DE05E9">
              <w:rPr>
                <w:rFonts w:ascii="Times New Roman" w:hAnsi="Times New Roman" w:cs="Times New Roman"/>
              </w:rPr>
              <w:t>aļā publiskā iepirkuma</w:t>
            </w:r>
            <w:r w:rsidR="00573749" w:rsidRPr="00DE05E9">
              <w:rPr>
                <w:rFonts w:ascii="Times New Roman" w:hAnsi="Times New Roman" w:cs="Times New Roman"/>
              </w:rPr>
              <w:t xml:space="preserve"> īpatsvaru kopējo iepirkumu bilancē, gan analizējot </w:t>
            </w:r>
            <w:r w:rsidR="00DF0383" w:rsidRPr="00DE05E9">
              <w:rPr>
                <w:rFonts w:ascii="Times New Roman" w:hAnsi="Times New Roman" w:cs="Times New Roman"/>
              </w:rPr>
              <w:t>zaļā publiskā iepirkuma</w:t>
            </w:r>
            <w:r w:rsidR="00573749" w:rsidRPr="00DE05E9">
              <w:rPr>
                <w:rFonts w:ascii="Times New Roman" w:hAnsi="Times New Roman" w:cs="Times New Roman"/>
              </w:rPr>
              <w:t xml:space="preserve"> īpatsvaru preču un pakalpojumu grupās. Informatīvie ziņojumi par 2015., 2016. gadu pieejami Vides aizsardzības un reģionālās attīstības ministrijas </w:t>
            </w:r>
            <w:r w:rsidR="00F103C9" w:rsidRPr="00DE05E9">
              <w:rPr>
                <w:rFonts w:ascii="Times New Roman" w:hAnsi="Times New Roman" w:cs="Times New Roman"/>
              </w:rPr>
              <w:t>tīmekļvietnē:</w:t>
            </w:r>
            <w:r w:rsidR="00573749" w:rsidRPr="00DE05E9">
              <w:rPr>
                <w:rFonts w:ascii="Times New Roman" w:hAnsi="Times New Roman" w:cs="Times New Roman"/>
              </w:rPr>
              <w:t xml:space="preserve"> </w:t>
            </w:r>
          </w:p>
          <w:p w14:paraId="52BC3992" w14:textId="77777777" w:rsidR="00573749" w:rsidRPr="00DE05E9" w:rsidRDefault="00573749" w:rsidP="00FB71FD">
            <w:pPr>
              <w:jc w:val="both"/>
              <w:rPr>
                <w:rFonts w:ascii="Times New Roman" w:hAnsi="Times New Roman" w:cs="Times New Roman"/>
              </w:rPr>
            </w:pPr>
            <w:r w:rsidRPr="00DE05E9">
              <w:rPr>
                <w:rFonts w:ascii="Times New Roman" w:hAnsi="Times New Roman" w:cs="Times New Roman"/>
              </w:rPr>
              <w:t>(</w:t>
            </w:r>
            <w:hyperlink r:id="rId27" w:history="1">
              <w:r w:rsidRPr="00DE05E9">
                <w:rPr>
                  <w:rStyle w:val="Hyperlink"/>
                  <w:rFonts w:ascii="Times New Roman" w:hAnsi="Times New Roman" w:cs="Times New Roman"/>
                </w:rPr>
                <w:t>http://www.varam.gov.lv/lat/darbibas_veidi/zalais_publiskais_iepirkums/?doc=24438</w:t>
              </w:r>
            </w:hyperlink>
            <w:r w:rsidRPr="00DE05E9">
              <w:rPr>
                <w:rFonts w:ascii="Times New Roman" w:hAnsi="Times New Roman" w:cs="Times New Roman"/>
              </w:rPr>
              <w:t>)</w:t>
            </w:r>
          </w:p>
          <w:p w14:paraId="4F356308" w14:textId="5972D16A" w:rsidR="00FB71FD" w:rsidRPr="00DE05E9" w:rsidRDefault="00FB71FD" w:rsidP="00FB71FD">
            <w:pPr>
              <w:jc w:val="both"/>
              <w:rPr>
                <w:rFonts w:ascii="Times New Roman" w:hAnsi="Times New Roman" w:cs="Times New Roman"/>
              </w:rPr>
            </w:pPr>
          </w:p>
          <w:p w14:paraId="24D8AD78" w14:textId="2676EE1C" w:rsidR="001C6E39" w:rsidRPr="00DE05E9" w:rsidRDefault="001C6E39" w:rsidP="00FB71FD">
            <w:pPr>
              <w:jc w:val="both"/>
              <w:rPr>
                <w:rFonts w:ascii="Times New Roman" w:hAnsi="Times New Roman" w:cs="Times New Roman"/>
              </w:rPr>
            </w:pPr>
          </w:p>
          <w:p w14:paraId="3B9979C5" w14:textId="1A1235E3" w:rsidR="001C6E39" w:rsidRPr="00DE05E9" w:rsidRDefault="001C6E39" w:rsidP="00FB71FD">
            <w:pPr>
              <w:jc w:val="both"/>
              <w:rPr>
                <w:rFonts w:ascii="Times New Roman" w:hAnsi="Times New Roman" w:cs="Times New Roman"/>
              </w:rPr>
            </w:pPr>
          </w:p>
          <w:p w14:paraId="47AA0BF9" w14:textId="307E299E" w:rsidR="001C6E39" w:rsidRPr="00DE05E9" w:rsidRDefault="001C6E39" w:rsidP="00FB71FD">
            <w:pPr>
              <w:jc w:val="both"/>
              <w:rPr>
                <w:rFonts w:ascii="Times New Roman" w:hAnsi="Times New Roman" w:cs="Times New Roman"/>
              </w:rPr>
            </w:pPr>
          </w:p>
          <w:p w14:paraId="730F578E" w14:textId="410E3F1B" w:rsidR="001C6E39" w:rsidRPr="00DE05E9" w:rsidRDefault="001C6E39" w:rsidP="00FB71FD">
            <w:pPr>
              <w:jc w:val="both"/>
              <w:rPr>
                <w:rFonts w:ascii="Times New Roman" w:hAnsi="Times New Roman" w:cs="Times New Roman"/>
              </w:rPr>
            </w:pPr>
          </w:p>
          <w:p w14:paraId="5A97CF17" w14:textId="77777777" w:rsidR="001C6E39" w:rsidRPr="00DE05E9" w:rsidRDefault="001C6E39" w:rsidP="00FB71FD">
            <w:pPr>
              <w:jc w:val="both"/>
              <w:rPr>
                <w:rFonts w:ascii="Times New Roman" w:hAnsi="Times New Roman" w:cs="Times New Roman"/>
              </w:rPr>
            </w:pPr>
          </w:p>
          <w:p w14:paraId="13766332" w14:textId="2BE2016E" w:rsidR="00573749" w:rsidRPr="00DE05E9" w:rsidRDefault="00573749" w:rsidP="00FB71FD">
            <w:pPr>
              <w:jc w:val="both"/>
              <w:rPr>
                <w:rFonts w:ascii="Times New Roman" w:hAnsi="Times New Roman" w:cs="Times New Roman"/>
                <w:b/>
              </w:rPr>
            </w:pPr>
            <w:r w:rsidRPr="00DE05E9">
              <w:rPr>
                <w:rFonts w:ascii="Times New Roman" w:hAnsi="Times New Roman" w:cs="Times New Roman"/>
                <w:b/>
              </w:rPr>
              <w:t xml:space="preserve">Kopējais pārskats par </w:t>
            </w:r>
            <w:r w:rsidR="00DF0383" w:rsidRPr="00DE05E9">
              <w:rPr>
                <w:rFonts w:ascii="Times New Roman" w:hAnsi="Times New Roman" w:cs="Times New Roman"/>
                <w:b/>
              </w:rPr>
              <w:t>zaļā publiskā iepirkuma</w:t>
            </w:r>
            <w:r w:rsidRPr="00DE05E9">
              <w:rPr>
                <w:rFonts w:ascii="Times New Roman" w:hAnsi="Times New Roman" w:cs="Times New Roman"/>
                <w:b/>
              </w:rPr>
              <w:t xml:space="preserve"> attīstības dinamiku 2010-2016.g</w:t>
            </w:r>
          </w:p>
          <w:p w14:paraId="3FC82A37" w14:textId="77777777" w:rsidR="00573749" w:rsidRPr="00DE05E9" w:rsidRDefault="00573749" w:rsidP="00FB71FD">
            <w:pPr>
              <w:jc w:val="both"/>
              <w:rPr>
                <w:rFonts w:ascii="Times New Roman" w:hAnsi="Times New Roman" w:cs="Times New Roman"/>
              </w:rPr>
            </w:pPr>
            <w:r w:rsidRPr="00DE05E9">
              <w:rPr>
                <w:rFonts w:ascii="Times New Roman" w:hAnsi="Times New Roman" w:cs="Times New Roman"/>
                <w:noProof/>
                <w:lang w:val="lv-LV" w:eastAsia="lv-LV"/>
              </w:rPr>
              <w:lastRenderedPageBreak/>
              <w:drawing>
                <wp:inline distT="0" distB="0" distL="0" distR="0" wp14:anchorId="42203958" wp14:editId="6944BB36">
                  <wp:extent cx="7096125" cy="421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73099"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7096125" cy="4219575"/>
                          </a:xfrm>
                          <a:prstGeom prst="rect">
                            <a:avLst/>
                          </a:prstGeom>
                          <a:noFill/>
                          <a:ln>
                            <a:noFill/>
                          </a:ln>
                        </pic:spPr>
                      </pic:pic>
                    </a:graphicData>
                  </a:graphic>
                </wp:inline>
              </w:drawing>
            </w:r>
          </w:p>
          <w:p w14:paraId="7D084A88" w14:textId="77777777" w:rsidR="00573749" w:rsidRPr="00DE05E9" w:rsidRDefault="00573749" w:rsidP="00FB71FD">
            <w:pPr>
              <w:jc w:val="both"/>
              <w:rPr>
                <w:rFonts w:ascii="Times New Roman" w:hAnsi="Times New Roman" w:cs="Times New Roman"/>
              </w:rPr>
            </w:pPr>
          </w:p>
          <w:p w14:paraId="71644357" w14:textId="77777777" w:rsidR="00573749" w:rsidRPr="00DE05E9" w:rsidRDefault="00573749" w:rsidP="00FB71FD">
            <w:pPr>
              <w:jc w:val="both"/>
              <w:rPr>
                <w:rFonts w:ascii="Times New Roman" w:hAnsi="Times New Roman" w:cs="Times New Roman"/>
              </w:rPr>
            </w:pPr>
          </w:p>
          <w:p w14:paraId="4856BDA6" w14:textId="0EBA1E84" w:rsidR="00D906DC" w:rsidRPr="00DE05E9" w:rsidRDefault="00D906DC" w:rsidP="00FB71FD">
            <w:pPr>
              <w:jc w:val="both"/>
              <w:rPr>
                <w:rFonts w:ascii="Times New Roman" w:hAnsi="Times New Roman" w:cs="Times New Roman"/>
              </w:rPr>
            </w:pPr>
          </w:p>
          <w:p w14:paraId="1531596A" w14:textId="098ACF55" w:rsidR="00FB71FD" w:rsidRPr="00DE05E9" w:rsidRDefault="00FB71FD" w:rsidP="00FB71FD">
            <w:pPr>
              <w:jc w:val="both"/>
              <w:rPr>
                <w:rFonts w:ascii="Times New Roman" w:hAnsi="Times New Roman" w:cs="Times New Roman"/>
              </w:rPr>
            </w:pPr>
          </w:p>
          <w:p w14:paraId="2C93DFDE" w14:textId="7E7EE49A" w:rsidR="00D906DC" w:rsidRPr="00DE05E9" w:rsidRDefault="00D906DC" w:rsidP="00FB71FD">
            <w:pPr>
              <w:jc w:val="both"/>
              <w:rPr>
                <w:rFonts w:ascii="Times New Roman" w:eastAsia="Times New Roman" w:hAnsi="Times New Roman" w:cs="Times New Roman"/>
                <w:color w:val="000000"/>
                <w:lang w:val="lv-LV"/>
              </w:rPr>
            </w:pPr>
          </w:p>
          <w:p w14:paraId="2B8C0BC0" w14:textId="77777777" w:rsidR="00D906DC" w:rsidRPr="00DE05E9" w:rsidRDefault="00D906DC" w:rsidP="00FB71FD">
            <w:pPr>
              <w:pStyle w:val="NoSpacing"/>
              <w:jc w:val="both"/>
              <w:rPr>
                <w:rFonts w:ascii="Times New Roman" w:hAnsi="Times New Roman" w:cs="Times New Roman"/>
              </w:rPr>
            </w:pPr>
            <w:r w:rsidRPr="00DE05E9">
              <w:rPr>
                <w:rFonts w:ascii="Times New Roman" w:hAnsi="Times New Roman" w:cs="Times New Roman"/>
                <w:b/>
                <w:u w:val="single"/>
              </w:rPr>
              <w:t>Informācija par iepirkumiem, kas veikti saskaņā ar Publisko iepirkumu likumu</w:t>
            </w:r>
          </w:p>
          <w:p w14:paraId="2D7B3C77" w14:textId="233CA495" w:rsidR="00D906DC" w:rsidRPr="00DE05E9" w:rsidRDefault="00D906DC" w:rsidP="00FB71FD">
            <w:pPr>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xml:space="preserve">“Iepirkumu procedūras” – dati apkopoti no Iepirkumu uzraudzības biroja tīmekļvietnē publicētajiem paziņojumiem par iepirkumu procedūru, kurās ir vides kritērijs, kopējo līgumcenu (iepirkuma līgumi un vispārīgās vienošanās, izņemot iepirkuma līgumus vispārīgās vienošanās ietvaros) par periodu no 2017. gada 1. janvāra līdz 2017. gada 31. decembrim, kur „Virs ES līgumcenu sliekšņa” piegādēm un pakalpojumiem </w:t>
            </w:r>
            <w:r w:rsidRPr="00DE05E9">
              <w:rPr>
                <w:rFonts w:ascii="Times New Roman" w:eastAsia="Times New Roman" w:hAnsi="Times New Roman" w:cs="Times New Roman"/>
                <w:color w:val="000000"/>
                <w:lang w:val="lv-LV"/>
              </w:rPr>
              <w:lastRenderedPageBreak/>
              <w:t>no 135 000 EUR, būvdarbiem no 5 225 000 EUR; „Zem ES līgumcenu sliekšņa” piegādēm un pakalpojumiem no 42 000 EUR līdz 134 999,99 EUR, būvdarbiem no 170 000 EUR līdz 5 224 999,99 EUR.</w:t>
            </w:r>
          </w:p>
          <w:p w14:paraId="6BCB79DE" w14:textId="77777777" w:rsidR="00D906DC" w:rsidRPr="00DE05E9" w:rsidRDefault="00D906DC" w:rsidP="00FB71FD">
            <w:pPr>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„Sociālie un B daļa” – dati apkopoti no Iepirkumu uzraudzības biroja tīmekļvietnē publicētajiem paziņojumiem par iepirkumu kopējo līgumcenu par periodu no 2017. gada 1. janvāra līdz 2017. gada 31. decembrim, kur Publisko iepirkumu likuma (spēkā līdz 2017. gada 28. februārim) 2. pielikumā minētajiem B daļas pakalpojumiem: „Virs ES līgumcenu sliekšņa” pakalpojumiem no 135 000 EUR, „Zem ES līgumcenu sliekšņa” pakalpojumiem no 42 000 EUR līdz 134 999,99 EUR; Publisko iepirkumu likuma 10.</w:t>
            </w:r>
            <w:r w:rsidRPr="00DE05E9">
              <w:rPr>
                <w:rFonts w:ascii="Times New Roman" w:hAnsi="Times New Roman" w:cs="Times New Roman"/>
                <w:lang w:val="lv-LV"/>
              </w:rPr>
              <w:t xml:space="preserve"> </w:t>
            </w:r>
            <w:r w:rsidRPr="00DE05E9">
              <w:rPr>
                <w:rFonts w:ascii="Times New Roman" w:eastAsia="Times New Roman" w:hAnsi="Times New Roman" w:cs="Times New Roman"/>
                <w:color w:val="000000"/>
                <w:lang w:val="lv-LV"/>
              </w:rPr>
              <w:t>panta iepirkumiem (spēkā no 2017. gada 1. marta): „Virs ES līgumcenu sliekšņa” pakalpojumiem no 750 000 EUR, „Zem ES līgumcenu sliekšņa” pakalpojumiem no 42 000 EUR līdz 749 999,99 EUR.</w:t>
            </w:r>
          </w:p>
          <w:tbl>
            <w:tblPr>
              <w:tblW w:w="13520" w:type="dxa"/>
              <w:tblLook w:val="04A0" w:firstRow="1" w:lastRow="0" w:firstColumn="1" w:lastColumn="0" w:noHBand="0" w:noVBand="1"/>
            </w:tblPr>
            <w:tblGrid>
              <w:gridCol w:w="2662"/>
              <w:gridCol w:w="3820"/>
              <w:gridCol w:w="4942"/>
              <w:gridCol w:w="889"/>
            </w:tblGrid>
            <w:tr w:rsidR="00D906DC" w:rsidRPr="00DE05E9" w14:paraId="3DD7D868" w14:textId="77777777" w:rsidTr="00D906DC">
              <w:trPr>
                <w:trHeight w:val="375"/>
              </w:trPr>
              <w:tc>
                <w:tcPr>
                  <w:tcW w:w="2920" w:type="dxa"/>
                  <w:tcBorders>
                    <w:top w:val="nil"/>
                    <w:left w:val="nil"/>
                    <w:bottom w:val="nil"/>
                    <w:right w:val="nil"/>
                  </w:tcBorders>
                  <w:shd w:val="clear" w:color="auto" w:fill="auto"/>
                  <w:noWrap/>
                  <w:vAlign w:val="bottom"/>
                  <w:hideMark/>
                </w:tcPr>
                <w:p w14:paraId="780F3547"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t>Zaļais iepirkums</w:t>
                  </w:r>
                </w:p>
              </w:tc>
              <w:tc>
                <w:tcPr>
                  <w:tcW w:w="4200" w:type="dxa"/>
                  <w:tcBorders>
                    <w:top w:val="nil"/>
                    <w:left w:val="nil"/>
                    <w:bottom w:val="nil"/>
                    <w:right w:val="nil"/>
                  </w:tcBorders>
                  <w:shd w:val="clear" w:color="auto" w:fill="auto"/>
                  <w:noWrap/>
                  <w:vAlign w:val="bottom"/>
                  <w:hideMark/>
                </w:tcPr>
                <w:p w14:paraId="7A7BD9E7"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5440" w:type="dxa"/>
                  <w:tcBorders>
                    <w:top w:val="nil"/>
                    <w:left w:val="nil"/>
                    <w:bottom w:val="nil"/>
                    <w:right w:val="nil"/>
                  </w:tcBorders>
                  <w:shd w:val="clear" w:color="auto" w:fill="auto"/>
                  <w:noWrap/>
                  <w:vAlign w:val="bottom"/>
                  <w:hideMark/>
                </w:tcPr>
                <w:p w14:paraId="7C636F85"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960" w:type="dxa"/>
                  <w:tcBorders>
                    <w:top w:val="nil"/>
                    <w:left w:val="nil"/>
                    <w:bottom w:val="nil"/>
                    <w:right w:val="nil"/>
                  </w:tcBorders>
                  <w:shd w:val="clear" w:color="auto" w:fill="auto"/>
                  <w:noWrap/>
                  <w:vAlign w:val="bottom"/>
                  <w:hideMark/>
                </w:tcPr>
                <w:p w14:paraId="0DBA4438"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r>
            <w:tr w:rsidR="00D906DC" w:rsidRPr="00DE05E9" w14:paraId="75A9C6B3" w14:textId="77777777" w:rsidTr="00D906DC">
              <w:trPr>
                <w:trHeight w:val="300"/>
              </w:trPr>
              <w:tc>
                <w:tcPr>
                  <w:tcW w:w="2920" w:type="dxa"/>
                  <w:tcBorders>
                    <w:top w:val="nil"/>
                    <w:left w:val="nil"/>
                    <w:bottom w:val="nil"/>
                    <w:right w:val="nil"/>
                  </w:tcBorders>
                  <w:shd w:val="clear" w:color="auto" w:fill="auto"/>
                  <w:noWrap/>
                  <w:vAlign w:val="bottom"/>
                  <w:hideMark/>
                </w:tcPr>
                <w:p w14:paraId="1C95F33D"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t>Virs ES līgumcenu sliekšņa</w:t>
                  </w:r>
                </w:p>
              </w:tc>
              <w:tc>
                <w:tcPr>
                  <w:tcW w:w="4200" w:type="dxa"/>
                  <w:tcBorders>
                    <w:top w:val="nil"/>
                    <w:left w:val="nil"/>
                    <w:bottom w:val="nil"/>
                    <w:right w:val="nil"/>
                  </w:tcBorders>
                  <w:shd w:val="clear" w:color="auto" w:fill="auto"/>
                  <w:noWrap/>
                  <w:vAlign w:val="bottom"/>
                  <w:hideMark/>
                </w:tcPr>
                <w:p w14:paraId="3FA11C63"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5440" w:type="dxa"/>
                  <w:tcBorders>
                    <w:top w:val="nil"/>
                    <w:left w:val="nil"/>
                    <w:bottom w:val="nil"/>
                    <w:right w:val="nil"/>
                  </w:tcBorders>
                  <w:shd w:val="clear" w:color="auto" w:fill="auto"/>
                  <w:noWrap/>
                  <w:vAlign w:val="bottom"/>
                  <w:hideMark/>
                </w:tcPr>
                <w:p w14:paraId="22CAE8C5"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960" w:type="dxa"/>
                  <w:tcBorders>
                    <w:top w:val="nil"/>
                    <w:left w:val="nil"/>
                    <w:bottom w:val="nil"/>
                    <w:right w:val="nil"/>
                  </w:tcBorders>
                  <w:shd w:val="clear" w:color="auto" w:fill="auto"/>
                  <w:noWrap/>
                  <w:vAlign w:val="bottom"/>
                  <w:hideMark/>
                </w:tcPr>
                <w:p w14:paraId="5D508922"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r>
            <w:tr w:rsidR="00D906DC" w:rsidRPr="00DE05E9" w14:paraId="704CF334" w14:textId="77777777" w:rsidTr="00D906DC">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8A9B5"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w:t>
                  </w:r>
                </w:p>
              </w:tc>
              <w:tc>
                <w:tcPr>
                  <w:tcW w:w="4200" w:type="dxa"/>
                  <w:tcBorders>
                    <w:top w:val="single" w:sz="4" w:space="0" w:color="auto"/>
                    <w:left w:val="nil"/>
                    <w:bottom w:val="single" w:sz="4" w:space="0" w:color="auto"/>
                    <w:right w:val="single" w:sz="4" w:space="0" w:color="auto"/>
                  </w:tcBorders>
                  <w:shd w:val="clear" w:color="auto" w:fill="auto"/>
                  <w:noWrap/>
                  <w:vAlign w:val="bottom"/>
                  <w:hideMark/>
                </w:tcPr>
                <w:p w14:paraId="51D32ECA" w14:textId="77777777" w:rsidR="00D906DC" w:rsidRPr="00DE05E9" w:rsidRDefault="00D906DC" w:rsidP="00FB71FD">
                  <w:pPr>
                    <w:spacing w:after="0" w:line="240" w:lineRule="auto"/>
                    <w:jc w:val="both"/>
                    <w:rPr>
                      <w:rFonts w:ascii="Times New Roman" w:eastAsia="Times New Roman" w:hAnsi="Times New Roman" w:cs="Times New Roman"/>
                      <w:bCs/>
                      <w:color w:val="000000"/>
                      <w:lang w:val="lv-LV"/>
                    </w:rPr>
                  </w:pPr>
                  <w:r w:rsidRPr="00DE05E9">
                    <w:rPr>
                      <w:rFonts w:ascii="Times New Roman" w:eastAsia="Times New Roman" w:hAnsi="Times New Roman" w:cs="Times New Roman"/>
                      <w:bCs/>
                      <w:color w:val="000000"/>
                      <w:lang w:val="lv-LV"/>
                    </w:rPr>
                    <w:t>Iepirkumu kopējā līgumcena (EUR bez PVN)</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DB6D167" w14:textId="77777777" w:rsidR="00D906DC" w:rsidRPr="00DE05E9" w:rsidRDefault="00D906DC" w:rsidP="00FB71FD">
                  <w:pPr>
                    <w:spacing w:after="0" w:line="240" w:lineRule="auto"/>
                    <w:jc w:val="both"/>
                    <w:rPr>
                      <w:rFonts w:ascii="Times New Roman" w:eastAsia="Times New Roman" w:hAnsi="Times New Roman" w:cs="Times New Roman"/>
                      <w:bCs/>
                      <w:color w:val="000000"/>
                      <w:lang w:val="lv-LV"/>
                    </w:rPr>
                  </w:pPr>
                  <w:r w:rsidRPr="00DE05E9">
                    <w:rPr>
                      <w:rFonts w:ascii="Times New Roman" w:eastAsia="Times New Roman" w:hAnsi="Times New Roman" w:cs="Times New Roman"/>
                      <w:bCs/>
                      <w:color w:val="000000"/>
                      <w:lang w:val="lv-LV"/>
                    </w:rPr>
                    <w:t>Iepirkumu, kuros ir vides kritērijs, kopējā līgumcena (EUR bez PVN)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98C23F9" w14:textId="77777777" w:rsidR="00D906DC" w:rsidRPr="00DE05E9" w:rsidRDefault="00D906DC" w:rsidP="00FB71FD">
                  <w:pPr>
                    <w:spacing w:after="0" w:line="240" w:lineRule="auto"/>
                    <w:jc w:val="both"/>
                    <w:rPr>
                      <w:rFonts w:ascii="Times New Roman" w:eastAsia="Times New Roman" w:hAnsi="Times New Roman" w:cs="Times New Roman"/>
                      <w:bCs/>
                      <w:color w:val="000000"/>
                      <w:lang w:val="lv-LV"/>
                    </w:rPr>
                  </w:pPr>
                  <w:r w:rsidRPr="00DE05E9">
                    <w:rPr>
                      <w:rFonts w:ascii="Times New Roman" w:eastAsia="Times New Roman" w:hAnsi="Times New Roman" w:cs="Times New Roman"/>
                      <w:bCs/>
                      <w:color w:val="000000"/>
                      <w:lang w:val="lv-LV"/>
                    </w:rPr>
                    <w:t>%</w:t>
                  </w:r>
                </w:p>
              </w:tc>
            </w:tr>
            <w:tr w:rsidR="00D906DC" w:rsidRPr="00DE05E9" w14:paraId="52691F48" w14:textId="77777777" w:rsidTr="00D906D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31AF35F"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Procedūras</w:t>
                  </w:r>
                </w:p>
              </w:tc>
              <w:tc>
                <w:tcPr>
                  <w:tcW w:w="4200" w:type="dxa"/>
                  <w:tcBorders>
                    <w:top w:val="nil"/>
                    <w:left w:val="nil"/>
                    <w:bottom w:val="single" w:sz="4" w:space="0" w:color="auto"/>
                    <w:right w:val="single" w:sz="4" w:space="0" w:color="auto"/>
                  </w:tcBorders>
                  <w:shd w:val="clear" w:color="auto" w:fill="auto"/>
                  <w:noWrap/>
                  <w:vAlign w:val="bottom"/>
                  <w:hideMark/>
                </w:tcPr>
                <w:p w14:paraId="4BF7697D"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1 466 320 400</w:t>
                  </w:r>
                </w:p>
              </w:tc>
              <w:tc>
                <w:tcPr>
                  <w:tcW w:w="5440" w:type="dxa"/>
                  <w:tcBorders>
                    <w:top w:val="nil"/>
                    <w:left w:val="nil"/>
                    <w:bottom w:val="single" w:sz="4" w:space="0" w:color="auto"/>
                    <w:right w:val="single" w:sz="4" w:space="0" w:color="auto"/>
                  </w:tcBorders>
                  <w:shd w:val="clear" w:color="auto" w:fill="auto"/>
                  <w:noWrap/>
                  <w:vAlign w:val="bottom"/>
                  <w:hideMark/>
                </w:tcPr>
                <w:p w14:paraId="6D96C26A"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188 355 574</w:t>
                  </w:r>
                </w:p>
              </w:tc>
              <w:tc>
                <w:tcPr>
                  <w:tcW w:w="960" w:type="dxa"/>
                  <w:tcBorders>
                    <w:top w:val="nil"/>
                    <w:left w:val="nil"/>
                    <w:bottom w:val="single" w:sz="4" w:space="0" w:color="auto"/>
                    <w:right w:val="single" w:sz="4" w:space="0" w:color="auto"/>
                  </w:tcBorders>
                  <w:shd w:val="clear" w:color="auto" w:fill="auto"/>
                  <w:noWrap/>
                  <w:vAlign w:val="bottom"/>
                  <w:hideMark/>
                </w:tcPr>
                <w:p w14:paraId="4BAD4CD3"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13%</w:t>
                  </w:r>
                </w:p>
              </w:tc>
            </w:tr>
            <w:tr w:rsidR="00D906DC" w:rsidRPr="00DE05E9" w14:paraId="78DA182D" w14:textId="77777777" w:rsidTr="00D906D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5E1E4D3"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Procedūras + sociālie un B daļa</w:t>
                  </w:r>
                </w:p>
              </w:tc>
              <w:tc>
                <w:tcPr>
                  <w:tcW w:w="4200" w:type="dxa"/>
                  <w:tcBorders>
                    <w:top w:val="nil"/>
                    <w:left w:val="nil"/>
                    <w:bottom w:val="single" w:sz="4" w:space="0" w:color="auto"/>
                    <w:right w:val="single" w:sz="4" w:space="0" w:color="auto"/>
                  </w:tcBorders>
                  <w:shd w:val="clear" w:color="auto" w:fill="auto"/>
                  <w:noWrap/>
                  <w:vAlign w:val="bottom"/>
                  <w:hideMark/>
                </w:tcPr>
                <w:p w14:paraId="66143A0F"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1 499 150 289</w:t>
                  </w:r>
                </w:p>
              </w:tc>
              <w:tc>
                <w:tcPr>
                  <w:tcW w:w="5440" w:type="dxa"/>
                  <w:tcBorders>
                    <w:top w:val="nil"/>
                    <w:left w:val="nil"/>
                    <w:bottom w:val="single" w:sz="4" w:space="0" w:color="auto"/>
                    <w:right w:val="single" w:sz="4" w:space="0" w:color="auto"/>
                  </w:tcBorders>
                  <w:shd w:val="clear" w:color="auto" w:fill="auto"/>
                  <w:noWrap/>
                  <w:vAlign w:val="bottom"/>
                  <w:hideMark/>
                </w:tcPr>
                <w:p w14:paraId="31042F43"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194 100 824</w:t>
                  </w:r>
                </w:p>
              </w:tc>
              <w:tc>
                <w:tcPr>
                  <w:tcW w:w="960" w:type="dxa"/>
                  <w:tcBorders>
                    <w:top w:val="nil"/>
                    <w:left w:val="nil"/>
                    <w:bottom w:val="single" w:sz="4" w:space="0" w:color="auto"/>
                    <w:right w:val="single" w:sz="4" w:space="0" w:color="auto"/>
                  </w:tcBorders>
                  <w:shd w:val="clear" w:color="auto" w:fill="auto"/>
                  <w:noWrap/>
                  <w:vAlign w:val="bottom"/>
                  <w:hideMark/>
                </w:tcPr>
                <w:p w14:paraId="0895E0B4"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13%</w:t>
                  </w:r>
                </w:p>
              </w:tc>
            </w:tr>
            <w:tr w:rsidR="00D906DC" w:rsidRPr="00DE05E9" w14:paraId="352EAD9B" w14:textId="77777777" w:rsidTr="00D906DC">
              <w:trPr>
                <w:trHeight w:val="300"/>
              </w:trPr>
              <w:tc>
                <w:tcPr>
                  <w:tcW w:w="2920" w:type="dxa"/>
                  <w:tcBorders>
                    <w:top w:val="nil"/>
                    <w:left w:val="nil"/>
                    <w:bottom w:val="nil"/>
                    <w:right w:val="nil"/>
                  </w:tcBorders>
                  <w:shd w:val="clear" w:color="auto" w:fill="auto"/>
                  <w:noWrap/>
                  <w:vAlign w:val="bottom"/>
                  <w:hideMark/>
                </w:tcPr>
                <w:p w14:paraId="61DE7ECA"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p>
              </w:tc>
              <w:tc>
                <w:tcPr>
                  <w:tcW w:w="4200" w:type="dxa"/>
                  <w:tcBorders>
                    <w:top w:val="nil"/>
                    <w:left w:val="nil"/>
                    <w:bottom w:val="nil"/>
                    <w:right w:val="nil"/>
                  </w:tcBorders>
                  <w:shd w:val="clear" w:color="auto" w:fill="auto"/>
                  <w:noWrap/>
                  <w:vAlign w:val="bottom"/>
                  <w:hideMark/>
                </w:tcPr>
                <w:p w14:paraId="2FB302BF"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c>
                <w:tcPr>
                  <w:tcW w:w="5440" w:type="dxa"/>
                  <w:tcBorders>
                    <w:top w:val="nil"/>
                    <w:left w:val="nil"/>
                    <w:bottom w:val="nil"/>
                    <w:right w:val="nil"/>
                  </w:tcBorders>
                  <w:shd w:val="clear" w:color="auto" w:fill="auto"/>
                  <w:noWrap/>
                  <w:vAlign w:val="bottom"/>
                  <w:hideMark/>
                </w:tcPr>
                <w:p w14:paraId="017D1A6E"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c>
                <w:tcPr>
                  <w:tcW w:w="960" w:type="dxa"/>
                  <w:tcBorders>
                    <w:top w:val="nil"/>
                    <w:left w:val="nil"/>
                    <w:bottom w:val="nil"/>
                    <w:right w:val="nil"/>
                  </w:tcBorders>
                  <w:shd w:val="clear" w:color="auto" w:fill="auto"/>
                  <w:noWrap/>
                  <w:vAlign w:val="bottom"/>
                  <w:hideMark/>
                </w:tcPr>
                <w:p w14:paraId="376B948D" w14:textId="77777777" w:rsidR="00D906DC" w:rsidRPr="00DE05E9" w:rsidRDefault="00D906DC" w:rsidP="00FB71FD">
                  <w:pPr>
                    <w:spacing w:after="0" w:line="240" w:lineRule="auto"/>
                    <w:jc w:val="both"/>
                    <w:rPr>
                      <w:rFonts w:ascii="Times New Roman" w:eastAsia="Times New Roman" w:hAnsi="Times New Roman" w:cs="Times New Roman"/>
                      <w:lang w:val="lv-LV"/>
                    </w:rPr>
                  </w:pPr>
                </w:p>
              </w:tc>
            </w:tr>
            <w:tr w:rsidR="00D906DC" w:rsidRPr="00DE05E9" w14:paraId="6BE06912" w14:textId="77777777" w:rsidTr="00D906DC">
              <w:trPr>
                <w:trHeight w:val="300"/>
              </w:trPr>
              <w:tc>
                <w:tcPr>
                  <w:tcW w:w="2920" w:type="dxa"/>
                  <w:tcBorders>
                    <w:top w:val="nil"/>
                    <w:left w:val="nil"/>
                    <w:bottom w:val="nil"/>
                    <w:right w:val="nil"/>
                  </w:tcBorders>
                  <w:shd w:val="clear" w:color="auto" w:fill="auto"/>
                  <w:noWrap/>
                  <w:vAlign w:val="bottom"/>
                  <w:hideMark/>
                </w:tcPr>
                <w:p w14:paraId="5AC6E414"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t>Zem ES līgumcenu sliekšņa</w:t>
                  </w:r>
                </w:p>
              </w:tc>
              <w:tc>
                <w:tcPr>
                  <w:tcW w:w="4200" w:type="dxa"/>
                  <w:tcBorders>
                    <w:top w:val="nil"/>
                    <w:left w:val="nil"/>
                    <w:bottom w:val="nil"/>
                    <w:right w:val="nil"/>
                  </w:tcBorders>
                  <w:shd w:val="clear" w:color="auto" w:fill="auto"/>
                  <w:noWrap/>
                  <w:vAlign w:val="bottom"/>
                  <w:hideMark/>
                </w:tcPr>
                <w:p w14:paraId="1B28CC21"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5440" w:type="dxa"/>
                  <w:tcBorders>
                    <w:top w:val="nil"/>
                    <w:left w:val="nil"/>
                    <w:bottom w:val="nil"/>
                    <w:right w:val="nil"/>
                  </w:tcBorders>
                  <w:shd w:val="clear" w:color="auto" w:fill="auto"/>
                  <w:noWrap/>
                  <w:vAlign w:val="bottom"/>
                  <w:hideMark/>
                </w:tcPr>
                <w:p w14:paraId="072BC0F1"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960" w:type="dxa"/>
                  <w:tcBorders>
                    <w:top w:val="nil"/>
                    <w:left w:val="nil"/>
                    <w:bottom w:val="nil"/>
                    <w:right w:val="nil"/>
                  </w:tcBorders>
                  <w:shd w:val="clear" w:color="auto" w:fill="auto"/>
                  <w:noWrap/>
                  <w:vAlign w:val="bottom"/>
                  <w:hideMark/>
                </w:tcPr>
                <w:p w14:paraId="3495A4CF"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r>
            <w:tr w:rsidR="00D906DC" w:rsidRPr="00DE05E9" w14:paraId="31995AE9" w14:textId="77777777" w:rsidTr="00D906DC">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BC982"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w:t>
                  </w:r>
                </w:p>
              </w:tc>
              <w:tc>
                <w:tcPr>
                  <w:tcW w:w="4200" w:type="dxa"/>
                  <w:tcBorders>
                    <w:top w:val="single" w:sz="4" w:space="0" w:color="auto"/>
                    <w:left w:val="nil"/>
                    <w:bottom w:val="single" w:sz="4" w:space="0" w:color="auto"/>
                    <w:right w:val="single" w:sz="4" w:space="0" w:color="auto"/>
                  </w:tcBorders>
                  <w:shd w:val="clear" w:color="auto" w:fill="auto"/>
                  <w:noWrap/>
                  <w:vAlign w:val="bottom"/>
                  <w:hideMark/>
                </w:tcPr>
                <w:p w14:paraId="79DE3E57" w14:textId="77777777" w:rsidR="00D906DC" w:rsidRPr="00DE05E9" w:rsidRDefault="00D906DC" w:rsidP="00FB71FD">
                  <w:pPr>
                    <w:spacing w:after="0" w:line="240" w:lineRule="auto"/>
                    <w:jc w:val="both"/>
                    <w:rPr>
                      <w:rFonts w:ascii="Times New Roman" w:eastAsia="Times New Roman" w:hAnsi="Times New Roman" w:cs="Times New Roman"/>
                      <w:bCs/>
                      <w:color w:val="000000"/>
                      <w:lang w:val="lv-LV"/>
                    </w:rPr>
                  </w:pPr>
                  <w:r w:rsidRPr="00DE05E9">
                    <w:rPr>
                      <w:rFonts w:ascii="Times New Roman" w:eastAsia="Times New Roman" w:hAnsi="Times New Roman" w:cs="Times New Roman"/>
                      <w:bCs/>
                      <w:color w:val="000000"/>
                      <w:lang w:val="lv-LV"/>
                    </w:rPr>
                    <w:t>Iepirkumu kopējā līgumcena (EUR bez PVN)</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E0A7FB2" w14:textId="77777777" w:rsidR="00D906DC" w:rsidRPr="00DE05E9" w:rsidRDefault="00D906DC" w:rsidP="00FB71FD">
                  <w:pPr>
                    <w:spacing w:after="0" w:line="240" w:lineRule="auto"/>
                    <w:jc w:val="both"/>
                    <w:rPr>
                      <w:rFonts w:ascii="Times New Roman" w:eastAsia="Times New Roman" w:hAnsi="Times New Roman" w:cs="Times New Roman"/>
                      <w:bCs/>
                      <w:color w:val="000000"/>
                      <w:lang w:val="lv-LV"/>
                    </w:rPr>
                  </w:pPr>
                  <w:r w:rsidRPr="00DE05E9">
                    <w:rPr>
                      <w:rFonts w:ascii="Times New Roman" w:eastAsia="Times New Roman" w:hAnsi="Times New Roman" w:cs="Times New Roman"/>
                      <w:bCs/>
                      <w:color w:val="000000"/>
                      <w:lang w:val="lv-LV"/>
                    </w:rPr>
                    <w:t>Iepirkumu, kuros ir vides kritērijs, kopējā līgumcena (EUR bez PVN)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3D1C5AD" w14:textId="77777777" w:rsidR="00D906DC" w:rsidRPr="00DE05E9" w:rsidRDefault="00D906DC" w:rsidP="00FB71FD">
                  <w:pPr>
                    <w:spacing w:after="0" w:line="240" w:lineRule="auto"/>
                    <w:jc w:val="both"/>
                    <w:rPr>
                      <w:rFonts w:ascii="Times New Roman" w:eastAsia="Times New Roman" w:hAnsi="Times New Roman" w:cs="Times New Roman"/>
                      <w:bCs/>
                      <w:color w:val="000000"/>
                      <w:lang w:val="lv-LV"/>
                    </w:rPr>
                  </w:pPr>
                  <w:r w:rsidRPr="00DE05E9">
                    <w:rPr>
                      <w:rFonts w:ascii="Times New Roman" w:eastAsia="Times New Roman" w:hAnsi="Times New Roman" w:cs="Times New Roman"/>
                      <w:bCs/>
                      <w:color w:val="000000"/>
                      <w:lang w:val="lv-LV"/>
                    </w:rPr>
                    <w:t>%</w:t>
                  </w:r>
                </w:p>
              </w:tc>
            </w:tr>
            <w:tr w:rsidR="00D906DC" w:rsidRPr="00DE05E9" w14:paraId="57849FEB" w14:textId="77777777" w:rsidTr="00D906D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341670C"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Procedūras</w:t>
                  </w:r>
                </w:p>
              </w:tc>
              <w:tc>
                <w:tcPr>
                  <w:tcW w:w="4200" w:type="dxa"/>
                  <w:tcBorders>
                    <w:top w:val="nil"/>
                    <w:left w:val="nil"/>
                    <w:bottom w:val="single" w:sz="4" w:space="0" w:color="auto"/>
                    <w:right w:val="single" w:sz="4" w:space="0" w:color="auto"/>
                  </w:tcBorders>
                  <w:shd w:val="clear" w:color="auto" w:fill="auto"/>
                  <w:noWrap/>
                  <w:vAlign w:val="bottom"/>
                  <w:hideMark/>
                </w:tcPr>
                <w:p w14:paraId="5F1B1F5C"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535 945 533</w:t>
                  </w:r>
                </w:p>
              </w:tc>
              <w:tc>
                <w:tcPr>
                  <w:tcW w:w="5440" w:type="dxa"/>
                  <w:tcBorders>
                    <w:top w:val="nil"/>
                    <w:left w:val="nil"/>
                    <w:bottom w:val="single" w:sz="4" w:space="0" w:color="auto"/>
                    <w:right w:val="single" w:sz="4" w:space="0" w:color="auto"/>
                  </w:tcBorders>
                  <w:shd w:val="clear" w:color="auto" w:fill="auto"/>
                  <w:noWrap/>
                  <w:vAlign w:val="bottom"/>
                  <w:hideMark/>
                </w:tcPr>
                <w:p w14:paraId="2E8EEAC2"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57 437 539</w:t>
                  </w:r>
                </w:p>
              </w:tc>
              <w:tc>
                <w:tcPr>
                  <w:tcW w:w="960" w:type="dxa"/>
                  <w:tcBorders>
                    <w:top w:val="nil"/>
                    <w:left w:val="nil"/>
                    <w:bottom w:val="single" w:sz="4" w:space="0" w:color="auto"/>
                    <w:right w:val="single" w:sz="4" w:space="0" w:color="auto"/>
                  </w:tcBorders>
                  <w:shd w:val="clear" w:color="auto" w:fill="auto"/>
                  <w:noWrap/>
                  <w:vAlign w:val="bottom"/>
                  <w:hideMark/>
                </w:tcPr>
                <w:p w14:paraId="3BD0E241"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11%</w:t>
                  </w:r>
                </w:p>
              </w:tc>
            </w:tr>
            <w:tr w:rsidR="00D906DC" w:rsidRPr="00DE05E9" w14:paraId="38E4454A" w14:textId="77777777" w:rsidTr="00D906D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5F7DF14"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Procedūras + sociālie un B daļa</w:t>
                  </w:r>
                </w:p>
              </w:tc>
              <w:tc>
                <w:tcPr>
                  <w:tcW w:w="4200" w:type="dxa"/>
                  <w:tcBorders>
                    <w:top w:val="nil"/>
                    <w:left w:val="nil"/>
                    <w:bottom w:val="single" w:sz="4" w:space="0" w:color="auto"/>
                    <w:right w:val="single" w:sz="4" w:space="0" w:color="auto"/>
                  </w:tcBorders>
                  <w:shd w:val="clear" w:color="auto" w:fill="auto"/>
                  <w:noWrap/>
                  <w:vAlign w:val="bottom"/>
                  <w:hideMark/>
                </w:tcPr>
                <w:p w14:paraId="6135BA89"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567 573 972</w:t>
                  </w:r>
                </w:p>
              </w:tc>
              <w:tc>
                <w:tcPr>
                  <w:tcW w:w="5440" w:type="dxa"/>
                  <w:tcBorders>
                    <w:top w:val="nil"/>
                    <w:left w:val="nil"/>
                    <w:bottom w:val="single" w:sz="4" w:space="0" w:color="auto"/>
                    <w:right w:val="single" w:sz="4" w:space="0" w:color="auto"/>
                  </w:tcBorders>
                  <w:shd w:val="clear" w:color="auto" w:fill="auto"/>
                  <w:noWrap/>
                  <w:vAlign w:val="bottom"/>
                  <w:hideMark/>
                </w:tcPr>
                <w:p w14:paraId="6542036B"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64 905 343</w:t>
                  </w:r>
                </w:p>
              </w:tc>
              <w:tc>
                <w:tcPr>
                  <w:tcW w:w="960" w:type="dxa"/>
                  <w:tcBorders>
                    <w:top w:val="nil"/>
                    <w:left w:val="nil"/>
                    <w:bottom w:val="single" w:sz="4" w:space="0" w:color="auto"/>
                    <w:right w:val="single" w:sz="4" w:space="0" w:color="auto"/>
                  </w:tcBorders>
                  <w:shd w:val="clear" w:color="auto" w:fill="auto"/>
                  <w:noWrap/>
                  <w:vAlign w:val="bottom"/>
                  <w:hideMark/>
                </w:tcPr>
                <w:p w14:paraId="3089FE0F"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11%</w:t>
                  </w:r>
                </w:p>
              </w:tc>
            </w:tr>
          </w:tbl>
          <w:p w14:paraId="6F5A58CE" w14:textId="41200E4F" w:rsidR="00D906DC" w:rsidRPr="00DE05E9" w:rsidRDefault="00D906DC" w:rsidP="00FB71FD">
            <w:pPr>
              <w:jc w:val="both"/>
              <w:rPr>
                <w:rFonts w:ascii="Times New Roman" w:eastAsia="Times New Roman" w:hAnsi="Times New Roman" w:cs="Times New Roman"/>
                <w:color w:val="000000"/>
                <w:lang w:val="lv-LV"/>
              </w:rPr>
            </w:pPr>
          </w:p>
          <w:p w14:paraId="05D1C6B1" w14:textId="5B74E0CB" w:rsidR="00D906DC" w:rsidRPr="00DE05E9" w:rsidRDefault="00D906DC" w:rsidP="00FB71FD">
            <w:pPr>
              <w:jc w:val="both"/>
              <w:rPr>
                <w:rFonts w:ascii="Times New Roman" w:eastAsia="Times New Roman" w:hAnsi="Times New Roman" w:cs="Times New Roman"/>
                <w:color w:val="000000"/>
                <w:lang w:val="lv-LV"/>
              </w:rPr>
            </w:pPr>
          </w:p>
          <w:p w14:paraId="2DE0C1AF" w14:textId="77777777" w:rsidR="00D906DC" w:rsidRPr="00DE05E9" w:rsidRDefault="00D906DC" w:rsidP="00FB71FD">
            <w:pPr>
              <w:jc w:val="both"/>
              <w:rPr>
                <w:rFonts w:ascii="Times New Roman" w:eastAsia="Times New Roman" w:hAnsi="Times New Roman" w:cs="Times New Roman"/>
                <w:color w:val="000000"/>
                <w:lang w:val="lv-LV"/>
              </w:rPr>
            </w:pPr>
          </w:p>
          <w:p w14:paraId="0BCB07B0" w14:textId="4FB10F6C" w:rsidR="00D906DC" w:rsidRPr="00DE05E9" w:rsidRDefault="00D906DC" w:rsidP="00FB71FD">
            <w:pPr>
              <w:jc w:val="both"/>
              <w:rPr>
                <w:rFonts w:ascii="Times New Roman" w:eastAsia="Times New Roman" w:hAnsi="Times New Roman" w:cs="Times New Roman"/>
                <w:color w:val="000000"/>
                <w:lang w:val="lv-LV"/>
              </w:rPr>
            </w:pPr>
          </w:p>
          <w:p w14:paraId="56A97B8C" w14:textId="10013442" w:rsidR="00FB71FD" w:rsidRPr="00DE05E9" w:rsidRDefault="00FB71FD" w:rsidP="00FB71FD">
            <w:pPr>
              <w:jc w:val="both"/>
              <w:rPr>
                <w:rFonts w:ascii="Times New Roman" w:eastAsia="Times New Roman" w:hAnsi="Times New Roman" w:cs="Times New Roman"/>
                <w:color w:val="000000"/>
                <w:lang w:val="lv-LV"/>
              </w:rPr>
            </w:pPr>
          </w:p>
          <w:p w14:paraId="735FF1D2" w14:textId="62AF219F" w:rsidR="00FB71FD" w:rsidRPr="00DE05E9" w:rsidRDefault="00FB71FD" w:rsidP="00FB71FD">
            <w:pPr>
              <w:jc w:val="both"/>
              <w:rPr>
                <w:rFonts w:ascii="Times New Roman" w:eastAsia="Times New Roman" w:hAnsi="Times New Roman" w:cs="Times New Roman"/>
                <w:color w:val="000000"/>
                <w:lang w:val="lv-LV"/>
              </w:rPr>
            </w:pPr>
          </w:p>
          <w:p w14:paraId="14A35346" w14:textId="5ED53010" w:rsidR="00D906DC" w:rsidRPr="00DE05E9" w:rsidRDefault="00D906DC" w:rsidP="00FB71FD">
            <w:pPr>
              <w:pStyle w:val="NoSpacing"/>
              <w:jc w:val="both"/>
              <w:rPr>
                <w:rFonts w:ascii="Times New Roman" w:hAnsi="Times New Roman" w:cs="Times New Roman"/>
              </w:rPr>
            </w:pPr>
            <w:r w:rsidRPr="00DE05E9">
              <w:rPr>
                <w:rFonts w:ascii="Times New Roman" w:hAnsi="Times New Roman" w:cs="Times New Roman"/>
                <w:b/>
                <w:u w:val="single"/>
              </w:rPr>
              <w:t>Informācija par iepirkumiem, kas veikti saskaņā ar Sabiedrisko pakalpojumu sniedzēju iepirkumu likumu</w:t>
            </w:r>
          </w:p>
          <w:p w14:paraId="3DDAB686" w14:textId="7C045E00" w:rsidR="00D906DC" w:rsidRPr="00DE05E9" w:rsidRDefault="00D906DC" w:rsidP="00FB71FD">
            <w:pPr>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xml:space="preserve">“Iepirkumu procedūras” – dati apkopoti no Iepirkumu uzraudzības biroja tīmekļvietnē publicētajiem paziņojumiem par iepirkumu procedūru, kurās ir vides kritērijs, kopējo līgumcenu (iepirkuma līgumi un vispārīgās vienošanās, izņemot iepirkuma līgumus vispārīgās vienošanās </w:t>
            </w:r>
            <w:r w:rsidRPr="00DE05E9">
              <w:rPr>
                <w:rFonts w:ascii="Times New Roman" w:eastAsia="Times New Roman" w:hAnsi="Times New Roman" w:cs="Times New Roman"/>
                <w:color w:val="000000"/>
                <w:lang w:val="lv-LV"/>
              </w:rPr>
              <w:lastRenderedPageBreak/>
              <w:t>ietvaros) par periodu no 2017. gada 1. janvāra līdz 2017. gada 31. decembrim, kur „Virs ES līgumcenu sliekšņa” piegādēm un pakalpojumiem no 418 000 EUR, būvdarbiem no 5 225 000 EUR.</w:t>
            </w:r>
          </w:p>
          <w:p w14:paraId="0A9910B8" w14:textId="77777777" w:rsidR="00D906DC" w:rsidRPr="00DE05E9" w:rsidRDefault="00D906DC" w:rsidP="00FB71FD">
            <w:pPr>
              <w:jc w:val="both"/>
              <w:rPr>
                <w:rFonts w:ascii="Times New Roman" w:eastAsia="Times New Roman" w:hAnsi="Times New Roman" w:cs="Times New Roman"/>
                <w:b/>
                <w:bCs/>
                <w:color w:val="000000"/>
                <w:lang w:val="lv-LV"/>
              </w:rPr>
            </w:pPr>
            <w:r w:rsidRPr="00DE05E9">
              <w:rPr>
                <w:rFonts w:ascii="Times New Roman" w:eastAsia="Times New Roman" w:hAnsi="Times New Roman" w:cs="Times New Roman"/>
                <w:color w:val="000000"/>
                <w:lang w:val="lv-LV"/>
              </w:rPr>
              <w:t>„Sociālie un B daļa” – dati apkopoti no Iepirkumu uzraudzības biroja tīmekļvietnē publicētajiem paziņojumiem par iepirkumu kopējo līgumcenu par periodu no 2017. gada 1. janvāra līdz 2017. gada 31. decembrim, kur Sabiedrisko pakalpojumu sniedzēju iepirkumu likuma (spēkā līdz 2017. gada 31. martam) 2. pielikumā minētajiem B daļas pakalpojumiem: „Virs ES līgumcenu sliekšņa” pakalpojumiem no 418 000 EUR; Sabiedrisko pakalpojumu sniedzēju iepirkumu likuma 34.</w:t>
            </w:r>
            <w:r w:rsidRPr="00DE05E9">
              <w:rPr>
                <w:rFonts w:ascii="Times New Roman" w:hAnsi="Times New Roman" w:cs="Times New Roman"/>
                <w:lang w:val="lv-LV"/>
              </w:rPr>
              <w:t xml:space="preserve"> </w:t>
            </w:r>
            <w:r w:rsidRPr="00DE05E9">
              <w:rPr>
                <w:rFonts w:ascii="Times New Roman" w:eastAsia="Times New Roman" w:hAnsi="Times New Roman" w:cs="Times New Roman"/>
                <w:color w:val="000000"/>
                <w:lang w:val="lv-LV"/>
              </w:rPr>
              <w:t>panta iepirkumiem (spēkā no 2017. gada 1. aprīļa): „Virs ES līgumcenu sliekšņa” pakalpojumiem no 1 000 000 EUR.</w:t>
            </w:r>
          </w:p>
          <w:tbl>
            <w:tblPr>
              <w:tblW w:w="13520" w:type="dxa"/>
              <w:tblLook w:val="04A0" w:firstRow="1" w:lastRow="0" w:firstColumn="1" w:lastColumn="0" w:noHBand="0" w:noVBand="1"/>
            </w:tblPr>
            <w:tblGrid>
              <w:gridCol w:w="2662"/>
              <w:gridCol w:w="3820"/>
              <w:gridCol w:w="4942"/>
              <w:gridCol w:w="889"/>
            </w:tblGrid>
            <w:tr w:rsidR="00D906DC" w:rsidRPr="00DE05E9" w14:paraId="3002DAE5" w14:textId="77777777" w:rsidTr="00D906DC">
              <w:trPr>
                <w:trHeight w:val="375"/>
              </w:trPr>
              <w:tc>
                <w:tcPr>
                  <w:tcW w:w="2920" w:type="dxa"/>
                  <w:tcBorders>
                    <w:top w:val="nil"/>
                    <w:left w:val="nil"/>
                    <w:bottom w:val="nil"/>
                    <w:right w:val="nil"/>
                  </w:tcBorders>
                  <w:shd w:val="clear" w:color="auto" w:fill="auto"/>
                  <w:noWrap/>
                  <w:vAlign w:val="bottom"/>
                  <w:hideMark/>
                </w:tcPr>
                <w:p w14:paraId="2D2314BF"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t>Zaļais iepirkums</w:t>
                  </w:r>
                </w:p>
              </w:tc>
              <w:tc>
                <w:tcPr>
                  <w:tcW w:w="4200" w:type="dxa"/>
                  <w:tcBorders>
                    <w:top w:val="nil"/>
                    <w:left w:val="nil"/>
                    <w:bottom w:val="nil"/>
                    <w:right w:val="nil"/>
                  </w:tcBorders>
                  <w:shd w:val="clear" w:color="auto" w:fill="auto"/>
                  <w:noWrap/>
                  <w:vAlign w:val="bottom"/>
                  <w:hideMark/>
                </w:tcPr>
                <w:p w14:paraId="35DFBC2D"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5440" w:type="dxa"/>
                  <w:tcBorders>
                    <w:top w:val="nil"/>
                    <w:left w:val="nil"/>
                    <w:bottom w:val="nil"/>
                    <w:right w:val="nil"/>
                  </w:tcBorders>
                  <w:shd w:val="clear" w:color="auto" w:fill="auto"/>
                  <w:noWrap/>
                  <w:vAlign w:val="bottom"/>
                  <w:hideMark/>
                </w:tcPr>
                <w:p w14:paraId="6342ED8D"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960" w:type="dxa"/>
                  <w:tcBorders>
                    <w:top w:val="nil"/>
                    <w:left w:val="nil"/>
                    <w:bottom w:val="nil"/>
                    <w:right w:val="nil"/>
                  </w:tcBorders>
                  <w:shd w:val="clear" w:color="auto" w:fill="auto"/>
                  <w:noWrap/>
                  <w:vAlign w:val="bottom"/>
                  <w:hideMark/>
                </w:tcPr>
                <w:p w14:paraId="19A026F2"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r>
            <w:tr w:rsidR="00D906DC" w:rsidRPr="00DE05E9" w14:paraId="1182049B" w14:textId="77777777" w:rsidTr="00D906DC">
              <w:trPr>
                <w:trHeight w:val="300"/>
              </w:trPr>
              <w:tc>
                <w:tcPr>
                  <w:tcW w:w="2920" w:type="dxa"/>
                  <w:tcBorders>
                    <w:top w:val="nil"/>
                    <w:left w:val="nil"/>
                    <w:bottom w:val="nil"/>
                    <w:right w:val="nil"/>
                  </w:tcBorders>
                  <w:shd w:val="clear" w:color="auto" w:fill="auto"/>
                  <w:noWrap/>
                  <w:vAlign w:val="bottom"/>
                  <w:hideMark/>
                </w:tcPr>
                <w:p w14:paraId="789459E1"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r w:rsidRPr="00DE05E9">
                    <w:rPr>
                      <w:rFonts w:ascii="Times New Roman" w:eastAsia="Times New Roman" w:hAnsi="Times New Roman" w:cs="Times New Roman"/>
                      <w:b/>
                      <w:color w:val="000000"/>
                      <w:lang w:val="lv-LV"/>
                    </w:rPr>
                    <w:t>Virs ES līgumcenu sliekšņa</w:t>
                  </w:r>
                </w:p>
              </w:tc>
              <w:tc>
                <w:tcPr>
                  <w:tcW w:w="4200" w:type="dxa"/>
                  <w:tcBorders>
                    <w:top w:val="nil"/>
                    <w:left w:val="nil"/>
                    <w:bottom w:val="nil"/>
                    <w:right w:val="nil"/>
                  </w:tcBorders>
                  <w:shd w:val="clear" w:color="auto" w:fill="auto"/>
                  <w:noWrap/>
                  <w:vAlign w:val="bottom"/>
                  <w:hideMark/>
                </w:tcPr>
                <w:p w14:paraId="6E491302"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5440" w:type="dxa"/>
                  <w:tcBorders>
                    <w:top w:val="nil"/>
                    <w:left w:val="nil"/>
                    <w:bottom w:val="nil"/>
                    <w:right w:val="nil"/>
                  </w:tcBorders>
                  <w:shd w:val="clear" w:color="auto" w:fill="auto"/>
                  <w:noWrap/>
                  <w:vAlign w:val="bottom"/>
                  <w:hideMark/>
                </w:tcPr>
                <w:p w14:paraId="046B20C0"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c>
                <w:tcPr>
                  <w:tcW w:w="960" w:type="dxa"/>
                  <w:tcBorders>
                    <w:top w:val="nil"/>
                    <w:left w:val="nil"/>
                    <w:bottom w:val="nil"/>
                    <w:right w:val="nil"/>
                  </w:tcBorders>
                  <w:shd w:val="clear" w:color="auto" w:fill="auto"/>
                  <w:noWrap/>
                  <w:vAlign w:val="bottom"/>
                  <w:hideMark/>
                </w:tcPr>
                <w:p w14:paraId="1CD42451" w14:textId="77777777" w:rsidR="00D906DC" w:rsidRPr="00DE05E9" w:rsidRDefault="00D906DC" w:rsidP="00FB71FD">
                  <w:pPr>
                    <w:spacing w:after="0" w:line="240" w:lineRule="auto"/>
                    <w:jc w:val="both"/>
                    <w:rPr>
                      <w:rFonts w:ascii="Times New Roman" w:eastAsia="Times New Roman" w:hAnsi="Times New Roman" w:cs="Times New Roman"/>
                      <w:b/>
                      <w:color w:val="000000"/>
                      <w:lang w:val="lv-LV"/>
                    </w:rPr>
                  </w:pPr>
                </w:p>
              </w:tc>
            </w:tr>
            <w:tr w:rsidR="00D906DC" w:rsidRPr="00DE05E9" w14:paraId="4C29B5C5" w14:textId="77777777" w:rsidTr="00D906DC">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7653B"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p>
              </w:tc>
              <w:tc>
                <w:tcPr>
                  <w:tcW w:w="4200" w:type="dxa"/>
                  <w:tcBorders>
                    <w:top w:val="single" w:sz="4" w:space="0" w:color="auto"/>
                    <w:left w:val="nil"/>
                    <w:bottom w:val="single" w:sz="4" w:space="0" w:color="auto"/>
                    <w:right w:val="single" w:sz="4" w:space="0" w:color="auto"/>
                  </w:tcBorders>
                  <w:shd w:val="clear" w:color="auto" w:fill="auto"/>
                  <w:noWrap/>
                  <w:vAlign w:val="bottom"/>
                  <w:hideMark/>
                </w:tcPr>
                <w:p w14:paraId="04F367BF"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Iepirkumu kopējā līgumcena (EUR bez PVN)</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08DFBFAA"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Iepirkumu, kuros ir vides kritērijs, kopējā līgumcena (EUR bez PVN)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AC895DB"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w:t>
                  </w:r>
                </w:p>
              </w:tc>
            </w:tr>
            <w:tr w:rsidR="00D906DC" w:rsidRPr="00DE05E9" w14:paraId="6B209394" w14:textId="77777777" w:rsidTr="00D906D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72F1DC8"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Procedūras</w:t>
                  </w:r>
                </w:p>
              </w:tc>
              <w:tc>
                <w:tcPr>
                  <w:tcW w:w="4200" w:type="dxa"/>
                  <w:tcBorders>
                    <w:top w:val="nil"/>
                    <w:left w:val="nil"/>
                    <w:bottom w:val="single" w:sz="4" w:space="0" w:color="auto"/>
                    <w:right w:val="single" w:sz="4" w:space="0" w:color="auto"/>
                  </w:tcBorders>
                  <w:shd w:val="clear" w:color="auto" w:fill="auto"/>
                  <w:noWrap/>
                  <w:vAlign w:val="bottom"/>
                  <w:hideMark/>
                </w:tcPr>
                <w:p w14:paraId="65966BFA"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238 067 384</w:t>
                  </w:r>
                </w:p>
              </w:tc>
              <w:tc>
                <w:tcPr>
                  <w:tcW w:w="5440" w:type="dxa"/>
                  <w:tcBorders>
                    <w:top w:val="nil"/>
                    <w:left w:val="nil"/>
                    <w:bottom w:val="single" w:sz="4" w:space="0" w:color="auto"/>
                    <w:right w:val="single" w:sz="4" w:space="0" w:color="auto"/>
                  </w:tcBorders>
                  <w:shd w:val="clear" w:color="auto" w:fill="auto"/>
                  <w:noWrap/>
                  <w:vAlign w:val="bottom"/>
                  <w:hideMark/>
                </w:tcPr>
                <w:p w14:paraId="56B94C6E"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4 681 519</w:t>
                  </w:r>
                </w:p>
              </w:tc>
              <w:tc>
                <w:tcPr>
                  <w:tcW w:w="960" w:type="dxa"/>
                  <w:tcBorders>
                    <w:top w:val="nil"/>
                    <w:left w:val="nil"/>
                    <w:bottom w:val="single" w:sz="4" w:space="0" w:color="auto"/>
                    <w:right w:val="single" w:sz="4" w:space="0" w:color="auto"/>
                  </w:tcBorders>
                  <w:shd w:val="clear" w:color="auto" w:fill="auto"/>
                  <w:noWrap/>
                  <w:vAlign w:val="bottom"/>
                  <w:hideMark/>
                </w:tcPr>
                <w:p w14:paraId="1DB60668"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w:t>
                  </w:r>
                </w:p>
              </w:tc>
            </w:tr>
            <w:tr w:rsidR="00D906DC" w:rsidRPr="00DE05E9" w14:paraId="19D9B6BD" w14:textId="77777777" w:rsidTr="00D906D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BCA7FC3"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Procedūras + sociālie un B daļa</w:t>
                  </w:r>
                </w:p>
              </w:tc>
              <w:tc>
                <w:tcPr>
                  <w:tcW w:w="4200" w:type="dxa"/>
                  <w:tcBorders>
                    <w:top w:val="nil"/>
                    <w:left w:val="nil"/>
                    <w:bottom w:val="single" w:sz="4" w:space="0" w:color="auto"/>
                    <w:right w:val="single" w:sz="4" w:space="0" w:color="auto"/>
                  </w:tcBorders>
                  <w:shd w:val="clear" w:color="auto" w:fill="auto"/>
                  <w:noWrap/>
                  <w:vAlign w:val="bottom"/>
                  <w:hideMark/>
                </w:tcPr>
                <w:p w14:paraId="0294445E"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238 067 384</w:t>
                  </w:r>
                </w:p>
              </w:tc>
              <w:tc>
                <w:tcPr>
                  <w:tcW w:w="5440" w:type="dxa"/>
                  <w:tcBorders>
                    <w:top w:val="nil"/>
                    <w:left w:val="nil"/>
                    <w:bottom w:val="single" w:sz="4" w:space="0" w:color="auto"/>
                    <w:right w:val="single" w:sz="4" w:space="0" w:color="auto"/>
                  </w:tcBorders>
                  <w:shd w:val="clear" w:color="auto" w:fill="auto"/>
                  <w:noWrap/>
                  <w:vAlign w:val="bottom"/>
                  <w:hideMark/>
                </w:tcPr>
                <w:p w14:paraId="0D0F8C8A"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4 681 519</w:t>
                  </w:r>
                </w:p>
              </w:tc>
              <w:tc>
                <w:tcPr>
                  <w:tcW w:w="960" w:type="dxa"/>
                  <w:tcBorders>
                    <w:top w:val="nil"/>
                    <w:left w:val="nil"/>
                    <w:bottom w:val="single" w:sz="4" w:space="0" w:color="auto"/>
                    <w:right w:val="single" w:sz="4" w:space="0" w:color="auto"/>
                  </w:tcBorders>
                  <w:shd w:val="clear" w:color="auto" w:fill="auto"/>
                  <w:noWrap/>
                  <w:vAlign w:val="bottom"/>
                  <w:hideMark/>
                </w:tcPr>
                <w:p w14:paraId="288F3B11"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2%</w:t>
                  </w:r>
                </w:p>
              </w:tc>
            </w:tr>
          </w:tbl>
          <w:p w14:paraId="6F87BB25" w14:textId="77777777" w:rsidR="00D906DC" w:rsidRPr="00DE05E9" w:rsidRDefault="00D906DC" w:rsidP="00FB71FD">
            <w:pPr>
              <w:jc w:val="both"/>
              <w:rPr>
                <w:rFonts w:ascii="Times New Roman" w:hAnsi="Times New Roman" w:cs="Times New Roman"/>
              </w:rPr>
            </w:pPr>
          </w:p>
          <w:p w14:paraId="7BF00A04" w14:textId="77777777" w:rsidR="00D906DC" w:rsidRPr="00DE05E9" w:rsidRDefault="00D906DC" w:rsidP="00FB71FD">
            <w:pPr>
              <w:jc w:val="both"/>
              <w:rPr>
                <w:rFonts w:ascii="Times New Roman" w:hAnsi="Times New Roman" w:cs="Times New Roman"/>
              </w:rPr>
            </w:pPr>
          </w:p>
          <w:p w14:paraId="3EC685EF" w14:textId="23A5FB69" w:rsidR="00D906DC" w:rsidRPr="00DE05E9" w:rsidRDefault="00D906DC" w:rsidP="00FB71FD">
            <w:pPr>
              <w:pStyle w:val="NoSpacing"/>
              <w:jc w:val="both"/>
              <w:rPr>
                <w:rFonts w:ascii="Times New Roman" w:hAnsi="Times New Roman" w:cs="Times New Roman"/>
              </w:rPr>
            </w:pPr>
          </w:p>
          <w:p w14:paraId="5EC23163" w14:textId="77777777" w:rsidR="00D906DC" w:rsidRPr="00DE05E9" w:rsidRDefault="00D906DC" w:rsidP="00FB71FD">
            <w:pPr>
              <w:jc w:val="both"/>
              <w:rPr>
                <w:rFonts w:ascii="Times New Roman" w:hAnsi="Times New Roman" w:cs="Times New Roman"/>
              </w:rPr>
            </w:pPr>
          </w:p>
          <w:p w14:paraId="425FCE4A" w14:textId="77777777" w:rsidR="00D906DC" w:rsidRPr="00DE05E9" w:rsidRDefault="00D906DC" w:rsidP="00FB71FD">
            <w:pPr>
              <w:jc w:val="both"/>
              <w:rPr>
                <w:rFonts w:ascii="Times New Roman" w:hAnsi="Times New Roman" w:cs="Times New Roman"/>
              </w:rPr>
            </w:pPr>
          </w:p>
          <w:p w14:paraId="229ABA49" w14:textId="0603299B" w:rsidR="00D906DC" w:rsidRPr="00DE05E9" w:rsidRDefault="00D906DC" w:rsidP="00FB71FD">
            <w:pPr>
              <w:jc w:val="both"/>
              <w:rPr>
                <w:rFonts w:ascii="Times New Roman" w:hAnsi="Times New Roman" w:cs="Times New Roman"/>
              </w:rPr>
            </w:pPr>
          </w:p>
        </w:tc>
      </w:tr>
      <w:tr w:rsidR="00994F58" w:rsidRPr="00DE05E9" w14:paraId="448ED29A" w14:textId="77777777" w:rsidTr="00205FF9">
        <w:trPr>
          <w:trHeight w:val="1248"/>
        </w:trPr>
        <w:tc>
          <w:tcPr>
            <w:tcW w:w="523" w:type="pct"/>
          </w:tcPr>
          <w:p w14:paraId="34A7A084" w14:textId="766D9FD6" w:rsidR="00994F58" w:rsidRPr="00DE05E9" w:rsidRDefault="00994F58" w:rsidP="00FB71FD">
            <w:pPr>
              <w:pStyle w:val="Heading3"/>
              <w:jc w:val="both"/>
              <w:outlineLvl w:val="2"/>
              <w:rPr>
                <w:rFonts w:ascii="Times New Roman" w:hAnsi="Times New Roman" w:cs="Times New Roman"/>
              </w:rPr>
            </w:pPr>
            <w:r w:rsidRPr="00DE05E9">
              <w:rPr>
                <w:rFonts w:ascii="Times New Roman" w:hAnsi="Times New Roman" w:cs="Times New Roman"/>
              </w:rPr>
              <w:lastRenderedPageBreak/>
              <w:t>V.2 Socially responsible public procurement ('SRPP')</w:t>
            </w:r>
          </w:p>
        </w:tc>
        <w:tc>
          <w:tcPr>
            <w:tcW w:w="4477" w:type="pct"/>
          </w:tcPr>
          <w:p w14:paraId="1DC5B3C8" w14:textId="6D444712" w:rsidR="00994F58" w:rsidRPr="00DE05E9" w:rsidRDefault="00994F58" w:rsidP="00FB71FD">
            <w:pPr>
              <w:jc w:val="both"/>
              <w:rPr>
                <w:rFonts w:ascii="Times New Roman" w:hAnsi="Times New Roman" w:cs="Times New Roman"/>
              </w:rPr>
            </w:pPr>
            <w:r w:rsidRPr="00DE05E9">
              <w:rPr>
                <w:rFonts w:ascii="Times New Roman" w:hAnsi="Times New Roman" w:cs="Times New Roman"/>
              </w:rPr>
              <w:t>Socially Responsible Public Procurement ('SRPP') is defined as procurement that takes into account one or several social considerations for advancing social objectives. SRPP covers a wide spectrum of social considerations, such as for example employment opportunities, decent work conditions, compliance with social and labour rights, social inclusion, equal opportunities and accessibility.</w:t>
            </w:r>
          </w:p>
        </w:tc>
      </w:tr>
      <w:tr w:rsidR="005F0ADF" w:rsidRPr="00DE05E9" w14:paraId="449FD48B" w14:textId="77777777" w:rsidTr="00205FF9">
        <w:trPr>
          <w:trHeight w:val="415"/>
        </w:trPr>
        <w:tc>
          <w:tcPr>
            <w:tcW w:w="523" w:type="pct"/>
          </w:tcPr>
          <w:p w14:paraId="22C63DEE" w14:textId="36B98714" w:rsidR="005F0ADF" w:rsidRPr="00DE05E9" w:rsidRDefault="007C7271" w:rsidP="00FB71FD">
            <w:pPr>
              <w:pStyle w:val="Heading3"/>
              <w:jc w:val="both"/>
              <w:outlineLvl w:val="2"/>
              <w:rPr>
                <w:rFonts w:ascii="Times New Roman" w:hAnsi="Times New Roman" w:cs="Times New Roman"/>
                <w:b w:val="0"/>
              </w:rPr>
            </w:pPr>
            <w:r w:rsidRPr="00DE05E9">
              <w:rPr>
                <w:rFonts w:ascii="Times New Roman" w:hAnsi="Times New Roman" w:cs="Times New Roman"/>
              </w:rPr>
              <w:t>V</w:t>
            </w:r>
            <w:r w:rsidR="00DD5AB5" w:rsidRPr="00DE05E9">
              <w:rPr>
                <w:rFonts w:ascii="Times New Roman" w:hAnsi="Times New Roman" w:cs="Times New Roman"/>
              </w:rPr>
              <w:t>.2.</w:t>
            </w:r>
            <w:r w:rsidR="00994F58" w:rsidRPr="00DE05E9">
              <w:rPr>
                <w:rFonts w:ascii="Times New Roman" w:hAnsi="Times New Roman" w:cs="Times New Roman"/>
              </w:rPr>
              <w:t>1</w:t>
            </w:r>
            <w:r w:rsidR="00DD5AB5" w:rsidRPr="00DE05E9">
              <w:rPr>
                <w:rFonts w:ascii="Times New Roman" w:hAnsi="Times New Roman" w:cs="Times New Roman"/>
              </w:rPr>
              <w:t xml:space="preserve"> </w:t>
            </w:r>
            <w:r w:rsidR="00C96DD0" w:rsidRPr="00DE05E9">
              <w:rPr>
                <w:rFonts w:ascii="Times New Roman" w:hAnsi="Times New Roman" w:cs="Times New Roman"/>
              </w:rPr>
              <w:t>Qualitative reporting</w:t>
            </w:r>
          </w:p>
        </w:tc>
        <w:tc>
          <w:tcPr>
            <w:tcW w:w="4477" w:type="pct"/>
          </w:tcPr>
          <w:p w14:paraId="6D0A710C" w14:textId="45C84343" w:rsidR="005F0ADF" w:rsidRPr="00DE05E9" w:rsidRDefault="005F0ADF" w:rsidP="00FB71FD">
            <w:pPr>
              <w:jc w:val="both"/>
              <w:rPr>
                <w:rFonts w:ascii="Times New Roman" w:hAnsi="Times New Roman" w:cs="Times New Roman"/>
                <w:i/>
              </w:rPr>
            </w:pPr>
          </w:p>
        </w:tc>
      </w:tr>
      <w:tr w:rsidR="005F0ADF" w:rsidRPr="00DE05E9" w14:paraId="463AA80D" w14:textId="77777777" w:rsidTr="00205FF9">
        <w:tc>
          <w:tcPr>
            <w:tcW w:w="523" w:type="pct"/>
          </w:tcPr>
          <w:p w14:paraId="42A9A3A6" w14:textId="76F59BD5" w:rsidR="005F0ADF" w:rsidRPr="00DE05E9" w:rsidRDefault="00DD5AB5" w:rsidP="00FB71FD">
            <w:pPr>
              <w:pStyle w:val="Heading3"/>
              <w:jc w:val="both"/>
              <w:outlineLvl w:val="2"/>
              <w:rPr>
                <w:rFonts w:ascii="Times New Roman" w:hAnsi="Times New Roman" w:cs="Times New Roman"/>
                <w:b w:val="0"/>
              </w:rPr>
            </w:pPr>
            <w:r w:rsidRPr="00DE05E9">
              <w:rPr>
                <w:rFonts w:ascii="Times New Roman" w:hAnsi="Times New Roman" w:cs="Times New Roman"/>
                <w:b w:val="0"/>
              </w:rPr>
              <w:t>Key challenges encountered</w:t>
            </w:r>
          </w:p>
        </w:tc>
        <w:tc>
          <w:tcPr>
            <w:tcW w:w="4477" w:type="pct"/>
          </w:tcPr>
          <w:p w14:paraId="146D816F" w14:textId="585530DA" w:rsidR="005F0ADF" w:rsidRDefault="00736FD1" w:rsidP="00CD6804">
            <w:pPr>
              <w:jc w:val="both"/>
              <w:rPr>
                <w:rFonts w:ascii="Times New Roman" w:hAnsi="Times New Roman" w:cs="Times New Roman"/>
              </w:rPr>
            </w:pPr>
            <w:r>
              <w:rPr>
                <w:rFonts w:ascii="Times New Roman" w:hAnsi="Times New Roman" w:cs="Times New Roman"/>
              </w:rPr>
              <w:t xml:space="preserve">Publisko iepirkumu likumā un Sabiedrisko pakalpojumu sniedzēju iepirkumu likumā iekļautas normas, kas paredz sociālo kritēriju izmantošanu tehniskajās specifikācijās, saimnieciski visizdevīgākā piedāvājuma izvēlē un līguma izpildes nosacījumos. Būvniecības nozares nevalstiskās organizācijas sadarbībā ar Iepirkumu uzraudzības biroju </w:t>
            </w:r>
            <w:r w:rsidR="00431D9D">
              <w:rPr>
                <w:rFonts w:ascii="Times New Roman" w:hAnsi="Times New Roman" w:cs="Times New Roman"/>
              </w:rPr>
              <w:t xml:space="preserve">ir </w:t>
            </w:r>
            <w:r>
              <w:rPr>
                <w:rFonts w:ascii="Times New Roman" w:hAnsi="Times New Roman" w:cs="Times New Roman"/>
              </w:rPr>
              <w:t>sagatavoju</w:t>
            </w:r>
            <w:r w:rsidR="00431D9D">
              <w:rPr>
                <w:rFonts w:ascii="Times New Roman" w:hAnsi="Times New Roman" w:cs="Times New Roman"/>
              </w:rPr>
              <w:t>šas</w:t>
            </w:r>
            <w:r>
              <w:rPr>
                <w:rFonts w:ascii="Times New Roman" w:hAnsi="Times New Roman" w:cs="Times New Roman"/>
              </w:rPr>
              <w:t xml:space="preserve"> un prezentēju</w:t>
            </w:r>
            <w:r w:rsidR="00431D9D">
              <w:rPr>
                <w:rFonts w:ascii="Times New Roman" w:hAnsi="Times New Roman" w:cs="Times New Roman"/>
              </w:rPr>
              <w:t>šas</w:t>
            </w:r>
            <w:r>
              <w:rPr>
                <w:rFonts w:ascii="Times New Roman" w:hAnsi="Times New Roman" w:cs="Times New Roman"/>
              </w:rPr>
              <w:t xml:space="preserve"> vairākos reģionālos semināros vadlīnijas saimnieciski visizdevīgākā piedāvājuma noteikšanai būvniecības un „projektēt un būvēt” iepirkumos. Vadlīnijās ietverti ieteikumi sociālo kritēriju </w:t>
            </w:r>
            <w:r w:rsidR="00431D9D">
              <w:rPr>
                <w:rFonts w:ascii="Times New Roman" w:hAnsi="Times New Roman" w:cs="Times New Roman"/>
              </w:rPr>
              <w:t>iekļaušanai iepirkuma dokumentos.</w:t>
            </w:r>
          </w:p>
          <w:p w14:paraId="35457F8A" w14:textId="65413AE6" w:rsidR="00792FA8" w:rsidRPr="003036D7" w:rsidRDefault="00792FA8" w:rsidP="00CD6804">
            <w:pPr>
              <w:jc w:val="both"/>
              <w:rPr>
                <w:rFonts w:ascii="Times New Roman" w:hAnsi="Times New Roman" w:cs="Times New Roman"/>
                <w:color w:val="0000FF" w:themeColor="hyperlink"/>
              </w:rPr>
            </w:pPr>
            <w:r w:rsidRPr="003036D7">
              <w:rPr>
                <w:rFonts w:ascii="Times New Roman" w:hAnsi="Times New Roman" w:cs="Times New Roman"/>
              </w:rPr>
              <w:lastRenderedPageBreak/>
              <w:t>Tomēr sociāli atbildīga iepirkuma attīstībai un vienotai izpratnei ir būtiski nepieciešamas akutualizētas EK vadlīnijas par sociālo kritēriju praktisko piemērošanu.</w:t>
            </w:r>
          </w:p>
        </w:tc>
      </w:tr>
      <w:tr w:rsidR="005F0ADF" w:rsidRPr="00DE05E9" w14:paraId="259FB2D5" w14:textId="77777777" w:rsidTr="00205FF9">
        <w:tc>
          <w:tcPr>
            <w:tcW w:w="523" w:type="pct"/>
          </w:tcPr>
          <w:p w14:paraId="217FE28F" w14:textId="6CB04548" w:rsidR="005F0ADF" w:rsidRPr="00DE05E9" w:rsidRDefault="007C7271" w:rsidP="00FB71FD">
            <w:pPr>
              <w:jc w:val="both"/>
              <w:rPr>
                <w:rFonts w:ascii="Times New Roman" w:hAnsi="Times New Roman" w:cs="Times New Roman"/>
              </w:rPr>
            </w:pPr>
            <w:r w:rsidRPr="00DE05E9">
              <w:rPr>
                <w:rFonts w:ascii="Times New Roman" w:hAnsi="Times New Roman" w:cs="Times New Roman"/>
                <w:b/>
              </w:rPr>
              <w:lastRenderedPageBreak/>
              <w:t>V</w:t>
            </w:r>
            <w:r w:rsidR="00DD5AB5" w:rsidRPr="00DE05E9">
              <w:rPr>
                <w:rFonts w:ascii="Times New Roman" w:hAnsi="Times New Roman" w:cs="Times New Roman"/>
                <w:b/>
              </w:rPr>
              <w:t xml:space="preserve">.2.2. </w:t>
            </w:r>
            <w:r w:rsidR="0037143F" w:rsidRPr="00DE05E9">
              <w:rPr>
                <w:rFonts w:ascii="Times New Roman" w:hAnsi="Times New Roman" w:cs="Times New Roman"/>
                <w:b/>
              </w:rPr>
              <w:t>Supporting documents</w:t>
            </w:r>
          </w:p>
        </w:tc>
        <w:tc>
          <w:tcPr>
            <w:tcW w:w="4477" w:type="pct"/>
          </w:tcPr>
          <w:p w14:paraId="31ABC48A" w14:textId="346099AB" w:rsidR="005F0ADF" w:rsidRPr="00DE05E9" w:rsidRDefault="005F0ADF" w:rsidP="00FB71FD">
            <w:pPr>
              <w:jc w:val="both"/>
              <w:rPr>
                <w:rFonts w:ascii="Times New Roman" w:hAnsi="Times New Roman" w:cs="Times New Roman"/>
              </w:rPr>
            </w:pPr>
            <w:r w:rsidRPr="00DE05E9">
              <w:rPr>
                <w:rFonts w:ascii="Times New Roman" w:hAnsi="Times New Roman" w:cs="Times New Roman"/>
              </w:rPr>
              <w:t xml:space="preserve"> </w:t>
            </w:r>
          </w:p>
        </w:tc>
      </w:tr>
      <w:tr w:rsidR="00DD5AB5" w:rsidRPr="00DE05E9" w14:paraId="4F3CF26A" w14:textId="77777777" w:rsidTr="00205FF9">
        <w:tc>
          <w:tcPr>
            <w:tcW w:w="523" w:type="pct"/>
          </w:tcPr>
          <w:p w14:paraId="2775CB89" w14:textId="415ED284" w:rsidR="00DD5AB5" w:rsidRPr="00DE05E9" w:rsidRDefault="00DD5AB5" w:rsidP="00FB71FD">
            <w:pPr>
              <w:jc w:val="both"/>
              <w:rPr>
                <w:rFonts w:ascii="Times New Roman" w:hAnsi="Times New Roman" w:cs="Times New Roman"/>
                <w:b/>
              </w:rPr>
            </w:pPr>
            <w:r w:rsidRPr="00DE05E9">
              <w:rPr>
                <w:rFonts w:ascii="Times New Roman" w:hAnsi="Times New Roman" w:cs="Times New Roman"/>
              </w:rPr>
              <w:t>Please report any available evidence or supporting document</w:t>
            </w:r>
            <w:r w:rsidR="006753EC" w:rsidRPr="00DE05E9">
              <w:rPr>
                <w:rFonts w:ascii="Times New Roman" w:hAnsi="Times New Roman" w:cs="Times New Roman"/>
              </w:rPr>
              <w:t xml:space="preserve"> for point </w:t>
            </w:r>
            <w:r w:rsidR="007C7271" w:rsidRPr="00DE05E9">
              <w:rPr>
                <w:rFonts w:ascii="Times New Roman" w:hAnsi="Times New Roman" w:cs="Times New Roman"/>
              </w:rPr>
              <w:t>V</w:t>
            </w:r>
            <w:r w:rsidR="006753EC" w:rsidRPr="00DE05E9">
              <w:rPr>
                <w:rFonts w:ascii="Times New Roman" w:hAnsi="Times New Roman" w:cs="Times New Roman"/>
              </w:rPr>
              <w:t>.2</w:t>
            </w:r>
            <w:r w:rsidR="002C131E" w:rsidRPr="00DE05E9">
              <w:rPr>
                <w:rFonts w:ascii="Times New Roman" w:hAnsi="Times New Roman" w:cs="Times New Roman"/>
              </w:rPr>
              <w:t>.1</w:t>
            </w:r>
            <w:r w:rsidRPr="00DE05E9">
              <w:rPr>
                <w:rFonts w:ascii="Times New Roman" w:hAnsi="Times New Roman" w:cs="Times New Roman"/>
              </w:rPr>
              <w:t xml:space="preserve"> illustrating the measures, achievements or challenges faced, relating to the promotion of SRPP. </w:t>
            </w:r>
          </w:p>
        </w:tc>
        <w:tc>
          <w:tcPr>
            <w:tcW w:w="4477" w:type="pct"/>
          </w:tcPr>
          <w:p w14:paraId="2370E083" w14:textId="63131114" w:rsidR="00214CF4" w:rsidRPr="00DE05E9" w:rsidRDefault="00214CF4" w:rsidP="00205FF9">
            <w:pPr>
              <w:jc w:val="both"/>
              <w:rPr>
                <w:rFonts w:ascii="Times New Roman" w:hAnsi="Times New Roman" w:cs="Times New Roman"/>
              </w:rPr>
            </w:pPr>
            <w:r w:rsidRPr="00DE05E9">
              <w:rPr>
                <w:rFonts w:ascii="Times New Roman" w:hAnsi="Times New Roman" w:cs="Times New Roman"/>
              </w:rPr>
              <w:t>2018.gada 1.aprīlī stāj</w:t>
            </w:r>
            <w:r w:rsidR="00205FF9" w:rsidRPr="00DE05E9">
              <w:rPr>
                <w:rFonts w:ascii="Times New Roman" w:hAnsi="Times New Roman" w:cs="Times New Roman"/>
              </w:rPr>
              <w:t>ās</w:t>
            </w:r>
            <w:r w:rsidRPr="00DE05E9">
              <w:rPr>
                <w:rFonts w:ascii="Times New Roman" w:hAnsi="Times New Roman" w:cs="Times New Roman"/>
              </w:rPr>
              <w:t xml:space="preserve"> spēkā Sociālā uzņēmuma likums, kurā ir definēts “sociālais uzņēmums” - </w:t>
            </w:r>
            <w:r w:rsidRPr="00DE05E9">
              <w:rPr>
                <w:rFonts w:ascii="Times New Roman" w:hAnsi="Times New Roman" w:cs="Times New Roman"/>
                <w:i/>
              </w:rPr>
              <w:t>sabiedrība ar ierobežotu atbildību, kurai šajā likumā noteiktajā kārtībā piešķirts sociālā uzņēmuma statuss un kura veic labvēlīgu sociālo ietekmi radošu saimniecisko darbību (piemēram, sociālo pakalpojumu sniegšana, iekļaujošas pilsoniskas sabiedrības veidošana, izglītības veicināšana, atbalsts zinātnei, vides aizsardzība un saglabāšana, dzīvnieku aizsardzība vai kultūras daudzveidības nodrošināšana).</w:t>
            </w:r>
          </w:p>
          <w:p w14:paraId="5056E3BC" w14:textId="77777777" w:rsidR="00CD267F" w:rsidRPr="00DE05E9" w:rsidRDefault="00CD267F" w:rsidP="00CD267F">
            <w:pPr>
              <w:jc w:val="both"/>
              <w:rPr>
                <w:rFonts w:ascii="Times New Roman" w:hAnsi="Times New Roman" w:cs="Times New Roman"/>
              </w:rPr>
            </w:pPr>
            <w:r w:rsidRPr="00DE05E9">
              <w:rPr>
                <w:rFonts w:ascii="Times New Roman" w:hAnsi="Times New Roman" w:cs="Times New Roman"/>
              </w:rPr>
              <w:t xml:space="preserve">Vairāk informācijas tīmekļvietnē: </w:t>
            </w:r>
            <w:hyperlink r:id="rId29" w:history="1">
              <w:r w:rsidRPr="00DE05E9">
                <w:rPr>
                  <w:rStyle w:val="Hyperlink"/>
                  <w:rFonts w:ascii="Times New Roman" w:hAnsi="Times New Roman" w:cs="Times New Roman"/>
                </w:rPr>
                <w:t>http://www.lm.gov.lv/text/3496</w:t>
              </w:r>
            </w:hyperlink>
          </w:p>
          <w:p w14:paraId="0E4A381A" w14:textId="77777777" w:rsidR="00CD267F" w:rsidRDefault="00CD267F" w:rsidP="00205FF9">
            <w:pPr>
              <w:jc w:val="both"/>
              <w:rPr>
                <w:rFonts w:ascii="Times New Roman" w:hAnsi="Times New Roman" w:cs="Times New Roman"/>
              </w:rPr>
            </w:pPr>
          </w:p>
          <w:p w14:paraId="71FB8FF1" w14:textId="47EFF850" w:rsidR="00214CF4" w:rsidRPr="00DE05E9" w:rsidRDefault="00205FF9" w:rsidP="00205FF9">
            <w:pPr>
              <w:jc w:val="both"/>
              <w:rPr>
                <w:rFonts w:ascii="Times New Roman" w:hAnsi="Times New Roman" w:cs="Times New Roman"/>
              </w:rPr>
            </w:pPr>
            <w:r w:rsidRPr="00DE05E9">
              <w:rPr>
                <w:rFonts w:ascii="Times New Roman" w:hAnsi="Times New Roman" w:cs="Times New Roman"/>
              </w:rPr>
              <w:t>Publisko iepirkumu jomas regulējums:</w:t>
            </w:r>
          </w:p>
          <w:p w14:paraId="0D464DA7" w14:textId="14076FD0" w:rsidR="00C07BF5" w:rsidRPr="00DE05E9" w:rsidRDefault="00C07BF5" w:rsidP="00FB71FD">
            <w:pPr>
              <w:pStyle w:val="ListParagraph"/>
              <w:numPr>
                <w:ilvl w:val="0"/>
                <w:numId w:val="16"/>
              </w:numPr>
              <w:jc w:val="both"/>
              <w:rPr>
                <w:rFonts w:ascii="Times New Roman" w:hAnsi="Times New Roman" w:cs="Times New Roman"/>
              </w:rPr>
            </w:pPr>
            <w:r w:rsidRPr="00DE05E9">
              <w:rPr>
                <w:rFonts w:ascii="Times New Roman" w:hAnsi="Times New Roman" w:cs="Times New Roman"/>
              </w:rPr>
              <w:t xml:space="preserve">Publisko iepirkumu likuma 16. </w:t>
            </w:r>
            <w:r w:rsidR="00091DFA">
              <w:rPr>
                <w:rFonts w:ascii="Times New Roman" w:hAnsi="Times New Roman" w:cs="Times New Roman"/>
              </w:rPr>
              <w:t>p</w:t>
            </w:r>
            <w:r w:rsidR="00AD212E" w:rsidRPr="00DE05E9">
              <w:rPr>
                <w:rFonts w:ascii="Times New Roman" w:hAnsi="Times New Roman" w:cs="Times New Roman"/>
              </w:rPr>
              <w:t>antā</w:t>
            </w:r>
            <w:r w:rsidR="00205FF9" w:rsidRPr="00DE05E9">
              <w:rPr>
                <w:rFonts w:ascii="Times New Roman" w:hAnsi="Times New Roman" w:cs="Times New Roman"/>
              </w:rPr>
              <w:t>, Sabiedrisko pakalpojumu sniedzēju iepirkumu likuma 16.pantā, Publiskā</w:t>
            </w:r>
            <w:r w:rsidR="00CD267F">
              <w:rPr>
                <w:rFonts w:ascii="Times New Roman" w:hAnsi="Times New Roman" w:cs="Times New Roman"/>
              </w:rPr>
              <w:t>s</w:t>
            </w:r>
            <w:r w:rsidR="00205FF9" w:rsidRPr="00DE05E9">
              <w:rPr>
                <w:rFonts w:ascii="Times New Roman" w:hAnsi="Times New Roman" w:cs="Times New Roman"/>
              </w:rPr>
              <w:t xml:space="preserve"> un privātās partnerības likuma 17</w:t>
            </w:r>
            <w:r w:rsidR="00205FF9" w:rsidRPr="00DE05E9">
              <w:rPr>
                <w:rFonts w:ascii="Times New Roman" w:hAnsi="Times New Roman" w:cs="Times New Roman"/>
                <w:vertAlign w:val="superscript"/>
              </w:rPr>
              <w:t>1</w:t>
            </w:r>
            <w:r w:rsidR="00205FF9" w:rsidRPr="00DE05E9">
              <w:rPr>
                <w:rFonts w:ascii="Times New Roman" w:hAnsi="Times New Roman" w:cs="Times New Roman"/>
              </w:rPr>
              <w:t>.pantā</w:t>
            </w:r>
            <w:r w:rsidR="00AD212E" w:rsidRPr="00DE05E9">
              <w:rPr>
                <w:rFonts w:ascii="Times New Roman" w:hAnsi="Times New Roman" w:cs="Times New Roman"/>
              </w:rPr>
              <w:t xml:space="preserve"> paredzētā iespēja rezervēt iespēju piedalīties iepirkuma procedūrās tikai tiem kandidātiem un pretende</w:t>
            </w:r>
            <w:r w:rsidR="00BB1DB6" w:rsidRPr="00DE05E9">
              <w:rPr>
                <w:rFonts w:ascii="Times New Roman" w:hAnsi="Times New Roman" w:cs="Times New Roman"/>
              </w:rPr>
              <w:t>n</w:t>
            </w:r>
            <w:r w:rsidR="00AD212E" w:rsidRPr="00DE05E9">
              <w:rPr>
                <w:rFonts w:ascii="Times New Roman" w:hAnsi="Times New Roman" w:cs="Times New Roman"/>
              </w:rPr>
              <w:t>tiem, kas galvenokārt nodarbina personas ar invaliditāti;</w:t>
            </w:r>
          </w:p>
          <w:p w14:paraId="71C59166" w14:textId="7C5934F5" w:rsidR="00AD212E" w:rsidRPr="00DE05E9" w:rsidRDefault="00AD212E" w:rsidP="00FB71FD">
            <w:pPr>
              <w:pStyle w:val="ListParagraph"/>
              <w:numPr>
                <w:ilvl w:val="0"/>
                <w:numId w:val="16"/>
              </w:numPr>
              <w:jc w:val="both"/>
              <w:rPr>
                <w:rFonts w:ascii="Times New Roman" w:hAnsi="Times New Roman" w:cs="Times New Roman"/>
                <w:lang w:val="lv-LV"/>
              </w:rPr>
            </w:pPr>
            <w:r w:rsidRPr="00DE05E9">
              <w:rPr>
                <w:rFonts w:ascii="Times New Roman" w:hAnsi="Times New Roman" w:cs="Times New Roman"/>
              </w:rPr>
              <w:t>Publisko iepirkumu likuma 51.</w:t>
            </w:r>
            <w:r w:rsidR="00205FF9" w:rsidRPr="00DE05E9">
              <w:rPr>
                <w:rFonts w:ascii="Times New Roman" w:hAnsi="Times New Roman" w:cs="Times New Roman"/>
              </w:rPr>
              <w:t>p</w:t>
            </w:r>
            <w:r w:rsidRPr="00DE05E9">
              <w:rPr>
                <w:rFonts w:ascii="Times New Roman" w:hAnsi="Times New Roman" w:cs="Times New Roman"/>
              </w:rPr>
              <w:t>anta</w:t>
            </w:r>
            <w:r w:rsidR="00205FF9" w:rsidRPr="00DE05E9">
              <w:rPr>
                <w:rFonts w:ascii="Times New Roman" w:hAnsi="Times New Roman" w:cs="Times New Roman"/>
              </w:rPr>
              <w:t xml:space="preserve"> septītajā daļā, Sabiedrisko pakalpojumu sniedzēju iepirkumu likuma 57.panta spetītajā daļā, Publiskā</w:t>
            </w:r>
            <w:r w:rsidR="00CD267F">
              <w:rPr>
                <w:rFonts w:ascii="Times New Roman" w:hAnsi="Times New Roman" w:cs="Times New Roman"/>
              </w:rPr>
              <w:t>s</w:t>
            </w:r>
            <w:r w:rsidR="00205FF9" w:rsidRPr="00DE05E9">
              <w:rPr>
                <w:rFonts w:ascii="Times New Roman" w:hAnsi="Times New Roman" w:cs="Times New Roman"/>
              </w:rPr>
              <w:t xml:space="preserve"> un privātās </w:t>
            </w:r>
            <w:r w:rsidR="00205FF9" w:rsidRPr="00DE05E9">
              <w:rPr>
                <w:rFonts w:ascii="Times New Roman" w:hAnsi="Times New Roman" w:cs="Times New Roman"/>
                <w:lang w:val="lv-LV"/>
              </w:rPr>
              <w:t>partnerības likuma 51.panta</w:t>
            </w:r>
            <w:r w:rsidRPr="00DE05E9">
              <w:rPr>
                <w:rFonts w:ascii="Times New Roman" w:hAnsi="Times New Roman" w:cs="Times New Roman"/>
                <w:lang w:val="lv-LV"/>
              </w:rPr>
              <w:t xml:space="preserve"> septītajā daļā paredzētā iespēja iepirkuma procedūras dokumentos kā izšķirošo kritēriju norādīt tādu, kas raksturo piegādātāja atbilstību sociālās aizsardzības prasībām, ja vismaz divu piedāvājumu novērtējums ir vienāds. </w:t>
            </w:r>
          </w:p>
          <w:p w14:paraId="19620D1A" w14:textId="458427AC" w:rsidR="00216245" w:rsidRPr="00DE05E9" w:rsidRDefault="00205FF9" w:rsidP="00FB71FD">
            <w:pPr>
              <w:pStyle w:val="ListParagraph"/>
              <w:numPr>
                <w:ilvl w:val="0"/>
                <w:numId w:val="16"/>
              </w:numPr>
              <w:jc w:val="both"/>
              <w:rPr>
                <w:rFonts w:ascii="Times New Roman" w:hAnsi="Times New Roman" w:cs="Times New Roman"/>
                <w:lang w:val="lv-LV"/>
              </w:rPr>
            </w:pPr>
            <w:r w:rsidRPr="00DE05E9">
              <w:rPr>
                <w:rFonts w:ascii="Times New Roman" w:hAnsi="Times New Roman" w:cs="Times New Roman"/>
                <w:lang w:val="lv-LV"/>
              </w:rPr>
              <w:t>Publisko iepirkumu likuma 51.</w:t>
            </w:r>
            <w:r w:rsidR="00216245" w:rsidRPr="00DE05E9">
              <w:rPr>
                <w:rFonts w:ascii="Times New Roman" w:hAnsi="Times New Roman" w:cs="Times New Roman"/>
                <w:lang w:val="lv-LV"/>
              </w:rPr>
              <w:t>panta otrās daļas 2.punkta a) apakšpunktā</w:t>
            </w:r>
            <w:r w:rsidR="00CD267F">
              <w:rPr>
                <w:rFonts w:ascii="Times New Roman" w:hAnsi="Times New Roman" w:cs="Times New Roman"/>
                <w:lang w:val="lv-LV"/>
              </w:rPr>
              <w:t>,</w:t>
            </w:r>
            <w:r w:rsidR="00216245" w:rsidRPr="00DE05E9">
              <w:rPr>
                <w:rFonts w:ascii="Times New Roman" w:hAnsi="Times New Roman" w:cs="Times New Roman"/>
                <w:lang w:val="lv-LV"/>
              </w:rPr>
              <w:t xml:space="preserve"> </w:t>
            </w:r>
            <w:r w:rsidRPr="00DE05E9">
              <w:rPr>
                <w:rFonts w:ascii="Times New Roman" w:hAnsi="Times New Roman" w:cs="Times New Roman"/>
                <w:lang w:val="lv-LV"/>
              </w:rPr>
              <w:t>Sabiedrisko pakalpojumu sniedzēju iepirkumu likuma otrās daļas 2.punkta a) apakšpunktā, Publiskā</w:t>
            </w:r>
            <w:r w:rsidR="00CD267F">
              <w:rPr>
                <w:rFonts w:ascii="Times New Roman" w:hAnsi="Times New Roman" w:cs="Times New Roman"/>
                <w:lang w:val="lv-LV"/>
              </w:rPr>
              <w:t>s</w:t>
            </w:r>
            <w:r w:rsidRPr="00DE05E9">
              <w:rPr>
                <w:rFonts w:ascii="Times New Roman" w:hAnsi="Times New Roman" w:cs="Times New Roman"/>
                <w:lang w:val="lv-LV"/>
              </w:rPr>
              <w:t xml:space="preserve"> un privātās partnerības likuma 51.panta otrās daļas 2.punkta a) apakšpunktā </w:t>
            </w:r>
            <w:r w:rsidR="00216245" w:rsidRPr="00DE05E9">
              <w:rPr>
                <w:rFonts w:ascii="Times New Roman" w:hAnsi="Times New Roman" w:cs="Times New Roman"/>
                <w:lang w:val="lv-LV"/>
              </w:rPr>
              <w:t>paredzētā iespēja saimnieciski visizdevīgāko piedāvājumu no</w:t>
            </w:r>
            <w:r w:rsidR="0041562F" w:rsidRPr="00DE05E9">
              <w:rPr>
                <w:rFonts w:ascii="Times New Roman" w:hAnsi="Times New Roman" w:cs="Times New Roman"/>
                <w:lang w:val="lv-LV"/>
              </w:rPr>
              <w:t xml:space="preserve">teikt, </w:t>
            </w:r>
            <w:r w:rsidR="00216245" w:rsidRPr="00DE05E9">
              <w:rPr>
                <w:rFonts w:ascii="Times New Roman" w:hAnsi="Times New Roman" w:cs="Times New Roman"/>
                <w:lang w:val="lv-LV"/>
              </w:rPr>
              <w:t>ņemot vērā cenu vai izmaksas un ar iepirkuma līguma priekšmetu saistītus kvalitātes kritērijus, tai skaitā pieejamību, atbilstību universālajam dizainam, sociālās un vides aizsardzības prasības, inovatīvos raksturlielumus</w:t>
            </w:r>
            <w:r w:rsidR="0041562F" w:rsidRPr="00DE05E9">
              <w:rPr>
                <w:rFonts w:ascii="Times New Roman" w:hAnsi="Times New Roman" w:cs="Times New Roman"/>
                <w:lang w:val="lv-LV"/>
              </w:rPr>
              <w:t>.</w:t>
            </w:r>
          </w:p>
          <w:p w14:paraId="373ADC21" w14:textId="77777777" w:rsidR="00205FF9" w:rsidRPr="00DE05E9" w:rsidRDefault="00205FF9" w:rsidP="00205FF9">
            <w:pPr>
              <w:jc w:val="both"/>
              <w:rPr>
                <w:rFonts w:ascii="Times New Roman" w:hAnsi="Times New Roman" w:cs="Times New Roman"/>
              </w:rPr>
            </w:pPr>
          </w:p>
          <w:p w14:paraId="7CA4F1EE" w14:textId="77777777" w:rsidR="00F103C9" w:rsidRPr="00DE05E9" w:rsidRDefault="00F103C9" w:rsidP="00205FF9">
            <w:pPr>
              <w:jc w:val="both"/>
              <w:rPr>
                <w:rFonts w:ascii="Times New Roman" w:hAnsi="Times New Roman" w:cs="Times New Roman"/>
              </w:rPr>
            </w:pPr>
          </w:p>
          <w:p w14:paraId="6D0E0E06" w14:textId="3317D6F6" w:rsidR="00F103C9" w:rsidRPr="00DE05E9" w:rsidDel="00DD5AB5" w:rsidRDefault="00F103C9" w:rsidP="00736FD1">
            <w:pPr>
              <w:jc w:val="both"/>
              <w:rPr>
                <w:rFonts w:ascii="Times New Roman" w:hAnsi="Times New Roman" w:cs="Times New Roman"/>
              </w:rPr>
            </w:pPr>
          </w:p>
        </w:tc>
      </w:tr>
      <w:tr w:rsidR="00DD5AB5" w:rsidRPr="00DE05E9" w14:paraId="51A7B11F" w14:textId="77777777" w:rsidTr="00205FF9">
        <w:tc>
          <w:tcPr>
            <w:tcW w:w="523" w:type="pct"/>
          </w:tcPr>
          <w:p w14:paraId="6DAB0E8B" w14:textId="2CBBDE48" w:rsidR="00DD5AB5" w:rsidRPr="00DE05E9" w:rsidRDefault="007C7271" w:rsidP="00FB71FD">
            <w:pPr>
              <w:jc w:val="both"/>
              <w:rPr>
                <w:rFonts w:ascii="Times New Roman" w:hAnsi="Times New Roman" w:cs="Times New Roman"/>
                <w:b/>
              </w:rPr>
            </w:pPr>
            <w:r w:rsidRPr="00DE05E9">
              <w:rPr>
                <w:rFonts w:ascii="Times New Roman" w:hAnsi="Times New Roman" w:cs="Times New Roman"/>
                <w:b/>
              </w:rPr>
              <w:t>V</w:t>
            </w:r>
            <w:r w:rsidR="00DD5AB5" w:rsidRPr="00DE05E9">
              <w:rPr>
                <w:rFonts w:ascii="Times New Roman" w:hAnsi="Times New Roman" w:cs="Times New Roman"/>
                <w:b/>
              </w:rPr>
              <w:t xml:space="preserve">.2.3. Quantitative indicators  </w:t>
            </w:r>
          </w:p>
        </w:tc>
        <w:tc>
          <w:tcPr>
            <w:tcW w:w="4477" w:type="pct"/>
          </w:tcPr>
          <w:p w14:paraId="7D2662E2" w14:textId="0479982B" w:rsidR="00D906DC" w:rsidRPr="00DE05E9" w:rsidRDefault="00D906DC" w:rsidP="00FB71FD">
            <w:pPr>
              <w:pStyle w:val="NoSpacing"/>
              <w:jc w:val="both"/>
              <w:rPr>
                <w:rFonts w:ascii="Times New Roman" w:hAnsi="Times New Roman" w:cs="Times New Roman"/>
                <w:b/>
                <w:u w:val="single"/>
              </w:rPr>
            </w:pPr>
            <w:r w:rsidRPr="00DE05E9">
              <w:rPr>
                <w:rFonts w:ascii="Times New Roman" w:hAnsi="Times New Roman" w:cs="Times New Roman"/>
                <w:b/>
                <w:u w:val="single"/>
              </w:rPr>
              <w:t>Informācija par iepirkumiem, kas veikti saskaņā ar Publisko iepirkumu likumu</w:t>
            </w:r>
          </w:p>
          <w:p w14:paraId="3FF7A3EF" w14:textId="77777777" w:rsidR="00D906DC" w:rsidRPr="00DE05E9" w:rsidRDefault="00D906DC" w:rsidP="00FB71FD">
            <w:pPr>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Dati apkopoti no Iepirkumu uzraudzības biroja tīmekļvietnē publicētajiem paziņojumiem par iepirkuma procedūru skaitu par periodu no 2017. gada 1. janvāra līdz 2017. gada 31. decembrim, kur „Virs ES līgumcenu sliekšņa” piegādēm un pakalpojumiem no 135 000 EUR, būvdarbiem no 5 225 000 EUR; „Zem ES līgumcenu sliekšņa” piegādēm un pakalpojumiem no 42 000 EUR līdz 134 999,99 EUR, būvdarbiem no 170 000 EUR līdz 5 224 999,99 EUR.</w:t>
            </w:r>
          </w:p>
          <w:tbl>
            <w:tblPr>
              <w:tblW w:w="12560" w:type="dxa"/>
              <w:tblLook w:val="04A0" w:firstRow="1" w:lastRow="0" w:firstColumn="1" w:lastColumn="0" w:noHBand="0" w:noVBand="1"/>
            </w:tblPr>
            <w:tblGrid>
              <w:gridCol w:w="2862"/>
              <w:gridCol w:w="4114"/>
              <w:gridCol w:w="5327"/>
            </w:tblGrid>
            <w:tr w:rsidR="00D906DC" w:rsidRPr="00DE05E9" w14:paraId="74ADCEAF" w14:textId="77777777" w:rsidTr="00D906DC">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8EB8E"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w:t>
                  </w:r>
                </w:p>
              </w:tc>
              <w:tc>
                <w:tcPr>
                  <w:tcW w:w="4200" w:type="dxa"/>
                  <w:tcBorders>
                    <w:top w:val="single" w:sz="4" w:space="0" w:color="auto"/>
                    <w:left w:val="nil"/>
                    <w:bottom w:val="single" w:sz="4" w:space="0" w:color="auto"/>
                    <w:right w:val="single" w:sz="4" w:space="0" w:color="auto"/>
                  </w:tcBorders>
                  <w:shd w:val="clear" w:color="auto" w:fill="auto"/>
                  <w:noWrap/>
                  <w:vAlign w:val="bottom"/>
                  <w:hideMark/>
                </w:tcPr>
                <w:p w14:paraId="6051775B" w14:textId="77777777" w:rsidR="00D906DC" w:rsidRPr="00DE05E9" w:rsidRDefault="00D906DC" w:rsidP="00FB71FD">
                  <w:pPr>
                    <w:spacing w:after="0" w:line="240" w:lineRule="auto"/>
                    <w:jc w:val="both"/>
                    <w:rPr>
                      <w:rFonts w:ascii="Times New Roman" w:eastAsia="Times New Roman" w:hAnsi="Times New Roman" w:cs="Times New Roman"/>
                      <w:bCs/>
                      <w:color w:val="000000"/>
                      <w:lang w:val="lv-LV"/>
                    </w:rPr>
                  </w:pPr>
                  <w:r w:rsidRPr="00DE05E9">
                    <w:rPr>
                      <w:rFonts w:ascii="Times New Roman" w:eastAsia="Times New Roman" w:hAnsi="Times New Roman" w:cs="Times New Roman"/>
                      <w:bCs/>
                      <w:color w:val="000000"/>
                      <w:lang w:val="lv-LV"/>
                    </w:rPr>
                    <w:t>Procedūru skaits (virs ES līgumcenu sliekšņa)</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05CD6EB" w14:textId="77777777" w:rsidR="00D906DC" w:rsidRPr="00DE05E9" w:rsidRDefault="00D906DC" w:rsidP="00FB71FD">
                  <w:pPr>
                    <w:spacing w:after="0" w:line="240" w:lineRule="auto"/>
                    <w:jc w:val="both"/>
                    <w:rPr>
                      <w:rFonts w:ascii="Times New Roman" w:eastAsia="Times New Roman" w:hAnsi="Times New Roman" w:cs="Times New Roman"/>
                      <w:bCs/>
                      <w:color w:val="000000"/>
                      <w:lang w:val="lv-LV"/>
                    </w:rPr>
                  </w:pPr>
                  <w:r w:rsidRPr="00DE05E9">
                    <w:rPr>
                      <w:rFonts w:ascii="Times New Roman" w:eastAsia="Times New Roman" w:hAnsi="Times New Roman" w:cs="Times New Roman"/>
                      <w:bCs/>
                      <w:color w:val="000000"/>
                      <w:lang w:val="lv-LV"/>
                    </w:rPr>
                    <w:t>Procedūru skaits (zem ES līgumcenu sliekšņa)</w:t>
                  </w:r>
                </w:p>
              </w:tc>
            </w:tr>
            <w:tr w:rsidR="00D906DC" w:rsidRPr="00DE05E9" w14:paraId="2239BA18" w14:textId="77777777" w:rsidTr="00D906D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ADEFD32"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Sociālais kritērijs</w:t>
                  </w:r>
                </w:p>
              </w:tc>
              <w:tc>
                <w:tcPr>
                  <w:tcW w:w="4200" w:type="dxa"/>
                  <w:tcBorders>
                    <w:top w:val="nil"/>
                    <w:left w:val="nil"/>
                    <w:bottom w:val="single" w:sz="4" w:space="0" w:color="auto"/>
                    <w:right w:val="single" w:sz="4" w:space="0" w:color="auto"/>
                  </w:tcBorders>
                  <w:shd w:val="clear" w:color="auto" w:fill="auto"/>
                  <w:noWrap/>
                  <w:vAlign w:val="bottom"/>
                  <w:hideMark/>
                </w:tcPr>
                <w:p w14:paraId="67A4371C"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13</w:t>
                  </w:r>
                </w:p>
              </w:tc>
              <w:tc>
                <w:tcPr>
                  <w:tcW w:w="5440" w:type="dxa"/>
                  <w:tcBorders>
                    <w:top w:val="nil"/>
                    <w:left w:val="nil"/>
                    <w:bottom w:val="single" w:sz="4" w:space="0" w:color="auto"/>
                    <w:right w:val="single" w:sz="4" w:space="0" w:color="auto"/>
                  </w:tcBorders>
                  <w:shd w:val="clear" w:color="auto" w:fill="auto"/>
                  <w:noWrap/>
                  <w:vAlign w:val="bottom"/>
                  <w:hideMark/>
                </w:tcPr>
                <w:p w14:paraId="21E3261C"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3</w:t>
                  </w:r>
                </w:p>
              </w:tc>
            </w:tr>
            <w:tr w:rsidR="00D906DC" w:rsidRPr="00DE05E9" w14:paraId="5A801CF4" w14:textId="77777777" w:rsidTr="00D906D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BA4EDDB"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lastRenderedPageBreak/>
                    <w:t>t.sk. priviliģētie līgumi</w:t>
                  </w:r>
                </w:p>
              </w:tc>
              <w:tc>
                <w:tcPr>
                  <w:tcW w:w="4200" w:type="dxa"/>
                  <w:tcBorders>
                    <w:top w:val="nil"/>
                    <w:left w:val="nil"/>
                    <w:bottom w:val="single" w:sz="4" w:space="0" w:color="auto"/>
                    <w:right w:val="single" w:sz="4" w:space="0" w:color="auto"/>
                  </w:tcBorders>
                  <w:shd w:val="clear" w:color="auto" w:fill="auto"/>
                  <w:noWrap/>
                  <w:vAlign w:val="bottom"/>
                  <w:hideMark/>
                </w:tcPr>
                <w:p w14:paraId="2145BACF"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c>
                <w:tcPr>
                  <w:tcW w:w="5440" w:type="dxa"/>
                  <w:tcBorders>
                    <w:top w:val="nil"/>
                    <w:left w:val="nil"/>
                    <w:bottom w:val="single" w:sz="4" w:space="0" w:color="auto"/>
                    <w:right w:val="single" w:sz="4" w:space="0" w:color="auto"/>
                  </w:tcBorders>
                  <w:shd w:val="clear" w:color="auto" w:fill="auto"/>
                  <w:noWrap/>
                  <w:vAlign w:val="bottom"/>
                  <w:hideMark/>
                </w:tcPr>
                <w:p w14:paraId="0B1C5F49"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r>
            <w:tr w:rsidR="00D906DC" w:rsidRPr="00DE05E9" w14:paraId="61D6E24E" w14:textId="77777777" w:rsidTr="00D906D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FE3A7A2"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Privileģētie līgumi kopā</w:t>
                  </w:r>
                </w:p>
              </w:tc>
              <w:tc>
                <w:tcPr>
                  <w:tcW w:w="4200" w:type="dxa"/>
                  <w:tcBorders>
                    <w:top w:val="nil"/>
                    <w:left w:val="nil"/>
                    <w:bottom w:val="single" w:sz="4" w:space="0" w:color="auto"/>
                    <w:right w:val="single" w:sz="4" w:space="0" w:color="auto"/>
                  </w:tcBorders>
                  <w:shd w:val="clear" w:color="auto" w:fill="auto"/>
                  <w:noWrap/>
                  <w:vAlign w:val="bottom"/>
                  <w:hideMark/>
                </w:tcPr>
                <w:p w14:paraId="5BA300BD"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c>
                <w:tcPr>
                  <w:tcW w:w="5440" w:type="dxa"/>
                  <w:tcBorders>
                    <w:top w:val="nil"/>
                    <w:left w:val="nil"/>
                    <w:bottom w:val="single" w:sz="4" w:space="0" w:color="auto"/>
                    <w:right w:val="single" w:sz="4" w:space="0" w:color="auto"/>
                  </w:tcBorders>
                  <w:shd w:val="clear" w:color="auto" w:fill="auto"/>
                  <w:noWrap/>
                  <w:vAlign w:val="bottom"/>
                  <w:hideMark/>
                </w:tcPr>
                <w:p w14:paraId="17603B7D"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r>
            <w:tr w:rsidR="00D906DC" w:rsidRPr="00DE05E9" w14:paraId="70F76CCA" w14:textId="77777777" w:rsidTr="00D906DC">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BB4B783"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Sociālā atbildība</w:t>
                  </w:r>
                </w:p>
              </w:tc>
              <w:tc>
                <w:tcPr>
                  <w:tcW w:w="4200" w:type="dxa"/>
                  <w:tcBorders>
                    <w:top w:val="nil"/>
                    <w:left w:val="nil"/>
                    <w:bottom w:val="single" w:sz="4" w:space="0" w:color="auto"/>
                    <w:right w:val="single" w:sz="4" w:space="0" w:color="auto"/>
                  </w:tcBorders>
                  <w:shd w:val="clear" w:color="auto" w:fill="auto"/>
                  <w:noWrap/>
                  <w:vAlign w:val="bottom"/>
                  <w:hideMark/>
                </w:tcPr>
                <w:p w14:paraId="2EF0C2A8"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9</w:t>
                  </w:r>
                </w:p>
              </w:tc>
              <w:tc>
                <w:tcPr>
                  <w:tcW w:w="5440" w:type="dxa"/>
                  <w:tcBorders>
                    <w:top w:val="nil"/>
                    <w:left w:val="nil"/>
                    <w:bottom w:val="single" w:sz="4" w:space="0" w:color="auto"/>
                    <w:right w:val="single" w:sz="4" w:space="0" w:color="auto"/>
                  </w:tcBorders>
                  <w:shd w:val="clear" w:color="auto" w:fill="auto"/>
                  <w:noWrap/>
                  <w:vAlign w:val="bottom"/>
                  <w:hideMark/>
                </w:tcPr>
                <w:p w14:paraId="656864FF" w14:textId="77777777" w:rsidR="00D906DC" w:rsidRPr="00DE05E9" w:rsidRDefault="00D906DC"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3</w:t>
                  </w:r>
                </w:p>
              </w:tc>
            </w:tr>
          </w:tbl>
          <w:p w14:paraId="47CF57A0" w14:textId="0E8BD45E" w:rsidR="00D906DC" w:rsidRPr="00DE05E9" w:rsidRDefault="00D906DC" w:rsidP="00FB71FD">
            <w:pPr>
              <w:pStyle w:val="NoSpacing"/>
              <w:jc w:val="both"/>
              <w:rPr>
                <w:rFonts w:ascii="Times New Roman" w:hAnsi="Times New Roman" w:cs="Times New Roman"/>
              </w:rPr>
            </w:pPr>
          </w:p>
          <w:p w14:paraId="0D1B707C" w14:textId="37F1D1AD" w:rsidR="00D906DC" w:rsidRPr="00DE05E9" w:rsidRDefault="00D906DC" w:rsidP="00FB71FD">
            <w:pPr>
              <w:pStyle w:val="NoSpacing"/>
              <w:jc w:val="both"/>
              <w:rPr>
                <w:rFonts w:ascii="Times New Roman" w:hAnsi="Times New Roman" w:cs="Times New Roman"/>
                <w:b/>
                <w:u w:val="single"/>
              </w:rPr>
            </w:pPr>
            <w:r w:rsidRPr="00DE05E9">
              <w:rPr>
                <w:rFonts w:ascii="Times New Roman" w:hAnsi="Times New Roman" w:cs="Times New Roman"/>
                <w:b/>
                <w:u w:val="single"/>
              </w:rPr>
              <w:t>Informācija par iepirkumiem, kas veikti saskaņā ar Sabiedrisko paaklpojumu sniedzēju iepirkumu likumu</w:t>
            </w:r>
          </w:p>
          <w:p w14:paraId="2B5B64AA" w14:textId="77777777" w:rsidR="0082683D" w:rsidRPr="00DE05E9" w:rsidRDefault="0082683D" w:rsidP="00FB71FD">
            <w:pPr>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Dati apkopoti no Iepirkumu uzraudzības biroja tīmekļvietnē publicētajiem paziņojumiem par iepirkuma procedūru skaitu par periodu no 2017. gada 1. janvāra līdz 2017. gada 31. decembrim, kur „Virs ES līgumcenu sliekšņa” piegādēm un pakalpojumiem no 418 000 EUR, būvdarbiem no 5 225 000 EUR.</w:t>
            </w:r>
          </w:p>
          <w:tbl>
            <w:tblPr>
              <w:tblW w:w="7120" w:type="dxa"/>
              <w:tblLook w:val="04A0" w:firstRow="1" w:lastRow="0" w:firstColumn="1" w:lastColumn="0" w:noHBand="0" w:noVBand="1"/>
            </w:tblPr>
            <w:tblGrid>
              <w:gridCol w:w="2920"/>
              <w:gridCol w:w="4200"/>
            </w:tblGrid>
            <w:tr w:rsidR="0082683D" w:rsidRPr="00DE05E9" w14:paraId="567F2726" w14:textId="77777777" w:rsidTr="00FB71FD">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19E01" w14:textId="77777777" w:rsidR="0082683D" w:rsidRPr="00DE05E9" w:rsidRDefault="0082683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 </w:t>
                  </w:r>
                </w:p>
              </w:tc>
              <w:tc>
                <w:tcPr>
                  <w:tcW w:w="4200" w:type="dxa"/>
                  <w:tcBorders>
                    <w:top w:val="single" w:sz="4" w:space="0" w:color="auto"/>
                    <w:left w:val="nil"/>
                    <w:bottom w:val="single" w:sz="4" w:space="0" w:color="auto"/>
                    <w:right w:val="single" w:sz="4" w:space="0" w:color="auto"/>
                  </w:tcBorders>
                  <w:shd w:val="clear" w:color="auto" w:fill="auto"/>
                  <w:noWrap/>
                  <w:vAlign w:val="bottom"/>
                  <w:hideMark/>
                </w:tcPr>
                <w:p w14:paraId="46877ACF" w14:textId="77777777" w:rsidR="0082683D" w:rsidRPr="00DE05E9" w:rsidRDefault="0082683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Procedūru skaits (virs ES līgumcenu sliekšņa)</w:t>
                  </w:r>
                </w:p>
              </w:tc>
            </w:tr>
            <w:tr w:rsidR="0082683D" w:rsidRPr="00DE05E9" w14:paraId="14DDA609" w14:textId="77777777" w:rsidTr="00FB71FD">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70DAF60" w14:textId="77777777" w:rsidR="0082683D" w:rsidRPr="00DE05E9" w:rsidRDefault="0082683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Sociālais kritērijs</w:t>
                  </w:r>
                </w:p>
              </w:tc>
              <w:tc>
                <w:tcPr>
                  <w:tcW w:w="4200" w:type="dxa"/>
                  <w:tcBorders>
                    <w:top w:val="nil"/>
                    <w:left w:val="nil"/>
                    <w:bottom w:val="single" w:sz="4" w:space="0" w:color="auto"/>
                    <w:right w:val="single" w:sz="4" w:space="0" w:color="auto"/>
                  </w:tcBorders>
                  <w:shd w:val="clear" w:color="auto" w:fill="auto"/>
                  <w:noWrap/>
                  <w:vAlign w:val="bottom"/>
                  <w:hideMark/>
                </w:tcPr>
                <w:p w14:paraId="130DD629" w14:textId="77777777" w:rsidR="0082683D" w:rsidRPr="00DE05E9" w:rsidRDefault="0082683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r>
            <w:tr w:rsidR="0082683D" w:rsidRPr="00DE05E9" w14:paraId="7195DDD5" w14:textId="77777777" w:rsidTr="00FB71FD">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6375128" w14:textId="77777777" w:rsidR="0082683D" w:rsidRPr="00DE05E9" w:rsidRDefault="0082683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t.sk. priviliģētie līgumi</w:t>
                  </w:r>
                </w:p>
              </w:tc>
              <w:tc>
                <w:tcPr>
                  <w:tcW w:w="4200" w:type="dxa"/>
                  <w:tcBorders>
                    <w:top w:val="nil"/>
                    <w:left w:val="nil"/>
                    <w:bottom w:val="single" w:sz="4" w:space="0" w:color="auto"/>
                    <w:right w:val="single" w:sz="4" w:space="0" w:color="auto"/>
                  </w:tcBorders>
                  <w:shd w:val="clear" w:color="auto" w:fill="auto"/>
                  <w:noWrap/>
                  <w:vAlign w:val="bottom"/>
                  <w:hideMark/>
                </w:tcPr>
                <w:p w14:paraId="6331339C" w14:textId="77777777" w:rsidR="0082683D" w:rsidRPr="00DE05E9" w:rsidRDefault="0082683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r>
            <w:tr w:rsidR="0082683D" w:rsidRPr="00DE05E9" w14:paraId="0EEFC7CF" w14:textId="77777777" w:rsidTr="00FB71FD">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D6C1F61" w14:textId="77777777" w:rsidR="0082683D" w:rsidRPr="00DE05E9" w:rsidRDefault="0082683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Privileģētie līgumi kopā</w:t>
                  </w:r>
                </w:p>
              </w:tc>
              <w:tc>
                <w:tcPr>
                  <w:tcW w:w="4200" w:type="dxa"/>
                  <w:tcBorders>
                    <w:top w:val="nil"/>
                    <w:left w:val="nil"/>
                    <w:bottom w:val="single" w:sz="4" w:space="0" w:color="auto"/>
                    <w:right w:val="single" w:sz="4" w:space="0" w:color="auto"/>
                  </w:tcBorders>
                  <w:shd w:val="clear" w:color="auto" w:fill="auto"/>
                  <w:noWrap/>
                  <w:vAlign w:val="bottom"/>
                  <w:hideMark/>
                </w:tcPr>
                <w:p w14:paraId="57FC8E66" w14:textId="77777777" w:rsidR="0082683D" w:rsidRPr="00DE05E9" w:rsidRDefault="0082683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r>
            <w:tr w:rsidR="0082683D" w:rsidRPr="00DE05E9" w14:paraId="1A60186D" w14:textId="77777777" w:rsidTr="00FB71FD">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FD10121" w14:textId="77777777" w:rsidR="0082683D" w:rsidRPr="00DE05E9" w:rsidRDefault="0082683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Sociālā atbildība</w:t>
                  </w:r>
                </w:p>
              </w:tc>
              <w:tc>
                <w:tcPr>
                  <w:tcW w:w="4200" w:type="dxa"/>
                  <w:tcBorders>
                    <w:top w:val="nil"/>
                    <w:left w:val="nil"/>
                    <w:bottom w:val="single" w:sz="4" w:space="0" w:color="auto"/>
                    <w:right w:val="single" w:sz="4" w:space="0" w:color="auto"/>
                  </w:tcBorders>
                  <w:shd w:val="clear" w:color="auto" w:fill="auto"/>
                  <w:noWrap/>
                  <w:vAlign w:val="bottom"/>
                  <w:hideMark/>
                </w:tcPr>
                <w:p w14:paraId="302519EB" w14:textId="77777777" w:rsidR="0082683D" w:rsidRPr="00DE05E9" w:rsidRDefault="0082683D" w:rsidP="00FB71FD">
                  <w:pPr>
                    <w:spacing w:after="0" w:line="240" w:lineRule="auto"/>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0</w:t>
                  </w:r>
                </w:p>
              </w:tc>
            </w:tr>
          </w:tbl>
          <w:p w14:paraId="255EC2B0" w14:textId="77777777" w:rsidR="00D906DC" w:rsidRPr="00DE05E9" w:rsidRDefault="00D906DC" w:rsidP="00FB71FD">
            <w:pPr>
              <w:pStyle w:val="NoSpacing"/>
              <w:jc w:val="both"/>
              <w:rPr>
                <w:rFonts w:ascii="Times New Roman" w:hAnsi="Times New Roman" w:cs="Times New Roman"/>
              </w:rPr>
            </w:pPr>
          </w:p>
          <w:p w14:paraId="5659E4B4" w14:textId="4A6519F1" w:rsidR="00DD5AB5" w:rsidRPr="00DE05E9" w:rsidDel="00DD5AB5" w:rsidRDefault="00DD5AB5" w:rsidP="00FB71FD">
            <w:pPr>
              <w:jc w:val="both"/>
              <w:rPr>
                <w:rFonts w:ascii="Times New Roman" w:hAnsi="Times New Roman" w:cs="Times New Roman"/>
              </w:rPr>
            </w:pPr>
          </w:p>
        </w:tc>
      </w:tr>
      <w:tr w:rsidR="00DD5AB5" w:rsidRPr="00DE05E9" w14:paraId="0E35A5BE" w14:textId="77777777" w:rsidTr="00205FF9">
        <w:tc>
          <w:tcPr>
            <w:tcW w:w="523" w:type="pct"/>
          </w:tcPr>
          <w:p w14:paraId="3613F285" w14:textId="10216623" w:rsidR="00DD5AB5" w:rsidRPr="00DE05E9" w:rsidRDefault="00DD5AB5" w:rsidP="00FB71FD">
            <w:pPr>
              <w:jc w:val="both"/>
              <w:rPr>
                <w:rFonts w:ascii="Times New Roman" w:hAnsi="Times New Roman" w:cs="Times New Roman"/>
              </w:rPr>
            </w:pPr>
            <w:r w:rsidRPr="00DE05E9">
              <w:rPr>
                <w:rFonts w:ascii="Times New Roman" w:hAnsi="Times New Roman" w:cs="Times New Roman"/>
              </w:rPr>
              <w:lastRenderedPageBreak/>
              <w:t xml:space="preserve">Please provide, when available, any quantitative data (statistics, etc.) illustrating the achievements and challenges identified under section </w:t>
            </w:r>
            <w:r w:rsidR="007C7271" w:rsidRPr="00DE05E9">
              <w:rPr>
                <w:rFonts w:ascii="Times New Roman" w:hAnsi="Times New Roman" w:cs="Times New Roman"/>
              </w:rPr>
              <w:t>V</w:t>
            </w:r>
            <w:r w:rsidRPr="00DE05E9">
              <w:rPr>
                <w:rFonts w:ascii="Times New Roman" w:hAnsi="Times New Roman" w:cs="Times New Roman"/>
              </w:rPr>
              <w:t>.2.</w:t>
            </w:r>
            <w:r w:rsidR="002C131E" w:rsidRPr="00DE05E9">
              <w:rPr>
                <w:rFonts w:ascii="Times New Roman" w:hAnsi="Times New Roman" w:cs="Times New Roman"/>
              </w:rPr>
              <w:t xml:space="preserve">1 </w:t>
            </w:r>
            <w:r w:rsidRPr="00DE05E9">
              <w:rPr>
                <w:rFonts w:ascii="Times New Roman" w:hAnsi="Times New Roman" w:cs="Times New Roman"/>
              </w:rPr>
              <w:t xml:space="preserve">above. </w:t>
            </w:r>
          </w:p>
        </w:tc>
        <w:tc>
          <w:tcPr>
            <w:tcW w:w="4477" w:type="pct"/>
          </w:tcPr>
          <w:p w14:paraId="4233695D" w14:textId="77777777" w:rsidR="00091DFA" w:rsidRDefault="001C6E39" w:rsidP="001C6E39">
            <w:pPr>
              <w:jc w:val="both"/>
              <w:rPr>
                <w:rFonts w:ascii="Times New Roman" w:hAnsi="Times New Roman" w:cs="Times New Roman"/>
              </w:rPr>
            </w:pPr>
            <w:r w:rsidRPr="00DE05E9">
              <w:rPr>
                <w:rFonts w:ascii="Times New Roman" w:hAnsi="Times New Roman" w:cs="Times New Roman"/>
              </w:rPr>
              <w:t>Eiropas Komisijas izstrādātās direktīvas Latvijas tiesību sistēmā tika transponētas</w:t>
            </w:r>
            <w:r w:rsidR="00091DFA">
              <w:rPr>
                <w:rFonts w:ascii="Times New Roman" w:hAnsi="Times New Roman" w:cs="Times New Roman"/>
              </w:rPr>
              <w:t>:</w:t>
            </w:r>
          </w:p>
          <w:p w14:paraId="78C24F67" w14:textId="663E66C4" w:rsidR="00091DFA" w:rsidRDefault="001C6E39" w:rsidP="00091DFA">
            <w:pPr>
              <w:pStyle w:val="ListParagraph"/>
              <w:numPr>
                <w:ilvl w:val="0"/>
                <w:numId w:val="25"/>
              </w:numPr>
              <w:jc w:val="both"/>
              <w:rPr>
                <w:rFonts w:ascii="Times New Roman" w:hAnsi="Times New Roman" w:cs="Times New Roman"/>
              </w:rPr>
            </w:pPr>
            <w:r w:rsidRPr="00091DFA">
              <w:rPr>
                <w:rFonts w:ascii="Times New Roman" w:hAnsi="Times New Roman" w:cs="Times New Roman"/>
              </w:rPr>
              <w:t xml:space="preserve">2017.gada </w:t>
            </w:r>
            <w:r w:rsidR="00213298" w:rsidRPr="00091DFA">
              <w:rPr>
                <w:rFonts w:ascii="Times New Roman" w:hAnsi="Times New Roman" w:cs="Times New Roman"/>
              </w:rPr>
              <w:t>1.</w:t>
            </w:r>
            <w:r w:rsidRPr="00091DFA">
              <w:rPr>
                <w:rFonts w:ascii="Times New Roman" w:hAnsi="Times New Roman" w:cs="Times New Roman"/>
              </w:rPr>
              <w:t xml:space="preserve">martā stājās </w:t>
            </w:r>
            <w:r w:rsidR="00091DFA">
              <w:rPr>
                <w:rFonts w:ascii="Times New Roman" w:hAnsi="Times New Roman" w:cs="Times New Roman"/>
              </w:rPr>
              <w:t>spēkā Publisko iepirkumu likums;</w:t>
            </w:r>
          </w:p>
          <w:p w14:paraId="6059B352" w14:textId="77777777" w:rsidR="00091DFA" w:rsidRDefault="00091DFA" w:rsidP="00091DFA">
            <w:pPr>
              <w:pStyle w:val="ListParagraph"/>
              <w:numPr>
                <w:ilvl w:val="0"/>
                <w:numId w:val="25"/>
              </w:numPr>
              <w:jc w:val="both"/>
              <w:rPr>
                <w:rFonts w:ascii="Times New Roman" w:hAnsi="Times New Roman" w:cs="Times New Roman"/>
              </w:rPr>
            </w:pPr>
            <w:r w:rsidRPr="00091DFA">
              <w:rPr>
                <w:rFonts w:ascii="Times New Roman" w:hAnsi="Times New Roman" w:cs="Times New Roman"/>
              </w:rPr>
              <w:t xml:space="preserve">2017.gada </w:t>
            </w:r>
            <w:r w:rsidR="00213298" w:rsidRPr="00091DFA">
              <w:rPr>
                <w:rFonts w:ascii="Times New Roman" w:hAnsi="Times New Roman" w:cs="Times New Roman"/>
              </w:rPr>
              <w:t>1.</w:t>
            </w:r>
            <w:r w:rsidR="001C6E39" w:rsidRPr="00091DFA">
              <w:rPr>
                <w:rFonts w:ascii="Times New Roman" w:hAnsi="Times New Roman" w:cs="Times New Roman"/>
              </w:rPr>
              <w:t>aprīlī stājās spēkā Sabiedrisko pakalpojumu sniedzēju iepirkumu li</w:t>
            </w:r>
            <w:r w:rsidRPr="00091DFA">
              <w:rPr>
                <w:rFonts w:ascii="Times New Roman" w:hAnsi="Times New Roman" w:cs="Times New Roman"/>
              </w:rPr>
              <w:t>k</w:t>
            </w:r>
            <w:r w:rsidR="001C6E39" w:rsidRPr="00091DFA">
              <w:rPr>
                <w:rFonts w:ascii="Times New Roman" w:hAnsi="Times New Roman" w:cs="Times New Roman"/>
              </w:rPr>
              <w:t>ums</w:t>
            </w:r>
            <w:r>
              <w:rPr>
                <w:rFonts w:ascii="Times New Roman" w:hAnsi="Times New Roman" w:cs="Times New Roman"/>
              </w:rPr>
              <w:t>;</w:t>
            </w:r>
          </w:p>
          <w:p w14:paraId="2A0E5A36" w14:textId="5542B160" w:rsidR="00091DFA" w:rsidRDefault="00091DFA" w:rsidP="00091DFA">
            <w:pPr>
              <w:pStyle w:val="ListParagraph"/>
              <w:numPr>
                <w:ilvl w:val="0"/>
                <w:numId w:val="25"/>
              </w:numPr>
              <w:jc w:val="both"/>
              <w:rPr>
                <w:rFonts w:ascii="Times New Roman" w:hAnsi="Times New Roman" w:cs="Times New Roman"/>
              </w:rPr>
            </w:pPr>
            <w:r w:rsidRPr="00091DFA">
              <w:rPr>
                <w:rFonts w:ascii="Times New Roman" w:hAnsi="Times New Roman" w:cs="Times New Roman"/>
              </w:rPr>
              <w:t xml:space="preserve">2017.gada </w:t>
            </w:r>
            <w:r w:rsidR="00213298" w:rsidRPr="00091DFA">
              <w:rPr>
                <w:rFonts w:ascii="Times New Roman" w:hAnsi="Times New Roman" w:cs="Times New Roman"/>
              </w:rPr>
              <w:t>1.</w:t>
            </w:r>
            <w:r w:rsidR="001C6E39" w:rsidRPr="00091DFA">
              <w:rPr>
                <w:rFonts w:ascii="Times New Roman" w:hAnsi="Times New Roman" w:cs="Times New Roman"/>
              </w:rPr>
              <w:t>maijā stājās spēkā Publ</w:t>
            </w:r>
            <w:r w:rsidR="00CD267F">
              <w:rPr>
                <w:rFonts w:ascii="Times New Roman" w:hAnsi="Times New Roman" w:cs="Times New Roman"/>
              </w:rPr>
              <w:t>i</w:t>
            </w:r>
            <w:r w:rsidR="001C6E39" w:rsidRPr="00091DFA">
              <w:rPr>
                <w:rFonts w:ascii="Times New Roman" w:hAnsi="Times New Roman" w:cs="Times New Roman"/>
              </w:rPr>
              <w:t xml:space="preserve">skās un </w:t>
            </w:r>
            <w:r w:rsidR="00CD267F">
              <w:rPr>
                <w:rFonts w:ascii="Times New Roman" w:hAnsi="Times New Roman" w:cs="Times New Roman"/>
              </w:rPr>
              <w:t>p</w:t>
            </w:r>
            <w:r w:rsidR="001C6E39" w:rsidRPr="00091DFA">
              <w:rPr>
                <w:rFonts w:ascii="Times New Roman" w:hAnsi="Times New Roman" w:cs="Times New Roman"/>
              </w:rPr>
              <w:t>rivātās partnerības</w:t>
            </w:r>
            <w:r>
              <w:rPr>
                <w:rFonts w:ascii="Times New Roman" w:hAnsi="Times New Roman" w:cs="Times New Roman"/>
              </w:rPr>
              <w:t xml:space="preserve"> likums.</w:t>
            </w:r>
          </w:p>
          <w:p w14:paraId="458CD212" w14:textId="77777777" w:rsidR="00091DFA" w:rsidRDefault="00091DFA" w:rsidP="00091DFA">
            <w:pPr>
              <w:pStyle w:val="ListParagraph"/>
              <w:jc w:val="both"/>
              <w:rPr>
                <w:rFonts w:ascii="Times New Roman" w:hAnsi="Times New Roman" w:cs="Times New Roman"/>
              </w:rPr>
            </w:pPr>
          </w:p>
          <w:p w14:paraId="364B9F93" w14:textId="1B3ACC8B" w:rsidR="00FF42D2" w:rsidRPr="00091DFA" w:rsidDel="00DD5AB5" w:rsidRDefault="00091DFA" w:rsidP="00091DFA">
            <w:pPr>
              <w:ind w:left="360"/>
              <w:jc w:val="both"/>
              <w:rPr>
                <w:rFonts w:ascii="Times New Roman" w:hAnsi="Times New Roman" w:cs="Times New Roman"/>
              </w:rPr>
            </w:pPr>
            <w:r>
              <w:rPr>
                <w:rFonts w:ascii="Times New Roman" w:hAnsi="Times New Roman" w:cs="Times New Roman"/>
              </w:rPr>
              <w:t>Tā</w:t>
            </w:r>
            <w:r w:rsidR="001C6E39" w:rsidRPr="00091DFA">
              <w:rPr>
                <w:rFonts w:ascii="Times New Roman" w:hAnsi="Times New Roman" w:cs="Times New Roman"/>
              </w:rPr>
              <w:t>d</w:t>
            </w:r>
            <w:r>
              <w:rPr>
                <w:rFonts w:ascii="Times New Roman" w:hAnsi="Times New Roman" w:cs="Times New Roman"/>
              </w:rPr>
              <w:t>ejādi</w:t>
            </w:r>
            <w:r w:rsidR="001C6E39" w:rsidRPr="00091DFA">
              <w:rPr>
                <w:rFonts w:ascii="Times New Roman" w:hAnsi="Times New Roman" w:cs="Times New Roman"/>
              </w:rPr>
              <w:t xml:space="preserve"> uz doto brīdi mūsu rīcībā nav </w:t>
            </w:r>
            <w:r w:rsidR="00CD267F">
              <w:rPr>
                <w:rFonts w:ascii="Times New Roman" w:hAnsi="Times New Roman" w:cs="Times New Roman"/>
              </w:rPr>
              <w:t>citu kvantitativu raksturlielumu par sociāli atbildīgiem iepirkumiem.</w:t>
            </w:r>
          </w:p>
        </w:tc>
      </w:tr>
      <w:tr w:rsidR="009D79A4" w:rsidRPr="00DE05E9" w14:paraId="19DF63EF" w14:textId="77777777" w:rsidTr="00205FF9">
        <w:tc>
          <w:tcPr>
            <w:tcW w:w="523" w:type="pct"/>
          </w:tcPr>
          <w:p w14:paraId="435A63A9" w14:textId="5DB703DD" w:rsidR="009D79A4" w:rsidRPr="00DE05E9" w:rsidRDefault="009D79A4" w:rsidP="00FB71FD">
            <w:pPr>
              <w:pStyle w:val="Heading3"/>
              <w:jc w:val="both"/>
              <w:outlineLvl w:val="2"/>
              <w:rPr>
                <w:rFonts w:ascii="Times New Roman" w:hAnsi="Times New Roman" w:cs="Times New Roman"/>
              </w:rPr>
            </w:pPr>
            <w:r w:rsidRPr="00DE05E9">
              <w:rPr>
                <w:rFonts w:ascii="Times New Roman" w:hAnsi="Times New Roman" w:cs="Times New Roman"/>
              </w:rPr>
              <w:t>V.3 Public procurement of innovati</w:t>
            </w:r>
            <w:r w:rsidR="00DE3F88" w:rsidRPr="00DE05E9">
              <w:rPr>
                <w:rFonts w:ascii="Times New Roman" w:hAnsi="Times New Roman" w:cs="Times New Roman"/>
              </w:rPr>
              <w:t>on</w:t>
            </w:r>
          </w:p>
        </w:tc>
        <w:tc>
          <w:tcPr>
            <w:tcW w:w="4477" w:type="pct"/>
          </w:tcPr>
          <w:p w14:paraId="7DAE116C" w14:textId="3F0F508F" w:rsidR="009D79A4" w:rsidRPr="00DE05E9" w:rsidRDefault="009D79A4" w:rsidP="00FB71FD">
            <w:pPr>
              <w:pStyle w:val="Heading4"/>
              <w:numPr>
                <w:ilvl w:val="0"/>
                <w:numId w:val="0"/>
              </w:numPr>
              <w:jc w:val="both"/>
              <w:outlineLvl w:val="3"/>
              <w:rPr>
                <w:rFonts w:ascii="Times New Roman" w:hAnsi="Times New Roman" w:cs="Times New Roman"/>
                <w:b w:val="0"/>
              </w:rPr>
            </w:pPr>
            <w:r w:rsidRPr="00DE05E9">
              <w:rPr>
                <w:rFonts w:ascii="Times New Roman" w:hAnsi="Times New Roman" w:cs="Times New Roman"/>
                <w:b w:val="0"/>
              </w:rPr>
              <w:t xml:space="preserve">An innovative solution is defined in </w:t>
            </w:r>
            <w:r w:rsidRPr="00DE05E9">
              <w:rPr>
                <w:rFonts w:ascii="Times New Roman" w:hAnsi="Times New Roman" w:cs="Times New Roman"/>
                <w:b w:val="0"/>
                <w:color w:val="000000"/>
              </w:rPr>
              <w:t xml:space="preserve">2014/24/EU Art.2 (1.22) as "a new or significantly improved product, service or process". This includes not only those solutions resulting from R&amp;D but also those solutions resulting from activities, "including but not limited to production, building or construction processes, a new marketing method, or a new organisational method in business practices, workplace organisation </w:t>
            </w:r>
            <w:r w:rsidRPr="00DE05E9">
              <w:rPr>
                <w:rFonts w:ascii="Times New Roman" w:hAnsi="Times New Roman" w:cs="Times New Roman"/>
                <w:b w:val="0"/>
                <w:color w:val="000000"/>
              </w:rPr>
              <w:lastRenderedPageBreak/>
              <w:t>or external relations."</w:t>
            </w:r>
            <w:r w:rsidR="00DE3F88" w:rsidRPr="00DE05E9">
              <w:rPr>
                <w:rFonts w:ascii="Times New Roman" w:hAnsi="Times New Roman" w:cs="Times New Roman"/>
                <w:b w:val="0"/>
                <w:color w:val="000000"/>
              </w:rPr>
              <w:t xml:space="preserve"> </w:t>
            </w:r>
            <w:r w:rsidR="00DE3F88" w:rsidRPr="00DE05E9">
              <w:rPr>
                <w:rFonts w:ascii="Times New Roman" w:hAnsi="Times New Roman" w:cs="Times New Roman"/>
                <w:b w:val="0"/>
              </w:rPr>
              <w:t xml:space="preserve">Please report both dimensions of innovation procurement: </w:t>
            </w:r>
            <w:r w:rsidR="00B7501F" w:rsidRPr="00DE05E9">
              <w:rPr>
                <w:rFonts w:ascii="Times New Roman" w:hAnsi="Times New Roman" w:cs="Times New Roman"/>
                <w:b w:val="0"/>
              </w:rPr>
              <w:t>p</w:t>
            </w:r>
            <w:r w:rsidR="00DE3F88" w:rsidRPr="00DE05E9">
              <w:rPr>
                <w:rFonts w:ascii="Times New Roman" w:hAnsi="Times New Roman" w:cs="Times New Roman"/>
                <w:b w:val="0"/>
              </w:rPr>
              <w:t>rocurement of R&amp;D and procurement of innovative solutions.</w:t>
            </w:r>
          </w:p>
        </w:tc>
      </w:tr>
      <w:tr w:rsidR="006708CC" w:rsidRPr="00DE05E9" w14:paraId="25EBCE41" w14:textId="77777777" w:rsidTr="00205FF9">
        <w:tc>
          <w:tcPr>
            <w:tcW w:w="523" w:type="pct"/>
          </w:tcPr>
          <w:p w14:paraId="5A772C25" w14:textId="0992EC61" w:rsidR="006708CC" w:rsidRPr="00DE05E9" w:rsidRDefault="009D79A4" w:rsidP="00FB71FD">
            <w:pPr>
              <w:pStyle w:val="Heading3"/>
              <w:jc w:val="both"/>
              <w:outlineLvl w:val="2"/>
              <w:rPr>
                <w:rFonts w:ascii="Times New Roman" w:hAnsi="Times New Roman" w:cs="Times New Roman"/>
              </w:rPr>
            </w:pPr>
            <w:r w:rsidRPr="00DE05E9">
              <w:rPr>
                <w:rFonts w:ascii="Times New Roman" w:hAnsi="Times New Roman" w:cs="Times New Roman"/>
              </w:rPr>
              <w:lastRenderedPageBreak/>
              <w:t>V</w:t>
            </w:r>
            <w:r w:rsidR="006708CC" w:rsidRPr="00DE05E9">
              <w:rPr>
                <w:rFonts w:ascii="Times New Roman" w:hAnsi="Times New Roman" w:cs="Times New Roman"/>
              </w:rPr>
              <w:t>.3.</w:t>
            </w:r>
            <w:r w:rsidRPr="00DE05E9">
              <w:rPr>
                <w:rFonts w:ascii="Times New Roman" w:hAnsi="Times New Roman" w:cs="Times New Roman"/>
              </w:rPr>
              <w:t>1</w:t>
            </w:r>
            <w:r w:rsidR="006708CC" w:rsidRPr="00DE05E9">
              <w:rPr>
                <w:rFonts w:ascii="Times New Roman" w:hAnsi="Times New Roman" w:cs="Times New Roman"/>
              </w:rPr>
              <w:t xml:space="preserve"> </w:t>
            </w:r>
            <w:r w:rsidR="002C131E" w:rsidRPr="00DE05E9">
              <w:rPr>
                <w:rFonts w:ascii="Times New Roman" w:hAnsi="Times New Roman" w:cs="Times New Roman"/>
              </w:rPr>
              <w:t>Qualitative reporting</w:t>
            </w:r>
          </w:p>
        </w:tc>
        <w:tc>
          <w:tcPr>
            <w:tcW w:w="4477" w:type="pct"/>
          </w:tcPr>
          <w:p w14:paraId="033F13EB" w14:textId="19E59728" w:rsidR="006708CC" w:rsidRPr="00DE05E9" w:rsidRDefault="006708CC" w:rsidP="00FB71FD">
            <w:pPr>
              <w:pStyle w:val="Heading4"/>
              <w:numPr>
                <w:ilvl w:val="0"/>
                <w:numId w:val="0"/>
              </w:numPr>
              <w:jc w:val="both"/>
              <w:outlineLvl w:val="3"/>
              <w:rPr>
                <w:rFonts w:ascii="Times New Roman" w:hAnsi="Times New Roman" w:cs="Times New Roman"/>
              </w:rPr>
            </w:pPr>
          </w:p>
        </w:tc>
      </w:tr>
      <w:tr w:rsidR="006708CC" w:rsidRPr="00DE05E9" w14:paraId="293F0B0C" w14:textId="77777777" w:rsidTr="00205FF9">
        <w:tc>
          <w:tcPr>
            <w:tcW w:w="523" w:type="pct"/>
          </w:tcPr>
          <w:p w14:paraId="779255E4" w14:textId="75B08836" w:rsidR="006708CC" w:rsidRPr="00DE05E9" w:rsidRDefault="006708CC" w:rsidP="00FB71FD">
            <w:pPr>
              <w:jc w:val="both"/>
              <w:rPr>
                <w:rFonts w:ascii="Times New Roman" w:hAnsi="Times New Roman" w:cs="Times New Roman"/>
              </w:rPr>
            </w:pPr>
            <w:r w:rsidRPr="00DE05E9">
              <w:rPr>
                <w:rFonts w:ascii="Times New Roman" w:hAnsi="Times New Roman" w:cs="Times New Roman"/>
              </w:rPr>
              <w:t>Key challenges encountered</w:t>
            </w:r>
          </w:p>
          <w:p w14:paraId="625449B6" w14:textId="40ECDCB6" w:rsidR="006708CC" w:rsidRPr="00DE05E9" w:rsidRDefault="006708CC" w:rsidP="00FB71FD">
            <w:pPr>
              <w:jc w:val="both"/>
              <w:rPr>
                <w:rFonts w:ascii="Times New Roman" w:hAnsi="Times New Roman" w:cs="Times New Roman"/>
              </w:rPr>
            </w:pPr>
          </w:p>
        </w:tc>
        <w:tc>
          <w:tcPr>
            <w:tcW w:w="4477" w:type="pct"/>
          </w:tcPr>
          <w:p w14:paraId="6437D767" w14:textId="444E9870" w:rsidR="00FA048A" w:rsidRDefault="00E84E0B" w:rsidP="00FB71FD">
            <w:pPr>
              <w:jc w:val="both"/>
              <w:rPr>
                <w:rFonts w:ascii="Times New Roman" w:hAnsi="Times New Roman" w:cs="Times New Roman"/>
              </w:rPr>
            </w:pPr>
            <w:r>
              <w:rPr>
                <w:rFonts w:ascii="Times New Roman" w:hAnsi="Times New Roman" w:cs="Times New Roman"/>
              </w:rPr>
              <w:t>Publisko iepirkumu likumā, Sabiedrisko pakalpojumu sniedzēju iepirkumu likumā un Publiskās un privātās partnerības likumā paredzētas iespējas izmantot inovatīvus raksturlielumus tehniskajās specifikācijās un saimnieciski visizdevīgākā piedāvājuma kritērijos, kā arī paredzēta iespēja inovatīvu risinājumu iegūšanai izmantot konkursa dialoga, konkursa procedūras ar sarunām un inovācijas partnerības procedūras.</w:t>
            </w:r>
          </w:p>
          <w:p w14:paraId="7A55C32E" w14:textId="77777777" w:rsidR="00E84E0B" w:rsidRDefault="00E84E0B" w:rsidP="00FB71FD">
            <w:pPr>
              <w:jc w:val="both"/>
              <w:rPr>
                <w:rFonts w:ascii="Times New Roman" w:hAnsi="Times New Roman" w:cs="Times New Roman"/>
              </w:rPr>
            </w:pPr>
          </w:p>
          <w:p w14:paraId="4B161561" w14:textId="0FF9EE8B" w:rsidR="00E84E0B" w:rsidRPr="00DE05E9" w:rsidRDefault="00E84E0B" w:rsidP="00FB71FD">
            <w:pPr>
              <w:jc w:val="both"/>
              <w:rPr>
                <w:rFonts w:ascii="Times New Roman" w:hAnsi="Times New Roman" w:cs="Times New Roman"/>
              </w:rPr>
            </w:pPr>
          </w:p>
        </w:tc>
      </w:tr>
      <w:tr w:rsidR="006708CC" w:rsidRPr="00DE05E9" w14:paraId="5ECD12D9" w14:textId="77777777" w:rsidTr="00205FF9">
        <w:tc>
          <w:tcPr>
            <w:tcW w:w="523" w:type="pct"/>
          </w:tcPr>
          <w:p w14:paraId="729798E8" w14:textId="3AF94ADE" w:rsidR="006708CC" w:rsidRPr="00DE05E9" w:rsidRDefault="009D79A4" w:rsidP="00FB71FD">
            <w:pPr>
              <w:pStyle w:val="Heading3"/>
              <w:jc w:val="both"/>
              <w:outlineLvl w:val="2"/>
              <w:rPr>
                <w:rFonts w:ascii="Times New Roman" w:hAnsi="Times New Roman" w:cs="Times New Roman"/>
              </w:rPr>
            </w:pPr>
            <w:r w:rsidRPr="00DE05E9">
              <w:rPr>
                <w:rFonts w:ascii="Times New Roman" w:hAnsi="Times New Roman" w:cs="Times New Roman"/>
              </w:rPr>
              <w:t>V</w:t>
            </w:r>
            <w:r w:rsidR="006708CC" w:rsidRPr="00DE05E9">
              <w:rPr>
                <w:rFonts w:ascii="Times New Roman" w:hAnsi="Times New Roman" w:cs="Times New Roman"/>
              </w:rPr>
              <w:t xml:space="preserve">.3.2. </w:t>
            </w:r>
            <w:r w:rsidR="0037143F" w:rsidRPr="00DE05E9">
              <w:rPr>
                <w:rFonts w:ascii="Times New Roman" w:hAnsi="Times New Roman" w:cs="Times New Roman"/>
              </w:rPr>
              <w:t>Supporting documents</w:t>
            </w:r>
          </w:p>
        </w:tc>
        <w:tc>
          <w:tcPr>
            <w:tcW w:w="4477" w:type="pct"/>
          </w:tcPr>
          <w:p w14:paraId="3CD1FC69" w14:textId="77777777" w:rsidR="006708CC" w:rsidRPr="00DE05E9" w:rsidRDefault="006708CC" w:rsidP="00FB71FD">
            <w:pPr>
              <w:jc w:val="both"/>
              <w:rPr>
                <w:rFonts w:ascii="Times New Roman" w:hAnsi="Times New Roman" w:cs="Times New Roman"/>
                <w:i/>
              </w:rPr>
            </w:pPr>
          </w:p>
        </w:tc>
      </w:tr>
      <w:tr w:rsidR="006708CC" w:rsidRPr="00DE05E9" w14:paraId="40569968" w14:textId="77777777" w:rsidTr="00205FF9">
        <w:tc>
          <w:tcPr>
            <w:tcW w:w="523" w:type="pct"/>
          </w:tcPr>
          <w:p w14:paraId="7C58EC57" w14:textId="08B9FF38" w:rsidR="006708CC" w:rsidRPr="00DE05E9" w:rsidRDefault="006708CC" w:rsidP="00FB71FD">
            <w:pPr>
              <w:pStyle w:val="Heading3"/>
              <w:jc w:val="both"/>
              <w:outlineLvl w:val="2"/>
              <w:rPr>
                <w:rFonts w:ascii="Times New Roman" w:hAnsi="Times New Roman" w:cs="Times New Roman"/>
                <w:b w:val="0"/>
              </w:rPr>
            </w:pPr>
            <w:r w:rsidRPr="00DE05E9">
              <w:rPr>
                <w:rFonts w:ascii="Times New Roman" w:hAnsi="Times New Roman" w:cs="Times New Roman"/>
                <w:b w:val="0"/>
              </w:rPr>
              <w:t xml:space="preserve">Please report any available evidence or supporting document illustrating the measures, achievements or challenges faced, relating to the promotion </w:t>
            </w:r>
            <w:r w:rsidR="00DE3F88" w:rsidRPr="00DE05E9">
              <w:rPr>
                <w:rFonts w:ascii="Times New Roman" w:hAnsi="Times New Roman" w:cs="Times New Roman"/>
                <w:b w:val="0"/>
              </w:rPr>
              <w:t xml:space="preserve">and implementation </w:t>
            </w:r>
            <w:r w:rsidRPr="00DE05E9">
              <w:rPr>
                <w:rFonts w:ascii="Times New Roman" w:hAnsi="Times New Roman" w:cs="Times New Roman"/>
                <w:b w:val="0"/>
              </w:rPr>
              <w:t xml:space="preserve">of </w:t>
            </w:r>
            <w:r w:rsidR="00DE3F88" w:rsidRPr="00DE05E9">
              <w:rPr>
                <w:rFonts w:ascii="Times New Roman" w:hAnsi="Times New Roman" w:cs="Times New Roman"/>
                <w:b w:val="0"/>
              </w:rPr>
              <w:t>innovation procurement</w:t>
            </w:r>
            <w:r w:rsidRPr="00DE05E9">
              <w:rPr>
                <w:rFonts w:ascii="Times New Roman" w:hAnsi="Times New Roman" w:cs="Times New Roman"/>
                <w:b w:val="0"/>
              </w:rPr>
              <w:t>.</w:t>
            </w:r>
          </w:p>
        </w:tc>
        <w:tc>
          <w:tcPr>
            <w:tcW w:w="4477" w:type="pct"/>
          </w:tcPr>
          <w:p w14:paraId="0840D275" w14:textId="77777777" w:rsidR="00E84E0B" w:rsidRDefault="00E84E0B" w:rsidP="00E84E0B">
            <w:pPr>
              <w:jc w:val="both"/>
              <w:rPr>
                <w:rFonts w:ascii="Times New Roman" w:hAnsi="Times New Roman" w:cs="Times New Roman"/>
              </w:rPr>
            </w:pPr>
            <w:r w:rsidRPr="00DE05E9">
              <w:rPr>
                <w:rFonts w:ascii="Times New Roman" w:hAnsi="Times New Roman" w:cs="Times New Roman"/>
              </w:rPr>
              <w:t>Eiropas Komisijas izstrādātās direktīvas Latvijas tiesību sistēmā tika transponētas</w:t>
            </w:r>
            <w:r>
              <w:rPr>
                <w:rFonts w:ascii="Times New Roman" w:hAnsi="Times New Roman" w:cs="Times New Roman"/>
              </w:rPr>
              <w:t>:</w:t>
            </w:r>
          </w:p>
          <w:p w14:paraId="39D692B8" w14:textId="77777777" w:rsidR="00E84E0B" w:rsidRDefault="00E84E0B" w:rsidP="00E84E0B">
            <w:pPr>
              <w:pStyle w:val="ListParagraph"/>
              <w:numPr>
                <w:ilvl w:val="0"/>
                <w:numId w:val="26"/>
              </w:numPr>
              <w:jc w:val="both"/>
              <w:rPr>
                <w:rFonts w:ascii="Times New Roman" w:hAnsi="Times New Roman" w:cs="Times New Roman"/>
              </w:rPr>
            </w:pPr>
            <w:r w:rsidRPr="00091DFA">
              <w:rPr>
                <w:rFonts w:ascii="Times New Roman" w:hAnsi="Times New Roman" w:cs="Times New Roman"/>
              </w:rPr>
              <w:t xml:space="preserve">2017.gada 1.martā stājās </w:t>
            </w:r>
            <w:r>
              <w:rPr>
                <w:rFonts w:ascii="Times New Roman" w:hAnsi="Times New Roman" w:cs="Times New Roman"/>
              </w:rPr>
              <w:t>spēkā Publisko iepirkumu likums;</w:t>
            </w:r>
          </w:p>
          <w:p w14:paraId="77C769DE" w14:textId="77777777" w:rsidR="00E84E0B" w:rsidRDefault="00E84E0B" w:rsidP="00E84E0B">
            <w:pPr>
              <w:pStyle w:val="ListParagraph"/>
              <w:numPr>
                <w:ilvl w:val="0"/>
                <w:numId w:val="26"/>
              </w:numPr>
              <w:jc w:val="both"/>
              <w:rPr>
                <w:rFonts w:ascii="Times New Roman" w:hAnsi="Times New Roman" w:cs="Times New Roman"/>
              </w:rPr>
            </w:pPr>
            <w:r w:rsidRPr="00091DFA">
              <w:rPr>
                <w:rFonts w:ascii="Times New Roman" w:hAnsi="Times New Roman" w:cs="Times New Roman"/>
              </w:rPr>
              <w:t>2017.gada 1.aprīlī stājās spēkā Sabiedrisko pakalpojumu sniedzēju iepirkumu likums</w:t>
            </w:r>
            <w:r>
              <w:rPr>
                <w:rFonts w:ascii="Times New Roman" w:hAnsi="Times New Roman" w:cs="Times New Roman"/>
              </w:rPr>
              <w:t>;</w:t>
            </w:r>
          </w:p>
          <w:p w14:paraId="38355F5D" w14:textId="77777777" w:rsidR="00E84E0B" w:rsidRDefault="00E84E0B" w:rsidP="00E84E0B">
            <w:pPr>
              <w:pStyle w:val="ListParagraph"/>
              <w:numPr>
                <w:ilvl w:val="0"/>
                <w:numId w:val="26"/>
              </w:numPr>
              <w:jc w:val="both"/>
              <w:rPr>
                <w:rFonts w:ascii="Times New Roman" w:hAnsi="Times New Roman" w:cs="Times New Roman"/>
              </w:rPr>
            </w:pPr>
            <w:r w:rsidRPr="00091DFA">
              <w:rPr>
                <w:rFonts w:ascii="Times New Roman" w:hAnsi="Times New Roman" w:cs="Times New Roman"/>
              </w:rPr>
              <w:t>2017.gada 1.maijā stājās spēkā Publ</w:t>
            </w:r>
            <w:r>
              <w:rPr>
                <w:rFonts w:ascii="Times New Roman" w:hAnsi="Times New Roman" w:cs="Times New Roman"/>
              </w:rPr>
              <w:t>i</w:t>
            </w:r>
            <w:r w:rsidRPr="00091DFA">
              <w:rPr>
                <w:rFonts w:ascii="Times New Roman" w:hAnsi="Times New Roman" w:cs="Times New Roman"/>
              </w:rPr>
              <w:t xml:space="preserve">skās un </w:t>
            </w:r>
            <w:r>
              <w:rPr>
                <w:rFonts w:ascii="Times New Roman" w:hAnsi="Times New Roman" w:cs="Times New Roman"/>
              </w:rPr>
              <w:t>p</w:t>
            </w:r>
            <w:r w:rsidRPr="00091DFA">
              <w:rPr>
                <w:rFonts w:ascii="Times New Roman" w:hAnsi="Times New Roman" w:cs="Times New Roman"/>
              </w:rPr>
              <w:t>rivātās partnerības</w:t>
            </w:r>
            <w:r>
              <w:rPr>
                <w:rFonts w:ascii="Times New Roman" w:hAnsi="Times New Roman" w:cs="Times New Roman"/>
              </w:rPr>
              <w:t xml:space="preserve"> likums.</w:t>
            </w:r>
          </w:p>
          <w:p w14:paraId="7298340C" w14:textId="77777777" w:rsidR="00E84E0B" w:rsidRDefault="00E84E0B" w:rsidP="00E84E0B">
            <w:pPr>
              <w:pStyle w:val="ListParagraph"/>
              <w:jc w:val="both"/>
              <w:rPr>
                <w:rFonts w:ascii="Times New Roman" w:hAnsi="Times New Roman" w:cs="Times New Roman"/>
              </w:rPr>
            </w:pPr>
          </w:p>
          <w:p w14:paraId="1F48A109" w14:textId="61593946" w:rsidR="00205FF9" w:rsidRPr="00DE05E9" w:rsidRDefault="008A75A9" w:rsidP="00E84E0B">
            <w:pPr>
              <w:jc w:val="both"/>
              <w:rPr>
                <w:rFonts w:ascii="Times New Roman" w:hAnsi="Times New Roman" w:cs="Times New Roman"/>
              </w:rPr>
            </w:pPr>
            <w:r>
              <w:rPr>
                <w:rFonts w:ascii="Times New Roman" w:hAnsi="Times New Roman" w:cs="Times New Roman"/>
              </w:rPr>
              <w:t>Šo</w:t>
            </w:r>
            <w:r w:rsidR="00E84E0B" w:rsidRPr="00091DFA">
              <w:rPr>
                <w:rFonts w:ascii="Times New Roman" w:hAnsi="Times New Roman" w:cs="Times New Roman"/>
              </w:rPr>
              <w:t xml:space="preserve">brīd nav </w:t>
            </w:r>
            <w:r>
              <w:rPr>
                <w:rFonts w:ascii="Times New Roman" w:hAnsi="Times New Roman" w:cs="Times New Roman"/>
              </w:rPr>
              <w:t>apkopota</w:t>
            </w:r>
            <w:r w:rsidR="00E84E0B">
              <w:rPr>
                <w:rFonts w:ascii="Times New Roman" w:hAnsi="Times New Roman" w:cs="Times New Roman"/>
              </w:rPr>
              <w:t xml:space="preserve"> informācija par inovatīvo kritēriju piemērošan</w:t>
            </w:r>
            <w:r>
              <w:rPr>
                <w:rFonts w:ascii="Times New Roman" w:hAnsi="Times New Roman" w:cs="Times New Roman"/>
              </w:rPr>
              <w:t>as pieredzi</w:t>
            </w:r>
            <w:r w:rsidR="00E84E0B">
              <w:rPr>
                <w:rFonts w:ascii="Times New Roman" w:hAnsi="Times New Roman" w:cs="Times New Roman"/>
              </w:rPr>
              <w:t>.</w:t>
            </w:r>
          </w:p>
        </w:tc>
      </w:tr>
    </w:tbl>
    <w:p w14:paraId="34AB7F7C" w14:textId="77777777" w:rsidR="00306938" w:rsidRPr="00DE05E9" w:rsidRDefault="00306938" w:rsidP="00FB71FD">
      <w:pPr>
        <w:pStyle w:val="ListParagraph"/>
        <w:jc w:val="both"/>
        <w:rPr>
          <w:rFonts w:ascii="Times New Roman" w:hAnsi="Times New Roman" w:cs="Times New Roman"/>
        </w:rPr>
      </w:pPr>
    </w:p>
    <w:p w14:paraId="34AB7F8A" w14:textId="77777777" w:rsidR="00DA6F44" w:rsidRPr="00DE05E9" w:rsidRDefault="00DA6F44" w:rsidP="00FB71FD">
      <w:pPr>
        <w:pStyle w:val="ListParagraph"/>
        <w:ind w:left="709"/>
        <w:jc w:val="both"/>
        <w:rPr>
          <w:rFonts w:ascii="Times New Roman" w:hAnsi="Times New Roman" w:cs="Times New Roman"/>
        </w:rPr>
      </w:pPr>
    </w:p>
    <w:p w14:paraId="34AB7F96" w14:textId="77777777" w:rsidR="00C9307F" w:rsidRPr="00DE05E9" w:rsidRDefault="008F56CB" w:rsidP="00FB71FD">
      <w:pPr>
        <w:pStyle w:val="Heading2"/>
        <w:jc w:val="both"/>
        <w:rPr>
          <w:rFonts w:ascii="Times New Roman" w:hAnsi="Times New Roman" w:cs="Times New Roman"/>
        </w:rPr>
      </w:pPr>
      <w:r w:rsidRPr="00DE05E9">
        <w:rPr>
          <w:rFonts w:ascii="Times New Roman" w:hAnsi="Times New Roman" w:cs="Times New Roman"/>
        </w:rPr>
        <w:t>Replicability</w:t>
      </w:r>
    </w:p>
    <w:p w14:paraId="50E7497D" w14:textId="4D180E4C" w:rsidR="00BC4C3D" w:rsidRPr="00DE05E9" w:rsidRDefault="00BC4C3D" w:rsidP="00FB71FD">
      <w:pPr>
        <w:pStyle w:val="NoSpacing"/>
        <w:jc w:val="both"/>
        <w:rPr>
          <w:rFonts w:ascii="Times New Roman" w:hAnsi="Times New Roman" w:cs="Times New Roman"/>
        </w:rPr>
      </w:pPr>
    </w:p>
    <w:p w14:paraId="34AB7F98" w14:textId="476E80CB" w:rsidR="00BD4C3B" w:rsidRPr="00DE05E9" w:rsidRDefault="00BD4C3B" w:rsidP="00FB71FD">
      <w:pPr>
        <w:pStyle w:val="NoSpacing"/>
        <w:jc w:val="both"/>
        <w:rPr>
          <w:rFonts w:ascii="Times New Roman" w:hAnsi="Times New Roman" w:cs="Times New Roman"/>
        </w:rPr>
      </w:pPr>
      <w:r w:rsidRPr="00DE05E9">
        <w:rPr>
          <w:rFonts w:ascii="Times New Roman" w:hAnsi="Times New Roman" w:cs="Times New Roman"/>
        </w:rPr>
        <w:t xml:space="preserve">This section </w:t>
      </w:r>
      <w:r w:rsidR="00807AF4" w:rsidRPr="00DE05E9">
        <w:rPr>
          <w:rFonts w:ascii="Times New Roman" w:hAnsi="Times New Roman" w:cs="Times New Roman"/>
        </w:rPr>
        <w:t xml:space="preserve">should provide </w:t>
      </w:r>
      <w:r w:rsidRPr="00DE05E9">
        <w:rPr>
          <w:rFonts w:ascii="Times New Roman" w:hAnsi="Times New Roman" w:cs="Times New Roman"/>
        </w:rPr>
        <w:t>information allowing any</w:t>
      </w:r>
      <w:r w:rsidR="00807AF4" w:rsidRPr="00DE05E9">
        <w:rPr>
          <w:rFonts w:ascii="Times New Roman" w:hAnsi="Times New Roman" w:cs="Times New Roman"/>
        </w:rPr>
        <w:t>one</w:t>
      </w:r>
      <w:r w:rsidRPr="00DE05E9">
        <w:rPr>
          <w:rFonts w:ascii="Times New Roman" w:hAnsi="Times New Roman" w:cs="Times New Roman"/>
        </w:rPr>
        <w:t xml:space="preserve"> to fully replicate </w:t>
      </w:r>
      <w:r w:rsidR="00E06A5D" w:rsidRPr="00DE05E9">
        <w:rPr>
          <w:rFonts w:ascii="Times New Roman" w:hAnsi="Times New Roman" w:cs="Times New Roman"/>
        </w:rPr>
        <w:t xml:space="preserve">the </w:t>
      </w:r>
      <w:r w:rsidR="00BC4C3D" w:rsidRPr="00DE05E9">
        <w:rPr>
          <w:rFonts w:ascii="Times New Roman" w:hAnsi="Times New Roman" w:cs="Times New Roman"/>
        </w:rPr>
        <w:t xml:space="preserve">quantitative </w:t>
      </w:r>
      <w:r w:rsidR="00E06A5D" w:rsidRPr="00DE05E9">
        <w:rPr>
          <w:rFonts w:ascii="Times New Roman" w:hAnsi="Times New Roman" w:cs="Times New Roman"/>
        </w:rPr>
        <w:t>results presented in the report.</w:t>
      </w:r>
    </w:p>
    <w:p w14:paraId="7E66C3B2" w14:textId="77777777" w:rsidR="00BC4C3D" w:rsidRPr="00DE05E9" w:rsidRDefault="00BC4C3D" w:rsidP="00FB71FD">
      <w:pPr>
        <w:pStyle w:val="NoSpacing"/>
        <w:jc w:val="both"/>
        <w:rPr>
          <w:rFonts w:ascii="Times New Roman" w:hAnsi="Times New Roman" w:cs="Times New Roman"/>
        </w:rPr>
      </w:pPr>
    </w:p>
    <w:tbl>
      <w:tblPr>
        <w:tblStyle w:val="TableGrid"/>
        <w:tblW w:w="5000" w:type="pct"/>
        <w:tblLook w:val="04A0" w:firstRow="1" w:lastRow="0" w:firstColumn="1" w:lastColumn="0" w:noHBand="0" w:noVBand="1"/>
      </w:tblPr>
      <w:tblGrid>
        <w:gridCol w:w="4612"/>
        <w:gridCol w:w="9382"/>
      </w:tblGrid>
      <w:tr w:rsidR="00BC4C3D" w:rsidRPr="00DE05E9" w14:paraId="62E2165F" w14:textId="77777777" w:rsidTr="00F249E2">
        <w:tc>
          <w:tcPr>
            <w:tcW w:w="1648" w:type="pct"/>
          </w:tcPr>
          <w:p w14:paraId="70B6AF08" w14:textId="42ED951C" w:rsidR="00BC4C3D" w:rsidRPr="00DE05E9" w:rsidRDefault="00BC4C3D" w:rsidP="00FB71FD">
            <w:pPr>
              <w:pStyle w:val="Heading3"/>
              <w:jc w:val="both"/>
              <w:outlineLvl w:val="2"/>
              <w:rPr>
                <w:rFonts w:ascii="Times New Roman" w:hAnsi="Times New Roman" w:cs="Times New Roman"/>
                <w:b w:val="0"/>
              </w:rPr>
            </w:pPr>
            <w:r w:rsidRPr="00DE05E9">
              <w:rPr>
                <w:rFonts w:ascii="Times New Roman" w:hAnsi="Times New Roman" w:cs="Times New Roman"/>
                <w:b w:val="0"/>
              </w:rPr>
              <w:t>Links to datasets used to prepare the report</w:t>
            </w:r>
          </w:p>
          <w:p w14:paraId="6E36C894" w14:textId="77777777" w:rsidR="00BC4C3D" w:rsidRPr="00DE05E9" w:rsidRDefault="00BC4C3D" w:rsidP="00FB71FD">
            <w:pPr>
              <w:pStyle w:val="Heading3"/>
              <w:jc w:val="both"/>
              <w:outlineLvl w:val="2"/>
              <w:rPr>
                <w:rFonts w:ascii="Times New Roman" w:hAnsi="Times New Roman" w:cs="Times New Roman"/>
                <w:b w:val="0"/>
              </w:rPr>
            </w:pPr>
          </w:p>
        </w:tc>
        <w:tc>
          <w:tcPr>
            <w:tcW w:w="3352" w:type="pct"/>
          </w:tcPr>
          <w:p w14:paraId="46B9D9B7" w14:textId="35FAE1DA" w:rsidR="00BC4C3D" w:rsidRPr="00DE05E9" w:rsidRDefault="0082683D" w:rsidP="00FB71FD">
            <w:pPr>
              <w:pStyle w:val="NoSpacing"/>
              <w:jc w:val="both"/>
              <w:rPr>
                <w:rFonts w:ascii="Times New Roman" w:hAnsi="Times New Roman" w:cs="Times New Roman"/>
              </w:rPr>
            </w:pPr>
            <w:r w:rsidRPr="00DE05E9">
              <w:rPr>
                <w:rFonts w:ascii="Times New Roman" w:eastAsia="Times New Roman" w:hAnsi="Times New Roman" w:cs="Times New Roman"/>
                <w:color w:val="000000"/>
                <w:lang w:val="lv-LV"/>
              </w:rPr>
              <w:t>Avota dati ir publicēti Latvijas atvērto datu portālā (https://data.gov.lv/dati/lv/organization/iub), savukārt avota datu datnē izmantoto birku atšifrējumi pieejami Iepirkumu uzraudzības biroja atvērto datu servisā (http://open.iub.gov.lv/)</w:t>
            </w:r>
            <w:r w:rsidR="002B0F2F" w:rsidRPr="00DE05E9">
              <w:rPr>
                <w:rFonts w:ascii="Times New Roman" w:hAnsi="Times New Roman" w:cs="Times New Roman"/>
              </w:rPr>
              <w:t xml:space="preserve">. </w:t>
            </w:r>
          </w:p>
        </w:tc>
      </w:tr>
      <w:tr w:rsidR="00BC4C3D" w:rsidRPr="00DE05E9" w14:paraId="6CD926D1" w14:textId="77777777" w:rsidTr="00F249E2">
        <w:tc>
          <w:tcPr>
            <w:tcW w:w="1648" w:type="pct"/>
          </w:tcPr>
          <w:p w14:paraId="16813300" w14:textId="4B999A08" w:rsidR="00BC4C3D" w:rsidRPr="00DE05E9" w:rsidRDefault="002B0F2F" w:rsidP="00FB71FD">
            <w:pPr>
              <w:pStyle w:val="Heading3"/>
              <w:jc w:val="both"/>
              <w:outlineLvl w:val="2"/>
              <w:rPr>
                <w:rFonts w:ascii="Times New Roman" w:hAnsi="Times New Roman" w:cs="Times New Roman"/>
                <w:b w:val="0"/>
              </w:rPr>
            </w:pPr>
            <w:r w:rsidRPr="00DE05E9">
              <w:rPr>
                <w:rFonts w:ascii="Times New Roman" w:hAnsi="Times New Roman" w:cs="Times New Roman"/>
                <w:b w:val="0"/>
              </w:rPr>
              <w:t>Files used to obtain the results from the datasets</w:t>
            </w:r>
          </w:p>
        </w:tc>
        <w:tc>
          <w:tcPr>
            <w:tcW w:w="3352" w:type="pct"/>
          </w:tcPr>
          <w:p w14:paraId="758E3D78" w14:textId="7B1A3BB2" w:rsidR="00BC4C3D" w:rsidRPr="00DE05E9" w:rsidRDefault="0082683D" w:rsidP="00FB71FD">
            <w:pPr>
              <w:jc w:val="both"/>
              <w:rPr>
                <w:rFonts w:ascii="Times New Roman" w:hAnsi="Times New Roman" w:cs="Times New Roman"/>
              </w:rPr>
            </w:pPr>
            <w:r w:rsidRPr="00DE05E9">
              <w:rPr>
                <w:rFonts w:ascii="Times New Roman" w:eastAsia="Times New Roman" w:hAnsi="Times New Roman" w:cs="Times New Roman"/>
                <w:color w:val="000000"/>
                <w:lang w:val="lv-LV"/>
              </w:rPr>
              <w:t>Pielikumā tiek pievienotas rezultātu aprēķiniem izmantotās MS Excel datnes: apkopojums_EK_zinojumam_PIL_SPSIL_2017_Latvia.xlsx, dati_EK_zinojumam_PIL_SPSIL_2017_Latvia.xlsx, histogrammas_PIL_2017_Latvia.xlsx (histogrammu apskatei jāizmanto MS Excel 2016. gada vai jaunāka versija)</w:t>
            </w:r>
          </w:p>
        </w:tc>
      </w:tr>
    </w:tbl>
    <w:p w14:paraId="34AB7FA2" w14:textId="00288245" w:rsidR="00F94ABC" w:rsidRPr="00DE05E9" w:rsidRDefault="00F94ABC" w:rsidP="00FB71FD">
      <w:pPr>
        <w:pStyle w:val="NoSpacing"/>
        <w:jc w:val="both"/>
        <w:rPr>
          <w:rFonts w:ascii="Times New Roman" w:hAnsi="Times New Roman" w:cs="Times New Roman"/>
        </w:rPr>
      </w:pPr>
    </w:p>
    <w:p w14:paraId="34AB7FA3" w14:textId="77777777" w:rsidR="00C314EF" w:rsidRPr="00DE05E9" w:rsidRDefault="00C314EF" w:rsidP="00FB71FD">
      <w:pPr>
        <w:jc w:val="both"/>
        <w:rPr>
          <w:rFonts w:ascii="Times New Roman" w:hAnsi="Times New Roman" w:cs="Times New Roman"/>
        </w:rPr>
      </w:pPr>
    </w:p>
    <w:p w14:paraId="34AB7FA4" w14:textId="77777777" w:rsidR="00F94ABC" w:rsidRPr="00DE05E9" w:rsidRDefault="00F94ABC" w:rsidP="00FB71FD">
      <w:pPr>
        <w:jc w:val="both"/>
        <w:rPr>
          <w:rFonts w:ascii="Times New Roman" w:hAnsi="Times New Roman" w:cs="Times New Roman"/>
          <w:b/>
        </w:rPr>
      </w:pPr>
      <w:r w:rsidRPr="00DE05E9">
        <w:rPr>
          <w:rFonts w:ascii="Times New Roman" w:hAnsi="Times New Roman" w:cs="Times New Roman"/>
          <w:b/>
          <w:u w:val="single"/>
        </w:rPr>
        <w:t>Annex I</w:t>
      </w:r>
      <w:r w:rsidRPr="00DE05E9">
        <w:rPr>
          <w:rFonts w:ascii="Times New Roman" w:hAnsi="Times New Roman" w:cs="Times New Roman"/>
          <w:b/>
        </w:rPr>
        <w:t>:</w:t>
      </w:r>
    </w:p>
    <w:p w14:paraId="34AB7FA5" w14:textId="30E3369A" w:rsidR="003E56A6" w:rsidRPr="00DE05E9" w:rsidRDefault="003E56A6" w:rsidP="00FB71FD">
      <w:pPr>
        <w:jc w:val="both"/>
        <w:rPr>
          <w:rFonts w:ascii="Times New Roman" w:hAnsi="Times New Roman" w:cs="Times New Roman"/>
          <w:b/>
        </w:rPr>
      </w:pPr>
      <w:r w:rsidRPr="00DE05E9">
        <w:rPr>
          <w:rFonts w:ascii="Times New Roman" w:hAnsi="Times New Roman" w:cs="Times New Roman"/>
          <w:b/>
        </w:rPr>
        <w:t xml:space="preserve">Methodology </w:t>
      </w:r>
      <w:r w:rsidR="00C314EF" w:rsidRPr="00DE05E9">
        <w:rPr>
          <w:rFonts w:ascii="Times New Roman" w:hAnsi="Times New Roman" w:cs="Times New Roman"/>
          <w:b/>
        </w:rPr>
        <w:t xml:space="preserve">for </w:t>
      </w:r>
      <w:r w:rsidRPr="00DE05E9">
        <w:rPr>
          <w:rFonts w:ascii="Times New Roman" w:hAnsi="Times New Roman" w:cs="Times New Roman"/>
          <w:b/>
        </w:rPr>
        <w:t>estimati</w:t>
      </w:r>
      <w:r w:rsidR="008337F4" w:rsidRPr="00DE05E9">
        <w:rPr>
          <w:rFonts w:ascii="Times New Roman" w:hAnsi="Times New Roman" w:cs="Times New Roman"/>
          <w:b/>
        </w:rPr>
        <w:t>ng</w:t>
      </w:r>
      <w:r w:rsidRPr="00DE05E9">
        <w:rPr>
          <w:rFonts w:ascii="Times New Roman" w:hAnsi="Times New Roman" w:cs="Times New Roman"/>
          <w:b/>
        </w:rPr>
        <w:t xml:space="preserve"> </w:t>
      </w:r>
      <w:r w:rsidR="002F225B" w:rsidRPr="00DE05E9">
        <w:rPr>
          <w:rFonts w:ascii="Times New Roman" w:hAnsi="Times New Roman" w:cs="Times New Roman"/>
          <w:b/>
        </w:rPr>
        <w:t>the value of</w:t>
      </w:r>
      <w:r w:rsidR="00F94ABC" w:rsidRPr="00DE05E9">
        <w:rPr>
          <w:rFonts w:ascii="Times New Roman" w:hAnsi="Times New Roman" w:cs="Times New Roman"/>
          <w:b/>
        </w:rPr>
        <w:t xml:space="preserve"> </w:t>
      </w:r>
      <w:r w:rsidRPr="00DE05E9">
        <w:rPr>
          <w:rFonts w:ascii="Times New Roman" w:hAnsi="Times New Roman" w:cs="Times New Roman"/>
          <w:b/>
        </w:rPr>
        <w:t>procurement which would have been covered by the directives if its value ha</w:t>
      </w:r>
      <w:r w:rsidR="00C314EF" w:rsidRPr="00DE05E9">
        <w:rPr>
          <w:rFonts w:ascii="Times New Roman" w:hAnsi="Times New Roman" w:cs="Times New Roman"/>
          <w:b/>
        </w:rPr>
        <w:t>d</w:t>
      </w:r>
      <w:r w:rsidRPr="00DE05E9">
        <w:rPr>
          <w:rFonts w:ascii="Times New Roman" w:hAnsi="Times New Roman" w:cs="Times New Roman"/>
          <w:b/>
        </w:rPr>
        <w:t xml:space="preserve"> exceeded the relevant thresholds</w:t>
      </w:r>
    </w:p>
    <w:p w14:paraId="34AB7FA6" w14:textId="77777777" w:rsidR="00D24317" w:rsidRPr="00DE05E9" w:rsidRDefault="00D24317" w:rsidP="00FB71FD">
      <w:pPr>
        <w:pStyle w:val="Heading3"/>
        <w:jc w:val="both"/>
        <w:rPr>
          <w:rFonts w:ascii="Times New Roman" w:hAnsi="Times New Roman" w:cs="Times New Roman"/>
        </w:rPr>
      </w:pPr>
    </w:p>
    <w:p w14:paraId="34AB7FA7" w14:textId="3460CA6C" w:rsidR="003E56A6" w:rsidRPr="00DE05E9" w:rsidRDefault="00D24317" w:rsidP="00FB71FD">
      <w:pPr>
        <w:pStyle w:val="Heading3"/>
        <w:jc w:val="both"/>
        <w:rPr>
          <w:rFonts w:ascii="Times New Roman" w:hAnsi="Times New Roman" w:cs="Times New Roman"/>
        </w:rPr>
      </w:pPr>
      <w:r w:rsidRPr="00DE05E9">
        <w:rPr>
          <w:rFonts w:ascii="Times New Roman" w:hAnsi="Times New Roman" w:cs="Times New Roman"/>
        </w:rPr>
        <w:t xml:space="preserve">1. </w:t>
      </w:r>
      <w:r w:rsidR="003E56A6" w:rsidRPr="00DE05E9">
        <w:rPr>
          <w:rFonts w:ascii="Times New Roman" w:hAnsi="Times New Roman" w:cs="Times New Roman"/>
        </w:rPr>
        <w:t xml:space="preserve">Classification and methodology </w:t>
      </w:r>
    </w:p>
    <w:p w14:paraId="34AB7FA8" w14:textId="77777777" w:rsidR="003E56A6" w:rsidRPr="00DE05E9" w:rsidRDefault="003E56A6" w:rsidP="00FB71FD">
      <w:pPr>
        <w:pStyle w:val="NoSpacing"/>
        <w:ind w:left="720"/>
        <w:jc w:val="both"/>
        <w:rPr>
          <w:rFonts w:ascii="Times New Roman" w:hAnsi="Times New Roman" w:cs="Times New Roman"/>
        </w:rPr>
      </w:pPr>
    </w:p>
    <w:p w14:paraId="34AB7FA9" w14:textId="77777777" w:rsidR="003E56A6" w:rsidRPr="00DE05E9" w:rsidRDefault="003E56A6" w:rsidP="00FB71FD">
      <w:pPr>
        <w:pStyle w:val="NoSpacing"/>
        <w:ind w:left="720"/>
        <w:jc w:val="both"/>
        <w:rPr>
          <w:rFonts w:ascii="Times New Roman" w:hAnsi="Times New Roman" w:cs="Times New Roman"/>
        </w:rPr>
      </w:pPr>
      <w:r w:rsidRPr="00DE05E9">
        <w:rPr>
          <w:rFonts w:ascii="Times New Roman" w:hAnsi="Times New Roman" w:cs="Times New Roman"/>
        </w:rPr>
        <w:t>Indicate the basic characteristics of the methodology used by selecting from the options below. Description of the methodology is to be given in the subsequent section.</w:t>
      </w:r>
    </w:p>
    <w:p w14:paraId="34AB7FAA" w14:textId="77777777" w:rsidR="003E56A6" w:rsidRPr="00DE05E9" w:rsidRDefault="003E56A6" w:rsidP="00FB71FD">
      <w:pPr>
        <w:pStyle w:val="NoSpacing"/>
        <w:ind w:left="360"/>
        <w:jc w:val="both"/>
        <w:rPr>
          <w:rFonts w:ascii="Times New Roman" w:hAnsi="Times New Roman" w:cs="Times New Roman"/>
        </w:rPr>
      </w:pPr>
    </w:p>
    <w:p w14:paraId="34AB7FAB" w14:textId="4A1EB066" w:rsidR="008540A7" w:rsidRPr="00DE05E9" w:rsidRDefault="00D24317" w:rsidP="00FB71FD">
      <w:pPr>
        <w:pStyle w:val="Heading4"/>
        <w:numPr>
          <w:ilvl w:val="0"/>
          <w:numId w:val="0"/>
        </w:numPr>
        <w:ind w:left="947"/>
        <w:jc w:val="both"/>
        <w:rPr>
          <w:rFonts w:ascii="Times New Roman" w:hAnsi="Times New Roman" w:cs="Times New Roman"/>
        </w:rPr>
      </w:pPr>
      <w:r w:rsidRPr="00DE05E9">
        <w:rPr>
          <w:rFonts w:ascii="Times New Roman" w:hAnsi="Times New Roman" w:cs="Times New Roman"/>
        </w:rPr>
        <w:t xml:space="preserve">1.1. </w:t>
      </w:r>
      <w:r w:rsidR="003E56A6" w:rsidRPr="00DE05E9">
        <w:rPr>
          <w:rFonts w:ascii="Times New Roman" w:hAnsi="Times New Roman" w:cs="Times New Roman"/>
        </w:rPr>
        <w:t>General approach:</w:t>
      </w:r>
      <w:r w:rsidR="008540A7" w:rsidRPr="00DE05E9">
        <w:rPr>
          <w:rFonts w:ascii="Times New Roman" w:hAnsi="Times New Roman" w:cs="Times New Roman"/>
        </w:rPr>
        <w:br/>
      </w:r>
    </w:p>
    <w:p w14:paraId="34AB7FAC" w14:textId="77777777" w:rsidR="003E56A6" w:rsidRPr="00DE05E9" w:rsidRDefault="003E56A6" w:rsidP="00FB71FD">
      <w:pPr>
        <w:pStyle w:val="NoSpacing"/>
        <w:numPr>
          <w:ilvl w:val="0"/>
          <w:numId w:val="1"/>
        </w:numPr>
        <w:jc w:val="both"/>
        <w:rPr>
          <w:rFonts w:ascii="Times New Roman" w:hAnsi="Times New Roman" w:cs="Times New Roman"/>
          <w:b/>
        </w:rPr>
      </w:pPr>
      <w:r w:rsidRPr="00DE05E9">
        <w:rPr>
          <w:rFonts w:ascii="Times New Roman" w:hAnsi="Times New Roman" w:cs="Times New Roman"/>
          <w:b/>
        </w:rPr>
        <w:t>[data available under national publication requirements]</w:t>
      </w:r>
    </w:p>
    <w:p w14:paraId="34AB7FAD" w14:textId="77777777" w:rsidR="003E56A6" w:rsidRPr="00DE05E9" w:rsidRDefault="003E56A6" w:rsidP="00FB71FD">
      <w:pPr>
        <w:pStyle w:val="NoSpacing"/>
        <w:numPr>
          <w:ilvl w:val="0"/>
          <w:numId w:val="1"/>
        </w:numPr>
        <w:jc w:val="both"/>
        <w:rPr>
          <w:rFonts w:ascii="Times New Roman" w:hAnsi="Times New Roman" w:cs="Times New Roman"/>
        </w:rPr>
      </w:pPr>
      <w:r w:rsidRPr="00DE05E9">
        <w:rPr>
          <w:rFonts w:ascii="Times New Roman" w:hAnsi="Times New Roman" w:cs="Times New Roman"/>
        </w:rPr>
        <w:t>[sample-based estimates]</w:t>
      </w:r>
    </w:p>
    <w:p w14:paraId="34AB7FAE" w14:textId="77777777" w:rsidR="003E56A6" w:rsidRPr="00DE05E9" w:rsidRDefault="003E56A6" w:rsidP="00FB71FD">
      <w:pPr>
        <w:pStyle w:val="NoSpacing"/>
        <w:numPr>
          <w:ilvl w:val="0"/>
          <w:numId w:val="1"/>
        </w:numPr>
        <w:jc w:val="both"/>
        <w:rPr>
          <w:rFonts w:ascii="Times New Roman" w:hAnsi="Times New Roman" w:cs="Times New Roman"/>
        </w:rPr>
      </w:pPr>
      <w:r w:rsidRPr="00DE05E9">
        <w:rPr>
          <w:rFonts w:ascii="Times New Roman" w:hAnsi="Times New Roman" w:cs="Times New Roman"/>
        </w:rPr>
        <w:t>[combined]</w:t>
      </w:r>
    </w:p>
    <w:p w14:paraId="34AB7FAF" w14:textId="77777777" w:rsidR="003E56A6" w:rsidRPr="00DE05E9" w:rsidRDefault="003E56A6" w:rsidP="00FB71FD">
      <w:pPr>
        <w:pStyle w:val="NoSpacing"/>
        <w:jc w:val="both"/>
        <w:rPr>
          <w:rFonts w:ascii="Times New Roman" w:hAnsi="Times New Roman" w:cs="Times New Roman"/>
        </w:rPr>
      </w:pPr>
    </w:p>
    <w:p w14:paraId="34AB7FB0" w14:textId="77777777" w:rsidR="003E56A6" w:rsidRPr="00DE05E9" w:rsidRDefault="003E56A6" w:rsidP="00FB71FD">
      <w:pPr>
        <w:pStyle w:val="NoSpacing"/>
        <w:ind w:left="792"/>
        <w:jc w:val="both"/>
        <w:rPr>
          <w:rFonts w:ascii="Times New Roman" w:hAnsi="Times New Roman" w:cs="Times New Roman"/>
        </w:rPr>
      </w:pPr>
      <w:r w:rsidRPr="00DE05E9">
        <w:rPr>
          <w:rFonts w:ascii="Times New Roman" w:hAnsi="Times New Roman" w:cs="Times New Roman"/>
        </w:rPr>
        <w:t xml:space="preserve">Please note that in our opinion using existing administrative data is preferable, as it implies both lower administrative burden (no additional data collection is necessary) and higher data quality. </w:t>
      </w:r>
    </w:p>
    <w:p w14:paraId="34AB7FB1" w14:textId="77777777" w:rsidR="003E56A6" w:rsidRPr="00DE05E9" w:rsidRDefault="003E56A6" w:rsidP="00FB71FD">
      <w:pPr>
        <w:pStyle w:val="NoSpacing"/>
        <w:ind w:left="792"/>
        <w:jc w:val="both"/>
        <w:rPr>
          <w:rFonts w:ascii="Times New Roman" w:hAnsi="Times New Roman" w:cs="Times New Roman"/>
        </w:rPr>
      </w:pPr>
    </w:p>
    <w:p w14:paraId="34AB7FB2" w14:textId="77777777" w:rsidR="003E56A6" w:rsidRPr="00DE05E9" w:rsidRDefault="003E56A6" w:rsidP="00FB71FD">
      <w:pPr>
        <w:pStyle w:val="NoSpacing"/>
        <w:ind w:left="792"/>
        <w:jc w:val="both"/>
        <w:rPr>
          <w:rFonts w:ascii="Times New Roman" w:hAnsi="Times New Roman" w:cs="Times New Roman"/>
        </w:rPr>
      </w:pPr>
      <w:r w:rsidRPr="00DE05E9">
        <w:rPr>
          <w:rFonts w:ascii="Times New Roman" w:hAnsi="Times New Roman" w:cs="Times New Roman"/>
        </w:rPr>
        <w:t xml:space="preserve">If a sampling approach is taken, both the source of the sample and the sampling methodology, provided in the following subsection, must be able to withstand careful scrutiny. This ensures that the estimate is representative of the whole Member State. </w:t>
      </w:r>
    </w:p>
    <w:p w14:paraId="34AB7FB3" w14:textId="77777777" w:rsidR="003E56A6" w:rsidRPr="00DE05E9" w:rsidRDefault="003E56A6" w:rsidP="00FB71FD">
      <w:pPr>
        <w:pStyle w:val="NoSpacing"/>
        <w:ind w:left="792"/>
        <w:jc w:val="both"/>
        <w:rPr>
          <w:rFonts w:ascii="Times New Roman" w:hAnsi="Times New Roman" w:cs="Times New Roman"/>
        </w:rPr>
      </w:pPr>
    </w:p>
    <w:p w14:paraId="34AB7FB4" w14:textId="3A32227B" w:rsidR="003E56A6" w:rsidRPr="00DE05E9" w:rsidRDefault="00D24317" w:rsidP="00FB71FD">
      <w:pPr>
        <w:pStyle w:val="Heading4"/>
        <w:numPr>
          <w:ilvl w:val="0"/>
          <w:numId w:val="0"/>
        </w:numPr>
        <w:ind w:left="947"/>
        <w:jc w:val="both"/>
        <w:rPr>
          <w:rFonts w:ascii="Times New Roman" w:hAnsi="Times New Roman" w:cs="Times New Roman"/>
        </w:rPr>
      </w:pPr>
      <w:r w:rsidRPr="00DE05E9">
        <w:rPr>
          <w:rFonts w:ascii="Times New Roman" w:hAnsi="Times New Roman" w:cs="Times New Roman"/>
        </w:rPr>
        <w:t xml:space="preserve">1.2. </w:t>
      </w:r>
      <w:r w:rsidR="003E56A6" w:rsidRPr="00DE05E9">
        <w:rPr>
          <w:rFonts w:ascii="Times New Roman" w:hAnsi="Times New Roman" w:cs="Times New Roman"/>
        </w:rPr>
        <w:t>Source of data:</w:t>
      </w:r>
    </w:p>
    <w:p w14:paraId="34AB7FB5" w14:textId="77777777" w:rsidR="008540A7" w:rsidRPr="00DE05E9" w:rsidRDefault="008540A7" w:rsidP="00FB71FD">
      <w:pPr>
        <w:jc w:val="both"/>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2976"/>
        <w:gridCol w:w="2976"/>
        <w:gridCol w:w="2976"/>
      </w:tblGrid>
      <w:tr w:rsidR="003E56A6" w:rsidRPr="00DE05E9" w14:paraId="34AB7FBA" w14:textId="77777777" w:rsidTr="003E56A6">
        <w:tc>
          <w:tcPr>
            <w:tcW w:w="2976" w:type="dxa"/>
            <w:tcBorders>
              <w:tl2br w:val="single" w:sz="4" w:space="0" w:color="auto"/>
            </w:tcBorders>
          </w:tcPr>
          <w:p w14:paraId="34AB7FB6" w14:textId="77777777" w:rsidR="003E56A6" w:rsidRPr="00DE05E9" w:rsidRDefault="003E56A6" w:rsidP="00FB71FD">
            <w:pPr>
              <w:pStyle w:val="NoSpacing"/>
              <w:ind w:firstLine="1908"/>
              <w:jc w:val="both"/>
              <w:rPr>
                <w:rFonts w:ascii="Times New Roman" w:hAnsi="Times New Roman" w:cs="Times New Roman"/>
              </w:rPr>
            </w:pPr>
            <w:r w:rsidRPr="00DE05E9">
              <w:rPr>
                <w:rFonts w:ascii="Times New Roman" w:hAnsi="Times New Roman" w:cs="Times New Roman"/>
              </w:rPr>
              <w:lastRenderedPageBreak/>
              <w:t xml:space="preserve">     Scope:</w:t>
            </w:r>
          </w:p>
          <w:p w14:paraId="34AB7FB7" w14:textId="77777777" w:rsidR="003E56A6" w:rsidRPr="00DE05E9" w:rsidRDefault="003E56A6" w:rsidP="00FB71FD">
            <w:pPr>
              <w:pStyle w:val="NoSpacing"/>
              <w:ind w:right="1"/>
              <w:jc w:val="both"/>
              <w:rPr>
                <w:rFonts w:ascii="Times New Roman" w:hAnsi="Times New Roman" w:cs="Times New Roman"/>
              </w:rPr>
            </w:pPr>
            <w:r w:rsidRPr="00DE05E9">
              <w:rPr>
                <w:rFonts w:ascii="Times New Roman" w:hAnsi="Times New Roman" w:cs="Times New Roman"/>
              </w:rPr>
              <w:t>Source of data:</w:t>
            </w:r>
          </w:p>
        </w:tc>
        <w:tc>
          <w:tcPr>
            <w:tcW w:w="2976" w:type="dxa"/>
          </w:tcPr>
          <w:p w14:paraId="34AB7FB8" w14:textId="77777777" w:rsidR="003E56A6" w:rsidRPr="00DE05E9" w:rsidRDefault="003E56A6" w:rsidP="00FB71FD">
            <w:pPr>
              <w:pStyle w:val="NoSpacing"/>
              <w:jc w:val="both"/>
              <w:rPr>
                <w:rFonts w:ascii="Times New Roman" w:hAnsi="Times New Roman" w:cs="Times New Roman"/>
              </w:rPr>
            </w:pPr>
            <w:r w:rsidRPr="00DE05E9">
              <w:rPr>
                <w:rFonts w:ascii="Times New Roman" w:hAnsi="Times New Roman" w:cs="Times New Roman"/>
              </w:rPr>
              <w:t>above national publication thresholds [</w:t>
            </w:r>
            <w:r w:rsidRPr="00DE05E9">
              <w:rPr>
                <w:rFonts w:ascii="Times New Roman" w:hAnsi="Times New Roman" w:cs="Times New Roman"/>
              </w:rPr>
              <w:sym w:font="Wingdings" w:char="F0FC"/>
            </w:r>
            <w:r w:rsidRPr="00DE05E9">
              <w:rPr>
                <w:rFonts w:ascii="Times New Roman" w:hAnsi="Times New Roman" w:cs="Times New Roman"/>
              </w:rPr>
              <w:t>]</w:t>
            </w:r>
          </w:p>
        </w:tc>
        <w:tc>
          <w:tcPr>
            <w:tcW w:w="2976" w:type="dxa"/>
          </w:tcPr>
          <w:p w14:paraId="34AB7FB9" w14:textId="77777777" w:rsidR="003E56A6" w:rsidRPr="00DE05E9" w:rsidRDefault="003E56A6" w:rsidP="00FB71FD">
            <w:pPr>
              <w:pStyle w:val="NoSpacing"/>
              <w:jc w:val="both"/>
              <w:rPr>
                <w:rFonts w:ascii="Times New Roman" w:hAnsi="Times New Roman" w:cs="Times New Roman"/>
              </w:rPr>
            </w:pPr>
            <w:r w:rsidRPr="00DE05E9">
              <w:rPr>
                <w:rFonts w:ascii="Times New Roman" w:hAnsi="Times New Roman" w:cs="Times New Roman"/>
              </w:rPr>
              <w:t>below national publication thresholds [</w:t>
            </w:r>
            <w:r w:rsidRPr="00DE05E9">
              <w:rPr>
                <w:rFonts w:ascii="Times New Roman" w:hAnsi="Times New Roman" w:cs="Times New Roman"/>
              </w:rPr>
              <w:sym w:font="Wingdings" w:char="F0FC"/>
            </w:r>
            <w:r w:rsidRPr="00DE05E9">
              <w:rPr>
                <w:rFonts w:ascii="Times New Roman" w:hAnsi="Times New Roman" w:cs="Times New Roman"/>
              </w:rPr>
              <w:t>]</w:t>
            </w:r>
          </w:p>
        </w:tc>
      </w:tr>
      <w:tr w:rsidR="003E56A6" w:rsidRPr="00DE05E9" w14:paraId="34AB7FBE" w14:textId="77777777" w:rsidTr="003E56A6">
        <w:tc>
          <w:tcPr>
            <w:tcW w:w="2976" w:type="dxa"/>
          </w:tcPr>
          <w:p w14:paraId="34AB7FBB" w14:textId="77777777" w:rsidR="003E56A6" w:rsidRPr="00DE05E9" w:rsidRDefault="003E56A6" w:rsidP="00FB71FD">
            <w:pPr>
              <w:pStyle w:val="NoSpacing"/>
              <w:jc w:val="both"/>
              <w:rPr>
                <w:rFonts w:ascii="Times New Roman" w:hAnsi="Times New Roman" w:cs="Times New Roman"/>
              </w:rPr>
            </w:pPr>
            <w:r w:rsidRPr="00DE05E9">
              <w:rPr>
                <w:rFonts w:ascii="Times New Roman" w:hAnsi="Times New Roman" w:cs="Times New Roman"/>
              </w:rPr>
              <w:t>[e-notification platforms]</w:t>
            </w:r>
          </w:p>
        </w:tc>
        <w:tc>
          <w:tcPr>
            <w:tcW w:w="2976" w:type="dxa"/>
          </w:tcPr>
          <w:p w14:paraId="34AB7FBC" w14:textId="4D7B4B2B" w:rsidR="003E56A6" w:rsidRPr="00DE05E9" w:rsidRDefault="0082683D" w:rsidP="00FB71FD">
            <w:pPr>
              <w:pStyle w:val="NoSpacing"/>
              <w:jc w:val="both"/>
              <w:rPr>
                <w:rFonts w:ascii="Times New Roman" w:hAnsi="Times New Roman" w:cs="Times New Roman"/>
              </w:rPr>
            </w:pPr>
            <w:r w:rsidRPr="00DE05E9">
              <w:rPr>
                <w:rFonts w:ascii="Times New Roman" w:hAnsi="Times New Roman" w:cs="Times New Roman"/>
              </w:rPr>
              <w:sym w:font="Wingdings" w:char="F0FC"/>
            </w:r>
          </w:p>
        </w:tc>
        <w:tc>
          <w:tcPr>
            <w:tcW w:w="2976" w:type="dxa"/>
          </w:tcPr>
          <w:p w14:paraId="34AB7FBD" w14:textId="44FCD749" w:rsidR="003E56A6" w:rsidRPr="00DE05E9" w:rsidRDefault="0082683D" w:rsidP="00FB71FD">
            <w:pPr>
              <w:pStyle w:val="NoSpacing"/>
              <w:jc w:val="both"/>
              <w:rPr>
                <w:rFonts w:ascii="Times New Roman" w:hAnsi="Times New Roman" w:cs="Times New Roman"/>
              </w:rPr>
            </w:pPr>
            <w:r w:rsidRPr="00DE05E9">
              <w:rPr>
                <w:rFonts w:ascii="Times New Roman" w:hAnsi="Times New Roman" w:cs="Times New Roman"/>
              </w:rPr>
              <w:sym w:font="Wingdings" w:char="F0FC"/>
            </w:r>
          </w:p>
        </w:tc>
      </w:tr>
      <w:tr w:rsidR="003E56A6" w:rsidRPr="00DE05E9" w14:paraId="34AB7FC2" w14:textId="77777777" w:rsidTr="003E56A6">
        <w:tc>
          <w:tcPr>
            <w:tcW w:w="2976" w:type="dxa"/>
          </w:tcPr>
          <w:p w14:paraId="34AB7FBF" w14:textId="77777777" w:rsidR="003E56A6" w:rsidRPr="00DE05E9" w:rsidRDefault="003E56A6" w:rsidP="00FB71FD">
            <w:pPr>
              <w:pStyle w:val="NoSpacing"/>
              <w:jc w:val="both"/>
              <w:rPr>
                <w:rFonts w:ascii="Times New Roman" w:hAnsi="Times New Roman" w:cs="Times New Roman"/>
              </w:rPr>
            </w:pPr>
            <w:r w:rsidRPr="00DE05E9">
              <w:rPr>
                <w:rFonts w:ascii="Times New Roman" w:hAnsi="Times New Roman" w:cs="Times New Roman"/>
              </w:rPr>
              <w:t>[e-submission platforms]</w:t>
            </w:r>
          </w:p>
        </w:tc>
        <w:tc>
          <w:tcPr>
            <w:tcW w:w="2976" w:type="dxa"/>
          </w:tcPr>
          <w:p w14:paraId="34AB7FC0" w14:textId="77777777" w:rsidR="003E56A6" w:rsidRPr="00DE05E9" w:rsidRDefault="003E56A6" w:rsidP="00FB71FD">
            <w:pPr>
              <w:pStyle w:val="NoSpacing"/>
              <w:jc w:val="both"/>
              <w:rPr>
                <w:rFonts w:ascii="Times New Roman" w:hAnsi="Times New Roman" w:cs="Times New Roman"/>
              </w:rPr>
            </w:pPr>
          </w:p>
        </w:tc>
        <w:tc>
          <w:tcPr>
            <w:tcW w:w="2976" w:type="dxa"/>
          </w:tcPr>
          <w:p w14:paraId="34AB7FC1" w14:textId="77777777" w:rsidR="003E56A6" w:rsidRPr="00DE05E9" w:rsidRDefault="003E56A6" w:rsidP="00FB71FD">
            <w:pPr>
              <w:pStyle w:val="NoSpacing"/>
              <w:jc w:val="both"/>
              <w:rPr>
                <w:rFonts w:ascii="Times New Roman" w:hAnsi="Times New Roman" w:cs="Times New Roman"/>
              </w:rPr>
            </w:pPr>
          </w:p>
        </w:tc>
      </w:tr>
      <w:tr w:rsidR="003E56A6" w:rsidRPr="00DE05E9" w14:paraId="34AB7FC6" w14:textId="77777777" w:rsidTr="003E56A6">
        <w:tc>
          <w:tcPr>
            <w:tcW w:w="2976" w:type="dxa"/>
          </w:tcPr>
          <w:p w14:paraId="34AB7FC3" w14:textId="77777777" w:rsidR="003E56A6" w:rsidRPr="00DE05E9" w:rsidRDefault="003E56A6" w:rsidP="00FB71FD">
            <w:pPr>
              <w:pStyle w:val="NoSpacing"/>
              <w:jc w:val="both"/>
              <w:rPr>
                <w:rFonts w:ascii="Times New Roman" w:hAnsi="Times New Roman" w:cs="Times New Roman"/>
              </w:rPr>
            </w:pPr>
            <w:r w:rsidRPr="00DE05E9">
              <w:rPr>
                <w:rFonts w:ascii="Times New Roman" w:hAnsi="Times New Roman" w:cs="Times New Roman"/>
              </w:rPr>
              <w:t>[invoices]</w:t>
            </w:r>
          </w:p>
        </w:tc>
        <w:tc>
          <w:tcPr>
            <w:tcW w:w="2976" w:type="dxa"/>
          </w:tcPr>
          <w:p w14:paraId="34AB7FC4" w14:textId="77777777" w:rsidR="003E56A6" w:rsidRPr="00DE05E9" w:rsidRDefault="003E56A6" w:rsidP="00FB71FD">
            <w:pPr>
              <w:pStyle w:val="NoSpacing"/>
              <w:jc w:val="both"/>
              <w:rPr>
                <w:rFonts w:ascii="Times New Roman" w:hAnsi="Times New Roman" w:cs="Times New Roman"/>
              </w:rPr>
            </w:pPr>
          </w:p>
        </w:tc>
        <w:tc>
          <w:tcPr>
            <w:tcW w:w="2976" w:type="dxa"/>
          </w:tcPr>
          <w:p w14:paraId="34AB7FC5" w14:textId="77777777" w:rsidR="003E56A6" w:rsidRPr="00DE05E9" w:rsidRDefault="003E56A6" w:rsidP="00FB71FD">
            <w:pPr>
              <w:pStyle w:val="NoSpacing"/>
              <w:jc w:val="both"/>
              <w:rPr>
                <w:rFonts w:ascii="Times New Roman" w:hAnsi="Times New Roman" w:cs="Times New Roman"/>
              </w:rPr>
            </w:pPr>
          </w:p>
        </w:tc>
      </w:tr>
      <w:tr w:rsidR="003E56A6" w:rsidRPr="00DE05E9" w14:paraId="34AB7FCA" w14:textId="77777777" w:rsidTr="003E56A6">
        <w:tc>
          <w:tcPr>
            <w:tcW w:w="2976" w:type="dxa"/>
          </w:tcPr>
          <w:p w14:paraId="34AB7FC7" w14:textId="77777777" w:rsidR="003E56A6" w:rsidRPr="00DE05E9" w:rsidRDefault="003E56A6" w:rsidP="00FB71FD">
            <w:pPr>
              <w:pStyle w:val="NoSpacing"/>
              <w:jc w:val="both"/>
              <w:rPr>
                <w:rFonts w:ascii="Times New Roman" w:hAnsi="Times New Roman" w:cs="Times New Roman"/>
              </w:rPr>
            </w:pPr>
            <w:r w:rsidRPr="00DE05E9">
              <w:rPr>
                <w:rFonts w:ascii="Times New Roman" w:hAnsi="Times New Roman" w:cs="Times New Roman"/>
              </w:rPr>
              <w:t>[budgets]</w:t>
            </w:r>
          </w:p>
        </w:tc>
        <w:tc>
          <w:tcPr>
            <w:tcW w:w="2976" w:type="dxa"/>
          </w:tcPr>
          <w:p w14:paraId="34AB7FC8" w14:textId="77777777" w:rsidR="003E56A6" w:rsidRPr="00DE05E9" w:rsidRDefault="003E56A6" w:rsidP="00FB71FD">
            <w:pPr>
              <w:pStyle w:val="NoSpacing"/>
              <w:jc w:val="both"/>
              <w:rPr>
                <w:rFonts w:ascii="Times New Roman" w:hAnsi="Times New Roman" w:cs="Times New Roman"/>
              </w:rPr>
            </w:pPr>
          </w:p>
        </w:tc>
        <w:tc>
          <w:tcPr>
            <w:tcW w:w="2976" w:type="dxa"/>
          </w:tcPr>
          <w:p w14:paraId="34AB7FC9" w14:textId="77777777" w:rsidR="003E56A6" w:rsidRPr="00DE05E9" w:rsidRDefault="003E56A6" w:rsidP="00FB71FD">
            <w:pPr>
              <w:pStyle w:val="NoSpacing"/>
              <w:jc w:val="both"/>
              <w:rPr>
                <w:rFonts w:ascii="Times New Roman" w:hAnsi="Times New Roman" w:cs="Times New Roman"/>
              </w:rPr>
            </w:pPr>
          </w:p>
        </w:tc>
      </w:tr>
      <w:tr w:rsidR="003E56A6" w:rsidRPr="00DE05E9" w14:paraId="34AB7FCE" w14:textId="77777777" w:rsidTr="003E56A6">
        <w:tc>
          <w:tcPr>
            <w:tcW w:w="2976" w:type="dxa"/>
          </w:tcPr>
          <w:p w14:paraId="34AB7FCB" w14:textId="77777777" w:rsidR="003E56A6" w:rsidRPr="00DE05E9" w:rsidRDefault="003E56A6" w:rsidP="00FB71FD">
            <w:pPr>
              <w:pStyle w:val="NoSpacing"/>
              <w:jc w:val="both"/>
              <w:rPr>
                <w:rFonts w:ascii="Times New Roman" w:hAnsi="Times New Roman" w:cs="Times New Roman"/>
              </w:rPr>
            </w:pPr>
            <w:r w:rsidRPr="00DE05E9">
              <w:rPr>
                <w:rFonts w:ascii="Times New Roman" w:hAnsi="Times New Roman" w:cs="Times New Roman"/>
              </w:rPr>
              <w:t>[other]</w:t>
            </w:r>
          </w:p>
        </w:tc>
        <w:tc>
          <w:tcPr>
            <w:tcW w:w="2976" w:type="dxa"/>
          </w:tcPr>
          <w:p w14:paraId="34AB7FCC" w14:textId="77777777" w:rsidR="003E56A6" w:rsidRPr="00DE05E9" w:rsidRDefault="003E56A6" w:rsidP="00FB71FD">
            <w:pPr>
              <w:pStyle w:val="NoSpacing"/>
              <w:jc w:val="both"/>
              <w:rPr>
                <w:rFonts w:ascii="Times New Roman" w:hAnsi="Times New Roman" w:cs="Times New Roman"/>
              </w:rPr>
            </w:pPr>
          </w:p>
        </w:tc>
        <w:tc>
          <w:tcPr>
            <w:tcW w:w="2976" w:type="dxa"/>
          </w:tcPr>
          <w:p w14:paraId="34AB7FCD" w14:textId="77777777" w:rsidR="003E56A6" w:rsidRPr="00DE05E9" w:rsidRDefault="003E56A6" w:rsidP="00FB71FD">
            <w:pPr>
              <w:pStyle w:val="NoSpacing"/>
              <w:jc w:val="both"/>
              <w:rPr>
                <w:rFonts w:ascii="Times New Roman" w:hAnsi="Times New Roman" w:cs="Times New Roman"/>
              </w:rPr>
            </w:pPr>
          </w:p>
        </w:tc>
      </w:tr>
    </w:tbl>
    <w:p w14:paraId="34AB7FCF" w14:textId="77777777" w:rsidR="003E56A6" w:rsidRPr="00DE05E9" w:rsidRDefault="003E56A6" w:rsidP="00FB71FD">
      <w:pPr>
        <w:pStyle w:val="NoSpacing"/>
        <w:ind w:left="360"/>
        <w:jc w:val="both"/>
        <w:rPr>
          <w:rFonts w:ascii="Times New Roman" w:hAnsi="Times New Roman" w:cs="Times New Roman"/>
        </w:rPr>
      </w:pPr>
    </w:p>
    <w:p w14:paraId="34AB7FD0" w14:textId="296FBF0A" w:rsidR="003E56A6" w:rsidRPr="00DE05E9" w:rsidRDefault="00D24317" w:rsidP="00FB71FD">
      <w:pPr>
        <w:pStyle w:val="Heading3"/>
        <w:jc w:val="both"/>
        <w:rPr>
          <w:rFonts w:ascii="Times New Roman" w:hAnsi="Times New Roman" w:cs="Times New Roman"/>
        </w:rPr>
      </w:pPr>
      <w:r w:rsidRPr="00DE05E9">
        <w:rPr>
          <w:rFonts w:ascii="Times New Roman" w:hAnsi="Times New Roman" w:cs="Times New Roman"/>
        </w:rPr>
        <w:t xml:space="preserve">2. </w:t>
      </w:r>
      <w:r w:rsidR="003E56A6" w:rsidRPr="00DE05E9">
        <w:rPr>
          <w:rFonts w:ascii="Times New Roman" w:hAnsi="Times New Roman" w:cs="Times New Roman"/>
        </w:rPr>
        <w:t xml:space="preserve">Methodology description  </w:t>
      </w:r>
    </w:p>
    <w:p w14:paraId="34AB7FD1" w14:textId="77777777" w:rsidR="003E56A6" w:rsidRPr="00DE05E9" w:rsidRDefault="003E56A6" w:rsidP="00FB71FD">
      <w:pPr>
        <w:pStyle w:val="NoSpacing"/>
        <w:ind w:left="360"/>
        <w:jc w:val="both"/>
        <w:rPr>
          <w:rFonts w:ascii="Times New Roman" w:hAnsi="Times New Roman" w:cs="Times New Roman"/>
        </w:rPr>
      </w:pPr>
    </w:p>
    <w:p w14:paraId="34AB8022" w14:textId="230846CF" w:rsidR="003E56A6" w:rsidRPr="00DE05E9" w:rsidRDefault="0082683D" w:rsidP="00FB71FD">
      <w:pPr>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color w:val="000000"/>
          <w:lang w:val="lv-LV"/>
        </w:rPr>
        <w:t>Avota dati ir iegūti no Iepirkumu uzraudzības biroja tīmekļvietnē (</w:t>
      </w:r>
      <w:r w:rsidRPr="00DE05E9">
        <w:rPr>
          <w:rFonts w:ascii="Times New Roman" w:eastAsia="Times New Roman" w:hAnsi="Times New Roman" w:cs="Times New Roman"/>
          <w:lang w:val="lv-LV"/>
        </w:rPr>
        <w:t>https://www.iub.gov.lv/lv/iubsearch/</w:t>
      </w:r>
      <w:r w:rsidRPr="00DE05E9">
        <w:rPr>
          <w:rFonts w:ascii="Times New Roman" w:eastAsia="Times New Roman" w:hAnsi="Times New Roman" w:cs="Times New Roman"/>
          <w:color w:val="000000"/>
          <w:lang w:val="lv-LV"/>
        </w:rPr>
        <w:t>) publicētajiem paziņojumiem, kurus sabiedrisko pakalpojumu sniedzēji</w:t>
      </w:r>
      <w:r w:rsidR="001C6E39" w:rsidRPr="00DE05E9">
        <w:rPr>
          <w:rFonts w:ascii="Times New Roman" w:eastAsia="Times New Roman" w:hAnsi="Times New Roman" w:cs="Times New Roman"/>
          <w:color w:val="000000"/>
          <w:lang w:val="lv-LV"/>
        </w:rPr>
        <w:t>,</w:t>
      </w:r>
      <w:r w:rsidRPr="00DE05E9">
        <w:rPr>
          <w:rFonts w:ascii="Times New Roman" w:eastAsia="Times New Roman" w:hAnsi="Times New Roman" w:cs="Times New Roman"/>
          <w:color w:val="000000"/>
          <w:lang w:val="lv-LV"/>
        </w:rPr>
        <w:t xml:space="preserve"> pasūtītāji</w:t>
      </w:r>
      <w:r w:rsidR="001C6E39" w:rsidRPr="00DE05E9">
        <w:rPr>
          <w:rFonts w:ascii="Times New Roman" w:eastAsia="Times New Roman" w:hAnsi="Times New Roman" w:cs="Times New Roman"/>
          <w:color w:val="000000"/>
          <w:lang w:val="lv-LV"/>
        </w:rPr>
        <w:t xml:space="preserve"> un publiskie partneri</w:t>
      </w:r>
      <w:r w:rsidRPr="00DE05E9">
        <w:rPr>
          <w:rFonts w:ascii="Times New Roman" w:eastAsia="Times New Roman" w:hAnsi="Times New Roman" w:cs="Times New Roman"/>
          <w:color w:val="000000"/>
          <w:lang w:val="lv-LV"/>
        </w:rPr>
        <w:t xml:space="preserve"> sagatavo un publicē saskaņā ar Sabiedrisko pakalpojumu sniedzēju iepirkumu likumu</w:t>
      </w:r>
      <w:r w:rsidR="001C6E39" w:rsidRPr="00DE05E9">
        <w:rPr>
          <w:rFonts w:ascii="Times New Roman" w:eastAsia="Times New Roman" w:hAnsi="Times New Roman" w:cs="Times New Roman"/>
          <w:color w:val="000000"/>
          <w:lang w:val="lv-LV"/>
        </w:rPr>
        <w:t>,</w:t>
      </w:r>
      <w:r w:rsidRPr="00DE05E9">
        <w:rPr>
          <w:rFonts w:ascii="Times New Roman" w:eastAsia="Times New Roman" w:hAnsi="Times New Roman" w:cs="Times New Roman"/>
          <w:color w:val="000000"/>
          <w:lang w:val="lv-LV"/>
        </w:rPr>
        <w:t xml:space="preserve"> Publisko iepirkumu likumu</w:t>
      </w:r>
      <w:r w:rsidR="001C6E39" w:rsidRPr="00DE05E9">
        <w:rPr>
          <w:rFonts w:ascii="Times New Roman" w:eastAsia="Times New Roman" w:hAnsi="Times New Roman" w:cs="Times New Roman"/>
          <w:color w:val="000000"/>
          <w:lang w:val="lv-LV"/>
        </w:rPr>
        <w:t xml:space="preserve"> vai Publiskās un privātās partnerības likumu</w:t>
      </w:r>
      <w:r w:rsidRPr="00DE05E9">
        <w:rPr>
          <w:rFonts w:ascii="Times New Roman" w:eastAsia="Times New Roman" w:hAnsi="Times New Roman" w:cs="Times New Roman"/>
          <w:color w:val="000000"/>
          <w:lang w:val="lv-LV"/>
        </w:rPr>
        <w:t xml:space="preserve"> un ar to saistītajiem Ministru kabineta noteikumiem: Ministru kabineta 2010. gada 21. decembra noteikumi Nr. 842 „Noteikumi par sabiedrisko pakalpojumu sniedzēju iepirkumu paziņojumu saturu un sagatavošanas kārtību” (spēkā līdz 2017. gada 31. martam), Ministru kabineta 2017. gada 28. marta noteikumi Nr. 182 „Sabiedrisko pakalpojumu sniedzēju iepirkumu paziņojumi un to sagatavošanas kārtība” (spēkā no 2017. gada 1. aprīļa) vai Ministru kabineta 2014. gada 14. janvāra noteikumi Nr. 21 „Noteikumi par publisko iepirkumu paziņojumu saturu un sagatavošanas kārtību” (spēkā līdz 2017. gada 28. februārim), Ministru kabineta 2017. gada 28. februāra noteikumi Nr. 103 „Publisko iepirkumu paziņojumi un to sagatavošanas kārtība” </w:t>
      </w:r>
      <w:r w:rsidR="00E561C8">
        <w:rPr>
          <w:rFonts w:ascii="Times New Roman" w:eastAsia="Times New Roman" w:hAnsi="Times New Roman" w:cs="Times New Roman"/>
          <w:color w:val="000000"/>
          <w:lang w:val="lv-LV"/>
        </w:rPr>
        <w:t>(spēkā no 2017. gada 1. marta).</w:t>
      </w:r>
      <w:bookmarkStart w:id="0" w:name="_GoBack"/>
      <w:bookmarkEnd w:id="0"/>
      <w:r w:rsidRPr="00DE05E9">
        <w:rPr>
          <w:rFonts w:ascii="Times New Roman" w:eastAsia="Times New Roman" w:hAnsi="Times New Roman" w:cs="Times New Roman"/>
          <w:color w:val="000000"/>
          <w:lang w:val="lv-LV"/>
        </w:rPr>
        <w:t xml:space="preserve"> Plašāka informācija par tabulās apkopotajiem datiem ir iekļauta pirms tabulām. Avota dati ir publicēti Latvijas atvērto datu portālā (https://data.gov.lv/dati/lv/organization/iub), savukārt avota datu failā izmantoto birku atšifrējumi pieejami Iepirkumu uzraudzības biroja atvērto datu servisā (</w:t>
      </w:r>
      <w:hyperlink r:id="rId30" w:history="1">
        <w:r w:rsidR="001C6E39" w:rsidRPr="00DE05E9">
          <w:rPr>
            <w:rStyle w:val="Hyperlink"/>
            <w:rFonts w:ascii="Times New Roman" w:eastAsia="Times New Roman" w:hAnsi="Times New Roman" w:cs="Times New Roman"/>
            <w:lang w:val="lv-LV"/>
          </w:rPr>
          <w:t>http://open.iub.gov.lv/</w:t>
        </w:r>
      </w:hyperlink>
      <w:r w:rsidRPr="00DE05E9">
        <w:rPr>
          <w:rFonts w:ascii="Times New Roman" w:eastAsia="Times New Roman" w:hAnsi="Times New Roman" w:cs="Times New Roman"/>
          <w:color w:val="000000"/>
          <w:lang w:val="lv-LV"/>
        </w:rPr>
        <w:t>).</w:t>
      </w:r>
    </w:p>
    <w:p w14:paraId="3190865A" w14:textId="77777777" w:rsidR="00F96CCA" w:rsidRPr="00DE05E9" w:rsidRDefault="00F96CCA" w:rsidP="00FB71FD">
      <w:pPr>
        <w:jc w:val="both"/>
        <w:rPr>
          <w:rFonts w:ascii="Times New Roman" w:eastAsia="Times New Roman" w:hAnsi="Times New Roman" w:cs="Times New Roman"/>
          <w:color w:val="000000"/>
          <w:lang w:val="lv-LV"/>
        </w:rPr>
      </w:pPr>
    </w:p>
    <w:p w14:paraId="3E8B94EA" w14:textId="65F88AD2" w:rsidR="001C6E39" w:rsidRPr="00FB71FD" w:rsidRDefault="001C6E39" w:rsidP="00FB71FD">
      <w:pPr>
        <w:jc w:val="both"/>
        <w:rPr>
          <w:rFonts w:ascii="Times New Roman" w:eastAsia="Times New Roman" w:hAnsi="Times New Roman" w:cs="Times New Roman"/>
          <w:color w:val="000000"/>
          <w:lang w:val="lv-LV"/>
        </w:rPr>
      </w:pPr>
      <w:r w:rsidRPr="00DE05E9">
        <w:rPr>
          <w:rFonts w:ascii="Times New Roman" w:eastAsia="Times New Roman" w:hAnsi="Times New Roman" w:cs="Times New Roman"/>
          <w:b/>
          <w:color w:val="000000"/>
          <w:u w:val="single"/>
          <w:lang w:val="lv-LV"/>
        </w:rPr>
        <w:t>Piezīme:</w:t>
      </w:r>
      <w:r w:rsidRPr="00DE05E9">
        <w:rPr>
          <w:rFonts w:ascii="Times New Roman" w:eastAsia="Times New Roman" w:hAnsi="Times New Roman" w:cs="Times New Roman"/>
          <w:color w:val="000000"/>
          <w:lang w:val="lv-LV"/>
        </w:rPr>
        <w:t xml:space="preserve"> Darām zināmu, ka laika posmā </w:t>
      </w:r>
      <w:r w:rsidR="00F96CCA" w:rsidRPr="00DE05E9">
        <w:rPr>
          <w:rFonts w:ascii="Times New Roman" w:eastAsia="Times New Roman" w:hAnsi="Times New Roman" w:cs="Times New Roman"/>
          <w:color w:val="000000"/>
          <w:lang w:val="lv-LV"/>
        </w:rPr>
        <w:t>no 2017. gada 1. janvāra līdz 2017. gada 31. decembrim nav veikts neviens iepirkums atbilstoši Publiskās un privātās partnerības likuma (Direktīvas 2014/23/EU) regulējumam.</w:t>
      </w:r>
    </w:p>
    <w:sectPr w:rsidR="001C6E39" w:rsidRPr="00FB71FD" w:rsidSect="00FB71FD">
      <w:footerReference w:type="default" r:id="rId31"/>
      <w:pgSz w:w="16838" w:h="11906" w:orient="landscape"/>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39DD7D" w16cid:durableId="1EA5F2CC"/>
  <w16cid:commentId w16cid:paraId="0F57ECF5" w16cid:durableId="1EA5F376"/>
  <w16cid:commentId w16cid:paraId="10C2250C" w16cid:durableId="1EA5F388"/>
  <w16cid:commentId w16cid:paraId="53007A4B" w16cid:durableId="1EA5F404"/>
  <w16cid:commentId w16cid:paraId="56471528" w16cid:durableId="1E9C04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47132" w14:textId="77777777" w:rsidR="00F90147" w:rsidRDefault="00F90147" w:rsidP="00E05B18">
      <w:pPr>
        <w:spacing w:after="0" w:line="240" w:lineRule="auto"/>
      </w:pPr>
      <w:r>
        <w:separator/>
      </w:r>
    </w:p>
  </w:endnote>
  <w:endnote w:type="continuationSeparator" w:id="0">
    <w:p w14:paraId="10471D07" w14:textId="77777777" w:rsidR="00F90147" w:rsidRDefault="00F90147" w:rsidP="00E05B18">
      <w:pPr>
        <w:spacing w:after="0" w:line="240" w:lineRule="auto"/>
      </w:pPr>
      <w:r>
        <w:continuationSeparator/>
      </w:r>
    </w:p>
  </w:endnote>
  <w:endnote w:type="continuationNotice" w:id="1">
    <w:p w14:paraId="65C80B1B" w14:textId="77777777" w:rsidR="00F90147" w:rsidRDefault="00F901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yriad Pro">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794063"/>
      <w:docPartObj>
        <w:docPartGallery w:val="Page Numbers (Bottom of Page)"/>
        <w:docPartUnique/>
      </w:docPartObj>
    </w:sdtPr>
    <w:sdtEndPr>
      <w:rPr>
        <w:noProof/>
      </w:rPr>
    </w:sdtEndPr>
    <w:sdtContent>
      <w:p w14:paraId="714D6D13" w14:textId="6B2B2A4A" w:rsidR="00393332" w:rsidRDefault="00393332">
        <w:pPr>
          <w:pStyle w:val="Footer"/>
          <w:jc w:val="center"/>
        </w:pPr>
        <w:r w:rsidRPr="00FB71FD">
          <w:rPr>
            <w:rFonts w:ascii="Times New Roman" w:hAnsi="Times New Roman" w:cs="Times New Roman"/>
          </w:rPr>
          <w:fldChar w:fldCharType="begin"/>
        </w:r>
        <w:r w:rsidRPr="00FB71FD">
          <w:rPr>
            <w:rFonts w:ascii="Times New Roman" w:hAnsi="Times New Roman" w:cs="Times New Roman"/>
          </w:rPr>
          <w:instrText xml:space="preserve"> PAGE   \* MERGEFORMAT </w:instrText>
        </w:r>
        <w:r w:rsidRPr="00FB71FD">
          <w:rPr>
            <w:rFonts w:ascii="Times New Roman" w:hAnsi="Times New Roman" w:cs="Times New Roman"/>
          </w:rPr>
          <w:fldChar w:fldCharType="separate"/>
        </w:r>
        <w:r w:rsidR="00E561C8">
          <w:rPr>
            <w:rFonts w:ascii="Times New Roman" w:hAnsi="Times New Roman" w:cs="Times New Roman"/>
            <w:noProof/>
          </w:rPr>
          <w:t>35</w:t>
        </w:r>
        <w:r w:rsidRPr="00FB71FD">
          <w:rPr>
            <w:rFonts w:ascii="Times New Roman" w:hAnsi="Times New Roman" w:cs="Times New Roman"/>
            <w:noProof/>
          </w:rPr>
          <w:fldChar w:fldCharType="end"/>
        </w:r>
      </w:p>
    </w:sdtContent>
  </w:sdt>
  <w:p w14:paraId="34AB802F" w14:textId="77777777" w:rsidR="00393332" w:rsidRDefault="00393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E337B" w14:textId="77777777" w:rsidR="00F90147" w:rsidRDefault="00F90147" w:rsidP="00E05B18">
      <w:pPr>
        <w:spacing w:after="0" w:line="240" w:lineRule="auto"/>
      </w:pPr>
      <w:r>
        <w:separator/>
      </w:r>
    </w:p>
  </w:footnote>
  <w:footnote w:type="continuationSeparator" w:id="0">
    <w:p w14:paraId="2C8FE166" w14:textId="77777777" w:rsidR="00F90147" w:rsidRDefault="00F90147" w:rsidP="00E05B18">
      <w:pPr>
        <w:spacing w:after="0" w:line="240" w:lineRule="auto"/>
      </w:pPr>
      <w:r>
        <w:continuationSeparator/>
      </w:r>
    </w:p>
  </w:footnote>
  <w:footnote w:type="continuationNotice" w:id="1">
    <w:p w14:paraId="33C505AE" w14:textId="77777777" w:rsidR="00F90147" w:rsidRDefault="00F90147">
      <w:pPr>
        <w:spacing w:after="0" w:line="240" w:lineRule="auto"/>
      </w:pPr>
    </w:p>
  </w:footnote>
  <w:footnote w:id="2">
    <w:p w14:paraId="2E47C6B0" w14:textId="77777777" w:rsidR="00393332" w:rsidRPr="002E657A" w:rsidRDefault="00393332" w:rsidP="00994F58">
      <w:pPr>
        <w:pStyle w:val="FootnoteText"/>
      </w:pPr>
      <w:r>
        <w:rPr>
          <w:rStyle w:val="FootnoteReference"/>
        </w:rPr>
        <w:footnoteRef/>
      </w:r>
      <w:r>
        <w:t xml:space="preserve"> </w:t>
      </w:r>
      <w:r w:rsidRPr="002E657A">
        <w:t>Commission Communication (COM (2008) 400) "Public procurem</w:t>
      </w:r>
      <w:r>
        <w:t>ent for a better environment"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singleLevel"/>
    <w:tmpl w:val="EA22BEF2"/>
    <w:name w:val="WW8Num27"/>
    <w:lvl w:ilvl="0">
      <w:start w:val="1"/>
      <w:numFmt w:val="decimal"/>
      <w:pStyle w:val="strat5"/>
      <w:lvlText w:val="2.1.%1."/>
      <w:lvlJc w:val="left"/>
      <w:pPr>
        <w:tabs>
          <w:tab w:val="num" w:pos="0"/>
        </w:tabs>
        <w:ind w:left="1440" w:hanging="360"/>
      </w:pPr>
      <w:rPr>
        <w:rFonts w:hint="default"/>
      </w:rPr>
    </w:lvl>
  </w:abstractNum>
  <w:abstractNum w:abstractNumId="1" w15:restartNumberingAfterBreak="0">
    <w:nsid w:val="03840B4C"/>
    <w:multiLevelType w:val="hybridMultilevel"/>
    <w:tmpl w:val="8BCEE7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05633C"/>
    <w:multiLevelType w:val="hybridMultilevel"/>
    <w:tmpl w:val="5BA2B9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3E6B33"/>
    <w:multiLevelType w:val="hybridMultilevel"/>
    <w:tmpl w:val="881E7108"/>
    <w:lvl w:ilvl="0" w:tplc="FFFFFFFF">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0094F8F"/>
    <w:multiLevelType w:val="multilevel"/>
    <w:tmpl w:val="D5743C9A"/>
    <w:lvl w:ilvl="0">
      <w:start w:val="1"/>
      <w:numFmt w:val="decimal"/>
      <w:lvlText w:val="%1."/>
      <w:lvlJc w:val="left"/>
      <w:pPr>
        <w:ind w:left="492" w:firstLine="76"/>
      </w:pPr>
      <w:rPr>
        <w:rFonts w:hint="default"/>
      </w:rPr>
    </w:lvl>
    <w:lvl w:ilvl="1">
      <w:start w:val="1"/>
      <w:numFmt w:val="decimal"/>
      <w:lvlText w:val="%1.%2"/>
      <w:lvlJc w:val="left"/>
      <w:pPr>
        <w:ind w:left="622" w:firstLine="51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851" w:firstLine="94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567" w:firstLine="1953"/>
      </w:pPr>
      <w:rPr>
        <w:rFont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918E2"/>
    <w:multiLevelType w:val="hybridMultilevel"/>
    <w:tmpl w:val="7C16F65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60371AB"/>
    <w:multiLevelType w:val="hybridMultilevel"/>
    <w:tmpl w:val="F530EF7A"/>
    <w:lvl w:ilvl="0" w:tplc="08090001">
      <w:start w:val="1"/>
      <w:numFmt w:val="bullet"/>
      <w:lvlText w:val=""/>
      <w:lvlJc w:val="left"/>
      <w:pPr>
        <w:ind w:left="4782" w:hanging="360"/>
      </w:pPr>
      <w:rPr>
        <w:rFonts w:ascii="Symbol" w:hAnsi="Symbol" w:hint="default"/>
      </w:rPr>
    </w:lvl>
    <w:lvl w:ilvl="1" w:tplc="08090003">
      <w:start w:val="1"/>
      <w:numFmt w:val="bullet"/>
      <w:lvlText w:val="o"/>
      <w:lvlJc w:val="left"/>
      <w:pPr>
        <w:ind w:left="5502" w:hanging="360"/>
      </w:pPr>
      <w:rPr>
        <w:rFonts w:ascii="Courier New" w:hAnsi="Courier New" w:cs="Courier New" w:hint="default"/>
      </w:rPr>
    </w:lvl>
    <w:lvl w:ilvl="2" w:tplc="08090005" w:tentative="1">
      <w:start w:val="1"/>
      <w:numFmt w:val="bullet"/>
      <w:lvlText w:val=""/>
      <w:lvlJc w:val="left"/>
      <w:pPr>
        <w:ind w:left="6222" w:hanging="360"/>
      </w:pPr>
      <w:rPr>
        <w:rFonts w:ascii="Wingdings" w:hAnsi="Wingdings" w:hint="default"/>
      </w:rPr>
    </w:lvl>
    <w:lvl w:ilvl="3" w:tplc="08090001" w:tentative="1">
      <w:start w:val="1"/>
      <w:numFmt w:val="bullet"/>
      <w:lvlText w:val=""/>
      <w:lvlJc w:val="left"/>
      <w:pPr>
        <w:ind w:left="6942" w:hanging="360"/>
      </w:pPr>
      <w:rPr>
        <w:rFonts w:ascii="Symbol" w:hAnsi="Symbol" w:hint="default"/>
      </w:rPr>
    </w:lvl>
    <w:lvl w:ilvl="4" w:tplc="08090003" w:tentative="1">
      <w:start w:val="1"/>
      <w:numFmt w:val="bullet"/>
      <w:lvlText w:val="o"/>
      <w:lvlJc w:val="left"/>
      <w:pPr>
        <w:ind w:left="7662" w:hanging="360"/>
      </w:pPr>
      <w:rPr>
        <w:rFonts w:ascii="Courier New" w:hAnsi="Courier New" w:cs="Courier New" w:hint="default"/>
      </w:rPr>
    </w:lvl>
    <w:lvl w:ilvl="5" w:tplc="08090005" w:tentative="1">
      <w:start w:val="1"/>
      <w:numFmt w:val="bullet"/>
      <w:lvlText w:val=""/>
      <w:lvlJc w:val="left"/>
      <w:pPr>
        <w:ind w:left="8382" w:hanging="360"/>
      </w:pPr>
      <w:rPr>
        <w:rFonts w:ascii="Wingdings" w:hAnsi="Wingdings" w:hint="default"/>
      </w:rPr>
    </w:lvl>
    <w:lvl w:ilvl="6" w:tplc="08090001" w:tentative="1">
      <w:start w:val="1"/>
      <w:numFmt w:val="bullet"/>
      <w:lvlText w:val=""/>
      <w:lvlJc w:val="left"/>
      <w:pPr>
        <w:ind w:left="9102" w:hanging="360"/>
      </w:pPr>
      <w:rPr>
        <w:rFonts w:ascii="Symbol" w:hAnsi="Symbol" w:hint="default"/>
      </w:rPr>
    </w:lvl>
    <w:lvl w:ilvl="7" w:tplc="08090003" w:tentative="1">
      <w:start w:val="1"/>
      <w:numFmt w:val="bullet"/>
      <w:lvlText w:val="o"/>
      <w:lvlJc w:val="left"/>
      <w:pPr>
        <w:ind w:left="9822" w:hanging="360"/>
      </w:pPr>
      <w:rPr>
        <w:rFonts w:ascii="Courier New" w:hAnsi="Courier New" w:cs="Courier New" w:hint="default"/>
      </w:rPr>
    </w:lvl>
    <w:lvl w:ilvl="8" w:tplc="08090005" w:tentative="1">
      <w:start w:val="1"/>
      <w:numFmt w:val="bullet"/>
      <w:lvlText w:val=""/>
      <w:lvlJc w:val="left"/>
      <w:pPr>
        <w:ind w:left="10542" w:hanging="360"/>
      </w:pPr>
      <w:rPr>
        <w:rFonts w:ascii="Wingdings" w:hAnsi="Wingdings" w:hint="default"/>
      </w:rPr>
    </w:lvl>
  </w:abstractNum>
  <w:abstractNum w:abstractNumId="7" w15:restartNumberingAfterBreak="0">
    <w:nsid w:val="2A037F75"/>
    <w:multiLevelType w:val="hybridMultilevel"/>
    <w:tmpl w:val="68922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23399"/>
    <w:multiLevelType w:val="multilevel"/>
    <w:tmpl w:val="63BC7A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9B2354"/>
    <w:multiLevelType w:val="hybridMultilevel"/>
    <w:tmpl w:val="FBAEDC98"/>
    <w:lvl w:ilvl="0" w:tplc="45BED5DE">
      <w:start w:val="1"/>
      <w:numFmt w:val="decimal"/>
      <w:lvlText w:val="%1."/>
      <w:lvlJc w:val="left"/>
      <w:pPr>
        <w:ind w:left="720" w:hanging="360"/>
      </w:pPr>
      <w:rPr>
        <w:rFonts w:asciiTheme="minorHAnsi" w:eastAsiaTheme="minorHAnsi" w:hAnsiTheme="minorHAnsi" w:cstheme="minorBid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3AF0DAE"/>
    <w:multiLevelType w:val="hybridMultilevel"/>
    <w:tmpl w:val="BB286FD2"/>
    <w:lvl w:ilvl="0" w:tplc="55341256">
      <w:start w:val="1"/>
      <w:numFmt w:val="bullet"/>
      <w:lvlText w:val="-"/>
      <w:lvlJc w:val="left"/>
      <w:pPr>
        <w:ind w:left="1080" w:hanging="360"/>
      </w:pPr>
      <w:rPr>
        <w:rFonts w:ascii="Times New Roman" w:eastAsiaTheme="minorHAns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37F744F2"/>
    <w:multiLevelType w:val="hybridMultilevel"/>
    <w:tmpl w:val="91B0B6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09B16D6"/>
    <w:multiLevelType w:val="hybridMultilevel"/>
    <w:tmpl w:val="6682DE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3C038ED"/>
    <w:multiLevelType w:val="hybridMultilevel"/>
    <w:tmpl w:val="68E22326"/>
    <w:lvl w:ilvl="0" w:tplc="08090017">
      <w:start w:val="1"/>
      <w:numFmt w:val="lowerLetter"/>
      <w:lvlText w:val="%1)"/>
      <w:lvlJc w:val="left"/>
      <w:pPr>
        <w:ind w:left="1512" w:hanging="360"/>
      </w:pPr>
      <w:rPr>
        <w:rFont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4" w15:restartNumberingAfterBreak="0">
    <w:nsid w:val="56E54686"/>
    <w:multiLevelType w:val="hybridMultilevel"/>
    <w:tmpl w:val="91B0B6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8D7360"/>
    <w:multiLevelType w:val="hybridMultilevel"/>
    <w:tmpl w:val="AFBEB2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8BD58A0"/>
    <w:multiLevelType w:val="hybridMultilevel"/>
    <w:tmpl w:val="6A9A0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817BA3"/>
    <w:multiLevelType w:val="hybridMultilevel"/>
    <w:tmpl w:val="A8183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023F86"/>
    <w:multiLevelType w:val="hybridMultilevel"/>
    <w:tmpl w:val="7A602E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AE123A"/>
    <w:multiLevelType w:val="hybridMultilevel"/>
    <w:tmpl w:val="6B4A8C5E"/>
    <w:lvl w:ilvl="0" w:tplc="90049668">
      <w:start w:val="1"/>
      <w:numFmt w:val="upperRoman"/>
      <w:pStyle w:val="Heading2"/>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2BC5494"/>
    <w:multiLevelType w:val="hybridMultilevel"/>
    <w:tmpl w:val="06F892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792FCF"/>
    <w:multiLevelType w:val="hybridMultilevel"/>
    <w:tmpl w:val="5BF4F6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6B43CD"/>
    <w:multiLevelType w:val="hybridMultilevel"/>
    <w:tmpl w:val="067062D4"/>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B0070A"/>
    <w:multiLevelType w:val="hybridMultilevel"/>
    <w:tmpl w:val="6C8CC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C75A8A"/>
    <w:multiLevelType w:val="hybridMultilevel"/>
    <w:tmpl w:val="35102B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E02767D"/>
    <w:multiLevelType w:val="hybridMultilevel"/>
    <w:tmpl w:val="618E10E4"/>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num>
  <w:num w:numId="2">
    <w:abstractNumId w:val="2"/>
  </w:num>
  <w:num w:numId="3">
    <w:abstractNumId w:val="4"/>
  </w:num>
  <w:num w:numId="4">
    <w:abstractNumId w:val="6"/>
  </w:num>
  <w:num w:numId="5">
    <w:abstractNumId w:val="7"/>
  </w:num>
  <w:num w:numId="6">
    <w:abstractNumId w:val="17"/>
  </w:num>
  <w:num w:numId="7">
    <w:abstractNumId w:val="16"/>
  </w:num>
  <w:num w:numId="8">
    <w:abstractNumId w:val="19"/>
  </w:num>
  <w:num w:numId="9">
    <w:abstractNumId w:val="23"/>
  </w:num>
  <w:num w:numId="10">
    <w:abstractNumId w:val="3"/>
  </w:num>
  <w:num w:numId="11">
    <w:abstractNumId w:val="8"/>
  </w:num>
  <w:num w:numId="12">
    <w:abstractNumId w:val="9"/>
  </w:num>
  <w:num w:numId="13">
    <w:abstractNumId w:val="12"/>
  </w:num>
  <w:num w:numId="14">
    <w:abstractNumId w:val="15"/>
  </w:num>
  <w:num w:numId="15">
    <w:abstractNumId w:val="21"/>
  </w:num>
  <w:num w:numId="16">
    <w:abstractNumId w:val="18"/>
  </w:num>
  <w:num w:numId="17">
    <w:abstractNumId w:val="25"/>
  </w:num>
  <w:num w:numId="18">
    <w:abstractNumId w:val="0"/>
  </w:num>
  <w:num w:numId="19">
    <w:abstractNumId w:val="10"/>
  </w:num>
  <w:num w:numId="20">
    <w:abstractNumId w:val="22"/>
  </w:num>
  <w:num w:numId="21">
    <w:abstractNumId w:val="20"/>
  </w:num>
  <w:num w:numId="22">
    <w:abstractNumId w:val="5"/>
  </w:num>
  <w:num w:numId="23">
    <w:abstractNumId w:val="24"/>
  </w:num>
  <w:num w:numId="24">
    <w:abstractNumId w:val="1"/>
  </w:num>
  <w:num w:numId="25">
    <w:abstractNumId w:val="14"/>
  </w:num>
  <w:num w:numId="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83A80"/>
    <w:rsid w:val="000007BA"/>
    <w:rsid w:val="0000330E"/>
    <w:rsid w:val="000078A4"/>
    <w:rsid w:val="0001056F"/>
    <w:rsid w:val="000114AC"/>
    <w:rsid w:val="000116CF"/>
    <w:rsid w:val="00012443"/>
    <w:rsid w:val="00012BE4"/>
    <w:rsid w:val="00012E23"/>
    <w:rsid w:val="00013C6A"/>
    <w:rsid w:val="00015883"/>
    <w:rsid w:val="00017130"/>
    <w:rsid w:val="000219D7"/>
    <w:rsid w:val="000224D9"/>
    <w:rsid w:val="000225BF"/>
    <w:rsid w:val="000231D4"/>
    <w:rsid w:val="0002419E"/>
    <w:rsid w:val="00024F85"/>
    <w:rsid w:val="00026CC2"/>
    <w:rsid w:val="000314DD"/>
    <w:rsid w:val="00032A16"/>
    <w:rsid w:val="00033543"/>
    <w:rsid w:val="00035954"/>
    <w:rsid w:val="00035FA6"/>
    <w:rsid w:val="000368C3"/>
    <w:rsid w:val="00043EE0"/>
    <w:rsid w:val="00043F88"/>
    <w:rsid w:val="0004473C"/>
    <w:rsid w:val="00044CAF"/>
    <w:rsid w:val="00044D2C"/>
    <w:rsid w:val="00046AD1"/>
    <w:rsid w:val="00047441"/>
    <w:rsid w:val="00052BF8"/>
    <w:rsid w:val="000561EF"/>
    <w:rsid w:val="00056317"/>
    <w:rsid w:val="00057A35"/>
    <w:rsid w:val="00057BFC"/>
    <w:rsid w:val="00061269"/>
    <w:rsid w:val="000614B3"/>
    <w:rsid w:val="00062364"/>
    <w:rsid w:val="000624FD"/>
    <w:rsid w:val="00062BAF"/>
    <w:rsid w:val="00063D60"/>
    <w:rsid w:val="00064F6C"/>
    <w:rsid w:val="00064F89"/>
    <w:rsid w:val="00065290"/>
    <w:rsid w:val="00066A6E"/>
    <w:rsid w:val="0006767B"/>
    <w:rsid w:val="00071BD7"/>
    <w:rsid w:val="000720F8"/>
    <w:rsid w:val="00072A1E"/>
    <w:rsid w:val="00073D19"/>
    <w:rsid w:val="00074695"/>
    <w:rsid w:val="00076183"/>
    <w:rsid w:val="000762C6"/>
    <w:rsid w:val="00077074"/>
    <w:rsid w:val="00077CB7"/>
    <w:rsid w:val="00080247"/>
    <w:rsid w:val="00081353"/>
    <w:rsid w:val="00081F84"/>
    <w:rsid w:val="000826D9"/>
    <w:rsid w:val="00082B68"/>
    <w:rsid w:val="000834B8"/>
    <w:rsid w:val="00084BD2"/>
    <w:rsid w:val="000867E8"/>
    <w:rsid w:val="0008722C"/>
    <w:rsid w:val="0008764B"/>
    <w:rsid w:val="00087A7E"/>
    <w:rsid w:val="0009058C"/>
    <w:rsid w:val="00091DFA"/>
    <w:rsid w:val="00091F47"/>
    <w:rsid w:val="00092C5B"/>
    <w:rsid w:val="00093C54"/>
    <w:rsid w:val="00094594"/>
    <w:rsid w:val="00095106"/>
    <w:rsid w:val="00095252"/>
    <w:rsid w:val="000952CA"/>
    <w:rsid w:val="00096622"/>
    <w:rsid w:val="000A0653"/>
    <w:rsid w:val="000A1CB3"/>
    <w:rsid w:val="000A2192"/>
    <w:rsid w:val="000A2513"/>
    <w:rsid w:val="000A3ECA"/>
    <w:rsid w:val="000A4C34"/>
    <w:rsid w:val="000A63F0"/>
    <w:rsid w:val="000A6465"/>
    <w:rsid w:val="000A716C"/>
    <w:rsid w:val="000A7260"/>
    <w:rsid w:val="000A7710"/>
    <w:rsid w:val="000B1571"/>
    <w:rsid w:val="000B4CB4"/>
    <w:rsid w:val="000C1E03"/>
    <w:rsid w:val="000C1E38"/>
    <w:rsid w:val="000C34A1"/>
    <w:rsid w:val="000C38F2"/>
    <w:rsid w:val="000C3DEC"/>
    <w:rsid w:val="000C4582"/>
    <w:rsid w:val="000C50DF"/>
    <w:rsid w:val="000C57D0"/>
    <w:rsid w:val="000C7F4C"/>
    <w:rsid w:val="000D0F60"/>
    <w:rsid w:val="000D18C0"/>
    <w:rsid w:val="000D1F54"/>
    <w:rsid w:val="000D31E8"/>
    <w:rsid w:val="000D3969"/>
    <w:rsid w:val="000D5425"/>
    <w:rsid w:val="000E1216"/>
    <w:rsid w:val="000E1B69"/>
    <w:rsid w:val="000E4EDE"/>
    <w:rsid w:val="000E51BA"/>
    <w:rsid w:val="000E7341"/>
    <w:rsid w:val="000F0224"/>
    <w:rsid w:val="000F0ABF"/>
    <w:rsid w:val="000F1493"/>
    <w:rsid w:val="000F221C"/>
    <w:rsid w:val="000F2D65"/>
    <w:rsid w:val="000F2E64"/>
    <w:rsid w:val="000F491C"/>
    <w:rsid w:val="000F4B0E"/>
    <w:rsid w:val="000F4C51"/>
    <w:rsid w:val="000F4CE6"/>
    <w:rsid w:val="000F5515"/>
    <w:rsid w:val="000F7393"/>
    <w:rsid w:val="000F7EE1"/>
    <w:rsid w:val="00100021"/>
    <w:rsid w:val="00100B60"/>
    <w:rsid w:val="0010153A"/>
    <w:rsid w:val="00101BD3"/>
    <w:rsid w:val="00102F9C"/>
    <w:rsid w:val="0010414C"/>
    <w:rsid w:val="0010540B"/>
    <w:rsid w:val="00110A27"/>
    <w:rsid w:val="00111284"/>
    <w:rsid w:val="001135E3"/>
    <w:rsid w:val="00113981"/>
    <w:rsid w:val="00114850"/>
    <w:rsid w:val="0011550B"/>
    <w:rsid w:val="001202C3"/>
    <w:rsid w:val="001227DE"/>
    <w:rsid w:val="0012346C"/>
    <w:rsid w:val="00123685"/>
    <w:rsid w:val="00123723"/>
    <w:rsid w:val="0012404E"/>
    <w:rsid w:val="001257BF"/>
    <w:rsid w:val="00125881"/>
    <w:rsid w:val="0012686F"/>
    <w:rsid w:val="00126F13"/>
    <w:rsid w:val="00130D35"/>
    <w:rsid w:val="001331BB"/>
    <w:rsid w:val="00133341"/>
    <w:rsid w:val="00133553"/>
    <w:rsid w:val="00134128"/>
    <w:rsid w:val="001365A6"/>
    <w:rsid w:val="00140A20"/>
    <w:rsid w:val="00140DCB"/>
    <w:rsid w:val="001435EE"/>
    <w:rsid w:val="00143D4A"/>
    <w:rsid w:val="0014476E"/>
    <w:rsid w:val="00145C9C"/>
    <w:rsid w:val="00145F33"/>
    <w:rsid w:val="00146208"/>
    <w:rsid w:val="00146F52"/>
    <w:rsid w:val="00146FEF"/>
    <w:rsid w:val="00147404"/>
    <w:rsid w:val="00147947"/>
    <w:rsid w:val="00150A31"/>
    <w:rsid w:val="00151E7F"/>
    <w:rsid w:val="00152C77"/>
    <w:rsid w:val="001536AD"/>
    <w:rsid w:val="00154CCB"/>
    <w:rsid w:val="00155B8B"/>
    <w:rsid w:val="00155B9A"/>
    <w:rsid w:val="001575BA"/>
    <w:rsid w:val="00160554"/>
    <w:rsid w:val="00160BFE"/>
    <w:rsid w:val="00161278"/>
    <w:rsid w:val="0016221C"/>
    <w:rsid w:val="0016242D"/>
    <w:rsid w:val="00162BA0"/>
    <w:rsid w:val="00163FF2"/>
    <w:rsid w:val="001649F6"/>
    <w:rsid w:val="00166034"/>
    <w:rsid w:val="00166503"/>
    <w:rsid w:val="001672F1"/>
    <w:rsid w:val="00167C02"/>
    <w:rsid w:val="00167F08"/>
    <w:rsid w:val="00170BB8"/>
    <w:rsid w:val="001711E9"/>
    <w:rsid w:val="001716FD"/>
    <w:rsid w:val="00173739"/>
    <w:rsid w:val="00173A5E"/>
    <w:rsid w:val="00173B79"/>
    <w:rsid w:val="001759BB"/>
    <w:rsid w:val="001765E2"/>
    <w:rsid w:val="00176BC9"/>
    <w:rsid w:val="00180D95"/>
    <w:rsid w:val="001818F8"/>
    <w:rsid w:val="001819AD"/>
    <w:rsid w:val="001820C7"/>
    <w:rsid w:val="001832E2"/>
    <w:rsid w:val="0018639D"/>
    <w:rsid w:val="00186D82"/>
    <w:rsid w:val="001870EB"/>
    <w:rsid w:val="001872C6"/>
    <w:rsid w:val="001915A3"/>
    <w:rsid w:val="00192154"/>
    <w:rsid w:val="00195459"/>
    <w:rsid w:val="00195547"/>
    <w:rsid w:val="00195568"/>
    <w:rsid w:val="00195B1C"/>
    <w:rsid w:val="00195D2D"/>
    <w:rsid w:val="00196553"/>
    <w:rsid w:val="00197395"/>
    <w:rsid w:val="00197C11"/>
    <w:rsid w:val="001A28DD"/>
    <w:rsid w:val="001A4018"/>
    <w:rsid w:val="001A578A"/>
    <w:rsid w:val="001A6267"/>
    <w:rsid w:val="001A6E08"/>
    <w:rsid w:val="001A7AAB"/>
    <w:rsid w:val="001B0E03"/>
    <w:rsid w:val="001B0FA5"/>
    <w:rsid w:val="001B10ED"/>
    <w:rsid w:val="001B17F0"/>
    <w:rsid w:val="001B1AC2"/>
    <w:rsid w:val="001B1BD0"/>
    <w:rsid w:val="001B2A0F"/>
    <w:rsid w:val="001B2B6A"/>
    <w:rsid w:val="001B4931"/>
    <w:rsid w:val="001B51C2"/>
    <w:rsid w:val="001B5399"/>
    <w:rsid w:val="001B58D6"/>
    <w:rsid w:val="001C046D"/>
    <w:rsid w:val="001C3CFB"/>
    <w:rsid w:val="001C4EFC"/>
    <w:rsid w:val="001C4F09"/>
    <w:rsid w:val="001C5CB7"/>
    <w:rsid w:val="001C5F45"/>
    <w:rsid w:val="001C6E39"/>
    <w:rsid w:val="001D0125"/>
    <w:rsid w:val="001D04C7"/>
    <w:rsid w:val="001D4779"/>
    <w:rsid w:val="001D4DCD"/>
    <w:rsid w:val="001D641E"/>
    <w:rsid w:val="001D6CBF"/>
    <w:rsid w:val="001D79E5"/>
    <w:rsid w:val="001E23FB"/>
    <w:rsid w:val="001E2E7E"/>
    <w:rsid w:val="001E3155"/>
    <w:rsid w:val="001E32E4"/>
    <w:rsid w:val="001E4671"/>
    <w:rsid w:val="001E4F66"/>
    <w:rsid w:val="001E6020"/>
    <w:rsid w:val="001F01AF"/>
    <w:rsid w:val="001F0DC3"/>
    <w:rsid w:val="001F345B"/>
    <w:rsid w:val="001F4763"/>
    <w:rsid w:val="001F48F2"/>
    <w:rsid w:val="001F6CD4"/>
    <w:rsid w:val="001F6CE1"/>
    <w:rsid w:val="00202F67"/>
    <w:rsid w:val="002035DE"/>
    <w:rsid w:val="0020427A"/>
    <w:rsid w:val="00205FF9"/>
    <w:rsid w:val="0020711B"/>
    <w:rsid w:val="0021025B"/>
    <w:rsid w:val="002102DA"/>
    <w:rsid w:val="00213298"/>
    <w:rsid w:val="00213AE5"/>
    <w:rsid w:val="00213F1D"/>
    <w:rsid w:val="00214246"/>
    <w:rsid w:val="00214CF4"/>
    <w:rsid w:val="00216245"/>
    <w:rsid w:val="00216CB2"/>
    <w:rsid w:val="00216FB4"/>
    <w:rsid w:val="00217F15"/>
    <w:rsid w:val="00220D53"/>
    <w:rsid w:val="00221000"/>
    <w:rsid w:val="002215E9"/>
    <w:rsid w:val="002222BD"/>
    <w:rsid w:val="002242F7"/>
    <w:rsid w:val="00225335"/>
    <w:rsid w:val="00231A1E"/>
    <w:rsid w:val="00233608"/>
    <w:rsid w:val="002345B0"/>
    <w:rsid w:val="00235F68"/>
    <w:rsid w:val="00236955"/>
    <w:rsid w:val="0023752C"/>
    <w:rsid w:val="002375D9"/>
    <w:rsid w:val="0024324D"/>
    <w:rsid w:val="002433E2"/>
    <w:rsid w:val="00243516"/>
    <w:rsid w:val="00244B6E"/>
    <w:rsid w:val="00245F0E"/>
    <w:rsid w:val="00247E16"/>
    <w:rsid w:val="00247F85"/>
    <w:rsid w:val="0025040F"/>
    <w:rsid w:val="00253552"/>
    <w:rsid w:val="00254344"/>
    <w:rsid w:val="00255075"/>
    <w:rsid w:val="002568F0"/>
    <w:rsid w:val="002614C3"/>
    <w:rsid w:val="00262A1D"/>
    <w:rsid w:val="00262C9C"/>
    <w:rsid w:val="00263424"/>
    <w:rsid w:val="00263852"/>
    <w:rsid w:val="00265A4C"/>
    <w:rsid w:val="00266497"/>
    <w:rsid w:val="002665D5"/>
    <w:rsid w:val="00266700"/>
    <w:rsid w:val="00267227"/>
    <w:rsid w:val="0027059B"/>
    <w:rsid w:val="00270CEF"/>
    <w:rsid w:val="00272E3C"/>
    <w:rsid w:val="002754A5"/>
    <w:rsid w:val="00275538"/>
    <w:rsid w:val="00276408"/>
    <w:rsid w:val="002817F0"/>
    <w:rsid w:val="0028294D"/>
    <w:rsid w:val="00282E8C"/>
    <w:rsid w:val="00284F2C"/>
    <w:rsid w:val="002851A8"/>
    <w:rsid w:val="0028711E"/>
    <w:rsid w:val="0028781C"/>
    <w:rsid w:val="00287CC0"/>
    <w:rsid w:val="0029052F"/>
    <w:rsid w:val="002905AA"/>
    <w:rsid w:val="002920BF"/>
    <w:rsid w:val="0029215F"/>
    <w:rsid w:val="0029610F"/>
    <w:rsid w:val="00296593"/>
    <w:rsid w:val="00297002"/>
    <w:rsid w:val="00297764"/>
    <w:rsid w:val="002A01A2"/>
    <w:rsid w:val="002A04AA"/>
    <w:rsid w:val="002A0D57"/>
    <w:rsid w:val="002A1707"/>
    <w:rsid w:val="002A2B65"/>
    <w:rsid w:val="002A35A5"/>
    <w:rsid w:val="002A421F"/>
    <w:rsid w:val="002A4C20"/>
    <w:rsid w:val="002A729A"/>
    <w:rsid w:val="002B0645"/>
    <w:rsid w:val="002B0F2F"/>
    <w:rsid w:val="002B13A5"/>
    <w:rsid w:val="002B1533"/>
    <w:rsid w:val="002B2169"/>
    <w:rsid w:val="002B35A2"/>
    <w:rsid w:val="002B4176"/>
    <w:rsid w:val="002B5A51"/>
    <w:rsid w:val="002B6572"/>
    <w:rsid w:val="002B6AEB"/>
    <w:rsid w:val="002B7D35"/>
    <w:rsid w:val="002C131E"/>
    <w:rsid w:val="002C13BE"/>
    <w:rsid w:val="002C2914"/>
    <w:rsid w:val="002C5713"/>
    <w:rsid w:val="002C5BD5"/>
    <w:rsid w:val="002D0034"/>
    <w:rsid w:val="002D1FFF"/>
    <w:rsid w:val="002D5837"/>
    <w:rsid w:val="002D5982"/>
    <w:rsid w:val="002D6DE5"/>
    <w:rsid w:val="002E0E73"/>
    <w:rsid w:val="002E1A11"/>
    <w:rsid w:val="002E2B13"/>
    <w:rsid w:val="002E3097"/>
    <w:rsid w:val="002E3DEB"/>
    <w:rsid w:val="002E5FD7"/>
    <w:rsid w:val="002E657A"/>
    <w:rsid w:val="002E6F71"/>
    <w:rsid w:val="002E7EC2"/>
    <w:rsid w:val="002F0F5F"/>
    <w:rsid w:val="002F225B"/>
    <w:rsid w:val="002F27BC"/>
    <w:rsid w:val="002F2C5C"/>
    <w:rsid w:val="002F4086"/>
    <w:rsid w:val="002F6580"/>
    <w:rsid w:val="002F6C43"/>
    <w:rsid w:val="00300EB3"/>
    <w:rsid w:val="00302DA2"/>
    <w:rsid w:val="00303376"/>
    <w:rsid w:val="003036D7"/>
    <w:rsid w:val="00303E8A"/>
    <w:rsid w:val="00304552"/>
    <w:rsid w:val="003061C8"/>
    <w:rsid w:val="00306938"/>
    <w:rsid w:val="003102C0"/>
    <w:rsid w:val="003107E1"/>
    <w:rsid w:val="00313158"/>
    <w:rsid w:val="00313948"/>
    <w:rsid w:val="003140CA"/>
    <w:rsid w:val="003145F8"/>
    <w:rsid w:val="00315142"/>
    <w:rsid w:val="00315248"/>
    <w:rsid w:val="00317B05"/>
    <w:rsid w:val="00317F28"/>
    <w:rsid w:val="00321429"/>
    <w:rsid w:val="00321D7F"/>
    <w:rsid w:val="00322A0C"/>
    <w:rsid w:val="003236CE"/>
    <w:rsid w:val="00323897"/>
    <w:rsid w:val="00326056"/>
    <w:rsid w:val="003260E4"/>
    <w:rsid w:val="003265DB"/>
    <w:rsid w:val="00327547"/>
    <w:rsid w:val="00330225"/>
    <w:rsid w:val="00330603"/>
    <w:rsid w:val="0033137B"/>
    <w:rsid w:val="003335D8"/>
    <w:rsid w:val="0033380F"/>
    <w:rsid w:val="00334D27"/>
    <w:rsid w:val="00336DB2"/>
    <w:rsid w:val="00336ED4"/>
    <w:rsid w:val="00340038"/>
    <w:rsid w:val="003407F6"/>
    <w:rsid w:val="0034125E"/>
    <w:rsid w:val="0034147E"/>
    <w:rsid w:val="003423BC"/>
    <w:rsid w:val="003446FB"/>
    <w:rsid w:val="00344B58"/>
    <w:rsid w:val="00350F0D"/>
    <w:rsid w:val="00351EE0"/>
    <w:rsid w:val="00355492"/>
    <w:rsid w:val="00355611"/>
    <w:rsid w:val="003568B8"/>
    <w:rsid w:val="00357EAC"/>
    <w:rsid w:val="00360238"/>
    <w:rsid w:val="00360D5E"/>
    <w:rsid w:val="00361401"/>
    <w:rsid w:val="00362778"/>
    <w:rsid w:val="0036283F"/>
    <w:rsid w:val="003631EC"/>
    <w:rsid w:val="003675EB"/>
    <w:rsid w:val="0037143F"/>
    <w:rsid w:val="0037272E"/>
    <w:rsid w:val="003731D1"/>
    <w:rsid w:val="00373FE6"/>
    <w:rsid w:val="00375D44"/>
    <w:rsid w:val="0038013D"/>
    <w:rsid w:val="0038101A"/>
    <w:rsid w:val="0038192C"/>
    <w:rsid w:val="003829D1"/>
    <w:rsid w:val="00383C4F"/>
    <w:rsid w:val="003844FF"/>
    <w:rsid w:val="00384557"/>
    <w:rsid w:val="003845B2"/>
    <w:rsid w:val="00386646"/>
    <w:rsid w:val="0038706E"/>
    <w:rsid w:val="003876F2"/>
    <w:rsid w:val="00390AED"/>
    <w:rsid w:val="003917A9"/>
    <w:rsid w:val="003932A3"/>
    <w:rsid w:val="00393332"/>
    <w:rsid w:val="003939CD"/>
    <w:rsid w:val="00394264"/>
    <w:rsid w:val="00394440"/>
    <w:rsid w:val="00394786"/>
    <w:rsid w:val="00394C30"/>
    <w:rsid w:val="00394E85"/>
    <w:rsid w:val="00396730"/>
    <w:rsid w:val="00396CDB"/>
    <w:rsid w:val="0039747B"/>
    <w:rsid w:val="003978C2"/>
    <w:rsid w:val="003A02FB"/>
    <w:rsid w:val="003A1FCA"/>
    <w:rsid w:val="003A25B9"/>
    <w:rsid w:val="003A2784"/>
    <w:rsid w:val="003A31F9"/>
    <w:rsid w:val="003A3DB1"/>
    <w:rsid w:val="003A451D"/>
    <w:rsid w:val="003A4550"/>
    <w:rsid w:val="003A4EB6"/>
    <w:rsid w:val="003A57EB"/>
    <w:rsid w:val="003A6920"/>
    <w:rsid w:val="003B1C2C"/>
    <w:rsid w:val="003B2239"/>
    <w:rsid w:val="003B2992"/>
    <w:rsid w:val="003B3BC6"/>
    <w:rsid w:val="003B5C2D"/>
    <w:rsid w:val="003B76FE"/>
    <w:rsid w:val="003C0293"/>
    <w:rsid w:val="003C1F9B"/>
    <w:rsid w:val="003C1FAD"/>
    <w:rsid w:val="003C28E5"/>
    <w:rsid w:val="003C2929"/>
    <w:rsid w:val="003C3803"/>
    <w:rsid w:val="003C3861"/>
    <w:rsid w:val="003C42A1"/>
    <w:rsid w:val="003C503F"/>
    <w:rsid w:val="003C6035"/>
    <w:rsid w:val="003C6E5D"/>
    <w:rsid w:val="003C79C3"/>
    <w:rsid w:val="003D1415"/>
    <w:rsid w:val="003D157E"/>
    <w:rsid w:val="003D1B74"/>
    <w:rsid w:val="003D2751"/>
    <w:rsid w:val="003D2C49"/>
    <w:rsid w:val="003D2F9D"/>
    <w:rsid w:val="003D3A65"/>
    <w:rsid w:val="003D4265"/>
    <w:rsid w:val="003D468B"/>
    <w:rsid w:val="003D4736"/>
    <w:rsid w:val="003D563A"/>
    <w:rsid w:val="003D5D47"/>
    <w:rsid w:val="003D5DF0"/>
    <w:rsid w:val="003E0A87"/>
    <w:rsid w:val="003E30DD"/>
    <w:rsid w:val="003E4F10"/>
    <w:rsid w:val="003E56A6"/>
    <w:rsid w:val="003E78E2"/>
    <w:rsid w:val="003F1330"/>
    <w:rsid w:val="003F1BD0"/>
    <w:rsid w:val="003F3482"/>
    <w:rsid w:val="003F3F02"/>
    <w:rsid w:val="003F5887"/>
    <w:rsid w:val="003F5A67"/>
    <w:rsid w:val="003F606A"/>
    <w:rsid w:val="003F660D"/>
    <w:rsid w:val="003F68C4"/>
    <w:rsid w:val="0040061F"/>
    <w:rsid w:val="00400FBC"/>
    <w:rsid w:val="00401632"/>
    <w:rsid w:val="0040198D"/>
    <w:rsid w:val="00402027"/>
    <w:rsid w:val="00402EDC"/>
    <w:rsid w:val="00404F47"/>
    <w:rsid w:val="00406703"/>
    <w:rsid w:val="00406FB9"/>
    <w:rsid w:val="00407424"/>
    <w:rsid w:val="00410883"/>
    <w:rsid w:val="00411EDE"/>
    <w:rsid w:val="004122D1"/>
    <w:rsid w:val="0041366A"/>
    <w:rsid w:val="00414397"/>
    <w:rsid w:val="0041562F"/>
    <w:rsid w:val="004202C0"/>
    <w:rsid w:val="004206D0"/>
    <w:rsid w:val="00421335"/>
    <w:rsid w:val="00422146"/>
    <w:rsid w:val="004229F7"/>
    <w:rsid w:val="004232A6"/>
    <w:rsid w:val="00423647"/>
    <w:rsid w:val="00423A44"/>
    <w:rsid w:val="00424F8C"/>
    <w:rsid w:val="00425272"/>
    <w:rsid w:val="00426BD3"/>
    <w:rsid w:val="00426F49"/>
    <w:rsid w:val="004273B4"/>
    <w:rsid w:val="004276C9"/>
    <w:rsid w:val="004309CF"/>
    <w:rsid w:val="00431659"/>
    <w:rsid w:val="00431D9D"/>
    <w:rsid w:val="004335B3"/>
    <w:rsid w:val="0043675B"/>
    <w:rsid w:val="004401ED"/>
    <w:rsid w:val="00441477"/>
    <w:rsid w:val="00444704"/>
    <w:rsid w:val="004447D4"/>
    <w:rsid w:val="00444CCB"/>
    <w:rsid w:val="00444E14"/>
    <w:rsid w:val="004468E5"/>
    <w:rsid w:val="004469BB"/>
    <w:rsid w:val="0045064F"/>
    <w:rsid w:val="0045236D"/>
    <w:rsid w:val="004523C7"/>
    <w:rsid w:val="0045418E"/>
    <w:rsid w:val="00454528"/>
    <w:rsid w:val="00456CFD"/>
    <w:rsid w:val="00457DDF"/>
    <w:rsid w:val="004609F9"/>
    <w:rsid w:val="0046273A"/>
    <w:rsid w:val="0046353C"/>
    <w:rsid w:val="00464901"/>
    <w:rsid w:val="00464D72"/>
    <w:rsid w:val="00466ED4"/>
    <w:rsid w:val="00467917"/>
    <w:rsid w:val="00467E8D"/>
    <w:rsid w:val="0047310B"/>
    <w:rsid w:val="0047381A"/>
    <w:rsid w:val="004738C2"/>
    <w:rsid w:val="00473C17"/>
    <w:rsid w:val="0047464B"/>
    <w:rsid w:val="00475C48"/>
    <w:rsid w:val="00476BB2"/>
    <w:rsid w:val="00477293"/>
    <w:rsid w:val="00477644"/>
    <w:rsid w:val="00477D28"/>
    <w:rsid w:val="0048020B"/>
    <w:rsid w:val="0048051C"/>
    <w:rsid w:val="00480A4B"/>
    <w:rsid w:val="00481026"/>
    <w:rsid w:val="00481536"/>
    <w:rsid w:val="00482B9A"/>
    <w:rsid w:val="004835B8"/>
    <w:rsid w:val="00483B23"/>
    <w:rsid w:val="00483C87"/>
    <w:rsid w:val="00484188"/>
    <w:rsid w:val="00485117"/>
    <w:rsid w:val="00485209"/>
    <w:rsid w:val="004856C3"/>
    <w:rsid w:val="00485ADB"/>
    <w:rsid w:val="00490486"/>
    <w:rsid w:val="00490C9A"/>
    <w:rsid w:val="00490E58"/>
    <w:rsid w:val="00491484"/>
    <w:rsid w:val="00491A7C"/>
    <w:rsid w:val="00492369"/>
    <w:rsid w:val="004932A2"/>
    <w:rsid w:val="00494CDF"/>
    <w:rsid w:val="004954F8"/>
    <w:rsid w:val="0049642C"/>
    <w:rsid w:val="00496646"/>
    <w:rsid w:val="00497590"/>
    <w:rsid w:val="004A1ABA"/>
    <w:rsid w:val="004A1CFA"/>
    <w:rsid w:val="004A24FF"/>
    <w:rsid w:val="004A251E"/>
    <w:rsid w:val="004A3258"/>
    <w:rsid w:val="004A3449"/>
    <w:rsid w:val="004A3BCB"/>
    <w:rsid w:val="004A3C08"/>
    <w:rsid w:val="004A4DCA"/>
    <w:rsid w:val="004A4DF0"/>
    <w:rsid w:val="004A6432"/>
    <w:rsid w:val="004A7139"/>
    <w:rsid w:val="004B1681"/>
    <w:rsid w:val="004B20E1"/>
    <w:rsid w:val="004B2C13"/>
    <w:rsid w:val="004B34E0"/>
    <w:rsid w:val="004B72B7"/>
    <w:rsid w:val="004B734C"/>
    <w:rsid w:val="004B7895"/>
    <w:rsid w:val="004C1227"/>
    <w:rsid w:val="004C2337"/>
    <w:rsid w:val="004C2B2D"/>
    <w:rsid w:val="004C5F5E"/>
    <w:rsid w:val="004C6F2F"/>
    <w:rsid w:val="004D0B52"/>
    <w:rsid w:val="004D24EB"/>
    <w:rsid w:val="004D2E9F"/>
    <w:rsid w:val="004D4F0D"/>
    <w:rsid w:val="004D622C"/>
    <w:rsid w:val="004D780C"/>
    <w:rsid w:val="004E1352"/>
    <w:rsid w:val="004E1F77"/>
    <w:rsid w:val="004E2A33"/>
    <w:rsid w:val="004E31E1"/>
    <w:rsid w:val="004E368B"/>
    <w:rsid w:val="004E4075"/>
    <w:rsid w:val="004E45FE"/>
    <w:rsid w:val="004E55E0"/>
    <w:rsid w:val="004E5D49"/>
    <w:rsid w:val="004E6F32"/>
    <w:rsid w:val="004F051A"/>
    <w:rsid w:val="004F136D"/>
    <w:rsid w:val="004F225F"/>
    <w:rsid w:val="004F3046"/>
    <w:rsid w:val="004F4DE4"/>
    <w:rsid w:val="004F533C"/>
    <w:rsid w:val="004F5352"/>
    <w:rsid w:val="004F7C36"/>
    <w:rsid w:val="004F7D36"/>
    <w:rsid w:val="005004C1"/>
    <w:rsid w:val="0050082D"/>
    <w:rsid w:val="00500BDF"/>
    <w:rsid w:val="00502149"/>
    <w:rsid w:val="005026DA"/>
    <w:rsid w:val="00502EBA"/>
    <w:rsid w:val="005033A6"/>
    <w:rsid w:val="005035FE"/>
    <w:rsid w:val="00503831"/>
    <w:rsid w:val="00505141"/>
    <w:rsid w:val="0050699B"/>
    <w:rsid w:val="00506C64"/>
    <w:rsid w:val="00511389"/>
    <w:rsid w:val="0051195B"/>
    <w:rsid w:val="00511D32"/>
    <w:rsid w:val="0051246A"/>
    <w:rsid w:val="00514623"/>
    <w:rsid w:val="00515DC4"/>
    <w:rsid w:val="00515EFF"/>
    <w:rsid w:val="00516433"/>
    <w:rsid w:val="00517206"/>
    <w:rsid w:val="0051769D"/>
    <w:rsid w:val="005201D8"/>
    <w:rsid w:val="005202C6"/>
    <w:rsid w:val="00522832"/>
    <w:rsid w:val="00522F30"/>
    <w:rsid w:val="00523D4D"/>
    <w:rsid w:val="00524104"/>
    <w:rsid w:val="005243B2"/>
    <w:rsid w:val="0052469B"/>
    <w:rsid w:val="005329C9"/>
    <w:rsid w:val="0053458D"/>
    <w:rsid w:val="00534BF2"/>
    <w:rsid w:val="005355A8"/>
    <w:rsid w:val="005363AF"/>
    <w:rsid w:val="005368A0"/>
    <w:rsid w:val="00536FB2"/>
    <w:rsid w:val="00537B22"/>
    <w:rsid w:val="00540FEC"/>
    <w:rsid w:val="00542ED1"/>
    <w:rsid w:val="005434D6"/>
    <w:rsid w:val="005461F6"/>
    <w:rsid w:val="0054668F"/>
    <w:rsid w:val="005509D3"/>
    <w:rsid w:val="00550DB0"/>
    <w:rsid w:val="00551D56"/>
    <w:rsid w:val="005522BA"/>
    <w:rsid w:val="00552762"/>
    <w:rsid w:val="00552D20"/>
    <w:rsid w:val="005531A7"/>
    <w:rsid w:val="0055462C"/>
    <w:rsid w:val="00555556"/>
    <w:rsid w:val="005557E2"/>
    <w:rsid w:val="00556AE7"/>
    <w:rsid w:val="00557149"/>
    <w:rsid w:val="00562C3C"/>
    <w:rsid w:val="0056331F"/>
    <w:rsid w:val="00564B67"/>
    <w:rsid w:val="00566A07"/>
    <w:rsid w:val="00566B3C"/>
    <w:rsid w:val="00567357"/>
    <w:rsid w:val="00567CB2"/>
    <w:rsid w:val="00567DA6"/>
    <w:rsid w:val="00567F17"/>
    <w:rsid w:val="00570FAB"/>
    <w:rsid w:val="00571383"/>
    <w:rsid w:val="00573749"/>
    <w:rsid w:val="005740E8"/>
    <w:rsid w:val="00574495"/>
    <w:rsid w:val="005754FB"/>
    <w:rsid w:val="00576566"/>
    <w:rsid w:val="0057733C"/>
    <w:rsid w:val="00580C72"/>
    <w:rsid w:val="00580E04"/>
    <w:rsid w:val="005813B2"/>
    <w:rsid w:val="00583A80"/>
    <w:rsid w:val="005858E5"/>
    <w:rsid w:val="00586134"/>
    <w:rsid w:val="00586322"/>
    <w:rsid w:val="00586BBE"/>
    <w:rsid w:val="005874D8"/>
    <w:rsid w:val="00587870"/>
    <w:rsid w:val="00590695"/>
    <w:rsid w:val="00591D50"/>
    <w:rsid w:val="00596ED1"/>
    <w:rsid w:val="005A170F"/>
    <w:rsid w:val="005A1ADC"/>
    <w:rsid w:val="005A2331"/>
    <w:rsid w:val="005A27E1"/>
    <w:rsid w:val="005A3EFF"/>
    <w:rsid w:val="005A5B82"/>
    <w:rsid w:val="005A77F8"/>
    <w:rsid w:val="005B08F1"/>
    <w:rsid w:val="005B1888"/>
    <w:rsid w:val="005B1B3C"/>
    <w:rsid w:val="005B1F99"/>
    <w:rsid w:val="005B3045"/>
    <w:rsid w:val="005B44F1"/>
    <w:rsid w:val="005B4DE8"/>
    <w:rsid w:val="005B52B2"/>
    <w:rsid w:val="005B5CA0"/>
    <w:rsid w:val="005B633B"/>
    <w:rsid w:val="005C5301"/>
    <w:rsid w:val="005C6B20"/>
    <w:rsid w:val="005C79DA"/>
    <w:rsid w:val="005D1B06"/>
    <w:rsid w:val="005D1EC7"/>
    <w:rsid w:val="005D1EC8"/>
    <w:rsid w:val="005D22AA"/>
    <w:rsid w:val="005D31A9"/>
    <w:rsid w:val="005D3786"/>
    <w:rsid w:val="005D3B78"/>
    <w:rsid w:val="005D4BAE"/>
    <w:rsid w:val="005D5258"/>
    <w:rsid w:val="005D55A5"/>
    <w:rsid w:val="005D59DB"/>
    <w:rsid w:val="005D5A6F"/>
    <w:rsid w:val="005D5B8D"/>
    <w:rsid w:val="005D6904"/>
    <w:rsid w:val="005D7D63"/>
    <w:rsid w:val="005E0844"/>
    <w:rsid w:val="005E08EA"/>
    <w:rsid w:val="005E2AB6"/>
    <w:rsid w:val="005E4FEB"/>
    <w:rsid w:val="005E5148"/>
    <w:rsid w:val="005E6868"/>
    <w:rsid w:val="005F0933"/>
    <w:rsid w:val="005F0ADF"/>
    <w:rsid w:val="005F1507"/>
    <w:rsid w:val="005F1CC4"/>
    <w:rsid w:val="005F4733"/>
    <w:rsid w:val="005F574D"/>
    <w:rsid w:val="005F5E94"/>
    <w:rsid w:val="005F662D"/>
    <w:rsid w:val="005F7225"/>
    <w:rsid w:val="00600CDF"/>
    <w:rsid w:val="00602007"/>
    <w:rsid w:val="006035A7"/>
    <w:rsid w:val="006037E6"/>
    <w:rsid w:val="00603936"/>
    <w:rsid w:val="00604909"/>
    <w:rsid w:val="00604EE2"/>
    <w:rsid w:val="006050BE"/>
    <w:rsid w:val="00606FD2"/>
    <w:rsid w:val="00607CE6"/>
    <w:rsid w:val="006101B1"/>
    <w:rsid w:val="00614AB3"/>
    <w:rsid w:val="00617D04"/>
    <w:rsid w:val="00620C02"/>
    <w:rsid w:val="00620FD9"/>
    <w:rsid w:val="00621719"/>
    <w:rsid w:val="0062331D"/>
    <w:rsid w:val="00623FF8"/>
    <w:rsid w:val="006249D7"/>
    <w:rsid w:val="00625B26"/>
    <w:rsid w:val="006261F4"/>
    <w:rsid w:val="006279AE"/>
    <w:rsid w:val="006314F6"/>
    <w:rsid w:val="00631E75"/>
    <w:rsid w:val="006327E9"/>
    <w:rsid w:val="00632C39"/>
    <w:rsid w:val="0063404A"/>
    <w:rsid w:val="006366D7"/>
    <w:rsid w:val="006373E7"/>
    <w:rsid w:val="00641828"/>
    <w:rsid w:val="00641901"/>
    <w:rsid w:val="0064283E"/>
    <w:rsid w:val="00642C72"/>
    <w:rsid w:val="0064305F"/>
    <w:rsid w:val="00644E2A"/>
    <w:rsid w:val="006450E3"/>
    <w:rsid w:val="0064577E"/>
    <w:rsid w:val="00645BF9"/>
    <w:rsid w:val="00647CBE"/>
    <w:rsid w:val="00654301"/>
    <w:rsid w:val="0065495C"/>
    <w:rsid w:val="00657067"/>
    <w:rsid w:val="00660CF4"/>
    <w:rsid w:val="006613D9"/>
    <w:rsid w:val="00662C3D"/>
    <w:rsid w:val="00663025"/>
    <w:rsid w:val="00663987"/>
    <w:rsid w:val="0066589D"/>
    <w:rsid w:val="00666B62"/>
    <w:rsid w:val="00666D04"/>
    <w:rsid w:val="00670083"/>
    <w:rsid w:val="006708CC"/>
    <w:rsid w:val="006720AD"/>
    <w:rsid w:val="00673125"/>
    <w:rsid w:val="00673205"/>
    <w:rsid w:val="006753EC"/>
    <w:rsid w:val="00676392"/>
    <w:rsid w:val="00677B3E"/>
    <w:rsid w:val="00677CD1"/>
    <w:rsid w:val="00680465"/>
    <w:rsid w:val="0068115A"/>
    <w:rsid w:val="0068147F"/>
    <w:rsid w:val="006816D9"/>
    <w:rsid w:val="006834C7"/>
    <w:rsid w:val="0068369A"/>
    <w:rsid w:val="00684091"/>
    <w:rsid w:val="006845F6"/>
    <w:rsid w:val="0068502D"/>
    <w:rsid w:val="0069037B"/>
    <w:rsid w:val="0069126C"/>
    <w:rsid w:val="00691EA6"/>
    <w:rsid w:val="00691F52"/>
    <w:rsid w:val="00693583"/>
    <w:rsid w:val="00693D77"/>
    <w:rsid w:val="00694FEA"/>
    <w:rsid w:val="00695836"/>
    <w:rsid w:val="006963E2"/>
    <w:rsid w:val="006965BD"/>
    <w:rsid w:val="006A085F"/>
    <w:rsid w:val="006A23E1"/>
    <w:rsid w:val="006A29BA"/>
    <w:rsid w:val="006A4EF0"/>
    <w:rsid w:val="006A62B9"/>
    <w:rsid w:val="006B0E4D"/>
    <w:rsid w:val="006B14AA"/>
    <w:rsid w:val="006B1ACB"/>
    <w:rsid w:val="006B5C87"/>
    <w:rsid w:val="006B6B1D"/>
    <w:rsid w:val="006B6F20"/>
    <w:rsid w:val="006C0795"/>
    <w:rsid w:val="006C0B3E"/>
    <w:rsid w:val="006C12A3"/>
    <w:rsid w:val="006C4B38"/>
    <w:rsid w:val="006C4DDB"/>
    <w:rsid w:val="006C57E3"/>
    <w:rsid w:val="006C5B68"/>
    <w:rsid w:val="006C6D88"/>
    <w:rsid w:val="006C7259"/>
    <w:rsid w:val="006D2CFC"/>
    <w:rsid w:val="006D2F0D"/>
    <w:rsid w:val="006D4823"/>
    <w:rsid w:val="006D5C37"/>
    <w:rsid w:val="006E1E04"/>
    <w:rsid w:val="006E2269"/>
    <w:rsid w:val="006E2690"/>
    <w:rsid w:val="006E27CD"/>
    <w:rsid w:val="006E55F2"/>
    <w:rsid w:val="006E763B"/>
    <w:rsid w:val="006F067D"/>
    <w:rsid w:val="006F0CD2"/>
    <w:rsid w:val="006F1D30"/>
    <w:rsid w:val="006F7A6B"/>
    <w:rsid w:val="007017A2"/>
    <w:rsid w:val="00701AC7"/>
    <w:rsid w:val="007051B7"/>
    <w:rsid w:val="00705446"/>
    <w:rsid w:val="00705AC8"/>
    <w:rsid w:val="00707DFB"/>
    <w:rsid w:val="00710308"/>
    <w:rsid w:val="00710F08"/>
    <w:rsid w:val="00711655"/>
    <w:rsid w:val="007118D5"/>
    <w:rsid w:val="00711A16"/>
    <w:rsid w:val="00711AB7"/>
    <w:rsid w:val="00711BBB"/>
    <w:rsid w:val="00713CBC"/>
    <w:rsid w:val="0071527E"/>
    <w:rsid w:val="00715320"/>
    <w:rsid w:val="00715CE7"/>
    <w:rsid w:val="00716A44"/>
    <w:rsid w:val="00720D8E"/>
    <w:rsid w:val="007215A0"/>
    <w:rsid w:val="007215A8"/>
    <w:rsid w:val="007217FF"/>
    <w:rsid w:val="00722834"/>
    <w:rsid w:val="007267F0"/>
    <w:rsid w:val="00727268"/>
    <w:rsid w:val="00727DCA"/>
    <w:rsid w:val="007309EC"/>
    <w:rsid w:val="00733660"/>
    <w:rsid w:val="00733892"/>
    <w:rsid w:val="0073694F"/>
    <w:rsid w:val="00736FD1"/>
    <w:rsid w:val="00740821"/>
    <w:rsid w:val="00740CFA"/>
    <w:rsid w:val="00742AF8"/>
    <w:rsid w:val="007432B8"/>
    <w:rsid w:val="00746133"/>
    <w:rsid w:val="00747C9D"/>
    <w:rsid w:val="00747F1B"/>
    <w:rsid w:val="00750287"/>
    <w:rsid w:val="00750A0D"/>
    <w:rsid w:val="007515BC"/>
    <w:rsid w:val="00751E10"/>
    <w:rsid w:val="00752535"/>
    <w:rsid w:val="00752CC8"/>
    <w:rsid w:val="007533FA"/>
    <w:rsid w:val="00753FC1"/>
    <w:rsid w:val="00755007"/>
    <w:rsid w:val="0075699A"/>
    <w:rsid w:val="007571ED"/>
    <w:rsid w:val="00757D90"/>
    <w:rsid w:val="00762A92"/>
    <w:rsid w:val="007632C7"/>
    <w:rsid w:val="00766373"/>
    <w:rsid w:val="007666AB"/>
    <w:rsid w:val="0076721B"/>
    <w:rsid w:val="00767BD5"/>
    <w:rsid w:val="00767D3C"/>
    <w:rsid w:val="0077151A"/>
    <w:rsid w:val="007716E2"/>
    <w:rsid w:val="0077280E"/>
    <w:rsid w:val="007745D7"/>
    <w:rsid w:val="007751A4"/>
    <w:rsid w:val="00775B0C"/>
    <w:rsid w:val="00775C97"/>
    <w:rsid w:val="0078061D"/>
    <w:rsid w:val="00780AD9"/>
    <w:rsid w:val="007828FB"/>
    <w:rsid w:val="007831F7"/>
    <w:rsid w:val="0078438A"/>
    <w:rsid w:val="00785D94"/>
    <w:rsid w:val="00786A54"/>
    <w:rsid w:val="00790039"/>
    <w:rsid w:val="007901BA"/>
    <w:rsid w:val="0079159E"/>
    <w:rsid w:val="00792FA8"/>
    <w:rsid w:val="007932D4"/>
    <w:rsid w:val="0079392E"/>
    <w:rsid w:val="00793952"/>
    <w:rsid w:val="00793C49"/>
    <w:rsid w:val="0079449E"/>
    <w:rsid w:val="0079494A"/>
    <w:rsid w:val="007959D3"/>
    <w:rsid w:val="00796D13"/>
    <w:rsid w:val="00796E18"/>
    <w:rsid w:val="00797030"/>
    <w:rsid w:val="007A1696"/>
    <w:rsid w:val="007A23AC"/>
    <w:rsid w:val="007A3962"/>
    <w:rsid w:val="007A644D"/>
    <w:rsid w:val="007A6EA8"/>
    <w:rsid w:val="007A7403"/>
    <w:rsid w:val="007B1E60"/>
    <w:rsid w:val="007B5046"/>
    <w:rsid w:val="007B73C9"/>
    <w:rsid w:val="007B7697"/>
    <w:rsid w:val="007B76EC"/>
    <w:rsid w:val="007C1348"/>
    <w:rsid w:val="007C1A4F"/>
    <w:rsid w:val="007C1F4F"/>
    <w:rsid w:val="007C2D4E"/>
    <w:rsid w:val="007C4DF1"/>
    <w:rsid w:val="007C4E02"/>
    <w:rsid w:val="007C56EA"/>
    <w:rsid w:val="007C6247"/>
    <w:rsid w:val="007C6E33"/>
    <w:rsid w:val="007C7271"/>
    <w:rsid w:val="007C7FEF"/>
    <w:rsid w:val="007D3020"/>
    <w:rsid w:val="007D3B86"/>
    <w:rsid w:val="007D57F0"/>
    <w:rsid w:val="007D7087"/>
    <w:rsid w:val="007E0EC3"/>
    <w:rsid w:val="007E2AA1"/>
    <w:rsid w:val="007E6310"/>
    <w:rsid w:val="007E7FB8"/>
    <w:rsid w:val="007F0F00"/>
    <w:rsid w:val="007F222F"/>
    <w:rsid w:val="007F37AD"/>
    <w:rsid w:val="007F37E5"/>
    <w:rsid w:val="007F474B"/>
    <w:rsid w:val="007F4BE5"/>
    <w:rsid w:val="007F654E"/>
    <w:rsid w:val="007F6EF5"/>
    <w:rsid w:val="00800673"/>
    <w:rsid w:val="00802C6E"/>
    <w:rsid w:val="00802D75"/>
    <w:rsid w:val="00804119"/>
    <w:rsid w:val="00804513"/>
    <w:rsid w:val="00806277"/>
    <w:rsid w:val="00807867"/>
    <w:rsid w:val="00807AF4"/>
    <w:rsid w:val="00807F13"/>
    <w:rsid w:val="00810346"/>
    <w:rsid w:val="008112F1"/>
    <w:rsid w:val="008147D5"/>
    <w:rsid w:val="00814E98"/>
    <w:rsid w:val="00817FCA"/>
    <w:rsid w:val="008202BD"/>
    <w:rsid w:val="008207F7"/>
    <w:rsid w:val="008218ED"/>
    <w:rsid w:val="00825063"/>
    <w:rsid w:val="00825A57"/>
    <w:rsid w:val="00825C83"/>
    <w:rsid w:val="0082683D"/>
    <w:rsid w:val="00827296"/>
    <w:rsid w:val="00832674"/>
    <w:rsid w:val="008337F4"/>
    <w:rsid w:val="00834057"/>
    <w:rsid w:val="00834BFB"/>
    <w:rsid w:val="00835D81"/>
    <w:rsid w:val="0083645B"/>
    <w:rsid w:val="0083686D"/>
    <w:rsid w:val="00837AA8"/>
    <w:rsid w:val="008408FA"/>
    <w:rsid w:val="00840ABE"/>
    <w:rsid w:val="008421AE"/>
    <w:rsid w:val="00844037"/>
    <w:rsid w:val="0084409B"/>
    <w:rsid w:val="008452F1"/>
    <w:rsid w:val="00845BBA"/>
    <w:rsid w:val="00845C37"/>
    <w:rsid w:val="00845E48"/>
    <w:rsid w:val="008462FD"/>
    <w:rsid w:val="00846B73"/>
    <w:rsid w:val="008470C6"/>
    <w:rsid w:val="008470D9"/>
    <w:rsid w:val="008472EB"/>
    <w:rsid w:val="00850314"/>
    <w:rsid w:val="0085079C"/>
    <w:rsid w:val="00853E97"/>
    <w:rsid w:val="008540A7"/>
    <w:rsid w:val="0085543F"/>
    <w:rsid w:val="00856ACD"/>
    <w:rsid w:val="00857A88"/>
    <w:rsid w:val="00857B20"/>
    <w:rsid w:val="00861235"/>
    <w:rsid w:val="008636E9"/>
    <w:rsid w:val="0086387A"/>
    <w:rsid w:val="0086391B"/>
    <w:rsid w:val="00864D87"/>
    <w:rsid w:val="00865B7D"/>
    <w:rsid w:val="0086610B"/>
    <w:rsid w:val="00867144"/>
    <w:rsid w:val="0086787A"/>
    <w:rsid w:val="00870F03"/>
    <w:rsid w:val="00871D19"/>
    <w:rsid w:val="00872B90"/>
    <w:rsid w:val="00873105"/>
    <w:rsid w:val="008744B8"/>
    <w:rsid w:val="0087551C"/>
    <w:rsid w:val="008769DB"/>
    <w:rsid w:val="00882023"/>
    <w:rsid w:val="0088270D"/>
    <w:rsid w:val="00882B63"/>
    <w:rsid w:val="00882C35"/>
    <w:rsid w:val="00883990"/>
    <w:rsid w:val="008840C5"/>
    <w:rsid w:val="008847B1"/>
    <w:rsid w:val="00885BB4"/>
    <w:rsid w:val="008865BE"/>
    <w:rsid w:val="00887501"/>
    <w:rsid w:val="00887F51"/>
    <w:rsid w:val="0089104D"/>
    <w:rsid w:val="00891D9A"/>
    <w:rsid w:val="00892674"/>
    <w:rsid w:val="00892DD6"/>
    <w:rsid w:val="00895C70"/>
    <w:rsid w:val="008A03A9"/>
    <w:rsid w:val="008A0C3A"/>
    <w:rsid w:val="008A2313"/>
    <w:rsid w:val="008A2537"/>
    <w:rsid w:val="008A39DC"/>
    <w:rsid w:val="008A4246"/>
    <w:rsid w:val="008A43DA"/>
    <w:rsid w:val="008A4448"/>
    <w:rsid w:val="008A6B33"/>
    <w:rsid w:val="008A75A9"/>
    <w:rsid w:val="008A7740"/>
    <w:rsid w:val="008A77ED"/>
    <w:rsid w:val="008A7C39"/>
    <w:rsid w:val="008A7D75"/>
    <w:rsid w:val="008B0490"/>
    <w:rsid w:val="008B09BB"/>
    <w:rsid w:val="008B0A04"/>
    <w:rsid w:val="008B2A77"/>
    <w:rsid w:val="008B32F9"/>
    <w:rsid w:val="008B3775"/>
    <w:rsid w:val="008B3860"/>
    <w:rsid w:val="008B38A8"/>
    <w:rsid w:val="008B4E1D"/>
    <w:rsid w:val="008B5D43"/>
    <w:rsid w:val="008B76F5"/>
    <w:rsid w:val="008C0EEF"/>
    <w:rsid w:val="008C22F0"/>
    <w:rsid w:val="008C2AE0"/>
    <w:rsid w:val="008C427E"/>
    <w:rsid w:val="008C5E98"/>
    <w:rsid w:val="008C7259"/>
    <w:rsid w:val="008C7D70"/>
    <w:rsid w:val="008D0A2C"/>
    <w:rsid w:val="008D1873"/>
    <w:rsid w:val="008D4E90"/>
    <w:rsid w:val="008D5542"/>
    <w:rsid w:val="008D6614"/>
    <w:rsid w:val="008D6B39"/>
    <w:rsid w:val="008E066D"/>
    <w:rsid w:val="008E16DE"/>
    <w:rsid w:val="008E2CAD"/>
    <w:rsid w:val="008E3F86"/>
    <w:rsid w:val="008E434B"/>
    <w:rsid w:val="008E47B0"/>
    <w:rsid w:val="008E4831"/>
    <w:rsid w:val="008E4880"/>
    <w:rsid w:val="008E64D4"/>
    <w:rsid w:val="008F05EE"/>
    <w:rsid w:val="008F1FDC"/>
    <w:rsid w:val="008F2342"/>
    <w:rsid w:val="008F3C47"/>
    <w:rsid w:val="008F3D02"/>
    <w:rsid w:val="008F3F2E"/>
    <w:rsid w:val="008F56CB"/>
    <w:rsid w:val="008F64B6"/>
    <w:rsid w:val="008F7E88"/>
    <w:rsid w:val="0090131B"/>
    <w:rsid w:val="00901473"/>
    <w:rsid w:val="009067C8"/>
    <w:rsid w:val="009068CC"/>
    <w:rsid w:val="009073D6"/>
    <w:rsid w:val="009103D4"/>
    <w:rsid w:val="009114CB"/>
    <w:rsid w:val="009128A7"/>
    <w:rsid w:val="00912DE1"/>
    <w:rsid w:val="00913711"/>
    <w:rsid w:val="00913A95"/>
    <w:rsid w:val="009148F8"/>
    <w:rsid w:val="00914902"/>
    <w:rsid w:val="00920076"/>
    <w:rsid w:val="00922600"/>
    <w:rsid w:val="00922A05"/>
    <w:rsid w:val="00922E02"/>
    <w:rsid w:val="00923408"/>
    <w:rsid w:val="00924198"/>
    <w:rsid w:val="00925AB9"/>
    <w:rsid w:val="00925D3A"/>
    <w:rsid w:val="00926D49"/>
    <w:rsid w:val="009272B7"/>
    <w:rsid w:val="00931618"/>
    <w:rsid w:val="009323AF"/>
    <w:rsid w:val="0093281F"/>
    <w:rsid w:val="00932B25"/>
    <w:rsid w:val="00933ADC"/>
    <w:rsid w:val="00933EC9"/>
    <w:rsid w:val="009345C6"/>
    <w:rsid w:val="00935018"/>
    <w:rsid w:val="00935B4E"/>
    <w:rsid w:val="00935C20"/>
    <w:rsid w:val="00935E6A"/>
    <w:rsid w:val="00937492"/>
    <w:rsid w:val="0093755A"/>
    <w:rsid w:val="009375DD"/>
    <w:rsid w:val="009377A4"/>
    <w:rsid w:val="00937988"/>
    <w:rsid w:val="00943689"/>
    <w:rsid w:val="00944986"/>
    <w:rsid w:val="00944A3F"/>
    <w:rsid w:val="00945931"/>
    <w:rsid w:val="009467AE"/>
    <w:rsid w:val="00947400"/>
    <w:rsid w:val="00951190"/>
    <w:rsid w:val="0095158C"/>
    <w:rsid w:val="00953271"/>
    <w:rsid w:val="00953D1A"/>
    <w:rsid w:val="0095473A"/>
    <w:rsid w:val="00954BD4"/>
    <w:rsid w:val="009558FA"/>
    <w:rsid w:val="00956EEA"/>
    <w:rsid w:val="00956FDA"/>
    <w:rsid w:val="009622F6"/>
    <w:rsid w:val="00964126"/>
    <w:rsid w:val="00964C54"/>
    <w:rsid w:val="009654C5"/>
    <w:rsid w:val="00965983"/>
    <w:rsid w:val="0096654F"/>
    <w:rsid w:val="00967333"/>
    <w:rsid w:val="009706D9"/>
    <w:rsid w:val="00970EDC"/>
    <w:rsid w:val="0097219C"/>
    <w:rsid w:val="00972686"/>
    <w:rsid w:val="009741F9"/>
    <w:rsid w:val="00974E21"/>
    <w:rsid w:val="00975CDD"/>
    <w:rsid w:val="00976EF3"/>
    <w:rsid w:val="00980048"/>
    <w:rsid w:val="009804B7"/>
    <w:rsid w:val="00980E47"/>
    <w:rsid w:val="00981373"/>
    <w:rsid w:val="0098254D"/>
    <w:rsid w:val="00982AC3"/>
    <w:rsid w:val="00983D11"/>
    <w:rsid w:val="009861D3"/>
    <w:rsid w:val="00986DC0"/>
    <w:rsid w:val="009904AD"/>
    <w:rsid w:val="00994F58"/>
    <w:rsid w:val="00995C8B"/>
    <w:rsid w:val="00996FB9"/>
    <w:rsid w:val="009970F9"/>
    <w:rsid w:val="009978C5"/>
    <w:rsid w:val="009A0AA8"/>
    <w:rsid w:val="009A0C2A"/>
    <w:rsid w:val="009A1582"/>
    <w:rsid w:val="009A2490"/>
    <w:rsid w:val="009A2F24"/>
    <w:rsid w:val="009A4561"/>
    <w:rsid w:val="009A4844"/>
    <w:rsid w:val="009A7B32"/>
    <w:rsid w:val="009B0038"/>
    <w:rsid w:val="009B1294"/>
    <w:rsid w:val="009B1B68"/>
    <w:rsid w:val="009B1F36"/>
    <w:rsid w:val="009B21A2"/>
    <w:rsid w:val="009B2A32"/>
    <w:rsid w:val="009B2F95"/>
    <w:rsid w:val="009B40D2"/>
    <w:rsid w:val="009B4998"/>
    <w:rsid w:val="009B70D2"/>
    <w:rsid w:val="009C02A5"/>
    <w:rsid w:val="009C138B"/>
    <w:rsid w:val="009C18B0"/>
    <w:rsid w:val="009C2005"/>
    <w:rsid w:val="009C4232"/>
    <w:rsid w:val="009C4FD6"/>
    <w:rsid w:val="009C5510"/>
    <w:rsid w:val="009C644B"/>
    <w:rsid w:val="009C6F87"/>
    <w:rsid w:val="009C741B"/>
    <w:rsid w:val="009C7D79"/>
    <w:rsid w:val="009D3F56"/>
    <w:rsid w:val="009D5CD4"/>
    <w:rsid w:val="009D6D09"/>
    <w:rsid w:val="009D6FFC"/>
    <w:rsid w:val="009D750D"/>
    <w:rsid w:val="009D793F"/>
    <w:rsid w:val="009D79A4"/>
    <w:rsid w:val="009D7DC9"/>
    <w:rsid w:val="009E00FB"/>
    <w:rsid w:val="009E0312"/>
    <w:rsid w:val="009E0602"/>
    <w:rsid w:val="009E0A3A"/>
    <w:rsid w:val="009E42A9"/>
    <w:rsid w:val="009E4569"/>
    <w:rsid w:val="009E4DB2"/>
    <w:rsid w:val="009E6C3B"/>
    <w:rsid w:val="009E73D4"/>
    <w:rsid w:val="009E75E5"/>
    <w:rsid w:val="009E797F"/>
    <w:rsid w:val="009F1548"/>
    <w:rsid w:val="009F211D"/>
    <w:rsid w:val="009F2ABE"/>
    <w:rsid w:val="009F3CA1"/>
    <w:rsid w:val="009F3F80"/>
    <w:rsid w:val="009F4008"/>
    <w:rsid w:val="009F486E"/>
    <w:rsid w:val="009F4FAE"/>
    <w:rsid w:val="00A0026A"/>
    <w:rsid w:val="00A00CE2"/>
    <w:rsid w:val="00A01340"/>
    <w:rsid w:val="00A0326A"/>
    <w:rsid w:val="00A040B7"/>
    <w:rsid w:val="00A051EB"/>
    <w:rsid w:val="00A06B66"/>
    <w:rsid w:val="00A0723C"/>
    <w:rsid w:val="00A075A6"/>
    <w:rsid w:val="00A07FE7"/>
    <w:rsid w:val="00A1002A"/>
    <w:rsid w:val="00A10386"/>
    <w:rsid w:val="00A1129C"/>
    <w:rsid w:val="00A11FC4"/>
    <w:rsid w:val="00A13BB3"/>
    <w:rsid w:val="00A14892"/>
    <w:rsid w:val="00A165A6"/>
    <w:rsid w:val="00A16A75"/>
    <w:rsid w:val="00A16C93"/>
    <w:rsid w:val="00A174C8"/>
    <w:rsid w:val="00A17817"/>
    <w:rsid w:val="00A17D1B"/>
    <w:rsid w:val="00A20655"/>
    <w:rsid w:val="00A22A1F"/>
    <w:rsid w:val="00A242A8"/>
    <w:rsid w:val="00A24C93"/>
    <w:rsid w:val="00A25631"/>
    <w:rsid w:val="00A25C3C"/>
    <w:rsid w:val="00A26C23"/>
    <w:rsid w:val="00A27760"/>
    <w:rsid w:val="00A27AA7"/>
    <w:rsid w:val="00A30AF7"/>
    <w:rsid w:val="00A33F12"/>
    <w:rsid w:val="00A340E4"/>
    <w:rsid w:val="00A35685"/>
    <w:rsid w:val="00A3691C"/>
    <w:rsid w:val="00A376A9"/>
    <w:rsid w:val="00A37AEB"/>
    <w:rsid w:val="00A44EF2"/>
    <w:rsid w:val="00A47B20"/>
    <w:rsid w:val="00A50F7B"/>
    <w:rsid w:val="00A514D0"/>
    <w:rsid w:val="00A51838"/>
    <w:rsid w:val="00A526DC"/>
    <w:rsid w:val="00A5279A"/>
    <w:rsid w:val="00A52CDC"/>
    <w:rsid w:val="00A530F7"/>
    <w:rsid w:val="00A544BC"/>
    <w:rsid w:val="00A57612"/>
    <w:rsid w:val="00A578EF"/>
    <w:rsid w:val="00A5797A"/>
    <w:rsid w:val="00A57C1C"/>
    <w:rsid w:val="00A57FB6"/>
    <w:rsid w:val="00A61403"/>
    <w:rsid w:val="00A62818"/>
    <w:rsid w:val="00A63426"/>
    <w:rsid w:val="00A642AE"/>
    <w:rsid w:val="00A646EB"/>
    <w:rsid w:val="00A647E0"/>
    <w:rsid w:val="00A666E1"/>
    <w:rsid w:val="00A67479"/>
    <w:rsid w:val="00A67903"/>
    <w:rsid w:val="00A67A1C"/>
    <w:rsid w:val="00A67BE0"/>
    <w:rsid w:val="00A67DA5"/>
    <w:rsid w:val="00A70393"/>
    <w:rsid w:val="00A72529"/>
    <w:rsid w:val="00A744C2"/>
    <w:rsid w:val="00A760D4"/>
    <w:rsid w:val="00A7688B"/>
    <w:rsid w:val="00A77019"/>
    <w:rsid w:val="00A7773B"/>
    <w:rsid w:val="00A82421"/>
    <w:rsid w:val="00A8474E"/>
    <w:rsid w:val="00A86892"/>
    <w:rsid w:val="00A86E89"/>
    <w:rsid w:val="00A87569"/>
    <w:rsid w:val="00A90CCE"/>
    <w:rsid w:val="00A943DA"/>
    <w:rsid w:val="00A94C94"/>
    <w:rsid w:val="00A9665E"/>
    <w:rsid w:val="00A96C25"/>
    <w:rsid w:val="00A972CB"/>
    <w:rsid w:val="00A97BA7"/>
    <w:rsid w:val="00A97D4F"/>
    <w:rsid w:val="00AA113E"/>
    <w:rsid w:val="00AA2C9E"/>
    <w:rsid w:val="00AA3DBE"/>
    <w:rsid w:val="00AA4053"/>
    <w:rsid w:val="00AA5122"/>
    <w:rsid w:val="00AA64D6"/>
    <w:rsid w:val="00AA67E8"/>
    <w:rsid w:val="00AA6F02"/>
    <w:rsid w:val="00AA74C1"/>
    <w:rsid w:val="00AB2E56"/>
    <w:rsid w:val="00AB3F86"/>
    <w:rsid w:val="00AB44D1"/>
    <w:rsid w:val="00AB4F90"/>
    <w:rsid w:val="00AB6D0B"/>
    <w:rsid w:val="00AB6F10"/>
    <w:rsid w:val="00AB7874"/>
    <w:rsid w:val="00AC237A"/>
    <w:rsid w:val="00AC2E1D"/>
    <w:rsid w:val="00AC3891"/>
    <w:rsid w:val="00AC3C8C"/>
    <w:rsid w:val="00AC5870"/>
    <w:rsid w:val="00AC6504"/>
    <w:rsid w:val="00AC7614"/>
    <w:rsid w:val="00AC7B93"/>
    <w:rsid w:val="00AD0D30"/>
    <w:rsid w:val="00AD13D2"/>
    <w:rsid w:val="00AD212E"/>
    <w:rsid w:val="00AD4FC0"/>
    <w:rsid w:val="00AD5A2B"/>
    <w:rsid w:val="00AD6230"/>
    <w:rsid w:val="00AD77BC"/>
    <w:rsid w:val="00AD789C"/>
    <w:rsid w:val="00AE011F"/>
    <w:rsid w:val="00AE18CC"/>
    <w:rsid w:val="00AE3822"/>
    <w:rsid w:val="00AE3F8C"/>
    <w:rsid w:val="00AE5061"/>
    <w:rsid w:val="00AE59EE"/>
    <w:rsid w:val="00AE5DFB"/>
    <w:rsid w:val="00AE670E"/>
    <w:rsid w:val="00AE7C00"/>
    <w:rsid w:val="00AF2DD4"/>
    <w:rsid w:val="00AF305F"/>
    <w:rsid w:val="00AF3A52"/>
    <w:rsid w:val="00AF475F"/>
    <w:rsid w:val="00AF5992"/>
    <w:rsid w:val="00AF5DC1"/>
    <w:rsid w:val="00AF7A28"/>
    <w:rsid w:val="00B01372"/>
    <w:rsid w:val="00B01C7A"/>
    <w:rsid w:val="00B045B2"/>
    <w:rsid w:val="00B04F2C"/>
    <w:rsid w:val="00B05349"/>
    <w:rsid w:val="00B05C9C"/>
    <w:rsid w:val="00B07009"/>
    <w:rsid w:val="00B0769F"/>
    <w:rsid w:val="00B10B9E"/>
    <w:rsid w:val="00B10E00"/>
    <w:rsid w:val="00B10EBD"/>
    <w:rsid w:val="00B11DB1"/>
    <w:rsid w:val="00B12049"/>
    <w:rsid w:val="00B12D84"/>
    <w:rsid w:val="00B14CC0"/>
    <w:rsid w:val="00B1566C"/>
    <w:rsid w:val="00B15905"/>
    <w:rsid w:val="00B16705"/>
    <w:rsid w:val="00B234A3"/>
    <w:rsid w:val="00B2440C"/>
    <w:rsid w:val="00B24BAC"/>
    <w:rsid w:val="00B25FC5"/>
    <w:rsid w:val="00B2767F"/>
    <w:rsid w:val="00B279C4"/>
    <w:rsid w:val="00B27FEA"/>
    <w:rsid w:val="00B3175A"/>
    <w:rsid w:val="00B317F8"/>
    <w:rsid w:val="00B330F7"/>
    <w:rsid w:val="00B333ED"/>
    <w:rsid w:val="00B34CD3"/>
    <w:rsid w:val="00B35E06"/>
    <w:rsid w:val="00B36524"/>
    <w:rsid w:val="00B367EB"/>
    <w:rsid w:val="00B36A66"/>
    <w:rsid w:val="00B37832"/>
    <w:rsid w:val="00B43E82"/>
    <w:rsid w:val="00B45800"/>
    <w:rsid w:val="00B461E9"/>
    <w:rsid w:val="00B46F31"/>
    <w:rsid w:val="00B50D39"/>
    <w:rsid w:val="00B513EA"/>
    <w:rsid w:val="00B51C87"/>
    <w:rsid w:val="00B51D1E"/>
    <w:rsid w:val="00B525A3"/>
    <w:rsid w:val="00B5323D"/>
    <w:rsid w:val="00B5388E"/>
    <w:rsid w:val="00B53DED"/>
    <w:rsid w:val="00B53E02"/>
    <w:rsid w:val="00B541D8"/>
    <w:rsid w:val="00B54A06"/>
    <w:rsid w:val="00B54D84"/>
    <w:rsid w:val="00B56861"/>
    <w:rsid w:val="00B576A0"/>
    <w:rsid w:val="00B60556"/>
    <w:rsid w:val="00B60912"/>
    <w:rsid w:val="00B61A8D"/>
    <w:rsid w:val="00B61D99"/>
    <w:rsid w:val="00B6290E"/>
    <w:rsid w:val="00B632FF"/>
    <w:rsid w:val="00B63481"/>
    <w:rsid w:val="00B6377E"/>
    <w:rsid w:val="00B654ED"/>
    <w:rsid w:val="00B668A5"/>
    <w:rsid w:val="00B66A16"/>
    <w:rsid w:val="00B66F46"/>
    <w:rsid w:val="00B670EE"/>
    <w:rsid w:val="00B67281"/>
    <w:rsid w:val="00B71FD4"/>
    <w:rsid w:val="00B72720"/>
    <w:rsid w:val="00B7298A"/>
    <w:rsid w:val="00B737F9"/>
    <w:rsid w:val="00B742BF"/>
    <w:rsid w:val="00B7501F"/>
    <w:rsid w:val="00B753F4"/>
    <w:rsid w:val="00B7541B"/>
    <w:rsid w:val="00B779A6"/>
    <w:rsid w:val="00B77E29"/>
    <w:rsid w:val="00B810C7"/>
    <w:rsid w:val="00B81A73"/>
    <w:rsid w:val="00B82A36"/>
    <w:rsid w:val="00B82AA9"/>
    <w:rsid w:val="00B8317A"/>
    <w:rsid w:val="00B83C9B"/>
    <w:rsid w:val="00B841F0"/>
    <w:rsid w:val="00B8422A"/>
    <w:rsid w:val="00B84857"/>
    <w:rsid w:val="00B879D6"/>
    <w:rsid w:val="00B91C4C"/>
    <w:rsid w:val="00B9221D"/>
    <w:rsid w:val="00B92253"/>
    <w:rsid w:val="00B96076"/>
    <w:rsid w:val="00B96826"/>
    <w:rsid w:val="00B96E95"/>
    <w:rsid w:val="00B97AC0"/>
    <w:rsid w:val="00B97E02"/>
    <w:rsid w:val="00BA0A3A"/>
    <w:rsid w:val="00BA0ADF"/>
    <w:rsid w:val="00BA13C9"/>
    <w:rsid w:val="00BA1A89"/>
    <w:rsid w:val="00BA2CBA"/>
    <w:rsid w:val="00BA487C"/>
    <w:rsid w:val="00BA4FF6"/>
    <w:rsid w:val="00BA62E5"/>
    <w:rsid w:val="00BB00A4"/>
    <w:rsid w:val="00BB017E"/>
    <w:rsid w:val="00BB0A4F"/>
    <w:rsid w:val="00BB0CD0"/>
    <w:rsid w:val="00BB0DAE"/>
    <w:rsid w:val="00BB1DB6"/>
    <w:rsid w:val="00BB30CC"/>
    <w:rsid w:val="00BB47F8"/>
    <w:rsid w:val="00BB4B68"/>
    <w:rsid w:val="00BB4B9D"/>
    <w:rsid w:val="00BB6BBA"/>
    <w:rsid w:val="00BC04FF"/>
    <w:rsid w:val="00BC0F9C"/>
    <w:rsid w:val="00BC16E2"/>
    <w:rsid w:val="00BC17F0"/>
    <w:rsid w:val="00BC19C8"/>
    <w:rsid w:val="00BC1E92"/>
    <w:rsid w:val="00BC21F2"/>
    <w:rsid w:val="00BC2BC1"/>
    <w:rsid w:val="00BC4C3D"/>
    <w:rsid w:val="00BC5BE9"/>
    <w:rsid w:val="00BC7DBC"/>
    <w:rsid w:val="00BD08CB"/>
    <w:rsid w:val="00BD10E9"/>
    <w:rsid w:val="00BD1A2B"/>
    <w:rsid w:val="00BD1DE5"/>
    <w:rsid w:val="00BD496E"/>
    <w:rsid w:val="00BD4C3B"/>
    <w:rsid w:val="00BD516E"/>
    <w:rsid w:val="00BD57A1"/>
    <w:rsid w:val="00BE2DCC"/>
    <w:rsid w:val="00BE3109"/>
    <w:rsid w:val="00BE41EF"/>
    <w:rsid w:val="00BE433B"/>
    <w:rsid w:val="00BE5705"/>
    <w:rsid w:val="00BE5C27"/>
    <w:rsid w:val="00BE5DC4"/>
    <w:rsid w:val="00BE60E9"/>
    <w:rsid w:val="00BE7666"/>
    <w:rsid w:val="00BF0331"/>
    <w:rsid w:val="00BF0DB5"/>
    <w:rsid w:val="00BF0F85"/>
    <w:rsid w:val="00BF19A1"/>
    <w:rsid w:val="00BF26AF"/>
    <w:rsid w:val="00BF28FF"/>
    <w:rsid w:val="00BF5F0E"/>
    <w:rsid w:val="00C00509"/>
    <w:rsid w:val="00C00563"/>
    <w:rsid w:val="00C00784"/>
    <w:rsid w:val="00C01C08"/>
    <w:rsid w:val="00C03F17"/>
    <w:rsid w:val="00C04868"/>
    <w:rsid w:val="00C04CD9"/>
    <w:rsid w:val="00C050EC"/>
    <w:rsid w:val="00C07565"/>
    <w:rsid w:val="00C07761"/>
    <w:rsid w:val="00C07BF5"/>
    <w:rsid w:val="00C10C45"/>
    <w:rsid w:val="00C1102F"/>
    <w:rsid w:val="00C12B63"/>
    <w:rsid w:val="00C13464"/>
    <w:rsid w:val="00C160EC"/>
    <w:rsid w:val="00C16F26"/>
    <w:rsid w:val="00C17AD4"/>
    <w:rsid w:val="00C17C3F"/>
    <w:rsid w:val="00C21020"/>
    <w:rsid w:val="00C22E68"/>
    <w:rsid w:val="00C230CB"/>
    <w:rsid w:val="00C23743"/>
    <w:rsid w:val="00C25098"/>
    <w:rsid w:val="00C26127"/>
    <w:rsid w:val="00C26B3E"/>
    <w:rsid w:val="00C2798B"/>
    <w:rsid w:val="00C27C36"/>
    <w:rsid w:val="00C3004E"/>
    <w:rsid w:val="00C309E8"/>
    <w:rsid w:val="00C30B0C"/>
    <w:rsid w:val="00C30E79"/>
    <w:rsid w:val="00C314EF"/>
    <w:rsid w:val="00C32417"/>
    <w:rsid w:val="00C3249F"/>
    <w:rsid w:val="00C32D54"/>
    <w:rsid w:val="00C335CB"/>
    <w:rsid w:val="00C33C12"/>
    <w:rsid w:val="00C34372"/>
    <w:rsid w:val="00C358D2"/>
    <w:rsid w:val="00C361BF"/>
    <w:rsid w:val="00C3727E"/>
    <w:rsid w:val="00C42225"/>
    <w:rsid w:val="00C4253C"/>
    <w:rsid w:val="00C437AF"/>
    <w:rsid w:val="00C43FC3"/>
    <w:rsid w:val="00C46DF9"/>
    <w:rsid w:val="00C472DF"/>
    <w:rsid w:val="00C50C1B"/>
    <w:rsid w:val="00C5398E"/>
    <w:rsid w:val="00C5450C"/>
    <w:rsid w:val="00C554EC"/>
    <w:rsid w:val="00C55C35"/>
    <w:rsid w:val="00C57987"/>
    <w:rsid w:val="00C6144F"/>
    <w:rsid w:val="00C6463A"/>
    <w:rsid w:val="00C664FD"/>
    <w:rsid w:val="00C71850"/>
    <w:rsid w:val="00C73A10"/>
    <w:rsid w:val="00C747DE"/>
    <w:rsid w:val="00C7656C"/>
    <w:rsid w:val="00C7671E"/>
    <w:rsid w:val="00C7691D"/>
    <w:rsid w:val="00C8304D"/>
    <w:rsid w:val="00C85467"/>
    <w:rsid w:val="00C873D2"/>
    <w:rsid w:val="00C877AD"/>
    <w:rsid w:val="00C90C12"/>
    <w:rsid w:val="00C91FDC"/>
    <w:rsid w:val="00C921AA"/>
    <w:rsid w:val="00C92C1F"/>
    <w:rsid w:val="00C9307F"/>
    <w:rsid w:val="00C93231"/>
    <w:rsid w:val="00C93FD8"/>
    <w:rsid w:val="00C95338"/>
    <w:rsid w:val="00C957FC"/>
    <w:rsid w:val="00C96137"/>
    <w:rsid w:val="00C96A89"/>
    <w:rsid w:val="00C96DD0"/>
    <w:rsid w:val="00C97899"/>
    <w:rsid w:val="00CA03AE"/>
    <w:rsid w:val="00CA33C1"/>
    <w:rsid w:val="00CA5F60"/>
    <w:rsid w:val="00CA6963"/>
    <w:rsid w:val="00CA6DDF"/>
    <w:rsid w:val="00CA7D32"/>
    <w:rsid w:val="00CB1154"/>
    <w:rsid w:val="00CB19ED"/>
    <w:rsid w:val="00CB4243"/>
    <w:rsid w:val="00CB46B2"/>
    <w:rsid w:val="00CB4D2F"/>
    <w:rsid w:val="00CB64D7"/>
    <w:rsid w:val="00CB736C"/>
    <w:rsid w:val="00CC0477"/>
    <w:rsid w:val="00CC0A97"/>
    <w:rsid w:val="00CC0AD3"/>
    <w:rsid w:val="00CC0F54"/>
    <w:rsid w:val="00CC291A"/>
    <w:rsid w:val="00CC384E"/>
    <w:rsid w:val="00CC3FFA"/>
    <w:rsid w:val="00CC4F2D"/>
    <w:rsid w:val="00CC56EF"/>
    <w:rsid w:val="00CC64AC"/>
    <w:rsid w:val="00CC72D1"/>
    <w:rsid w:val="00CD121D"/>
    <w:rsid w:val="00CD267F"/>
    <w:rsid w:val="00CD2900"/>
    <w:rsid w:val="00CD2AE6"/>
    <w:rsid w:val="00CD354A"/>
    <w:rsid w:val="00CD397D"/>
    <w:rsid w:val="00CD3A1C"/>
    <w:rsid w:val="00CD50A4"/>
    <w:rsid w:val="00CD6804"/>
    <w:rsid w:val="00CD79FD"/>
    <w:rsid w:val="00CE0E59"/>
    <w:rsid w:val="00CE3635"/>
    <w:rsid w:val="00CE3E79"/>
    <w:rsid w:val="00CE4EFC"/>
    <w:rsid w:val="00CE546A"/>
    <w:rsid w:val="00CE5EEC"/>
    <w:rsid w:val="00CE69B2"/>
    <w:rsid w:val="00CF0092"/>
    <w:rsid w:val="00CF1680"/>
    <w:rsid w:val="00CF260D"/>
    <w:rsid w:val="00CF34CF"/>
    <w:rsid w:val="00CF35E6"/>
    <w:rsid w:val="00CF450C"/>
    <w:rsid w:val="00CF6F4A"/>
    <w:rsid w:val="00CF77DB"/>
    <w:rsid w:val="00D05BC9"/>
    <w:rsid w:val="00D071DE"/>
    <w:rsid w:val="00D07343"/>
    <w:rsid w:val="00D110AF"/>
    <w:rsid w:val="00D11364"/>
    <w:rsid w:val="00D1227F"/>
    <w:rsid w:val="00D12F71"/>
    <w:rsid w:val="00D15EE5"/>
    <w:rsid w:val="00D17869"/>
    <w:rsid w:val="00D235C7"/>
    <w:rsid w:val="00D24317"/>
    <w:rsid w:val="00D2471E"/>
    <w:rsid w:val="00D24B8D"/>
    <w:rsid w:val="00D2746B"/>
    <w:rsid w:val="00D31091"/>
    <w:rsid w:val="00D31B03"/>
    <w:rsid w:val="00D323DB"/>
    <w:rsid w:val="00D35D51"/>
    <w:rsid w:val="00D36B2B"/>
    <w:rsid w:val="00D37C42"/>
    <w:rsid w:val="00D41F3B"/>
    <w:rsid w:val="00D42575"/>
    <w:rsid w:val="00D43FA5"/>
    <w:rsid w:val="00D440A4"/>
    <w:rsid w:val="00D47D05"/>
    <w:rsid w:val="00D5004D"/>
    <w:rsid w:val="00D50216"/>
    <w:rsid w:val="00D50425"/>
    <w:rsid w:val="00D51508"/>
    <w:rsid w:val="00D51789"/>
    <w:rsid w:val="00D548B1"/>
    <w:rsid w:val="00D55789"/>
    <w:rsid w:val="00D576FE"/>
    <w:rsid w:val="00D60309"/>
    <w:rsid w:val="00D60B85"/>
    <w:rsid w:val="00D60BE5"/>
    <w:rsid w:val="00D60D0A"/>
    <w:rsid w:val="00D6180B"/>
    <w:rsid w:val="00D62185"/>
    <w:rsid w:val="00D63C7C"/>
    <w:rsid w:val="00D63EAA"/>
    <w:rsid w:val="00D64825"/>
    <w:rsid w:val="00D6487F"/>
    <w:rsid w:val="00D64D79"/>
    <w:rsid w:val="00D6566C"/>
    <w:rsid w:val="00D65728"/>
    <w:rsid w:val="00D70D56"/>
    <w:rsid w:val="00D71BF6"/>
    <w:rsid w:val="00D72702"/>
    <w:rsid w:val="00D72D3F"/>
    <w:rsid w:val="00D73E31"/>
    <w:rsid w:val="00D75500"/>
    <w:rsid w:val="00D757B2"/>
    <w:rsid w:val="00D76BB7"/>
    <w:rsid w:val="00D77037"/>
    <w:rsid w:val="00D77EDA"/>
    <w:rsid w:val="00D82802"/>
    <w:rsid w:val="00D82882"/>
    <w:rsid w:val="00D82B02"/>
    <w:rsid w:val="00D8368A"/>
    <w:rsid w:val="00D838F8"/>
    <w:rsid w:val="00D8550B"/>
    <w:rsid w:val="00D85E87"/>
    <w:rsid w:val="00D9020F"/>
    <w:rsid w:val="00D9039B"/>
    <w:rsid w:val="00D906DC"/>
    <w:rsid w:val="00D9323A"/>
    <w:rsid w:val="00D942C9"/>
    <w:rsid w:val="00D9666E"/>
    <w:rsid w:val="00D96FEE"/>
    <w:rsid w:val="00D97883"/>
    <w:rsid w:val="00DA0E7A"/>
    <w:rsid w:val="00DA1EED"/>
    <w:rsid w:val="00DA24BC"/>
    <w:rsid w:val="00DA2B7B"/>
    <w:rsid w:val="00DA3005"/>
    <w:rsid w:val="00DA3A0D"/>
    <w:rsid w:val="00DA3A76"/>
    <w:rsid w:val="00DA3EB8"/>
    <w:rsid w:val="00DA6F44"/>
    <w:rsid w:val="00DB0F7A"/>
    <w:rsid w:val="00DB18D9"/>
    <w:rsid w:val="00DB29CD"/>
    <w:rsid w:val="00DB2E99"/>
    <w:rsid w:val="00DB30CF"/>
    <w:rsid w:val="00DB677E"/>
    <w:rsid w:val="00DC003F"/>
    <w:rsid w:val="00DC0CE2"/>
    <w:rsid w:val="00DC239E"/>
    <w:rsid w:val="00DC2671"/>
    <w:rsid w:val="00DC2ADE"/>
    <w:rsid w:val="00DC4450"/>
    <w:rsid w:val="00DC5A58"/>
    <w:rsid w:val="00DC6B9D"/>
    <w:rsid w:val="00DC7DB5"/>
    <w:rsid w:val="00DD0048"/>
    <w:rsid w:val="00DD021C"/>
    <w:rsid w:val="00DD0247"/>
    <w:rsid w:val="00DD2055"/>
    <w:rsid w:val="00DD4D06"/>
    <w:rsid w:val="00DD4F9C"/>
    <w:rsid w:val="00DD59B6"/>
    <w:rsid w:val="00DD5AB5"/>
    <w:rsid w:val="00DD5BF5"/>
    <w:rsid w:val="00DD5CFD"/>
    <w:rsid w:val="00DD718B"/>
    <w:rsid w:val="00DE042A"/>
    <w:rsid w:val="00DE05E9"/>
    <w:rsid w:val="00DE0D14"/>
    <w:rsid w:val="00DE14DF"/>
    <w:rsid w:val="00DE24C3"/>
    <w:rsid w:val="00DE39A6"/>
    <w:rsid w:val="00DE3F88"/>
    <w:rsid w:val="00DE408E"/>
    <w:rsid w:val="00DE64A1"/>
    <w:rsid w:val="00DE703F"/>
    <w:rsid w:val="00DE728D"/>
    <w:rsid w:val="00DE79BC"/>
    <w:rsid w:val="00DE7D4F"/>
    <w:rsid w:val="00DF0383"/>
    <w:rsid w:val="00DF0DCD"/>
    <w:rsid w:val="00DF14C8"/>
    <w:rsid w:val="00DF30C7"/>
    <w:rsid w:val="00DF6028"/>
    <w:rsid w:val="00DF73D4"/>
    <w:rsid w:val="00E0161D"/>
    <w:rsid w:val="00E01D32"/>
    <w:rsid w:val="00E02A0D"/>
    <w:rsid w:val="00E02B92"/>
    <w:rsid w:val="00E03641"/>
    <w:rsid w:val="00E03C64"/>
    <w:rsid w:val="00E04DAF"/>
    <w:rsid w:val="00E05B18"/>
    <w:rsid w:val="00E05D07"/>
    <w:rsid w:val="00E05E78"/>
    <w:rsid w:val="00E06810"/>
    <w:rsid w:val="00E06A5D"/>
    <w:rsid w:val="00E07A3C"/>
    <w:rsid w:val="00E106CA"/>
    <w:rsid w:val="00E10D63"/>
    <w:rsid w:val="00E111E7"/>
    <w:rsid w:val="00E1311B"/>
    <w:rsid w:val="00E137A4"/>
    <w:rsid w:val="00E142AE"/>
    <w:rsid w:val="00E14ECD"/>
    <w:rsid w:val="00E14F65"/>
    <w:rsid w:val="00E2199B"/>
    <w:rsid w:val="00E221A5"/>
    <w:rsid w:val="00E22B5F"/>
    <w:rsid w:val="00E27389"/>
    <w:rsid w:val="00E3098B"/>
    <w:rsid w:val="00E31E16"/>
    <w:rsid w:val="00E32B3B"/>
    <w:rsid w:val="00E33BB7"/>
    <w:rsid w:val="00E34377"/>
    <w:rsid w:val="00E344ED"/>
    <w:rsid w:val="00E34CF8"/>
    <w:rsid w:val="00E4160A"/>
    <w:rsid w:val="00E429C8"/>
    <w:rsid w:val="00E42DA4"/>
    <w:rsid w:val="00E444F3"/>
    <w:rsid w:val="00E45EA0"/>
    <w:rsid w:val="00E45EC8"/>
    <w:rsid w:val="00E47711"/>
    <w:rsid w:val="00E47E68"/>
    <w:rsid w:val="00E50B3F"/>
    <w:rsid w:val="00E52788"/>
    <w:rsid w:val="00E53C7D"/>
    <w:rsid w:val="00E53EA9"/>
    <w:rsid w:val="00E561C8"/>
    <w:rsid w:val="00E57C2C"/>
    <w:rsid w:val="00E60BD4"/>
    <w:rsid w:val="00E62A4E"/>
    <w:rsid w:val="00E63858"/>
    <w:rsid w:val="00E6461C"/>
    <w:rsid w:val="00E6603C"/>
    <w:rsid w:val="00E66758"/>
    <w:rsid w:val="00E67E50"/>
    <w:rsid w:val="00E70F16"/>
    <w:rsid w:val="00E7155B"/>
    <w:rsid w:val="00E71571"/>
    <w:rsid w:val="00E722CE"/>
    <w:rsid w:val="00E72C04"/>
    <w:rsid w:val="00E73243"/>
    <w:rsid w:val="00E737CB"/>
    <w:rsid w:val="00E73D4A"/>
    <w:rsid w:val="00E75420"/>
    <w:rsid w:val="00E754A1"/>
    <w:rsid w:val="00E75E9D"/>
    <w:rsid w:val="00E76711"/>
    <w:rsid w:val="00E76AC8"/>
    <w:rsid w:val="00E77364"/>
    <w:rsid w:val="00E776F8"/>
    <w:rsid w:val="00E77715"/>
    <w:rsid w:val="00E80332"/>
    <w:rsid w:val="00E81F92"/>
    <w:rsid w:val="00E821EC"/>
    <w:rsid w:val="00E8268D"/>
    <w:rsid w:val="00E8400E"/>
    <w:rsid w:val="00E84E0B"/>
    <w:rsid w:val="00E85086"/>
    <w:rsid w:val="00E87015"/>
    <w:rsid w:val="00E90038"/>
    <w:rsid w:val="00E90BAE"/>
    <w:rsid w:val="00E90EF9"/>
    <w:rsid w:val="00E92856"/>
    <w:rsid w:val="00E93B22"/>
    <w:rsid w:val="00E946DD"/>
    <w:rsid w:val="00E9622E"/>
    <w:rsid w:val="00E962BD"/>
    <w:rsid w:val="00E976EA"/>
    <w:rsid w:val="00EA0856"/>
    <w:rsid w:val="00EA1F97"/>
    <w:rsid w:val="00EA2931"/>
    <w:rsid w:val="00EA2CF6"/>
    <w:rsid w:val="00EA3303"/>
    <w:rsid w:val="00EA547E"/>
    <w:rsid w:val="00EA62F1"/>
    <w:rsid w:val="00EA63E4"/>
    <w:rsid w:val="00EB1687"/>
    <w:rsid w:val="00EB2333"/>
    <w:rsid w:val="00EB2F2F"/>
    <w:rsid w:val="00EC1093"/>
    <w:rsid w:val="00EC2C0B"/>
    <w:rsid w:val="00EC4642"/>
    <w:rsid w:val="00EC4F3A"/>
    <w:rsid w:val="00EC5140"/>
    <w:rsid w:val="00EC5920"/>
    <w:rsid w:val="00EC5956"/>
    <w:rsid w:val="00EC59B1"/>
    <w:rsid w:val="00EC686F"/>
    <w:rsid w:val="00EC6C99"/>
    <w:rsid w:val="00EC7C0C"/>
    <w:rsid w:val="00ED019E"/>
    <w:rsid w:val="00ED0278"/>
    <w:rsid w:val="00ED20A6"/>
    <w:rsid w:val="00ED3187"/>
    <w:rsid w:val="00ED3DF3"/>
    <w:rsid w:val="00ED580A"/>
    <w:rsid w:val="00ED5B02"/>
    <w:rsid w:val="00ED6380"/>
    <w:rsid w:val="00ED71F7"/>
    <w:rsid w:val="00ED7B96"/>
    <w:rsid w:val="00EE0CDF"/>
    <w:rsid w:val="00EE1363"/>
    <w:rsid w:val="00EE36F0"/>
    <w:rsid w:val="00EE59C5"/>
    <w:rsid w:val="00EE5F4C"/>
    <w:rsid w:val="00EE6542"/>
    <w:rsid w:val="00EE7126"/>
    <w:rsid w:val="00EF04BC"/>
    <w:rsid w:val="00EF0906"/>
    <w:rsid w:val="00EF10E9"/>
    <w:rsid w:val="00EF22F8"/>
    <w:rsid w:val="00EF2A73"/>
    <w:rsid w:val="00EF2B09"/>
    <w:rsid w:val="00EF33D4"/>
    <w:rsid w:val="00EF3FC8"/>
    <w:rsid w:val="00EF4928"/>
    <w:rsid w:val="00EF4AD9"/>
    <w:rsid w:val="00EF5371"/>
    <w:rsid w:val="00EF56E1"/>
    <w:rsid w:val="00EF57F2"/>
    <w:rsid w:val="00EF5D67"/>
    <w:rsid w:val="00EF6118"/>
    <w:rsid w:val="00EF6393"/>
    <w:rsid w:val="00EF774D"/>
    <w:rsid w:val="00EF7867"/>
    <w:rsid w:val="00F025A1"/>
    <w:rsid w:val="00F03695"/>
    <w:rsid w:val="00F04A97"/>
    <w:rsid w:val="00F103C9"/>
    <w:rsid w:val="00F122C4"/>
    <w:rsid w:val="00F12807"/>
    <w:rsid w:val="00F12D6F"/>
    <w:rsid w:val="00F134F8"/>
    <w:rsid w:val="00F13DA8"/>
    <w:rsid w:val="00F14F47"/>
    <w:rsid w:val="00F161BB"/>
    <w:rsid w:val="00F16BA1"/>
    <w:rsid w:val="00F16EA7"/>
    <w:rsid w:val="00F1710C"/>
    <w:rsid w:val="00F20712"/>
    <w:rsid w:val="00F20A82"/>
    <w:rsid w:val="00F2158F"/>
    <w:rsid w:val="00F21F88"/>
    <w:rsid w:val="00F2252F"/>
    <w:rsid w:val="00F22C59"/>
    <w:rsid w:val="00F2457F"/>
    <w:rsid w:val="00F249E2"/>
    <w:rsid w:val="00F24CFD"/>
    <w:rsid w:val="00F262A2"/>
    <w:rsid w:val="00F26FC1"/>
    <w:rsid w:val="00F27B85"/>
    <w:rsid w:val="00F30293"/>
    <w:rsid w:val="00F307CF"/>
    <w:rsid w:val="00F32EDF"/>
    <w:rsid w:val="00F33350"/>
    <w:rsid w:val="00F33E20"/>
    <w:rsid w:val="00F348DE"/>
    <w:rsid w:val="00F34EA9"/>
    <w:rsid w:val="00F35660"/>
    <w:rsid w:val="00F356F1"/>
    <w:rsid w:val="00F369F7"/>
    <w:rsid w:val="00F36D82"/>
    <w:rsid w:val="00F40386"/>
    <w:rsid w:val="00F4367E"/>
    <w:rsid w:val="00F478A4"/>
    <w:rsid w:val="00F50B89"/>
    <w:rsid w:val="00F53F6A"/>
    <w:rsid w:val="00F562D9"/>
    <w:rsid w:val="00F56449"/>
    <w:rsid w:val="00F5788A"/>
    <w:rsid w:val="00F57C68"/>
    <w:rsid w:val="00F60E74"/>
    <w:rsid w:val="00F612DC"/>
    <w:rsid w:val="00F6169E"/>
    <w:rsid w:val="00F62F67"/>
    <w:rsid w:val="00F635BC"/>
    <w:rsid w:val="00F63898"/>
    <w:rsid w:val="00F666F1"/>
    <w:rsid w:val="00F67C8E"/>
    <w:rsid w:val="00F7007B"/>
    <w:rsid w:val="00F707A7"/>
    <w:rsid w:val="00F70CC3"/>
    <w:rsid w:val="00F717B3"/>
    <w:rsid w:val="00F7318D"/>
    <w:rsid w:val="00F7351D"/>
    <w:rsid w:val="00F736E8"/>
    <w:rsid w:val="00F74766"/>
    <w:rsid w:val="00F74E22"/>
    <w:rsid w:val="00F7556A"/>
    <w:rsid w:val="00F75C54"/>
    <w:rsid w:val="00F77F6C"/>
    <w:rsid w:val="00F802BB"/>
    <w:rsid w:val="00F8040E"/>
    <w:rsid w:val="00F81609"/>
    <w:rsid w:val="00F83581"/>
    <w:rsid w:val="00F86455"/>
    <w:rsid w:val="00F87EB7"/>
    <w:rsid w:val="00F87EB9"/>
    <w:rsid w:val="00F90147"/>
    <w:rsid w:val="00F92558"/>
    <w:rsid w:val="00F92CAB"/>
    <w:rsid w:val="00F92DAE"/>
    <w:rsid w:val="00F94ABC"/>
    <w:rsid w:val="00F94DE7"/>
    <w:rsid w:val="00F94E2E"/>
    <w:rsid w:val="00F9645C"/>
    <w:rsid w:val="00F96CCA"/>
    <w:rsid w:val="00F96E5B"/>
    <w:rsid w:val="00F97DA1"/>
    <w:rsid w:val="00FA0029"/>
    <w:rsid w:val="00FA03AE"/>
    <w:rsid w:val="00FA048A"/>
    <w:rsid w:val="00FA12AC"/>
    <w:rsid w:val="00FA14E0"/>
    <w:rsid w:val="00FA4755"/>
    <w:rsid w:val="00FA47E1"/>
    <w:rsid w:val="00FA7A16"/>
    <w:rsid w:val="00FA7F86"/>
    <w:rsid w:val="00FB0BB5"/>
    <w:rsid w:val="00FB4962"/>
    <w:rsid w:val="00FB49A1"/>
    <w:rsid w:val="00FB4F61"/>
    <w:rsid w:val="00FB5546"/>
    <w:rsid w:val="00FB63B8"/>
    <w:rsid w:val="00FB64C5"/>
    <w:rsid w:val="00FB6E7C"/>
    <w:rsid w:val="00FB7006"/>
    <w:rsid w:val="00FB7020"/>
    <w:rsid w:val="00FB71FD"/>
    <w:rsid w:val="00FC1176"/>
    <w:rsid w:val="00FC1E8F"/>
    <w:rsid w:val="00FC2757"/>
    <w:rsid w:val="00FC2EA2"/>
    <w:rsid w:val="00FC37E4"/>
    <w:rsid w:val="00FC3D02"/>
    <w:rsid w:val="00FC46CA"/>
    <w:rsid w:val="00FC476F"/>
    <w:rsid w:val="00FC4C09"/>
    <w:rsid w:val="00FC5429"/>
    <w:rsid w:val="00FC6EF5"/>
    <w:rsid w:val="00FC77D7"/>
    <w:rsid w:val="00FD404E"/>
    <w:rsid w:val="00FD5228"/>
    <w:rsid w:val="00FD56E8"/>
    <w:rsid w:val="00FD5E38"/>
    <w:rsid w:val="00FD611E"/>
    <w:rsid w:val="00FD7D2E"/>
    <w:rsid w:val="00FD7E84"/>
    <w:rsid w:val="00FE0886"/>
    <w:rsid w:val="00FE1113"/>
    <w:rsid w:val="00FE1B93"/>
    <w:rsid w:val="00FE2C2A"/>
    <w:rsid w:val="00FE2F87"/>
    <w:rsid w:val="00FE4493"/>
    <w:rsid w:val="00FE4BEC"/>
    <w:rsid w:val="00FE51E5"/>
    <w:rsid w:val="00FE59A2"/>
    <w:rsid w:val="00FE6116"/>
    <w:rsid w:val="00FE7D75"/>
    <w:rsid w:val="00FF10D1"/>
    <w:rsid w:val="00FF2693"/>
    <w:rsid w:val="00FF2956"/>
    <w:rsid w:val="00FF31A7"/>
    <w:rsid w:val="00FF4109"/>
    <w:rsid w:val="00FF42D2"/>
    <w:rsid w:val="00FF52B8"/>
    <w:rsid w:val="00FF5D38"/>
    <w:rsid w:val="00FF5E02"/>
    <w:rsid w:val="00FF6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B7EBD"/>
  <w15:docId w15:val="{3221F8AE-C165-4F19-BB52-162C29EE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C23"/>
  </w:style>
  <w:style w:type="paragraph" w:styleId="Heading1">
    <w:name w:val="heading 1"/>
    <w:basedOn w:val="NoSpacing"/>
    <w:next w:val="NoSpacing"/>
    <w:link w:val="Heading1Char"/>
    <w:uiPriority w:val="9"/>
    <w:qFormat/>
    <w:rsid w:val="00454528"/>
    <w:pPr>
      <w:keepNext/>
      <w:keepLines/>
      <w:spacing w:before="480"/>
      <w:outlineLvl w:val="0"/>
    </w:pPr>
    <w:rPr>
      <w:rFonts w:asciiTheme="majorHAnsi" w:eastAsiaTheme="majorEastAsia" w:hAnsiTheme="majorHAnsi" w:cstheme="majorBidi"/>
      <w:b/>
      <w:bCs/>
      <w:sz w:val="28"/>
      <w:szCs w:val="28"/>
    </w:rPr>
  </w:style>
  <w:style w:type="paragraph" w:styleId="Heading2">
    <w:name w:val="heading 2"/>
    <w:next w:val="NoSpacing"/>
    <w:link w:val="Heading2Char"/>
    <w:autoRedefine/>
    <w:uiPriority w:val="9"/>
    <w:unhideWhenUsed/>
    <w:qFormat/>
    <w:rsid w:val="00B12049"/>
    <w:pPr>
      <w:numPr>
        <w:numId w:val="8"/>
      </w:numPr>
      <w:spacing w:after="0" w:line="240" w:lineRule="auto"/>
      <w:outlineLvl w:val="1"/>
    </w:pPr>
    <w:rPr>
      <w:rFonts w:asciiTheme="majorHAnsi" w:eastAsiaTheme="majorEastAsia" w:hAnsiTheme="majorHAnsi" w:cstheme="majorBidi"/>
      <w:b/>
      <w:bCs/>
      <w:u w:val="single"/>
    </w:rPr>
  </w:style>
  <w:style w:type="paragraph" w:styleId="Heading3">
    <w:name w:val="heading 3"/>
    <w:basedOn w:val="NoSpacing"/>
    <w:next w:val="Normal"/>
    <w:link w:val="Heading3Char"/>
    <w:uiPriority w:val="9"/>
    <w:unhideWhenUsed/>
    <w:qFormat/>
    <w:rsid w:val="00D24317"/>
    <w:pPr>
      <w:outlineLvl w:val="2"/>
    </w:pPr>
    <w:rPr>
      <w:b/>
    </w:rPr>
  </w:style>
  <w:style w:type="paragraph" w:styleId="Heading4">
    <w:name w:val="heading 4"/>
    <w:basedOn w:val="NoSpacing"/>
    <w:next w:val="Normal"/>
    <w:link w:val="Heading4Char"/>
    <w:uiPriority w:val="9"/>
    <w:unhideWhenUsed/>
    <w:qFormat/>
    <w:rsid w:val="00CF260D"/>
    <w:pPr>
      <w:numPr>
        <w:ilvl w:val="2"/>
        <w:numId w:val="3"/>
      </w:numPr>
      <w:ind w:left="0" w:firstLine="947"/>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B18"/>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5B18"/>
  </w:style>
  <w:style w:type="paragraph" w:styleId="Footer">
    <w:name w:val="footer"/>
    <w:basedOn w:val="NoSpacing"/>
    <w:link w:val="FooterChar"/>
    <w:uiPriority w:val="99"/>
    <w:unhideWhenUsed/>
    <w:rsid w:val="00E05B18"/>
    <w:pPr>
      <w:tabs>
        <w:tab w:val="center" w:pos="4536"/>
        <w:tab w:val="right" w:pos="9072"/>
      </w:tabs>
    </w:pPr>
  </w:style>
  <w:style w:type="character" w:customStyle="1" w:styleId="FooterChar">
    <w:name w:val="Footer Char"/>
    <w:basedOn w:val="DefaultParagraphFont"/>
    <w:link w:val="Footer"/>
    <w:uiPriority w:val="99"/>
    <w:rsid w:val="00A26C23"/>
  </w:style>
  <w:style w:type="paragraph" w:styleId="BalloonText">
    <w:name w:val="Balloon Text"/>
    <w:basedOn w:val="Normal"/>
    <w:link w:val="BalloonTextChar"/>
    <w:uiPriority w:val="99"/>
    <w:semiHidden/>
    <w:unhideWhenUsed/>
    <w:rsid w:val="00E05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B18"/>
    <w:rPr>
      <w:rFonts w:ascii="Tahoma" w:hAnsi="Tahoma" w:cs="Tahoma"/>
      <w:sz w:val="16"/>
      <w:szCs w:val="16"/>
    </w:rPr>
  </w:style>
  <w:style w:type="paragraph" w:styleId="NoSpacing">
    <w:name w:val="No Spacing"/>
    <w:uiPriority w:val="1"/>
    <w:qFormat/>
    <w:rsid w:val="00A37AEB"/>
    <w:pPr>
      <w:spacing w:after="0" w:line="240" w:lineRule="auto"/>
    </w:pPr>
  </w:style>
  <w:style w:type="paragraph" w:styleId="Title">
    <w:name w:val="Title"/>
    <w:basedOn w:val="NoSpacing"/>
    <w:next w:val="NoSpacing"/>
    <w:link w:val="TitleChar"/>
    <w:uiPriority w:val="10"/>
    <w:qFormat/>
    <w:rsid w:val="00D71BF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735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5452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12049"/>
    <w:rPr>
      <w:rFonts w:asciiTheme="majorHAnsi" w:eastAsiaTheme="majorEastAsia" w:hAnsiTheme="majorHAnsi" w:cstheme="majorBidi"/>
      <w:b/>
      <w:bCs/>
      <w:u w:val="single"/>
    </w:rPr>
  </w:style>
  <w:style w:type="paragraph" w:styleId="Subtitle">
    <w:name w:val="Subtitle"/>
    <w:basedOn w:val="NoSpacing"/>
    <w:next w:val="NoSpacing"/>
    <w:link w:val="SubtitleChar"/>
    <w:uiPriority w:val="11"/>
    <w:qFormat/>
    <w:rsid w:val="0056735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67357"/>
    <w:rPr>
      <w:rFonts w:asciiTheme="majorHAnsi" w:eastAsiaTheme="majorEastAsia" w:hAnsiTheme="majorHAnsi" w:cstheme="majorBidi"/>
      <w:i/>
      <w:iCs/>
      <w:color w:val="4F81BD" w:themeColor="accent1"/>
      <w:spacing w:val="15"/>
      <w:sz w:val="24"/>
      <w:szCs w:val="24"/>
    </w:rPr>
  </w:style>
  <w:style w:type="paragraph" w:styleId="IntenseQuote">
    <w:name w:val="Intense Quote"/>
    <w:basedOn w:val="NoSpacing"/>
    <w:next w:val="NoSpacing"/>
    <w:link w:val="IntenseQuoteChar"/>
    <w:uiPriority w:val="30"/>
    <w:qFormat/>
    <w:rsid w:val="0056735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7357"/>
    <w:rPr>
      <w:b/>
      <w:bCs/>
      <w:i/>
      <w:iCs/>
      <w:color w:val="4F81BD" w:themeColor="accent1"/>
    </w:rPr>
  </w:style>
  <w:style w:type="table" w:styleId="TableGrid">
    <w:name w:val="Table Grid"/>
    <w:basedOn w:val="TableNormal"/>
    <w:uiPriority w:val="59"/>
    <w:rsid w:val="00ED7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Spacing"/>
    <w:next w:val="NoSpacing"/>
    <w:uiPriority w:val="35"/>
    <w:unhideWhenUsed/>
    <w:qFormat/>
    <w:rsid w:val="00ED71F7"/>
    <w:rPr>
      <w:b/>
      <w:bCs/>
      <w:szCs w:val="18"/>
    </w:rPr>
  </w:style>
  <w:style w:type="paragraph" w:styleId="Quote">
    <w:name w:val="Quote"/>
    <w:basedOn w:val="NoSpacing"/>
    <w:next w:val="NoSpacing"/>
    <w:link w:val="QuoteChar"/>
    <w:uiPriority w:val="29"/>
    <w:qFormat/>
    <w:rsid w:val="009C4FD6"/>
    <w:rPr>
      <w:i/>
      <w:iCs/>
      <w:color w:val="000000" w:themeColor="text1"/>
    </w:rPr>
  </w:style>
  <w:style w:type="character" w:customStyle="1" w:styleId="QuoteChar">
    <w:name w:val="Quote Char"/>
    <w:basedOn w:val="DefaultParagraphFont"/>
    <w:link w:val="Quote"/>
    <w:uiPriority w:val="29"/>
    <w:rsid w:val="009C4FD6"/>
    <w:rPr>
      <w:i/>
      <w:iCs/>
      <w:color w:val="000000" w:themeColor="text1"/>
    </w:rPr>
  </w:style>
  <w:style w:type="paragraph" w:styleId="ListParagraph">
    <w:name w:val="List Paragraph"/>
    <w:basedOn w:val="NoSpacing"/>
    <w:uiPriority w:val="34"/>
    <w:qFormat/>
    <w:rsid w:val="009C4FD6"/>
    <w:pPr>
      <w:ind w:left="720"/>
      <w:contextualSpacing/>
    </w:pPr>
  </w:style>
  <w:style w:type="paragraph" w:styleId="FootnoteText">
    <w:name w:val="footnote text"/>
    <w:basedOn w:val="NoSpacing"/>
    <w:link w:val="FootnoteTextChar"/>
    <w:uiPriority w:val="99"/>
    <w:semiHidden/>
    <w:unhideWhenUsed/>
    <w:rsid w:val="00A26C23"/>
    <w:rPr>
      <w:sz w:val="20"/>
      <w:szCs w:val="20"/>
    </w:rPr>
  </w:style>
  <w:style w:type="character" w:customStyle="1" w:styleId="FootnoteTextChar">
    <w:name w:val="Footnote Text Char"/>
    <w:basedOn w:val="DefaultParagraphFont"/>
    <w:link w:val="FootnoteText"/>
    <w:uiPriority w:val="99"/>
    <w:semiHidden/>
    <w:rsid w:val="00A26C23"/>
    <w:rPr>
      <w:sz w:val="20"/>
      <w:szCs w:val="20"/>
    </w:rPr>
  </w:style>
  <w:style w:type="character" w:styleId="CommentReference">
    <w:name w:val="annotation reference"/>
    <w:basedOn w:val="DefaultParagraphFont"/>
    <w:uiPriority w:val="99"/>
    <w:unhideWhenUsed/>
    <w:rsid w:val="00CC291A"/>
    <w:rPr>
      <w:sz w:val="16"/>
      <w:szCs w:val="16"/>
    </w:rPr>
  </w:style>
  <w:style w:type="paragraph" w:styleId="CommentText">
    <w:name w:val="annotation text"/>
    <w:basedOn w:val="Normal"/>
    <w:link w:val="CommentTextChar"/>
    <w:uiPriority w:val="99"/>
    <w:unhideWhenUsed/>
    <w:rsid w:val="00CC291A"/>
    <w:pPr>
      <w:spacing w:line="240" w:lineRule="auto"/>
    </w:pPr>
    <w:rPr>
      <w:sz w:val="20"/>
      <w:szCs w:val="20"/>
    </w:rPr>
  </w:style>
  <w:style w:type="character" w:customStyle="1" w:styleId="CommentTextChar">
    <w:name w:val="Comment Text Char"/>
    <w:basedOn w:val="DefaultParagraphFont"/>
    <w:link w:val="CommentText"/>
    <w:uiPriority w:val="99"/>
    <w:rsid w:val="00CC291A"/>
    <w:rPr>
      <w:sz w:val="20"/>
      <w:szCs w:val="20"/>
    </w:rPr>
  </w:style>
  <w:style w:type="paragraph" w:styleId="CommentSubject">
    <w:name w:val="annotation subject"/>
    <w:basedOn w:val="CommentText"/>
    <w:next w:val="CommentText"/>
    <w:link w:val="CommentSubjectChar"/>
    <w:uiPriority w:val="99"/>
    <w:semiHidden/>
    <w:unhideWhenUsed/>
    <w:rsid w:val="00CC291A"/>
    <w:rPr>
      <w:b/>
      <w:bCs/>
    </w:rPr>
  </w:style>
  <w:style w:type="character" w:customStyle="1" w:styleId="CommentSubjectChar">
    <w:name w:val="Comment Subject Char"/>
    <w:basedOn w:val="CommentTextChar"/>
    <w:link w:val="CommentSubject"/>
    <w:uiPriority w:val="99"/>
    <w:semiHidden/>
    <w:rsid w:val="00CC291A"/>
    <w:rPr>
      <w:b/>
      <w:bCs/>
      <w:sz w:val="20"/>
      <w:szCs w:val="20"/>
    </w:rPr>
  </w:style>
  <w:style w:type="paragraph" w:customStyle="1" w:styleId="Char1">
    <w:name w:val="Char1"/>
    <w:basedOn w:val="Normal"/>
    <w:rsid w:val="00901473"/>
    <w:pPr>
      <w:spacing w:after="0" w:line="240" w:lineRule="auto"/>
    </w:pPr>
    <w:rPr>
      <w:rFonts w:ascii="Times New Roman" w:eastAsia="Times New Roman" w:hAnsi="Times New Roman" w:cs="Times New Roman"/>
      <w:sz w:val="24"/>
      <w:szCs w:val="24"/>
      <w:lang w:val="pl-PL" w:eastAsia="pl-PL"/>
    </w:rPr>
  </w:style>
  <w:style w:type="character" w:styleId="Hyperlink">
    <w:name w:val="Hyperlink"/>
    <w:basedOn w:val="DefaultParagraphFont"/>
    <w:uiPriority w:val="99"/>
    <w:unhideWhenUsed/>
    <w:rsid w:val="00617D04"/>
    <w:rPr>
      <w:color w:val="0000FF" w:themeColor="hyperlink"/>
      <w:u w:val="single"/>
    </w:rPr>
  </w:style>
  <w:style w:type="table" w:styleId="LightShading-Accent1">
    <w:name w:val="Light Shading Accent 1"/>
    <w:basedOn w:val="TableNormal"/>
    <w:uiPriority w:val="60"/>
    <w:rsid w:val="00F53F6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AB4F90"/>
    <w:rPr>
      <w:color w:val="800080" w:themeColor="followedHyperlink"/>
      <w:u w:val="single"/>
    </w:rPr>
  </w:style>
  <w:style w:type="character" w:styleId="FootnoteReference">
    <w:name w:val="footnote reference"/>
    <w:basedOn w:val="DefaultParagraphFont"/>
    <w:uiPriority w:val="99"/>
    <w:semiHidden/>
    <w:unhideWhenUsed/>
    <w:rsid w:val="00F262A2"/>
    <w:rPr>
      <w:vertAlign w:val="superscript"/>
    </w:rPr>
  </w:style>
  <w:style w:type="character" w:styleId="Emphasis">
    <w:name w:val="Emphasis"/>
    <w:uiPriority w:val="20"/>
    <w:qFormat/>
    <w:rsid w:val="000F0ABF"/>
    <w:rPr>
      <w:b/>
      <w:u w:val="single"/>
    </w:rPr>
  </w:style>
  <w:style w:type="character" w:styleId="SubtleEmphasis">
    <w:name w:val="Subtle Emphasis"/>
    <w:uiPriority w:val="19"/>
    <w:qFormat/>
    <w:rsid w:val="000F0ABF"/>
    <w:rPr>
      <w:b/>
    </w:rPr>
  </w:style>
  <w:style w:type="character" w:customStyle="1" w:styleId="Heading3Char">
    <w:name w:val="Heading 3 Char"/>
    <w:basedOn w:val="DefaultParagraphFont"/>
    <w:link w:val="Heading3"/>
    <w:uiPriority w:val="9"/>
    <w:rsid w:val="00D24317"/>
    <w:rPr>
      <w:b/>
    </w:rPr>
  </w:style>
  <w:style w:type="character" w:customStyle="1" w:styleId="Heading4Char">
    <w:name w:val="Heading 4 Char"/>
    <w:basedOn w:val="DefaultParagraphFont"/>
    <w:link w:val="Heading4"/>
    <w:uiPriority w:val="9"/>
    <w:rsid w:val="00CF260D"/>
    <w:rPr>
      <w:b/>
    </w:rPr>
  </w:style>
  <w:style w:type="paragraph" w:customStyle="1" w:styleId="Default">
    <w:name w:val="Default"/>
    <w:rsid w:val="00864D87"/>
    <w:pPr>
      <w:autoSpaceDE w:val="0"/>
      <w:autoSpaceDN w:val="0"/>
      <w:adjustRightInd w:val="0"/>
      <w:spacing w:after="0" w:line="240" w:lineRule="auto"/>
    </w:pPr>
    <w:rPr>
      <w:rFonts w:ascii="Myriad Pro" w:hAnsi="Myriad Pro" w:cs="Myriad Pro"/>
      <w:color w:val="000000"/>
      <w:sz w:val="24"/>
      <w:szCs w:val="24"/>
    </w:rPr>
  </w:style>
  <w:style w:type="paragraph" w:customStyle="1" w:styleId="Pa5">
    <w:name w:val="Pa5"/>
    <w:basedOn w:val="Default"/>
    <w:next w:val="Default"/>
    <w:uiPriority w:val="99"/>
    <w:rsid w:val="00864D87"/>
    <w:pPr>
      <w:spacing w:line="201" w:lineRule="atLeast"/>
    </w:pPr>
    <w:rPr>
      <w:rFonts w:cstheme="minorBidi"/>
      <w:color w:val="auto"/>
    </w:rPr>
  </w:style>
  <w:style w:type="paragraph" w:customStyle="1" w:styleId="Pa34">
    <w:name w:val="Pa34"/>
    <w:basedOn w:val="Default"/>
    <w:next w:val="Default"/>
    <w:uiPriority w:val="99"/>
    <w:rsid w:val="00864D87"/>
    <w:pPr>
      <w:spacing w:line="201" w:lineRule="atLeast"/>
    </w:pPr>
    <w:rPr>
      <w:rFonts w:cstheme="minorBidi"/>
      <w:color w:val="auto"/>
    </w:rPr>
  </w:style>
  <w:style w:type="paragraph" w:styleId="Revision">
    <w:name w:val="Revision"/>
    <w:hidden/>
    <w:uiPriority w:val="99"/>
    <w:semiHidden/>
    <w:rsid w:val="0009058C"/>
    <w:pPr>
      <w:spacing w:after="0" w:line="240" w:lineRule="auto"/>
    </w:pPr>
  </w:style>
  <w:style w:type="character" w:customStyle="1" w:styleId="apple-converted-space">
    <w:name w:val="apple-converted-space"/>
    <w:basedOn w:val="DefaultParagraphFont"/>
    <w:rsid w:val="009F3F80"/>
  </w:style>
  <w:style w:type="character" w:styleId="Strong">
    <w:name w:val="Strong"/>
    <w:basedOn w:val="DefaultParagraphFont"/>
    <w:uiPriority w:val="22"/>
    <w:qFormat/>
    <w:rsid w:val="009F3F80"/>
    <w:rPr>
      <w:b/>
      <w:bCs/>
    </w:rPr>
  </w:style>
  <w:style w:type="character" w:customStyle="1" w:styleId="shorttext">
    <w:name w:val="short_text"/>
    <w:basedOn w:val="DefaultParagraphFont"/>
    <w:rsid w:val="00EC6C99"/>
  </w:style>
  <w:style w:type="paragraph" w:styleId="NormalWeb">
    <w:name w:val="Normal (Web)"/>
    <w:basedOn w:val="Normal"/>
    <w:uiPriority w:val="99"/>
    <w:unhideWhenUsed/>
    <w:rsid w:val="00E737C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tv213">
    <w:name w:val="tv213"/>
    <w:basedOn w:val="Normal"/>
    <w:rsid w:val="00C2798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UnresolvedMention1">
    <w:name w:val="Unresolved Mention1"/>
    <w:basedOn w:val="DefaultParagraphFont"/>
    <w:uiPriority w:val="99"/>
    <w:semiHidden/>
    <w:unhideWhenUsed/>
    <w:rsid w:val="005D31A9"/>
    <w:rPr>
      <w:color w:val="808080"/>
      <w:shd w:val="clear" w:color="auto" w:fill="E6E6E6"/>
    </w:rPr>
  </w:style>
  <w:style w:type="paragraph" w:customStyle="1" w:styleId="strat5">
    <w:name w:val="strat5"/>
    <w:basedOn w:val="ListParagraph"/>
    <w:rsid w:val="00E92856"/>
    <w:pPr>
      <w:numPr>
        <w:numId w:val="18"/>
      </w:numPr>
      <w:tabs>
        <w:tab w:val="clear" w:pos="0"/>
        <w:tab w:val="num" w:pos="360"/>
      </w:tabs>
      <w:suppressAutoHyphens/>
      <w:ind w:left="360" w:firstLine="0"/>
      <w:contextualSpacing w:val="0"/>
      <w:jc w:val="both"/>
    </w:pPr>
    <w:rPr>
      <w:rFonts w:ascii="Times New Roman" w:eastAsia="Times New Roman" w:hAnsi="Times New Roman" w:cs="Times New Roman"/>
      <w:b/>
      <w:sz w:val="24"/>
      <w:szCs w:val="28"/>
      <w:lang w:val="en-US" w:eastAsia="zh-CN"/>
    </w:rPr>
  </w:style>
  <w:style w:type="paragraph" w:customStyle="1" w:styleId="Strat51">
    <w:name w:val="Strat5.1."/>
    <w:basedOn w:val="strat5"/>
    <w:rsid w:val="00E92856"/>
    <w:pPr>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2523">
      <w:bodyDiv w:val="1"/>
      <w:marLeft w:val="0"/>
      <w:marRight w:val="0"/>
      <w:marTop w:val="0"/>
      <w:marBottom w:val="0"/>
      <w:divBdr>
        <w:top w:val="none" w:sz="0" w:space="0" w:color="auto"/>
        <w:left w:val="none" w:sz="0" w:space="0" w:color="auto"/>
        <w:bottom w:val="none" w:sz="0" w:space="0" w:color="auto"/>
        <w:right w:val="none" w:sz="0" w:space="0" w:color="auto"/>
      </w:divBdr>
    </w:div>
    <w:div w:id="74790089">
      <w:bodyDiv w:val="1"/>
      <w:marLeft w:val="0"/>
      <w:marRight w:val="0"/>
      <w:marTop w:val="0"/>
      <w:marBottom w:val="0"/>
      <w:divBdr>
        <w:top w:val="none" w:sz="0" w:space="0" w:color="auto"/>
        <w:left w:val="none" w:sz="0" w:space="0" w:color="auto"/>
        <w:bottom w:val="none" w:sz="0" w:space="0" w:color="auto"/>
        <w:right w:val="none" w:sz="0" w:space="0" w:color="auto"/>
      </w:divBdr>
    </w:div>
    <w:div w:id="138768337">
      <w:bodyDiv w:val="1"/>
      <w:marLeft w:val="0"/>
      <w:marRight w:val="0"/>
      <w:marTop w:val="0"/>
      <w:marBottom w:val="0"/>
      <w:divBdr>
        <w:top w:val="none" w:sz="0" w:space="0" w:color="auto"/>
        <w:left w:val="none" w:sz="0" w:space="0" w:color="auto"/>
        <w:bottom w:val="none" w:sz="0" w:space="0" w:color="auto"/>
        <w:right w:val="none" w:sz="0" w:space="0" w:color="auto"/>
      </w:divBdr>
    </w:div>
    <w:div w:id="159010485">
      <w:bodyDiv w:val="1"/>
      <w:marLeft w:val="0"/>
      <w:marRight w:val="0"/>
      <w:marTop w:val="0"/>
      <w:marBottom w:val="0"/>
      <w:divBdr>
        <w:top w:val="none" w:sz="0" w:space="0" w:color="auto"/>
        <w:left w:val="none" w:sz="0" w:space="0" w:color="auto"/>
        <w:bottom w:val="none" w:sz="0" w:space="0" w:color="auto"/>
        <w:right w:val="none" w:sz="0" w:space="0" w:color="auto"/>
      </w:divBdr>
    </w:div>
    <w:div w:id="165363250">
      <w:bodyDiv w:val="1"/>
      <w:marLeft w:val="0"/>
      <w:marRight w:val="0"/>
      <w:marTop w:val="0"/>
      <w:marBottom w:val="0"/>
      <w:divBdr>
        <w:top w:val="none" w:sz="0" w:space="0" w:color="auto"/>
        <w:left w:val="none" w:sz="0" w:space="0" w:color="auto"/>
        <w:bottom w:val="none" w:sz="0" w:space="0" w:color="auto"/>
        <w:right w:val="none" w:sz="0" w:space="0" w:color="auto"/>
      </w:divBdr>
    </w:div>
    <w:div w:id="228927475">
      <w:bodyDiv w:val="1"/>
      <w:marLeft w:val="0"/>
      <w:marRight w:val="0"/>
      <w:marTop w:val="0"/>
      <w:marBottom w:val="0"/>
      <w:divBdr>
        <w:top w:val="none" w:sz="0" w:space="0" w:color="auto"/>
        <w:left w:val="none" w:sz="0" w:space="0" w:color="auto"/>
        <w:bottom w:val="none" w:sz="0" w:space="0" w:color="auto"/>
        <w:right w:val="none" w:sz="0" w:space="0" w:color="auto"/>
      </w:divBdr>
    </w:div>
    <w:div w:id="330957919">
      <w:bodyDiv w:val="1"/>
      <w:marLeft w:val="0"/>
      <w:marRight w:val="0"/>
      <w:marTop w:val="0"/>
      <w:marBottom w:val="0"/>
      <w:divBdr>
        <w:top w:val="none" w:sz="0" w:space="0" w:color="auto"/>
        <w:left w:val="none" w:sz="0" w:space="0" w:color="auto"/>
        <w:bottom w:val="none" w:sz="0" w:space="0" w:color="auto"/>
        <w:right w:val="none" w:sz="0" w:space="0" w:color="auto"/>
      </w:divBdr>
    </w:div>
    <w:div w:id="511913276">
      <w:bodyDiv w:val="1"/>
      <w:marLeft w:val="0"/>
      <w:marRight w:val="0"/>
      <w:marTop w:val="0"/>
      <w:marBottom w:val="0"/>
      <w:divBdr>
        <w:top w:val="none" w:sz="0" w:space="0" w:color="auto"/>
        <w:left w:val="none" w:sz="0" w:space="0" w:color="auto"/>
        <w:bottom w:val="none" w:sz="0" w:space="0" w:color="auto"/>
        <w:right w:val="none" w:sz="0" w:space="0" w:color="auto"/>
      </w:divBdr>
    </w:div>
    <w:div w:id="562527775">
      <w:bodyDiv w:val="1"/>
      <w:marLeft w:val="0"/>
      <w:marRight w:val="0"/>
      <w:marTop w:val="0"/>
      <w:marBottom w:val="0"/>
      <w:divBdr>
        <w:top w:val="none" w:sz="0" w:space="0" w:color="auto"/>
        <w:left w:val="none" w:sz="0" w:space="0" w:color="auto"/>
        <w:bottom w:val="none" w:sz="0" w:space="0" w:color="auto"/>
        <w:right w:val="none" w:sz="0" w:space="0" w:color="auto"/>
      </w:divBdr>
    </w:div>
    <w:div w:id="749356089">
      <w:bodyDiv w:val="1"/>
      <w:marLeft w:val="0"/>
      <w:marRight w:val="0"/>
      <w:marTop w:val="0"/>
      <w:marBottom w:val="0"/>
      <w:divBdr>
        <w:top w:val="none" w:sz="0" w:space="0" w:color="auto"/>
        <w:left w:val="none" w:sz="0" w:space="0" w:color="auto"/>
        <w:bottom w:val="none" w:sz="0" w:space="0" w:color="auto"/>
        <w:right w:val="none" w:sz="0" w:space="0" w:color="auto"/>
      </w:divBdr>
    </w:div>
    <w:div w:id="794369471">
      <w:bodyDiv w:val="1"/>
      <w:marLeft w:val="0"/>
      <w:marRight w:val="0"/>
      <w:marTop w:val="0"/>
      <w:marBottom w:val="0"/>
      <w:divBdr>
        <w:top w:val="none" w:sz="0" w:space="0" w:color="auto"/>
        <w:left w:val="none" w:sz="0" w:space="0" w:color="auto"/>
        <w:bottom w:val="none" w:sz="0" w:space="0" w:color="auto"/>
        <w:right w:val="none" w:sz="0" w:space="0" w:color="auto"/>
      </w:divBdr>
    </w:div>
    <w:div w:id="802423518">
      <w:bodyDiv w:val="1"/>
      <w:marLeft w:val="0"/>
      <w:marRight w:val="0"/>
      <w:marTop w:val="0"/>
      <w:marBottom w:val="0"/>
      <w:divBdr>
        <w:top w:val="none" w:sz="0" w:space="0" w:color="auto"/>
        <w:left w:val="none" w:sz="0" w:space="0" w:color="auto"/>
        <w:bottom w:val="none" w:sz="0" w:space="0" w:color="auto"/>
        <w:right w:val="none" w:sz="0" w:space="0" w:color="auto"/>
      </w:divBdr>
    </w:div>
    <w:div w:id="901211947">
      <w:bodyDiv w:val="1"/>
      <w:marLeft w:val="0"/>
      <w:marRight w:val="0"/>
      <w:marTop w:val="0"/>
      <w:marBottom w:val="0"/>
      <w:divBdr>
        <w:top w:val="none" w:sz="0" w:space="0" w:color="auto"/>
        <w:left w:val="none" w:sz="0" w:space="0" w:color="auto"/>
        <w:bottom w:val="none" w:sz="0" w:space="0" w:color="auto"/>
        <w:right w:val="none" w:sz="0" w:space="0" w:color="auto"/>
      </w:divBdr>
    </w:div>
    <w:div w:id="1188985882">
      <w:bodyDiv w:val="1"/>
      <w:marLeft w:val="0"/>
      <w:marRight w:val="0"/>
      <w:marTop w:val="0"/>
      <w:marBottom w:val="0"/>
      <w:divBdr>
        <w:top w:val="none" w:sz="0" w:space="0" w:color="auto"/>
        <w:left w:val="none" w:sz="0" w:space="0" w:color="auto"/>
        <w:bottom w:val="none" w:sz="0" w:space="0" w:color="auto"/>
        <w:right w:val="none" w:sz="0" w:space="0" w:color="auto"/>
      </w:divBdr>
    </w:div>
    <w:div w:id="1478111510">
      <w:bodyDiv w:val="1"/>
      <w:marLeft w:val="0"/>
      <w:marRight w:val="0"/>
      <w:marTop w:val="0"/>
      <w:marBottom w:val="0"/>
      <w:divBdr>
        <w:top w:val="none" w:sz="0" w:space="0" w:color="auto"/>
        <w:left w:val="none" w:sz="0" w:space="0" w:color="auto"/>
        <w:bottom w:val="none" w:sz="0" w:space="0" w:color="auto"/>
        <w:right w:val="none" w:sz="0" w:space="0" w:color="auto"/>
      </w:divBdr>
    </w:div>
    <w:div w:id="1525972944">
      <w:bodyDiv w:val="1"/>
      <w:marLeft w:val="0"/>
      <w:marRight w:val="0"/>
      <w:marTop w:val="0"/>
      <w:marBottom w:val="0"/>
      <w:divBdr>
        <w:top w:val="none" w:sz="0" w:space="0" w:color="auto"/>
        <w:left w:val="none" w:sz="0" w:space="0" w:color="auto"/>
        <w:bottom w:val="none" w:sz="0" w:space="0" w:color="auto"/>
        <w:right w:val="none" w:sz="0" w:space="0" w:color="auto"/>
      </w:divBdr>
    </w:div>
    <w:div w:id="1607348442">
      <w:bodyDiv w:val="1"/>
      <w:marLeft w:val="0"/>
      <w:marRight w:val="0"/>
      <w:marTop w:val="0"/>
      <w:marBottom w:val="0"/>
      <w:divBdr>
        <w:top w:val="none" w:sz="0" w:space="0" w:color="auto"/>
        <w:left w:val="none" w:sz="0" w:space="0" w:color="auto"/>
        <w:bottom w:val="none" w:sz="0" w:space="0" w:color="auto"/>
        <w:right w:val="none" w:sz="0" w:space="0" w:color="auto"/>
      </w:divBdr>
    </w:div>
    <w:div w:id="1610043683">
      <w:bodyDiv w:val="1"/>
      <w:marLeft w:val="0"/>
      <w:marRight w:val="0"/>
      <w:marTop w:val="0"/>
      <w:marBottom w:val="0"/>
      <w:divBdr>
        <w:top w:val="none" w:sz="0" w:space="0" w:color="auto"/>
        <w:left w:val="none" w:sz="0" w:space="0" w:color="auto"/>
        <w:bottom w:val="none" w:sz="0" w:space="0" w:color="auto"/>
        <w:right w:val="none" w:sz="0" w:space="0" w:color="auto"/>
      </w:divBdr>
    </w:div>
    <w:div w:id="1642879809">
      <w:bodyDiv w:val="1"/>
      <w:marLeft w:val="0"/>
      <w:marRight w:val="0"/>
      <w:marTop w:val="0"/>
      <w:marBottom w:val="0"/>
      <w:divBdr>
        <w:top w:val="none" w:sz="0" w:space="0" w:color="auto"/>
        <w:left w:val="none" w:sz="0" w:space="0" w:color="auto"/>
        <w:bottom w:val="none" w:sz="0" w:space="0" w:color="auto"/>
        <w:right w:val="none" w:sz="0" w:space="0" w:color="auto"/>
      </w:divBdr>
    </w:div>
    <w:div w:id="1669477012">
      <w:bodyDiv w:val="1"/>
      <w:marLeft w:val="0"/>
      <w:marRight w:val="0"/>
      <w:marTop w:val="0"/>
      <w:marBottom w:val="0"/>
      <w:divBdr>
        <w:top w:val="none" w:sz="0" w:space="0" w:color="auto"/>
        <w:left w:val="none" w:sz="0" w:space="0" w:color="auto"/>
        <w:bottom w:val="none" w:sz="0" w:space="0" w:color="auto"/>
        <w:right w:val="none" w:sz="0" w:space="0" w:color="auto"/>
      </w:divBdr>
    </w:div>
    <w:div w:id="1794445938">
      <w:bodyDiv w:val="1"/>
      <w:marLeft w:val="0"/>
      <w:marRight w:val="0"/>
      <w:marTop w:val="0"/>
      <w:marBottom w:val="0"/>
      <w:divBdr>
        <w:top w:val="none" w:sz="0" w:space="0" w:color="auto"/>
        <w:left w:val="none" w:sz="0" w:space="0" w:color="auto"/>
        <w:bottom w:val="none" w:sz="0" w:space="0" w:color="auto"/>
        <w:right w:val="none" w:sz="0" w:space="0" w:color="auto"/>
      </w:divBdr>
    </w:div>
    <w:div w:id="1845708577">
      <w:bodyDiv w:val="1"/>
      <w:marLeft w:val="0"/>
      <w:marRight w:val="0"/>
      <w:marTop w:val="0"/>
      <w:marBottom w:val="0"/>
      <w:divBdr>
        <w:top w:val="none" w:sz="0" w:space="0" w:color="auto"/>
        <w:left w:val="none" w:sz="0" w:space="0" w:color="auto"/>
        <w:bottom w:val="none" w:sz="0" w:space="0" w:color="auto"/>
        <w:right w:val="none" w:sz="0" w:space="0" w:color="auto"/>
      </w:divBdr>
    </w:div>
    <w:div w:id="1876457809">
      <w:bodyDiv w:val="1"/>
      <w:marLeft w:val="0"/>
      <w:marRight w:val="0"/>
      <w:marTop w:val="0"/>
      <w:marBottom w:val="0"/>
      <w:divBdr>
        <w:top w:val="none" w:sz="0" w:space="0" w:color="auto"/>
        <w:left w:val="none" w:sz="0" w:space="0" w:color="auto"/>
        <w:bottom w:val="none" w:sz="0" w:space="0" w:color="auto"/>
        <w:right w:val="none" w:sz="0" w:space="0" w:color="auto"/>
      </w:divBdr>
    </w:div>
    <w:div w:id="1915627580">
      <w:bodyDiv w:val="1"/>
      <w:marLeft w:val="0"/>
      <w:marRight w:val="0"/>
      <w:marTop w:val="0"/>
      <w:marBottom w:val="0"/>
      <w:divBdr>
        <w:top w:val="none" w:sz="0" w:space="0" w:color="auto"/>
        <w:left w:val="none" w:sz="0" w:space="0" w:color="auto"/>
        <w:bottom w:val="none" w:sz="0" w:space="0" w:color="auto"/>
        <w:right w:val="none" w:sz="0" w:space="0" w:color="auto"/>
      </w:divBdr>
    </w:div>
    <w:div w:id="1919747748">
      <w:bodyDiv w:val="1"/>
      <w:marLeft w:val="0"/>
      <w:marRight w:val="0"/>
      <w:marTop w:val="0"/>
      <w:marBottom w:val="0"/>
      <w:divBdr>
        <w:top w:val="none" w:sz="0" w:space="0" w:color="auto"/>
        <w:left w:val="none" w:sz="0" w:space="0" w:color="auto"/>
        <w:bottom w:val="none" w:sz="0" w:space="0" w:color="auto"/>
        <w:right w:val="none" w:sz="0" w:space="0" w:color="auto"/>
      </w:divBdr>
    </w:div>
    <w:div w:id="2073191756">
      <w:bodyDiv w:val="1"/>
      <w:marLeft w:val="0"/>
      <w:marRight w:val="0"/>
      <w:marTop w:val="0"/>
      <w:marBottom w:val="0"/>
      <w:divBdr>
        <w:top w:val="none" w:sz="0" w:space="0" w:color="auto"/>
        <w:left w:val="none" w:sz="0" w:space="0" w:color="auto"/>
        <w:bottom w:val="none" w:sz="0" w:space="0" w:color="auto"/>
        <w:right w:val="none" w:sz="0" w:space="0" w:color="auto"/>
      </w:divBdr>
    </w:div>
    <w:div w:id="2091655367">
      <w:bodyDiv w:val="1"/>
      <w:marLeft w:val="0"/>
      <w:marRight w:val="0"/>
      <w:marTop w:val="0"/>
      <w:marBottom w:val="0"/>
      <w:divBdr>
        <w:top w:val="none" w:sz="0" w:space="0" w:color="auto"/>
        <w:left w:val="none" w:sz="0" w:space="0" w:color="auto"/>
        <w:bottom w:val="none" w:sz="0" w:space="0" w:color="auto"/>
        <w:right w:val="none" w:sz="0" w:space="0" w:color="auto"/>
      </w:divBdr>
    </w:div>
    <w:div w:id="209442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microsoft.com/office/2014/relationships/chartEx" Target="charts/chartEx3.xml"/><Relationship Id="rId26" Type="http://schemas.openxmlformats.org/officeDocument/2006/relationships/hyperlink" Target="http://www.varam.gov.lv/lat/darbibas_veidi/zalais_publiskais_iepirkums/"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7" Type="http://schemas.openxmlformats.org/officeDocument/2006/relationships/image" Target="media/image2.png"/><Relationship Id="rId25" Type="http://schemas.openxmlformats.org/officeDocument/2006/relationships/hyperlink" Target="http://www.varam.gov.lv/eng/darbibas_veidi/green_public_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4/relationships/chartEx" Target="charts/chartEx2.xml"/><Relationship Id="rId20" Type="http://schemas.microsoft.com/office/2014/relationships/chartEx" Target="charts/chartEx4.xml"/><Relationship Id="rId29" Type="http://schemas.openxmlformats.org/officeDocument/2006/relationships/hyperlink" Target="http://www.lm.gov.lv/text/3496" TargetMode="External"/><Relationship Id="rId1" Type="http://schemas.openxmlformats.org/officeDocument/2006/relationships/customXml" Target="../customXml/item1.xml"/><Relationship Id="rId6" Type="http://schemas.openxmlformats.org/officeDocument/2006/relationships/styles" Target="styles.xml"/><Relationship Id="rId11" Type="http://schemas.microsoft.com/office/2014/relationships/chartEx" Target="charts/chartEx1.xml"/><Relationship Id="rId24" Type="http://schemas.openxmlformats.org/officeDocument/2006/relationships/hyperlink" Target="http://ec.europa.eu/growth/smes/business-friendly-environment/sme-definition_en"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6.png"/><Relationship Id="rId28" Type="http://schemas.openxmlformats.org/officeDocument/2006/relationships/image" Target="media/image7.emf"/><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image" Target="media/image5.png"/><Relationship Id="rId27" Type="http://schemas.openxmlformats.org/officeDocument/2006/relationships/hyperlink" Target="http://www.varam.gov.lv/lat/darbibas_veidi/zalais_publiskais_iepirkums/?doc=24438" TargetMode="External"/><Relationship Id="rId30" Type="http://schemas.openxmlformats.org/officeDocument/2006/relationships/hyperlink" Target="http://open.iub.gov.lv/" TargetMode="External"/><Relationship Id="rId35" Type="http://schemas.microsoft.com/office/2016/09/relationships/commentsIds" Target="commentsIds.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I:\EK_zinojums\histogrammas_PIL.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I:\EK_zinojums\histogrammas_PIL.xlsx" TargetMode="External"/></Relationships>
</file>

<file path=word/charts/_rels/chartEx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I:\EK_zinojums\histogrammas_PIL.xlsx" TargetMode="External"/></Relationships>
</file>

<file path=word/charts/_rels/chartEx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I:\EK_zinojums\histogrammas_PIL.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būvdarbi_zem!$D$2:$D$580</cx:f>
        <cx:lvl ptCount="579" formatCode="General">
          <cx:pt idx="0">571926.56999999995</cx:pt>
          <cx:pt idx="1">394999</cx:pt>
          <cx:pt idx="2">792612.43999999994</cx:pt>
          <cx:pt idx="3">999971.93000000005</cx:pt>
          <cx:pt idx="4">388067.96000000002</cx:pt>
          <cx:pt idx="5">1210001.55</cx:pt>
          <cx:pt idx="6">237709.16</cx:pt>
          <cx:pt idx="7">1050501</cx:pt>
          <cx:pt idx="8">479000</cx:pt>
          <cx:pt idx="9">1446907.53</cx:pt>
          <cx:pt idx="10">546386.38</cx:pt>
          <cx:pt idx="11">118088.78999999999</cx:pt>
          <cx:pt idx="12">403070.94</cx:pt>
          <cx:pt idx="13">499010.27000000002</cx:pt>
          <cx:pt idx="14">235977.01000000001</cx:pt>
          <cx:pt idx="15">240294.56</cx:pt>
          <cx:pt idx="16">1794408.53</cx:pt>
          <cx:pt idx="17">469964.46000000002</cx:pt>
          <cx:pt idx="18">152948.97</cx:pt>
          <cx:pt idx="19">732472.09999999998</cx:pt>
          <cx:pt idx="20">213898.60000000001</cx:pt>
          <cx:pt idx="21">255416.82000000001</cx:pt>
          <cx:pt idx="22">250095.63</cx:pt>
          <cx:pt idx="23">971650.71999999997</cx:pt>
          <cx:pt idx="24">76382.410000000003</cx:pt>
          <cx:pt idx="25">213286.17999999999</cx:pt>
          <cx:pt idx="26">517465.98999999999</cx:pt>
          <cx:pt idx="27">3137780</cx:pt>
          <cx:pt idx="28">316096.70000000001</cx:pt>
          <cx:pt idx="29">147324.5</cx:pt>
          <cx:pt idx="30">297407.5</cx:pt>
          <cx:pt idx="31">33860</cx:pt>
          <cx:pt idx="32">519018.73999999999</cx:pt>
          <cx:pt idx="33">313527.97999999998</cx:pt>
          <cx:pt idx="34">522225.41999999998</cx:pt>
          <cx:pt idx="35">264882.07000000001</cx:pt>
          <cx:pt idx="36">1652892.5</cx:pt>
          <cx:pt idx="37">248888</cx:pt>
          <cx:pt idx="38">579017.28000000003</cx:pt>
          <cx:pt idx="39">1655459.8700000001</cx:pt>
          <cx:pt idx="40">857424.80000000005</cx:pt>
          <cx:pt idx="41">599053.07999999996</cx:pt>
          <cx:pt idx="42">240520.17000000001</cx:pt>
          <cx:pt idx="43">136743.03</cx:pt>
          <cx:pt idx="44">960647.52000000002</cx:pt>
          <cx:pt idx="45">139195.41</cx:pt>
          <cx:pt idx="46">478888.88</cx:pt>
          <cx:pt idx="47">169756.57999999999</cx:pt>
          <cx:pt idx="48">2096456.9399999999</cx:pt>
          <cx:pt idx="49">435639.15000000002</cx:pt>
          <cx:pt idx="50">4133836.1200000001</cx:pt>
          <cx:pt idx="51">241811.85999999999</cx:pt>
          <cx:pt idx="52">430638.03000000003</cx:pt>
          <cx:pt idx="53">510000</cx:pt>
          <cx:pt idx="54">147520.67000000001</cx:pt>
          <cx:pt idx="55">195986.79000000001</cx:pt>
          <cx:pt idx="56">258044.67000000001</cx:pt>
          <cx:pt idx="57">137709.20999999999</cx:pt>
          <cx:pt idx="58">749899.97999999998</cx:pt>
          <cx:pt idx="59">251475.42999999999</cx:pt>
          <cx:pt idx="60">137838</cx:pt>
          <cx:pt idx="61">268858.88</cx:pt>
          <cx:pt idx="62">106586.05</cx:pt>
          <cx:pt idx="63">197119.53</cx:pt>
          <cx:pt idx="64">424440</cx:pt>
          <cx:pt idx="65">846348.88</cx:pt>
          <cx:pt idx="66">349767.62</cx:pt>
          <cx:pt idx="67">276663.79999999999</cx:pt>
          <cx:pt idx="68">800479.59999999998</cx:pt>
          <cx:pt idx="69">163361.89999999999</cx:pt>
          <cx:pt idx="70">568808.91000000003</cx:pt>
          <cx:pt idx="71">2012796.1699999999</cx:pt>
          <cx:pt idx="72">2000000</cx:pt>
          <cx:pt idx="73">390560.34999999998</cx:pt>
          <cx:pt idx="74">460701.46000000002</cx:pt>
          <cx:pt idx="75">251130.72</cx:pt>
          <cx:pt idx="76">1750039.6200000001</cx:pt>
          <cx:pt idx="77">129084.47</cx:pt>
          <cx:pt idx="78">300849.04999999999</cx:pt>
          <cx:pt idx="79">279916.83000000002</cx:pt>
          <cx:pt idx="80">565115.64000000001</cx:pt>
          <cx:pt idx="81">406767.15000000002</cx:pt>
          <cx:pt idx="82">425735.97999999998</cx:pt>
          <cx:pt idx="83">570130</cx:pt>
          <cx:pt idx="84">540018.38</cx:pt>
          <cx:pt idx="85">1039489.41</cx:pt>
          <cx:pt idx="86">1592594.9299999999</cx:pt>
          <cx:pt idx="87">1094000</cx:pt>
          <cx:pt idx="88">791623</cx:pt>
          <cx:pt idx="89">333165.42999999999</cx:pt>
          <cx:pt idx="90">247911.07000000001</cx:pt>
          <cx:pt idx="91">385114.39000000001</cx:pt>
          <cx:pt idx="92">1663923.4199999999</cx:pt>
          <cx:pt idx="93">270063.02000000002</cx:pt>
          <cx:pt idx="94">1369533.6599999999</cx:pt>
          <cx:pt idx="95">921647.96999999997</cx:pt>
          <cx:pt idx="96">523486.40000000002</cx:pt>
          <cx:pt idx="97">1273045.8</cx:pt>
          <cx:pt idx="98">286159.01000000001</cx:pt>
          <cx:pt idx="99">336003.13</cx:pt>
          <cx:pt idx="100">279972.91999999998</cx:pt>
          <cx:pt idx="101">56869.889999999999</cx:pt>
          <cx:pt idx="102">433766.45000000001</cx:pt>
          <cx:pt idx="103">3758571.75</cx:pt>
          <cx:pt idx="104">2001976.22</cx:pt>
          <cx:pt idx="105">376910.91999999998</cx:pt>
          <cx:pt idx="106">152820.07999999999</cx:pt>
          <cx:pt idx="107">419971.13</cx:pt>
          <cx:pt idx="108">575938.52000000002</cx:pt>
          <cx:pt idx="109">196908.42000000001</cx:pt>
          <cx:pt idx="110">732841.40000000002</cx:pt>
          <cx:pt idx="111">957332.35999999999</cx:pt>
          <cx:pt idx="112">1380153.96</cx:pt>
          <cx:pt idx="113">104612.75</cx:pt>
          <cx:pt idx="114">1172816.27</cx:pt>
          <cx:pt idx="115">564223.85999999999</cx:pt>
          <cx:pt idx="116">241454.95999999999</cx:pt>
          <cx:pt idx="117">699987.56999999995</cx:pt>
          <cx:pt idx="118">2843641.79</cx:pt>
          <cx:pt idx="119">248948.32000000001</cx:pt>
          <cx:pt idx="120">336272.03999999998</cx:pt>
          <cx:pt idx="121">94481.740000000005</cx:pt>
          <cx:pt idx="122">299302.15999999997</cx:pt>
          <cx:pt idx="123">997726.23999999999</cx:pt>
          <cx:pt idx="124">2588417.1000000001</cx:pt>
          <cx:pt idx="125">1348816.3899999999</cx:pt>
          <cx:pt idx="126">1162552.27</cx:pt>
          <cx:pt idx="127">354464.21000000002</cx:pt>
          <cx:pt idx="128">437659.29999999999</cx:pt>
          <cx:pt idx="129">132945</cx:pt>
          <cx:pt idx="130">3866454.4199999999</cx:pt>
          <cx:pt idx="131">1596889.24</cx:pt>
          <cx:pt idx="132">304200</cx:pt>
          <cx:pt idx="133">114707.62</cx:pt>
          <cx:pt idx="134">139540</cx:pt>
          <cx:pt idx="135">272500.81</cx:pt>
          <cx:pt idx="136">3347261</cx:pt>
          <cx:pt idx="137">779697.56000000006</cx:pt>
          <cx:pt idx="138">221387</cx:pt>
          <cx:pt idx="139">126492.14999999999</cx:pt>
          <cx:pt idx="140">3251656.9900000002</cx:pt>
          <cx:pt idx="141">295423.41999999998</cx:pt>
          <cx:pt idx="142">191117.01999999999</cx:pt>
          <cx:pt idx="143">605909.78000000003</cx:pt>
          <cx:pt idx="144">166100.47</cx:pt>
          <cx:pt idx="145">772485.23999999999</cx:pt>
          <cx:pt idx="146">3267864.71</cx:pt>
          <cx:pt idx="147">243929.92999999999</cx:pt>
          <cx:pt idx="148">785019.71999999997</cx:pt>
          <cx:pt idx="149">3346430.5800000001</cx:pt>
          <cx:pt idx="150">168797.60999999999</cx:pt>
          <cx:pt idx="151">155452.12</cx:pt>
          <cx:pt idx="152">240000</cx:pt>
          <cx:pt idx="153">209812.14999999999</cx:pt>
          <cx:pt idx="154">834667.06999999995</cx:pt>
          <cx:pt idx="155">214579.5</cx:pt>
          <cx:pt idx="156">183690.91</cx:pt>
          <cx:pt idx="157">382065.32000000001</cx:pt>
          <cx:pt idx="158">1210217.6899999999</cx:pt>
          <cx:pt idx="159">148916.95000000001</cx:pt>
          <cx:pt idx="160">297204.71000000002</cx:pt>
          <cx:pt idx="161">1039958.9</cx:pt>
          <cx:pt idx="162">292067.29999999999</cx:pt>
          <cx:pt idx="163">494785.91999999998</cx:pt>
          <cx:pt idx="164">2445030.98</cx:pt>
          <cx:pt idx="165">190385.26999999999</cx:pt>
          <cx:pt idx="166">213490.63</cx:pt>
          <cx:pt idx="167">260044.32000000001</cx:pt>
          <cx:pt idx="168">126432.62</cx:pt>
          <cx:pt idx="169">801687.17000000004</cx:pt>
          <cx:pt idx="170">511519.72999999998</cx:pt>
          <cx:pt idx="171">284877.10999999999</cx:pt>
          <cx:pt idx="172">996778.68999999994</cx:pt>
          <cx:pt idx="173">104045.67999999999</cx:pt>
          <cx:pt idx="174">585100.21999999997</cx:pt>
          <cx:pt idx="175">657017.27000000002</cx:pt>
          <cx:pt idx="176">569098.81000000006</cx:pt>
          <cx:pt idx="177">388562.04999999999</cx:pt>
          <cx:pt idx="178">193336.48999999999</cx:pt>
          <cx:pt idx="179">366410.12</cx:pt>
          <cx:pt idx="180">536832.96999999997</cx:pt>
          <cx:pt idx="181">337035.34999999998</cx:pt>
          <cx:pt idx="182">1595652.9199999999</cx:pt>
          <cx:pt idx="183">226877.82000000001</cx:pt>
          <cx:pt idx="184">348085.52000000002</cx:pt>
          <cx:pt idx="185">1095688.1100000001</cx:pt>
          <cx:pt idx="186">609920.44999999995</cx:pt>
          <cx:pt idx="187">1469927.7</cx:pt>
          <cx:pt idx="188">910041.31000000006</cx:pt>
          <cx:pt idx="189">803768.45999999996</cx:pt>
          <cx:pt idx="190">398909.15000000002</cx:pt>
          <cx:pt idx="191">146217.01000000001</cx:pt>
          <cx:pt idx="192">720205.30000000005</cx:pt>
          <cx:pt idx="193">4049460</cx:pt>
          <cx:pt idx="194">449385.96999999997</cx:pt>
          <cx:pt idx="195">769987.85999999999</cx:pt>
          <cx:pt idx="196">3500000</cx:pt>
          <cx:pt idx="197">539677.78000000003</cx:pt>
          <cx:pt idx="198">223347.76999999999</cx:pt>
          <cx:pt idx="199">315070.21999999997</cx:pt>
          <cx:pt idx="200">596820.78000000003</cx:pt>
          <cx:pt idx="201">152831.84</cx:pt>
          <cx:pt idx="202">123990.22</cx:pt>
          <cx:pt idx="203">628014.03000000003</cx:pt>
          <cx:pt idx="204">125000</cx:pt>
          <cx:pt idx="205">49465.019999999997</cx:pt>
          <cx:pt idx="206">453855.59999999998</cx:pt>
          <cx:pt idx="207">329492.42999999999</cx:pt>
          <cx:pt idx="208">1687911.5700000001</cx:pt>
          <cx:pt idx="209">236824.42000000001</cx:pt>
          <cx:pt idx="210">1194750.8799999999</cx:pt>
          <cx:pt idx="211">2245104.8999999999</cx:pt>
          <cx:pt idx="212">454977.40999999997</cx:pt>
          <cx:pt idx="213">516681.85999999999</cx:pt>
          <cx:pt idx="214">118211.81</cx:pt>
          <cx:pt idx="215">140083.01999999999</cx:pt>
          <cx:pt idx="216">198414.48000000001</cx:pt>
          <cx:pt idx="217">2769608.9900000002</cx:pt>
          <cx:pt idx="218">332376.29999999999</cx:pt>
          <cx:pt idx="219">802724.34999999998</cx:pt>
          <cx:pt idx="220">1995177.1699999999</cx:pt>
          <cx:pt idx="221">5091514.7800000003</cx:pt>
          <cx:pt idx="222">50000</cx:pt>
          <cx:pt idx="223">249484.13</cx:pt>
          <cx:pt idx="224">468877.29999999999</cx:pt>
          <cx:pt idx="225">124367.89</cx:pt>
          <cx:pt idx="226">320543.25</cx:pt>
          <cx:pt idx="227">209109.85999999999</cx:pt>
          <cx:pt idx="228">336159.37</cx:pt>
          <cx:pt idx="229">439223.53999999998</cx:pt>
          <cx:pt idx="230">488548.91999999998</cx:pt>
          <cx:pt idx="231">160921.98999999999</cx:pt>
          <cx:pt idx="232">348060.51000000001</cx:pt>
          <cx:pt idx="233">456543.5</cx:pt>
          <cx:pt idx="234">294839.09000000003</cx:pt>
          <cx:pt idx="235">8741.1399999999994</cx:pt>
          <cx:pt idx="236">747767.37</cx:pt>
          <cx:pt idx="237">45896.32</cx:pt>
          <cx:pt idx="238">526736.55000000005</cx:pt>
          <cx:pt idx="239">247897.23000000001</cx:pt>
          <cx:pt idx="240">897740.12</cx:pt>
          <cx:pt idx="241">26954.619999999999</cx:pt>
          <cx:pt idx="242">131776.14999999999</cx:pt>
          <cx:pt idx="243">475149.90000000002</cx:pt>
          <cx:pt idx="244">458752.29999999999</cx:pt>
          <cx:pt idx="245">200834.67000000001</cx:pt>
          <cx:pt idx="246">1341.8699999999999</cx:pt>
          <cx:pt idx="247">1084224.5600000001</cx:pt>
          <cx:pt idx="248">193400</cx:pt>
          <cx:pt idx="249">4888888.8799999999</cx:pt>
          <cx:pt idx="250">1758624.71</cx:pt>
          <cx:pt idx="251">941610.64000000001</cx:pt>
          <cx:pt idx="252">724982.89000000001</cx:pt>
          <cx:pt idx="253">63476.989999999998</cx:pt>
          <cx:pt idx="254">1314699.3999999999</cx:pt>
          <cx:pt idx="255">196103.06</cx:pt>
          <cx:pt idx="256">598618.27000000002</cx:pt>
          <cx:pt idx="257">316484.84000000003</cx:pt>
          <cx:pt idx="258">288406.15999999997</cx:pt>
          <cx:pt idx="259">230512.09</cx:pt>
          <cx:pt idx="260">417901.33000000002</cx:pt>
          <cx:pt idx="261">144302.60999999999</cx:pt>
          <cx:pt idx="262">141350.81</cx:pt>
          <cx:pt idx="263">96738.820000000007</cx:pt>
          <cx:pt idx="264">400239.32000000001</cx:pt>
          <cx:pt idx="265">262180.57000000001</cx:pt>
          <cx:pt idx="266">755198.95999999996</cx:pt>
          <cx:pt idx="267">294263.87</cx:pt>
          <cx:pt idx="268">314683.53999999998</cx:pt>
          <cx:pt idx="269">1033758.71</cx:pt>
          <cx:pt idx="270">336817.48999999999</cx:pt>
          <cx:pt idx="271">224280</cx:pt>
          <cx:pt idx="272">747173.44999999995</cx:pt>
          <cx:pt idx="273">1033180.9399999999</cx:pt>
          <cx:pt idx="274">311000</cx:pt>
          <cx:pt idx="275">137183.26000000001</cx:pt>
          <cx:pt idx="276">321128.70000000001</cx:pt>
          <cx:pt idx="277">24666.790000000001</cx:pt>
          <cx:pt idx="278">87214.509999999995</cx:pt>
          <cx:pt idx="279">199993.45999999999</cx:pt>
          <cx:pt idx="280">523009.54999999999</cx:pt>
          <cx:pt idx="281">345000.98999999999</cx:pt>
          <cx:pt idx="282">256022.60000000001</cx:pt>
          <cx:pt idx="283">244616.85999999999</cx:pt>
          <cx:pt idx="284">263890.89000000001</cx:pt>
          <cx:pt idx="285">789977.17000000004</cx:pt>
          <cx:pt idx="286">171049.01999999999</cx:pt>
          <cx:pt idx="287">538517.06999999995</cx:pt>
          <cx:pt idx="288">769578.83999999997</cx:pt>
          <cx:pt idx="289">329795.16999999998</cx:pt>
          <cx:pt idx="290">252441.20999999999</cx:pt>
          <cx:pt idx="291">196117.44</cx:pt>
          <cx:pt idx="292">205648.14999999999</cx:pt>
          <cx:pt idx="293">541896.95999999996</cx:pt>
          <cx:pt idx="294">633723.45999999996</cx:pt>
          <cx:pt idx="295">604416.51000000001</cx:pt>
          <cx:pt idx="296">317478.89000000001</cx:pt>
          <cx:pt idx="297">293815.91999999998</cx:pt>
          <cx:pt idx="298">362014.95000000001</cx:pt>
          <cx:pt idx="299">35983</cx:pt>
          <cx:pt idx="300">1749850.74</cx:pt>
          <cx:pt idx="301">1127000</cx:pt>
          <cx:pt idx="302">322945.65000000002</cx:pt>
          <cx:pt idx="303">567710.18999999994</cx:pt>
          <cx:pt idx="304">522309.03000000003</cx:pt>
          <cx:pt idx="305">197604.70999999999</cx:pt>
          <cx:pt idx="306">64138.230000000003</cx:pt>
          <cx:pt idx="307">2321135.4399999999</cx:pt>
          <cx:pt idx="308">204076.66</cx:pt>
          <cx:pt idx="309">3747.54</cx:pt>
          <cx:pt idx="310">536091</cx:pt>
          <cx:pt idx="311">692347.92000000004</cx:pt>
          <cx:pt idx="312">591562.37</cx:pt>
          <cx:pt idx="313">38533.919999999998</cx:pt>
          <cx:pt idx="314">385745.72999999998</cx:pt>
          <cx:pt idx="315">2381787.5099999998</cx:pt>
          <cx:pt idx="316">573604.59999999998</cx:pt>
          <cx:pt idx="317">1144628.78</cx:pt>
          <cx:pt idx="318">383014.14000000001</cx:pt>
          <cx:pt idx="319">157552.14999999999</cx:pt>
          <cx:pt idx="320">19596.900000000001</cx:pt>
          <cx:pt idx="321">2949877.7200000002</cx:pt>
          <cx:pt idx="322">379521.5</cx:pt>
          <cx:pt idx="323">133265.32999999999</cx:pt>
          <cx:pt idx="324">1000000</cx:pt>
          <cx:pt idx="325">325366.63</cx:pt>
          <cx:pt idx="326">81988.419999999998</cx:pt>
          <cx:pt idx="327">330888.88</cx:pt>
          <cx:pt idx="328">233961</cx:pt>
          <cx:pt idx="329">1076344.55</cx:pt>
          <cx:pt idx="330">1408912.52</cx:pt>
          <cx:pt idx="331">573826.78000000003</cx:pt>
          <cx:pt idx="332">1139915.3</cx:pt>
          <cx:pt idx="333">4399664.2000000002</cx:pt>
          <cx:pt idx="334">669255.57999999996</cx:pt>
          <cx:pt idx="335">439793.40000000002</cx:pt>
          <cx:pt idx="336">283796.06</cx:pt>
          <cx:pt idx="337">142946.54999999999</cx:pt>
          <cx:pt idx="338">507998.94</cx:pt>
          <cx:pt idx="339">1279999.8999999999</cx:pt>
          <cx:pt idx="340">4324982.8499999996</cx:pt>
          <cx:pt idx="341">170887.56</cx:pt>
          <cx:pt idx="342">292548.77000000002</cx:pt>
          <cx:pt idx="343">445137.35999999999</cx:pt>
          <cx:pt idx="344">363124.37</cx:pt>
          <cx:pt idx="345">237384.64999999999</cx:pt>
          <cx:pt idx="346">463687.71000000002</cx:pt>
          <cx:pt idx="347">201575.01000000001</cx:pt>
          <cx:pt idx="348">488687.76000000001</cx:pt>
          <cx:pt idx="349">2467625.3700000001</cx:pt>
          <cx:pt idx="350">410021.02000000002</cx:pt>
          <cx:pt idx="351">93718.630000000005</cx:pt>
          <cx:pt idx="352">231039.57000000001</cx:pt>
          <cx:pt idx="353">790222.40000000002</cx:pt>
          <cx:pt idx="354">3997383.6299999999</cx:pt>
          <cx:pt idx="355">193931.54000000001</cx:pt>
          <cx:pt idx="356">79079.160000000003</cx:pt>
          <cx:pt idx="357">231434.23000000001</cx:pt>
          <cx:pt idx="358">902610.19999999995</cx:pt>
          <cx:pt idx="359">625031.31999999995</cx:pt>
          <cx:pt idx="360">647079.06999999995</cx:pt>
          <cx:pt idx="361">3191029.7000000002</cx:pt>
          <cx:pt idx="362">249206.76999999999</cx:pt>
          <cx:pt idx="363">202306.37</cx:pt>
          <cx:pt idx="364">1819829.76</cx:pt>
          <cx:pt idx="365">2346841.4700000002</cx:pt>
          <cx:pt idx="366">179967.59</cx:pt>
          <cx:pt idx="367">280536.38</cx:pt>
          <cx:pt idx="368">47991.970000000001</cx:pt>
          <cx:pt idx="369">2423767.9500000002</cx:pt>
          <cx:pt idx="370">249159.75</cx:pt>
          <cx:pt idx="371">650485</cx:pt>
          <cx:pt idx="372">1154874.2</cx:pt>
          <cx:pt idx="373">165830.29000000001</cx:pt>
          <cx:pt idx="374">1967027.1699999999</cx:pt>
          <cx:pt idx="375">681836.97999999998</cx:pt>
          <cx:pt idx="376">594178.67000000004</cx:pt>
          <cx:pt idx="377">291848.44</cx:pt>
          <cx:pt idx="378">1035580.4300000001</cx:pt>
          <cx:pt idx="379">2048201.03</cx:pt>
          <cx:pt idx="380">346336.97999999998</cx:pt>
          <cx:pt idx="381">233072.41</cx:pt>
          <cx:pt idx="382">215215.20999999999</cx:pt>
          <cx:pt idx="383">321028.59000000003</cx:pt>
          <cx:pt idx="384">1650200</cx:pt>
          <cx:pt idx="385">1340300.22</cx:pt>
          <cx:pt idx="386">549918.31000000006</cx:pt>
          <cx:pt idx="387">213897.72</cx:pt>
          <cx:pt idx="388">1597496.8600000001</cx:pt>
          <cx:pt idx="389">595258.93000000005</cx:pt>
          <cx:pt idx="390">203189.94</cx:pt>
          <cx:pt idx="391">264979</cx:pt>
          <cx:pt idx="392">449154.21000000002</cx:pt>
          <cx:pt idx="393">43408.07</cx:pt>
          <cx:pt idx="394">199067.70999999999</cx:pt>
          <cx:pt idx="395">378139.19</cx:pt>
          <cx:pt idx="396">77671.820000000007</cx:pt>
          <cx:pt idx="397">232007.59</cx:pt>
          <cx:pt idx="398">586548.66000000003</cx:pt>
          <cx:pt idx="399">96534.479999999996</cx:pt>
          <cx:pt idx="400">214843.16</cx:pt>
          <cx:pt idx="401">528638.91000000003</cx:pt>
          <cx:pt idx="402">176327.47</cx:pt>
          <cx:pt idx="403">227853.04999999999</cx:pt>
          <cx:pt idx="404">207413.38</cx:pt>
          <cx:pt idx="405">68297.309999999998</cx:pt>
          <cx:pt idx="406">2636424.3700000001</cx:pt>
          <cx:pt idx="407">195804.57000000001</cx:pt>
          <cx:pt idx="408">2031520.98</cx:pt>
          <cx:pt idx="409">82110.449999999997</cx:pt>
          <cx:pt idx="410">3284708.7799999998</cx:pt>
          <cx:pt idx="411">262558.45000000001</cx:pt>
          <cx:pt idx="412">144143.98000000001</cx:pt>
          <cx:pt idx="413">46888.809999999998</cx:pt>
          <cx:pt idx="414">225724.51000000001</cx:pt>
          <cx:pt idx="415">1393861.6399999999</cx:pt>
          <cx:pt idx="416">241901.66</cx:pt>
          <cx:pt idx="417">756830.81000000006</cx:pt>
          <cx:pt idx="418">273950.72999999998</cx:pt>
          <cx:pt idx="419">628593.08999999997</cx:pt>
          <cx:pt idx="420">331775.75</cx:pt>
          <cx:pt idx="421">322760.71000000002</cx:pt>
          <cx:pt idx="422">254462.54000000001</cx:pt>
          <cx:pt idx="423">226555.48000000001</cx:pt>
          <cx:pt idx="424">2177692.1899999999</cx:pt>
          <cx:pt idx="425">480745.60999999999</cx:pt>
          <cx:pt idx="426">367224.72999999998</cx:pt>
          <cx:pt idx="427">1016156</cx:pt>
          <cx:pt idx="428">222689.88</cx:pt>
          <cx:pt idx="429">1033.8199999999999</cx:pt>
          <cx:pt idx="430">267525.15000000002</cx:pt>
          <cx:pt idx="431">109999.99000000001</cx:pt>
          <cx:pt idx="432">1254859.6200000001</cx:pt>
          <cx:pt idx="433">36844.330000000002</cx:pt>
          <cx:pt idx="434">68088.339999999997</cx:pt>
          <cx:pt idx="435">1810499.05</cx:pt>
          <cx:pt idx="436">117135</cx:pt>
          <cx:pt idx="437">2430001</cx:pt>
          <cx:pt idx="438">276977.37</cx:pt>
          <cx:pt idx="439">3627477.7000000002</cx:pt>
          <cx:pt idx="440">680137.77000000002</cx:pt>
          <cx:pt idx="441">226986.38</cx:pt>
          <cx:pt idx="442">493924.39000000001</cx:pt>
          <cx:pt idx="443">2187804.6800000002</cx:pt>
          <cx:pt idx="444">1339550</cx:pt>
          <cx:pt idx="445">962142.34999999998</cx:pt>
          <cx:pt idx="446">208992.98999999999</cx:pt>
          <cx:pt idx="447">162808.22</cx:pt>
          <cx:pt idx="448">317732.51000000001</cx:pt>
          <cx:pt idx="449">2035233.97</cx:pt>
          <cx:pt idx="450">711486.64000000001</cx:pt>
          <cx:pt idx="451">595595.58999999997</cx:pt>
          <cx:pt idx="452">216529.04999999999</cx:pt>
          <cx:pt idx="453">706686.81999999995</cx:pt>
          <cx:pt idx="454">2225008.6499999999</cx:pt>
          <cx:pt idx="455">2446931.8900000001</cx:pt>
          <cx:pt idx="456">944578.88</cx:pt>
          <cx:pt idx="457">305687</cx:pt>
          <cx:pt idx="458">449883.71000000002</cx:pt>
          <cx:pt idx="459">856784.59999999998</cx:pt>
          <cx:pt idx="460">835282.52000000002</cx:pt>
          <cx:pt idx="461">184981.66</cx:pt>
          <cx:pt idx="462">1420462.7</cx:pt>
          <cx:pt idx="463">298370.59999999998</cx:pt>
          <cx:pt idx="464">769717.37</cx:pt>
          <cx:pt idx="465">363472.06</cx:pt>
          <cx:pt idx="466">169211.51999999999</cx:pt>
          <cx:pt idx="467">1299703.2</cx:pt>
          <cx:pt idx="468">160502.14000000001</cx:pt>
          <cx:pt idx="469">259600</cx:pt>
          <cx:pt idx="470">428761.27000000002</cx:pt>
          <cx:pt idx="471">798321.67000000004</cx:pt>
          <cx:pt idx="472">213621.78</cx:pt>
          <cx:pt idx="473">3685215.5800000001</cx:pt>
          <cx:pt idx="474">177479.56</cx:pt>
          <cx:pt idx="475">62691.25</cx:pt>
          <cx:pt idx="476">1099391.6699999999</cx:pt>
          <cx:pt idx="477">438001</cx:pt>
          <cx:pt idx="478">197709.35000000001</cx:pt>
          <cx:pt idx="479">1098592.99</cx:pt>
          <cx:pt idx="480">142349.62</cx:pt>
          <cx:pt idx="481">494650</cx:pt>
          <cx:pt idx="482">886581.57999999996</cx:pt>
          <cx:pt idx="483">477003.78000000003</cx:pt>
          <cx:pt idx="484">451067.67999999999</cx:pt>
          <cx:pt idx="485">262619.66999999998</cx:pt>
          <cx:pt idx="486">1053102.4199999999</cx:pt>
          <cx:pt idx="487">204922.72</cx:pt>
          <cx:pt idx="488">522333.94</cx:pt>
          <cx:pt idx="489">2742684</cx:pt>
          <cx:pt idx="490">344358.85999999999</cx:pt>
          <cx:pt idx="491">171506.69</cx:pt>
          <cx:pt idx="492">753279.68999999994</cx:pt>
          <cx:pt idx="493">1269517.29</cx:pt>
          <cx:pt idx="494">348164.92999999999</cx:pt>
          <cx:pt idx="495">500000</cx:pt>
          <cx:pt idx="496">594859.38</cx:pt>
          <cx:pt idx="497">900091.62</cx:pt>
          <cx:pt idx="498">254672.42000000001</cx:pt>
          <cx:pt idx="499">264133.08000000002</cx:pt>
          <cx:pt idx="500">289387.47999999998</cx:pt>
          <cx:pt idx="501">577221.35999999999</cx:pt>
          <cx:pt idx="502">578214.06999999995</cx:pt>
          <cx:pt idx="503">1281655.8899999999</cx:pt>
          <cx:pt idx="504">157477.98999999999</cx:pt>
          <cx:pt idx="505">991759.01000000001</cx:pt>
          <cx:pt idx="506">313563.47999999998</cx:pt>
          <cx:pt idx="507">1142720.8</cx:pt>
          <cx:pt idx="508">879969.34999999998</cx:pt>
          <cx:pt idx="509">272531.51000000001</cx:pt>
          <cx:pt idx="510">981204.90000000002</cx:pt>
          <cx:pt idx="511">354590.35999999999</cx:pt>
          <cx:pt idx="512">186267.67000000001</cx:pt>
          <cx:pt idx="513">469089.82000000001</cx:pt>
          <cx:pt idx="514">651952.29000000004</cx:pt>
          <cx:pt idx="515">927777.69999999995</cx:pt>
          <cx:pt idx="516">289887.64000000001</cx:pt>
          <cx:pt idx="517">190290.35000000001</cx:pt>
          <cx:pt idx="518">3933124.8599999999</cx:pt>
          <cx:pt idx="519">257249.98999999999</cx:pt>
          <cx:pt idx="520">951810.47999999998</cx:pt>
          <cx:pt idx="521">293116.14000000001</cx:pt>
          <cx:pt idx="522">125295.11</cx:pt>
          <cx:pt idx="523">258287.51999999999</cx:pt>
          <cx:pt idx="524">1349664.1200000001</cx:pt>
          <cx:pt idx="525">305892.84000000003</cx:pt>
          <cx:pt idx="526">277979.53000000003</cx:pt>
          <cx:pt idx="527">442448.96000000002</cx:pt>
          <cx:pt idx="528">603568</cx:pt>
          <cx:pt idx="529">879656.09999999998</cx:pt>
          <cx:pt idx="530">1586878.24</cx:pt>
          <cx:pt idx="531">268243.34999999998</cx:pt>
          <cx:pt idx="532">484637.73999999999</cx:pt>
          <cx:pt idx="533">143994.67999999999</cx:pt>
          <cx:pt idx="534">374694.15999999997</cx:pt>
          <cx:pt idx="535">270683.34999999998</cx:pt>
          <cx:pt idx="536">317319.28000000003</cx:pt>
          <cx:pt idx="537">272750.06</cx:pt>
          <cx:pt idx="538">228582.26999999999</cx:pt>
          <cx:pt idx="539">442636.29999999999</cx:pt>
          <cx:pt idx="540">153474.66</cx:pt>
          <cx:pt idx="541">565230.83999999997</cx:pt>
          <cx:pt idx="542">1227250.04</cx:pt>
          <cx:pt idx="543">1389993.51</cx:pt>
          <cx:pt idx="544">3800968</cx:pt>
          <cx:pt idx="545">890839.16000000003</cx:pt>
          <cx:pt idx="546">1958287.24</cx:pt>
          <cx:pt idx="547">646101.13</cx:pt>
          <cx:pt idx="548">467192.96000000002</cx:pt>
          <cx:pt idx="549">379959.42999999999</cx:pt>
          <cx:pt idx="550">126243.53999999999</cx:pt>
          <cx:pt idx="551">1580842.7</cx:pt>
          <cx:pt idx="552">104466.24000000001</cx:pt>
          <cx:pt idx="553">1095117.98</cx:pt>
          <cx:pt idx="554">94708.149999999994</cx:pt>
          <cx:pt idx="555">195747.29999999999</cx:pt>
          <cx:pt idx="556">245407.91</cx:pt>
          <cx:pt idx="557">75580.889999999999</cx:pt>
          <cx:pt idx="558">754555.08999999997</cx:pt>
          <cx:pt idx="559">424401.27000000002</cx:pt>
          <cx:pt idx="560">2298151.6400000001</cx:pt>
          <cx:pt idx="561">1071590.5</cx:pt>
          <cx:pt idx="562">313313.13</cx:pt>
          <cx:pt idx="563">182864.37</cx:pt>
          <cx:pt idx="564">1938097.79</cx:pt>
          <cx:pt idx="565">361344.12</cx:pt>
          <cx:pt idx="566">324018.46999999997</cx:pt>
          <cx:pt idx="567">299306.94</cx:pt>
          <cx:pt idx="568">237771.97</cx:pt>
          <cx:pt idx="569">188797.06</cx:pt>
          <cx:pt idx="570">175938.06</cx:pt>
          <cx:pt idx="571">483720.78000000003</cx:pt>
          <cx:pt idx="572">990741.08999999997</cx:pt>
          <cx:pt idx="573">949161.29000000004</cx:pt>
          <cx:pt idx="574">292931.94</cx:pt>
          <cx:pt idx="575">178318.17999999999</cx:pt>
          <cx:pt idx="576">187257.07000000001</cx:pt>
          <cx:pt idx="577">3997207.5</cx:pt>
          <cx:pt idx="578">400002</cx:pt>
        </cx:lvl>
      </cx:numDim>
    </cx:data>
  </cx:chartData>
  <cx:chart>
    <cx:plotArea>
      <cx:plotAreaRegion>
        <cx:series layoutId="clusteredColumn" uniqueId="{CF045591-380F-48C5-B7A5-F40DFD109EF4}">
          <cx:dataLabels>
            <cx:visibility seriesName="0" categoryName="0" value="1"/>
          </cx:dataLabels>
          <cx:dataId val="0"/>
          <cx:layoutPr>
            <cx:binning intervalClosed="r">
              <cx:binSize val="300000"/>
            </cx:binning>
          </cx:layoutPr>
        </cx:series>
      </cx:plotAreaRegion>
      <cx:axis id="0">
        <cx:catScaling gapWidth="0"/>
        <cx:title>
          <cx:tx>
            <cx:txData>
              <cx:v>EUR</cx:v>
            </cx:txData>
          </cx:tx>
          <cx:txPr>
            <a:bodyPr spcFirstLastPara="1" vertOverflow="ellipsis" wrap="square" lIns="0" tIns="0" rIns="0" bIns="0" anchor="ctr" anchorCtr="1"/>
            <a:lstStyle/>
            <a:p>
              <a:pPr algn="ctr">
                <a:defRPr/>
              </a:pPr>
              <a:r>
                <a:rPr lang="lv-LV"/>
                <a:t>EUR</a:t>
              </a:r>
            </a:p>
          </cx:txPr>
        </cx:title>
        <cx:tickLabels/>
      </cx:axis>
      <cx:axis id="1">
        <cx:valScaling/>
        <cx:title>
          <cx:tx>
            <cx:txData>
              <cx:v>Skaits</cx:v>
            </cx:txData>
          </cx:tx>
          <cx:txPr>
            <a:bodyPr spcFirstLastPara="1" vertOverflow="ellipsis" wrap="square" lIns="0" tIns="0" rIns="0" bIns="0" anchor="ctr" anchorCtr="1"/>
            <a:lstStyle/>
            <a:p>
              <a:pPr algn="ctr">
                <a:defRPr/>
              </a:pPr>
              <a:r>
                <a:rPr lang="lv-LV"/>
                <a:t>Skaits</a:t>
              </a:r>
            </a:p>
          </cx:txPr>
        </cx:title>
        <cx:majorGridlines/>
        <cx:tickLabels/>
      </cx:axis>
    </cx:plotArea>
  </cx:chart>
  <cx:clrMapOvr bg1="lt1" tx1="dk1" bg2="lt2" tx2="dk2" accent1="accent1" accent2="accent2" accent3="accent3" accent4="accent4" accent5="accent5" accent6="accent6" hlink="hlink" folHlink="folHlink"/>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piegāde_pakalp_zem!$D$2:$D$1140</cx:f>
        <cx:lvl ptCount="1139" formatCode="General">
          <cx:pt idx="0">85299.839999999997</cx:pt>
          <cx:pt idx="1">61230.449999999997</cx:pt>
          <cx:pt idx="2">44439.900000000001</cx:pt>
          <cx:pt idx="3">47658</cx:pt>
          <cx:pt idx="4">36413.519999999997</cx:pt>
          <cx:pt idx="5">244</cx:pt>
          <cx:pt idx="6">13610.66</cx:pt>
          <cx:pt idx="7">56500</cx:pt>
          <cx:pt idx="8">81341.229999999996</cx:pt>
          <cx:pt idx="9">3976</cx:pt>
          <cx:pt idx="10">80416.800000000003</cx:pt>
          <cx:pt idx="11">57678.669999999998</cx:pt>
          <cx:pt idx="12">57851.239999999998</cx:pt>
          <cx:pt idx="13">58950</cx:pt>
          <cx:pt idx="14">55485.389999999999</cx:pt>
          <cx:pt idx="15">27085</cx:pt>
          <cx:pt idx="16">55500</cx:pt>
          <cx:pt idx="17">3976.71</cx:pt>
          <cx:pt idx="18">123880.8</cx:pt>
          <cx:pt idx="19">6536</cx:pt>
          <cx:pt idx="20">69470</cx:pt>
          <cx:pt idx="21">42867</cx:pt>
          <cx:pt idx="22">43043</cx:pt>
          <cx:pt idx="23">78801.520000000004</cx:pt>
          <cx:pt idx="24">39400</cx:pt>
          <cx:pt idx="25">78320.520000000004</cx:pt>
          <cx:pt idx="26">75194.100000000006</cx:pt>
          <cx:pt idx="27">64123</cx:pt>
          <cx:pt idx="28">85500</cx:pt>
          <cx:pt idx="29">2880</cx:pt>
          <cx:pt idx="30">71500</cx:pt>
          <cx:pt idx="31">92829.889999999999</cx:pt>
          <cx:pt idx="32">47209.330000000002</cx:pt>
          <cx:pt idx="33">68750</cx:pt>
          <cx:pt idx="34">41741</cx:pt>
          <cx:pt idx="35">22380.599999999999</cx:pt>
          <cx:pt idx="36">89861.429999999993</cx:pt>
          <cx:pt idx="37">53643.019999999997</cx:pt>
          <cx:pt idx="38">84217.179999999993</cx:pt>
          <cx:pt idx="39">63172.349999999999</cx:pt>
          <cx:pt idx="40">127912.5</cx:pt>
          <cx:pt idx="41">128332.39999999999</cx:pt>
          <cx:pt idx="42">120688.39999999999</cx:pt>
          <cx:pt idx="43">40784.43</cx:pt>
          <cx:pt idx="44">17929</cx:pt>
          <cx:pt idx="45">86879.869999999995</cx:pt>
          <cx:pt idx="46">87365</cx:pt>
          <cx:pt idx="47">129000</cx:pt>
          <cx:pt idx="48">134999.94</cx:pt>
          <cx:pt idx="49">46920</cx:pt>
          <cx:pt idx="50">133985</cx:pt>
          <cx:pt idx="51">114182.10000000001</cx:pt>
          <cx:pt idx="52">82577</cx:pt>
          <cx:pt idx="53">10355.290000000001</cx:pt>
          <cx:pt idx="54">54688.599999999999</cx:pt>
          <cx:pt idx="55">60000</cx:pt>
          <cx:pt idx="56">35340</cx:pt>
          <cx:pt idx="57">109880</cx:pt>
          <cx:pt idx="58">1570</cx:pt>
          <cx:pt idx="59">40320</cx:pt>
          <cx:pt idx="60">28046.889999999999</cx:pt>
          <cx:pt idx="61">40141.800000000003</cx:pt>
          <cx:pt idx="62">104130</cx:pt>
          <cx:pt idx="63">59480</cx:pt>
          <cx:pt idx="64">128553.66</cx:pt>
          <cx:pt idx="65">59009.919999999998</cx:pt>
          <cx:pt idx="66">133460.60000000001</cx:pt>
          <cx:pt idx="67">74480</cx:pt>
          <cx:pt idx="68">63753</cx:pt>
          <cx:pt idx="69">52836</cx:pt>
          <cx:pt idx="70">69173.550000000003</cx:pt>
          <cx:pt idx="71">119388</cx:pt>
          <cx:pt idx="72">40587.089999999997</cx:pt>
          <cx:pt idx="73">117790</cx:pt>
          <cx:pt idx="74">47798</cx:pt>
          <cx:pt idx="75">50466.900000000001</cx:pt>
          <cx:pt idx="76">60484.199999999997</cx:pt>
          <cx:pt idx="77">46254</cx:pt>
          <cx:pt idx="78">107438</cx:pt>
          <cx:pt idx="79">96146.779999999999</cx:pt>
          <cx:pt idx="80">75000</cx:pt>
          <cx:pt idx="81">130000</cx:pt>
          <cx:pt idx="82">71923.539999999994</cx:pt>
          <cx:pt idx="83">55991.739999999998</cx:pt>
          <cx:pt idx="84">31782.040000000001</cx:pt>
          <cx:pt idx="85">49870</cx:pt>
          <cx:pt idx="86">77866.110000000001</cx:pt>
          <cx:pt idx="87">51973.339999999997</cx:pt>
          <cx:pt idx="88">9991</cx:pt>
          <cx:pt idx="89">39591.220000000001</cx:pt>
          <cx:pt idx="90">66115.699999999997</cx:pt>
          <cx:pt idx="91">55541.970000000001</cx:pt>
          <cx:pt idx="92">66048</cx:pt>
          <cx:pt idx="93">4177.6400000000003</cx:pt>
          <cx:pt idx="94">66868</cx:pt>
          <cx:pt idx="95">57393.360000000001</cx:pt>
          <cx:pt idx="96">84290</cx:pt>
          <cx:pt idx="97">73750.649999999994</cx:pt>
          <cx:pt idx="98">32437.27</cx:pt>
          <cx:pt idx="99">12142.389999999999</cx:pt>
          <cx:pt idx="100">80000</cx:pt>
          <cx:pt idx="101">49680</cx:pt>
          <cx:pt idx="102">62908.779999999999</cx:pt>
          <cx:pt idx="103">3600</cx:pt>
          <cx:pt idx="104">56543.790000000001</cx:pt>
          <cx:pt idx="105">16136</cx:pt>
          <cx:pt idx="106">70350</cx:pt>
          <cx:pt idx="107">71531.869999999995</cx:pt>
          <cx:pt idx="108">134999</cx:pt>
          <cx:pt idx="109">52970</cx:pt>
          <cx:pt idx="110">21255</cx:pt>
          <cx:pt idx="111">70000</cx:pt>
          <cx:pt idx="112">4902.6599999999999</cx:pt>
          <cx:pt idx="113">43384.419999999998</cx:pt>
          <cx:pt idx="114">134000</cx:pt>
          <cx:pt idx="115">100000</cx:pt>
          <cx:pt idx="116">81269.759999999995</cx:pt>
          <cx:pt idx="117">124500</cx:pt>
          <cx:pt idx="118">65000</cx:pt>
          <cx:pt idx="119">3507</cx:pt>
          <cx:pt idx="120">61652.150000000001</cx:pt>
          <cx:pt idx="121">73760</cx:pt>
          <cx:pt idx="122">111330</cx:pt>
          <cx:pt idx="123">67561.449999999997</cx:pt>
          <cx:pt idx="124">73862</cx:pt>
          <cx:pt idx="125">60628.099999999999</cx:pt>
          <cx:pt idx="126">67613.509999999995</cx:pt>
          <cx:pt idx="127">61030.050000000003</cx:pt>
          <cx:pt idx="128">54337.800000000003</cx:pt>
          <cx:pt idx="129">26755</cx:pt>
          <cx:pt idx="130">63000</cx:pt>
          <cx:pt idx="131">112000</cx:pt>
          <cx:pt idx="132">107541.77</cx:pt>
          <cx:pt idx="133">83121.259999999995</cx:pt>
          <cx:pt idx="134">64400</cx:pt>
          <cx:pt idx="135">120015</cx:pt>
          <cx:pt idx="136">105500</cx:pt>
          <cx:pt idx="137">71000</cx:pt>
          <cx:pt idx="138">67504.610000000001</cx:pt>
          <cx:pt idx="139">68900</cx:pt>
          <cx:pt idx="140">134000</cx:pt>
          <cx:pt idx="141">112790</cx:pt>
          <cx:pt idx="142">117000</cx:pt>
          <cx:pt idx="143">80283</cx:pt>
          <cx:pt idx="144">23776.799999999999</cx:pt>
          <cx:pt idx="145">1545</cx:pt>
          <cx:pt idx="146">75300</cx:pt>
          <cx:pt idx="147">75151.539999999994</cx:pt>
          <cx:pt idx="148">57207.599999999999</cx:pt>
          <cx:pt idx="149">39880.800000000003</cx:pt>
          <cx:pt idx="150">46667.68</cx:pt>
          <cx:pt idx="151">70053.610000000001</cx:pt>
          <cx:pt idx="152">43442</cx:pt>
          <cx:pt idx="153">131825.39999999999</cx:pt>
          <cx:pt idx="154">76200</cx:pt>
          <cx:pt idx="155">98569.5</cx:pt>
          <cx:pt idx="156">24506</cx:pt>
          <cx:pt idx="157">119184</cx:pt>
          <cx:pt idx="158">129950</cx:pt>
          <cx:pt idx="159">72649.389999999999</cx:pt>
          <cx:pt idx="160">56833.230000000003</cx:pt>
          <cx:pt idx="161">134999.98999999999</cx:pt>
          <cx:pt idx="162">134000</cx:pt>
          <cx:pt idx="163">9951</cx:pt>
          <cx:pt idx="164">62000</cx:pt>
          <cx:pt idx="165">118900</cx:pt>
          <cx:pt idx="166">4246</cx:pt>
          <cx:pt idx="167">11060</cx:pt>
          <cx:pt idx="168">128185.45</cx:pt>
          <cx:pt idx="169">92928</cx:pt>
          <cx:pt idx="170">5548.9300000000003</cx:pt>
          <cx:pt idx="171">35160</cx:pt>
          <cx:pt idx="172">101306</cx:pt>
          <cx:pt idx="173">37390.050000000003</cx:pt>
          <cx:pt idx="174">22122</cx:pt>
          <cx:pt idx="175">59897</cx:pt>
          <cx:pt idx="176">14414.440000000001</cx:pt>
          <cx:pt idx="177">90500</cx:pt>
          <cx:pt idx="178">10724.860000000001</cx:pt>
          <cx:pt idx="179">55000</cx:pt>
          <cx:pt idx="180">43140</cx:pt>
          <cx:pt idx="181">87068</cx:pt>
          <cx:pt idx="182">113814.24000000001</cx:pt>
          <cx:pt idx="183">57060.230000000003</cx:pt>
          <cx:pt idx="184">52902.809999999998</cx:pt>
          <cx:pt idx="185">79233.800000000003</cx:pt>
          <cx:pt idx="186">56880</cx:pt>
          <cx:pt idx="187">64398.610000000001</cx:pt>
          <cx:pt idx="188">1471.75</cx:pt>
          <cx:pt idx="189">67658.080000000002</cx:pt>
          <cx:pt idx="190">117999.99000000001</cx:pt>
          <cx:pt idx="191">49598.699999999997</cx:pt>
          <cx:pt idx="192">53595.220000000001</cx:pt>
          <cx:pt idx="193">37000</cx:pt>
          <cx:pt idx="194">50222.120000000003</cx:pt>
          <cx:pt idx="195">41678.660000000003</cx:pt>
          <cx:pt idx="196">54837</cx:pt>
          <cx:pt idx="197">93662.050000000003</cx:pt>
          <cx:pt idx="198">70000</cx:pt>
          <cx:pt idx="199">77487.410000000003</cx:pt>
          <cx:pt idx="200">3008.27</cx:pt>
          <cx:pt idx="201">126249.34</cx:pt>
          <cx:pt idx="202">57156.199999999997</cx:pt>
          <cx:pt idx="203">47933.879999999997</cx:pt>
          <cx:pt idx="204">78356</cx:pt>
          <cx:pt idx="205">96300</cx:pt>
          <cx:pt idx="206">65180</cx:pt>
          <cx:pt idx="207">88358.119999999995</cx:pt>
          <cx:pt idx="208">76634.600000000006</cx:pt>
          <cx:pt idx="209">74911.5</cx:pt>
          <cx:pt idx="210">46246.68</cx:pt>
          <cx:pt idx="211">76737.860000000001</cx:pt>
          <cx:pt idx="212">59622.739999999998</cx:pt>
          <cx:pt idx="213">71120.550000000003</cx:pt>
          <cx:pt idx="214">48736.230000000003</cx:pt>
          <cx:pt idx="215">12566.4</cx:pt>
          <cx:pt idx="216">54510.800000000003</cx:pt>
          <cx:pt idx="217">67228</cx:pt>
          <cx:pt idx="218">113930</cx:pt>
          <cx:pt idx="219">43330</cx:pt>
          <cx:pt idx="220">66514.729999999996</cx:pt>
          <cx:pt idx="221">49932</cx:pt>
          <cx:pt idx="222">61852.139999999999</cx:pt>
          <cx:pt idx="223">2662.5</cx:pt>
          <cx:pt idx="224">70169</cx:pt>
          <cx:pt idx="225">82405</cx:pt>
          <cx:pt idx="226">69102.119999999995</cx:pt>
          <cx:pt idx="227">88492.229999999996</cx:pt>
          <cx:pt idx="228">45368</cx:pt>
          <cx:pt idx="229">81360</cx:pt>
          <cx:pt idx="230">99000</cx:pt>
          <cx:pt idx="231">37855</cx:pt>
          <cx:pt idx="232">50000</cx:pt>
          <cx:pt idx="233">43922.900000000001</cx:pt>
          <cx:pt idx="234">56370.480000000003</cx:pt>
          <cx:pt idx="235">83422.5</cx:pt>
          <cx:pt idx="236">102000</cx:pt>
          <cx:pt idx="237">94362.25</cx:pt>
          <cx:pt idx="238">99133</cx:pt>
          <cx:pt idx="239">73826.699999999997</cx:pt>
          <cx:pt idx="240">19682.860000000001</cx:pt>
          <cx:pt idx="241">105500</cx:pt>
          <cx:pt idx="242">121759.24000000001</cx:pt>
          <cx:pt idx="243">16000</cx:pt>
          <cx:pt idx="244">102000</cx:pt>
          <cx:pt idx="245">105900</cx:pt>
          <cx:pt idx="246">117649.21000000001</cx:pt>
          <cx:pt idx="247">65564.600000000006</cx:pt>
          <cx:pt idx="248">15302.23</cx:pt>
          <cx:pt idx="249">10954.1</cx:pt>
          <cx:pt idx="250">100000</cx:pt>
          <cx:pt idx="251">47032.019999999997</cx:pt>
          <cx:pt idx="252">77377</cx:pt>
          <cx:pt idx="253">134199.01999999999</cx:pt>
          <cx:pt idx="254">79700</cx:pt>
          <cx:pt idx="255">127000</cx:pt>
          <cx:pt idx="256">122900</cx:pt>
          <cx:pt idx="257">30941.790000000001</cx:pt>
          <cx:pt idx="258">19000</cx:pt>
          <cx:pt idx="259">39050</cx:pt>
          <cx:pt idx="260">54630.290000000001</cx:pt>
          <cx:pt idx="261">118546.47</cx:pt>
          <cx:pt idx="262">68480</cx:pt>
          <cx:pt idx="263">52002</cx:pt>
          <cx:pt idx="264">44895.959999999999</cx:pt>
          <cx:pt idx="265">98791.600000000006</cx:pt>
          <cx:pt idx="266">10000</cx:pt>
          <cx:pt idx="267">60500</cx:pt>
          <cx:pt idx="268">13572</cx:pt>
          <cx:pt idx="269">84492</cx:pt>
          <cx:pt idx="270">68874.800000000003</cx:pt>
          <cx:pt idx="271">70522.25</cx:pt>
          <cx:pt idx="272">117200</cx:pt>
          <cx:pt idx="273">26151</cx:pt>
          <cx:pt idx="274">16722.939999999999</cx:pt>
          <cx:pt idx="275">67674</cx:pt>
          <cx:pt idx="276">54184</cx:pt>
          <cx:pt idx="277">6000</cx:pt>
          <cx:pt idx="278">134500</cx:pt>
          <cx:pt idx="279">46000</cx:pt>
          <cx:pt idx="280">11955</cx:pt>
          <cx:pt idx="281">38950</cx:pt>
          <cx:pt idx="282">4371.8999999999996</cx:pt>
          <cx:pt idx="283">74482.5</cx:pt>
          <cx:pt idx="284">12960</cx:pt>
          <cx:pt idx="285">25000</cx:pt>
          <cx:pt idx="286">117868</cx:pt>
          <cx:pt idx="287">88582</cx:pt>
          <cx:pt idx="288">67980</cx:pt>
          <cx:pt idx="289">81500</cx:pt>
          <cx:pt idx="290">112396.39999999999</cx:pt>
          <cx:pt idx="291">20145</cx:pt>
          <cx:pt idx="292">8000</cx:pt>
          <cx:pt idx="293">38114.209999999999</cx:pt>
          <cx:pt idx="294">51439.599999999999</cx:pt>
          <cx:pt idx="295">70651.220000000001</cx:pt>
          <cx:pt idx="296">88512.949999999997</cx:pt>
          <cx:pt idx="297">4899.1999999999998</cx:pt>
          <cx:pt idx="298">49585.949999999997</cx:pt>
          <cx:pt idx="299">95000</cx:pt>
          <cx:pt idx="300">25496.799999999999</cx:pt>
          <cx:pt idx="301">61107.57</cx:pt>
          <cx:pt idx="302">59825</cx:pt>
          <cx:pt idx="303">110000</cx:pt>
          <cx:pt idx="304">78220</cx:pt>
          <cx:pt idx="305">38687</cx:pt>
          <cx:pt idx="306">3619.5</cx:pt>
          <cx:pt idx="307">110000</cx:pt>
          <cx:pt idx="308">117366.06</cx:pt>
          <cx:pt idx="309">96132</cx:pt>
          <cx:pt idx="310">46600</cx:pt>
          <cx:pt idx="311">41892</cx:pt>
          <cx:pt idx="312">47985.099999999999</cx:pt>
          <cx:pt idx="313">70000</cx:pt>
          <cx:pt idx="314">94461.339999999997</cx:pt>
          <cx:pt idx="315">70550</cx:pt>
          <cx:pt idx="316">70551</cx:pt>
          <cx:pt idx="317">72466.699999999997</cx:pt>
          <cx:pt idx="318">62100</cx:pt>
          <cx:pt idx="319">124499.10000000001</cx:pt>
          <cx:pt idx="320">51888</cx:pt>
          <cx:pt idx="321">130674.78999999999</cx:pt>
          <cx:pt idx="322">54577.199999999997</cx:pt>
          <cx:pt idx="323">41800</cx:pt>
          <cx:pt idx="324">35977.959999999999</cx:pt>
          <cx:pt idx="325">133000</cx:pt>
          <cx:pt idx="326">199.97999999999999</cx:pt>
          <cx:pt idx="327">71167.600000000006</cx:pt>
          <cx:pt idx="328">24570</cx:pt>
          <cx:pt idx="329">63880</cx:pt>
          <cx:pt idx="330">30609.66</cx:pt>
          <cx:pt idx="331">39308.019999999997</cx:pt>
          <cx:pt idx="332">50800</cx:pt>
          <cx:pt idx="333">109453</cx:pt>
          <cx:pt idx="334">48498.650000000001</cx:pt>
          <cx:pt idx="335">19012</cx:pt>
          <cx:pt idx="336">134500</cx:pt>
          <cx:pt idx="337">134215.67000000001</cx:pt>
          <cx:pt idx="338">10774</cx:pt>
          <cx:pt idx="339">124755.36</cx:pt>
          <cx:pt idx="340">134699</cx:pt>
          <cx:pt idx="341">14333</cx:pt>
          <cx:pt idx="342">62414</cx:pt>
          <cx:pt idx="343">114032.75</cx:pt>
          <cx:pt idx="344">68515.199999999997</cx:pt>
          <cx:pt idx="345">93097.119999999995</cx:pt>
          <cx:pt idx="346">30209</cx:pt>
          <cx:pt idx="347">85574</cx:pt>
          <cx:pt idx="348">71955.919999999998</cx:pt>
          <cx:pt idx="349">87580</cx:pt>
          <cx:pt idx="350">54765</cx:pt>
          <cx:pt idx="351">10034.92</cx:pt>
          <cx:pt idx="352">6889.6599999999999</cx:pt>
          <cx:pt idx="353">18965</cx:pt>
          <cx:pt idx="354">44406</cx:pt>
          <cx:pt idx="355">78384</cx:pt>
          <cx:pt idx="356">81000</cx:pt>
          <cx:pt idx="357">23170</cx:pt>
          <cx:pt idx="358">6928.6000000000004</cx:pt>
          <cx:pt idx="359">19998</cx:pt>
          <cx:pt idx="360">44788.980000000003</cx:pt>
          <cx:pt idx="361">58817.349999999999</cx:pt>
          <cx:pt idx="362">75554.800000000003</cx:pt>
          <cx:pt idx="363">1888.0799999999999</cx:pt>
          <cx:pt idx="364">26959.740000000002</cx:pt>
          <cx:pt idx="365">29295.880000000001</cx:pt>
          <cx:pt idx="366">8920</cx:pt>
          <cx:pt idx="367">36879</cx:pt>
          <cx:pt idx="368">74380.169999999998</cx:pt>
          <cx:pt idx="369">112657.46000000001</cx:pt>
          <cx:pt idx="370">59652.019999999997</cx:pt>
          <cx:pt idx="371">11150</cx:pt>
          <cx:pt idx="372">77033.699999999997</cx:pt>
          <cx:pt idx="373">99591.089999999997</cx:pt>
          <cx:pt idx="374">49158</cx:pt>
          <cx:pt idx="375">43391.970000000001</cx:pt>
          <cx:pt idx="376">50000</cx:pt>
          <cx:pt idx="377">25788</cx:pt>
          <cx:pt idx="378">82579</cx:pt>
          <cx:pt idx="379">5063.8400000000001</cx:pt>
          <cx:pt idx="380">5482</cx:pt>
          <cx:pt idx="381">35989</cx:pt>
          <cx:pt idx="382">84247.300000000003</cx:pt>
          <cx:pt idx="383">71354</cx:pt>
          <cx:pt idx="384">132000</cx:pt>
          <cx:pt idx="385">129527</cx:pt>
          <cx:pt idx="386">130000</cx:pt>
          <cx:pt idx="387">104363.8</cx:pt>
          <cx:pt idx="388">34141.800000000003</cx:pt>
          <cx:pt idx="389">64509.879999999997</cx:pt>
          <cx:pt idx="390">22100</cx:pt>
          <cx:pt idx="391">23834.290000000001</cx:pt>
          <cx:pt idx="392">59975</cx:pt>
          <cx:pt idx="393">73000</cx:pt>
          <cx:pt idx="394">69944.199999999997</cx:pt>
          <cx:pt idx="395">87883</cx:pt>
          <cx:pt idx="396">43514</cx:pt>
          <cx:pt idx="397">74999</cx:pt>
          <cx:pt idx="398">44099.589999999997</cx:pt>
          <cx:pt idx="399">62373.199999999997</cx:pt>
          <cx:pt idx="400">21060.150000000001</cx:pt>
          <cx:pt idx="401">85348.899999999994</cx:pt>
          <cx:pt idx="402">83660.809999999998</cx:pt>
          <cx:pt idx="403">27042.560000000001</cx:pt>
          <cx:pt idx="404">50000</cx:pt>
          <cx:pt idx="405">120385.35000000001</cx:pt>
          <cx:pt idx="406">100099.24000000001</cx:pt>
          <cx:pt idx="407">1242</cx:pt>
          <cx:pt idx="408">97582.440000000002</cx:pt>
          <cx:pt idx="409">120597.34</cx:pt>
          <cx:pt idx="410">49271.059999999998</cx:pt>
          <cx:pt idx="411">2500</cx:pt>
          <cx:pt idx="412">23966.939999999999</cx:pt>
          <cx:pt idx="413">63150</cx:pt>
          <cx:pt idx="414">42705</cx:pt>
          <cx:pt idx="415">51676</cx:pt>
          <cx:pt idx="416">79700</cx:pt>
          <cx:pt idx="417">75000</cx:pt>
          <cx:pt idx="418">30804.57</cx:pt>
          <cx:pt idx="419">103000</cx:pt>
          <cx:pt idx="420">65438.989999999998</cx:pt>
          <cx:pt idx="421">39080.440000000002</cx:pt>
          <cx:pt idx="422">123493.24000000001</cx:pt>
          <cx:pt idx="423">85936.600000000006</cx:pt>
          <cx:pt idx="424">47340</cx:pt>
          <cx:pt idx="425">113033.89999999999</cx:pt>
          <cx:pt idx="426">17406</cx:pt>
          <cx:pt idx="427">88270.119999999995</cx:pt>
          <cx:pt idx="428">88053.039999999994</cx:pt>
          <cx:pt idx="429">92500</cx:pt>
          <cx:pt idx="430">44900</cx:pt>
          <cx:pt idx="431">51964</cx:pt>
          <cx:pt idx="432">110514.2</cx:pt>
          <cx:pt idx="433">99790.550000000003</cx:pt>
          <cx:pt idx="434">73710</cx:pt>
          <cx:pt idx="435">51618.419999999998</cx:pt>
          <cx:pt idx="436">4050</cx:pt>
          <cx:pt idx="437">40456.199999999997</cx:pt>
          <cx:pt idx="438">56680.669999999998</cx:pt>
          <cx:pt idx="439">68095</cx:pt>
          <cx:pt idx="440">100302</cx:pt>
          <cx:pt idx="441">35174</cx:pt>
          <cx:pt idx="442">133884.29999999999</cx:pt>
          <cx:pt idx="443">81657.669999999998</cx:pt>
          <cx:pt idx="444">20697</cx:pt>
          <cx:pt idx="445">101435</cx:pt>
          <cx:pt idx="446">63056</cx:pt>
          <cx:pt idx="447">122454.96000000001</cx:pt>
          <cx:pt idx="448">12851.950000000001</cx:pt>
          <cx:pt idx="449">25620</cx:pt>
          <cx:pt idx="450">134630</cx:pt>
          <cx:pt idx="451">71751.440000000002</cx:pt>
          <cx:pt idx="452">71541</cx:pt>
          <cx:pt idx="453">76221.289999999994</cx:pt>
          <cx:pt idx="454">106680</cx:pt>
          <cx:pt idx="455">45000</cx:pt>
          <cx:pt idx="456">48947</cx:pt>
          <cx:pt idx="457">50000</cx:pt>
          <cx:pt idx="458">29201.09</cx:pt>
          <cx:pt idx="459">35827</cx:pt>
          <cx:pt idx="460">3639.25</cx:pt>
          <cx:pt idx="461">72400</cx:pt>
          <cx:pt idx="462">2366.4899999999998</cx:pt>
          <cx:pt idx="463">46240</cx:pt>
          <cx:pt idx="464">22941.5</cx:pt>
          <cx:pt idx="465">35461.610000000001</cx:pt>
          <cx:pt idx="466">3392.25</cx:pt>
          <cx:pt idx="467">8544.2999999999993</cx:pt>
          <cx:pt idx="468">51879</cx:pt>
          <cx:pt idx="469">8595.0400000000009</cx:pt>
          <cx:pt idx="470">57847</cx:pt>
          <cx:pt idx="471">7000</cx:pt>
          <cx:pt idx="472">2644.6300000000001</cx:pt>
          <cx:pt idx="473">69300</cx:pt>
          <cx:pt idx="474">82443.240000000005</cx:pt>
          <cx:pt idx="475">52734</cx:pt>
          <cx:pt idx="476">9000</cx:pt>
          <cx:pt idx="477">15000</cx:pt>
          <cx:pt idx="478">61652</cx:pt>
          <cx:pt idx="479">6320.3999999999996</cx:pt>
          <cx:pt idx="480">53885.099999999999</cx:pt>
          <cx:pt idx="481">56000</cx:pt>
          <cx:pt idx="482">105040.98</cx:pt>
          <cx:pt idx="483">91171.059999999998</cx:pt>
          <cx:pt idx="484">64460</cx:pt>
          <cx:pt idx="485">103980</cx:pt>
          <cx:pt idx="486">36480.93</cx:pt>
          <cx:pt idx="487">48419</cx:pt>
          <cx:pt idx="488">2516</cx:pt>
          <cx:pt idx="489">17985</cx:pt>
          <cx:pt idx="490">51148.760000000002</cx:pt>
          <cx:pt idx="491">899.14999999999998</cx:pt>
          <cx:pt idx="492">50487.199999999997</cx:pt>
          <cx:pt idx="493">15312.5</cx:pt>
          <cx:pt idx="494">14091.110000000001</cx:pt>
          <cx:pt idx="495">109050</cx:pt>
          <cx:pt idx="496">60825.989999999998</cx:pt>
          <cx:pt idx="497">78510.720000000001</cx:pt>
          <cx:pt idx="498">115066.12</cx:pt>
          <cx:pt idx="499">71516.839999999997</cx:pt>
          <cx:pt idx="500">24000</cx:pt>
          <cx:pt idx="501">107980.82000000001</cx:pt>
          <cx:pt idx="502">5710.8699999999999</cx:pt>
          <cx:pt idx="503">90299.529999999999</cx:pt>
          <cx:pt idx="504">56272.43</cx:pt>
          <cx:pt idx="505">24521.950000000001</cx:pt>
          <cx:pt idx="506">110881.60000000001</cx:pt>
          <cx:pt idx="507">16300</cx:pt>
          <cx:pt idx="508">117000</cx:pt>
          <cx:pt idx="509">71900</cx:pt>
          <cx:pt idx="510">9359.3700000000008</cx:pt>
          <cx:pt idx="511">70794.25</cx:pt>
          <cx:pt idx="512">32396.919999999998</cx:pt>
          <cx:pt idx="513">111440</cx:pt>
          <cx:pt idx="514">109209.66</cx:pt>
          <cx:pt idx="515">8877</cx:pt>
          <cx:pt idx="516">100865</cx:pt>
          <cx:pt idx="517">68269.899999999994</cx:pt>
          <cx:pt idx="518">117000</cx:pt>
          <cx:pt idx="519">63027.769999999997</cx:pt>
          <cx:pt idx="520">89497.550000000003</cx:pt>
          <cx:pt idx="521">45318.400000000001</cx:pt>
          <cx:pt idx="522">105230.42</cx:pt>
          <cx:pt idx="523">53692</cx:pt>
          <cx:pt idx="524">15120</cx:pt>
          <cx:pt idx="525">88700</cx:pt>
          <cx:pt idx="526">85696.070000000007</cx:pt>
          <cx:pt idx="527">51123.220000000001</cx:pt>
          <cx:pt idx="528">6799</cx:pt>
          <cx:pt idx="529">5054</cx:pt>
          <cx:pt idx="530">32016.400000000001</cx:pt>
          <cx:pt idx="531">88750</cx:pt>
          <cx:pt idx="532">43020</cx:pt>
          <cx:pt idx="533">96121.520000000004</cx:pt>
          <cx:pt idx="534">45950</cx:pt>
          <cx:pt idx="535">57500</cx:pt>
          <cx:pt idx="536">53614.150000000001</cx:pt>
          <cx:pt idx="537">119350.36</cx:pt>
          <cx:pt idx="538">62800</cx:pt>
          <cx:pt idx="539">127678.57000000001</cx:pt>
          <cx:pt idx="540">100000</cx:pt>
          <cx:pt idx="541">86465.889999999999</cx:pt>
          <cx:pt idx="542">104040.09</cx:pt>
          <cx:pt idx="543">595</cx:pt>
          <cx:pt idx="544">125900</cx:pt>
          <cx:pt idx="545">40237.300000000003</cx:pt>
          <cx:pt idx="546">128500.00999999999</cx:pt>
          <cx:pt idx="547">133780</cx:pt>
          <cx:pt idx="548">48000</cx:pt>
          <cx:pt idx="549">95603.839999999997</cx:pt>
          <cx:pt idx="550">45917</cx:pt>
          <cx:pt idx="551">84376.639999999999</cx:pt>
          <cx:pt idx="552">106880</cx:pt>
          <cx:pt idx="553">91891</cx:pt>
          <cx:pt idx="554">129871.82000000001</cx:pt>
          <cx:pt idx="555">87084.699999999997</cx:pt>
          <cx:pt idx="556">3420</cx:pt>
          <cx:pt idx="557">5867.4700000000003</cx:pt>
          <cx:pt idx="558">4256.6300000000001</cx:pt>
          <cx:pt idx="559">74294.860000000001</cx:pt>
          <cx:pt idx="560">64371.110000000001</cx:pt>
          <cx:pt idx="561">60240</cx:pt>
          <cx:pt idx="562">80687</cx:pt>
          <cx:pt idx="563">38400</cx:pt>
          <cx:pt idx="564">73733.149999999994</cx:pt>
          <cx:pt idx="565">110900</cx:pt>
          <cx:pt idx="566">134000</cx:pt>
          <cx:pt idx="567">79081</cx:pt>
          <cx:pt idx="568">71500</cx:pt>
          <cx:pt idx="569">51170.419999999998</cx:pt>
          <cx:pt idx="570">39818.190000000002</cx:pt>
          <cx:pt idx="571">51593.370000000003</cx:pt>
          <cx:pt idx="572">36.399999999999999</cx:pt>
          <cx:pt idx="573">326.48000000000002</cx:pt>
          <cx:pt idx="574">91700</cx:pt>
          <cx:pt idx="575">1610.1900000000001</cx:pt>
          <cx:pt idx="576">64500</cx:pt>
          <cx:pt idx="577">1413.0999999999999</cx:pt>
          <cx:pt idx="578">2022.0999999999999</cx:pt>
          <cx:pt idx="579">1566.5</cx:pt>
          <cx:pt idx="580">134000</cx:pt>
          <cx:pt idx="581">117086</cx:pt>
          <cx:pt idx="582">33735.099999999999</cx:pt>
          <cx:pt idx="583">54900</cx:pt>
          <cx:pt idx="584">5599</cx:pt>
          <cx:pt idx="585">37000</cx:pt>
          <cx:pt idx="586">185.40000000000001</cx:pt>
          <cx:pt idx="587">130000</cx:pt>
          <cx:pt idx="588">59506</cx:pt>
          <cx:pt idx="589">134900</cx:pt>
          <cx:pt idx="590">114140</cx:pt>
          <cx:pt idx="591">3000</cx:pt>
          <cx:pt idx="592">108.15000000000001</cx:pt>
          <cx:pt idx="593">106391.39999999999</cx:pt>
          <cx:pt idx="594">60000</cx:pt>
          <cx:pt idx="595">59249</cx:pt>
          <cx:pt idx="596">24548</cx:pt>
          <cx:pt idx="597">54800</cx:pt>
          <cx:pt idx="598">53350</cx:pt>
          <cx:pt idx="599">4580</cx:pt>
          <cx:pt idx="600">42000</cx:pt>
          <cx:pt idx="601">74954.199999999997</cx:pt>
          <cx:pt idx="602">85000</cx:pt>
          <cx:pt idx="603">109594.92</cx:pt>
          <cx:pt idx="604">51317.779999999999</cx:pt>
          <cx:pt idx="605">64080</cx:pt>
          <cx:pt idx="606">32000</cx:pt>
          <cx:pt idx="607">41650</cx:pt>
          <cx:pt idx="608">54506.970000000001</cx:pt>
          <cx:pt idx="609">48921.099999999999</cx:pt>
          <cx:pt idx="610">95622</cx:pt>
          <cx:pt idx="611">37399</cx:pt>
          <cx:pt idx="612">129291.09</cx:pt>
          <cx:pt idx="613">83249.399999999994</cx:pt>
          <cx:pt idx="614">33408</cx:pt>
          <cx:pt idx="615">113385.24000000001</cx:pt>
          <cx:pt idx="616">50990</cx:pt>
          <cx:pt idx="617">12487.92</cx:pt>
          <cx:pt idx="618">1823</cx:pt>
          <cx:pt idx="619">927.79999999999995</cx:pt>
          <cx:pt idx="620">2449.46</cx:pt>
          <cx:pt idx="621">62582.5</cx:pt>
          <cx:pt idx="622">101025.64999999999</cx:pt>
          <cx:pt idx="623">15000</cx:pt>
          <cx:pt idx="624">59274</cx:pt>
          <cx:pt idx="625">2055.3000000000002</cx:pt>
          <cx:pt idx="626">134210</cx:pt>
          <cx:pt idx="627">27664.200000000001</cx:pt>
          <cx:pt idx="628">11670</cx:pt>
          <cx:pt idx="629">99500</cx:pt>
          <cx:pt idx="630">16177.49</cx:pt>
          <cx:pt idx="631">6000</cx:pt>
          <cx:pt idx="632">1407.9100000000001</cx:pt>
          <cx:pt idx="633">81200</cx:pt>
          <cx:pt idx="634">54634.220000000001</cx:pt>
          <cx:pt idx="635">94350.690000000002</cx:pt>
          <cx:pt idx="636">54395.080000000002</cx:pt>
          <cx:pt idx="637">56705</cx:pt>
          <cx:pt idx="638">630.36000000000001</cx:pt>
          <cx:pt idx="639">8255</cx:pt>
          <cx:pt idx="640">92808</cx:pt>
          <cx:pt idx="641">80354.190000000002</cx:pt>
          <cx:pt idx="642">631.60000000000002</cx:pt>
          <cx:pt idx="643">1314.51</cx:pt>
          <cx:pt idx="644">45303</cx:pt>
          <cx:pt idx="645">47524.220000000001</cx:pt>
          <cx:pt idx="646">2051.8000000000002</cx:pt>
          <cx:pt idx="647">119031.12</cx:pt>
          <cx:pt idx="648">7819.0600000000004</cx:pt>
          <cx:pt idx="649">4305.6199999999999</cx:pt>
          <cx:pt idx="650">115695.92999999999</cx:pt>
          <cx:pt idx="651">79990</cx:pt>
          <cx:pt idx="652">70000</cx:pt>
          <cx:pt idx="653">69492.139999999999</cx:pt>
          <cx:pt idx="654">59977.080000000002</cx:pt>
          <cx:pt idx="655">95509.789999999994</cx:pt>
          <cx:pt idx="656">66523</cx:pt>
          <cx:pt idx="657">19179</cx:pt>
          <cx:pt idx="658">1893.21</cx:pt>
          <cx:pt idx="659">25522</cx:pt>
          <cx:pt idx="660">16161</cx:pt>
          <cx:pt idx="661">56070.57</cx:pt>
          <cx:pt idx="662">81910.399999999994</cx:pt>
          <cx:pt idx="663">23180.990000000002</cx:pt>
          <cx:pt idx="664">12510.68</cx:pt>
          <cx:pt idx="665">39972</cx:pt>
          <cx:pt idx="666">85086.699999999997</cx:pt>
          <cx:pt idx="667">55000</cx:pt>
          <cx:pt idx="668">42000</cx:pt>
          <cx:pt idx="669">87900</cx:pt>
          <cx:pt idx="670">12000</cx:pt>
          <cx:pt idx="671">5126</cx:pt>
          <cx:pt idx="672">84000</cx:pt>
          <cx:pt idx="673">83280</cx:pt>
          <cx:pt idx="674">33291.900000000001</cx:pt>
          <cx:pt idx="675">16675</cx:pt>
          <cx:pt idx="676">74709.479999999996</cx:pt>
          <cx:pt idx="677">20986.830000000002</cx:pt>
          <cx:pt idx="678">87300</cx:pt>
          <cx:pt idx="679">34500</cx:pt>
          <cx:pt idx="680">3671.8000000000002</cx:pt>
          <cx:pt idx="681">59840</cx:pt>
          <cx:pt idx="682">79236</cx:pt>
          <cx:pt idx="683">54970</cx:pt>
          <cx:pt idx="684">93483.199999999997</cx:pt>
          <cx:pt idx="685">44737.279999999999</cx:pt>
          <cx:pt idx="686">5203</cx:pt>
          <cx:pt idx="687">134999</cx:pt>
          <cx:pt idx="688">27759.59</cx:pt>
          <cx:pt idx="689">100000</cx:pt>
          <cx:pt idx="690">54380.040000000001</cx:pt>
          <cx:pt idx="691">35000</cx:pt>
          <cx:pt idx="692">57400</cx:pt>
          <cx:pt idx="693">59749.5</cx:pt>
          <cx:pt idx="694">111750</cx:pt>
          <cx:pt idx="695">4653.3900000000003</cx:pt>
          <cx:pt idx="696">44132</cx:pt>
          <cx:pt idx="697">77623</cx:pt>
          <cx:pt idx="698">19369.43</cx:pt>
          <cx:pt idx="699">51760.080000000002</cx:pt>
          <cx:pt idx="700">83314.020000000004</cx:pt>
          <cx:pt idx="701">10202.1</cx:pt>
          <cx:pt idx="702">18445.5</cx:pt>
          <cx:pt idx="703">52400</cx:pt>
          <cx:pt idx="704">9299.8500000000004</cx:pt>
          <cx:pt idx="705">80000</cx:pt>
          <cx:pt idx="706">8099</cx:pt>
          <cx:pt idx="707">19070</cx:pt>
          <cx:pt idx="708">56067.550000000003</cx:pt>
          <cx:pt idx="709">48654.360000000001</cx:pt>
          <cx:pt idx="710">71427.399999999994</cx:pt>
          <cx:pt idx="711">5823</cx:pt>
          <cx:pt idx="712">115800</cx:pt>
          <cx:pt idx="713">133999.98000000001</cx:pt>
          <cx:pt idx="714">90844.850000000006</cx:pt>
          <cx:pt idx="715">86570</cx:pt>
          <cx:pt idx="716">66000</cx:pt>
          <cx:pt idx="717">100000</cx:pt>
          <cx:pt idx="718">27152.119999999999</cx:pt>
          <cx:pt idx="719">94440</cx:pt>
          <cx:pt idx="720">66115.699999999997</cx:pt>
          <cx:pt idx="721">1959.2</cx:pt>
          <cx:pt idx="722">35424</cx:pt>
          <cx:pt idx="723">110228.41</cx:pt>
          <cx:pt idx="724">81960.699999999997</cx:pt>
          <cx:pt idx="725">134514.73999999999</cx:pt>
          <cx:pt idx="726">89853.139999999999</cx:pt>
          <cx:pt idx="727">14400.4</cx:pt>
          <cx:pt idx="728">26245</cx:pt>
          <cx:pt idx="729">118800</cx:pt>
          <cx:pt idx="730">80700</cx:pt>
          <cx:pt idx="731">82857.600000000006</cx:pt>
          <cx:pt idx="732">81080</cx:pt>
          <cx:pt idx="733">18710.599999999999</cx:pt>
          <cx:pt idx="734">39749.599999999999</cx:pt>
          <cx:pt idx="735">45000</cx:pt>
          <cx:pt idx="736">47264.199999999997</cx:pt>
          <cx:pt idx="737">33811</cx:pt>
          <cx:pt idx="738">118942.2</cx:pt>
          <cx:pt idx="739">32642.209999999999</cx:pt>
          <cx:pt idx="740">129980</cx:pt>
          <cx:pt idx="741">35636.400000000001</cx:pt>
          <cx:pt idx="742">3999.98</cx:pt>
          <cx:pt idx="743">37990.400000000001</cx:pt>
          <cx:pt idx="744">83800</cx:pt>
          <cx:pt idx="745">57720.080000000002</cx:pt>
          <cx:pt idx="746">44980</cx:pt>
          <cx:pt idx="747">109510</cx:pt>
          <cx:pt idx="748">55614</cx:pt>
          <cx:pt idx="749">75000</cx:pt>
          <cx:pt idx="750">48910.360000000001</cx:pt>
          <cx:pt idx="751">94615</cx:pt>
          <cx:pt idx="752">37738.300000000003</cx:pt>
          <cx:pt idx="753">31450.580000000002</cx:pt>
          <cx:pt idx="754">31181.82</cx:pt>
          <cx:pt idx="755">9723.7700000000004</cx:pt>
          <cx:pt idx="756">122000</cx:pt>
          <cx:pt idx="757">123600</cx:pt>
          <cx:pt idx="758">118987.31</cx:pt>
          <cx:pt idx="759">8909.0799999999999</cx:pt>
          <cx:pt idx="760">52800</cx:pt>
          <cx:pt idx="761">100000</cx:pt>
          <cx:pt idx="762">60831</cx:pt>
          <cx:pt idx="763">100000</cx:pt>
          <cx:pt idx="764">4454.54</cx:pt>
          <cx:pt idx="765">42340</cx:pt>
          <cx:pt idx="766">20000</cx:pt>
          <cx:pt idx="767">41477</cx:pt>
          <cx:pt idx="768">125382.39999999999</cx:pt>
          <cx:pt idx="769">44815.050000000003</cx:pt>
          <cx:pt idx="770">111539</cx:pt>
          <cx:pt idx="771">71499.050000000003</cx:pt>
          <cx:pt idx="772">89000</cx:pt>
          <cx:pt idx="773">41580</cx:pt>
          <cx:pt idx="774">122777</cx:pt>
          <cx:pt idx="775">48750</cx:pt>
          <cx:pt idx="776">28800</cx:pt>
          <cx:pt idx="777">4199</cx:pt>
          <cx:pt idx="778">4454.54</cx:pt>
          <cx:pt idx="779">46646.599999999999</cx:pt>
          <cx:pt idx="780">31100</cx:pt>
          <cx:pt idx="781">87500</cx:pt>
          <cx:pt idx="782">49448.980000000003</cx:pt>
          <cx:pt idx="783">85000</cx:pt>
          <cx:pt idx="784">83750</cx:pt>
          <cx:pt idx="785">50000</cx:pt>
          <cx:pt idx="786">57852</cx:pt>
          <cx:pt idx="787">77800</cx:pt>
          <cx:pt idx="788">45529.339999999997</cx:pt>
          <cx:pt idx="789">117000</cx:pt>
          <cx:pt idx="790">104444</cx:pt>
          <cx:pt idx="791">50791</cx:pt>
          <cx:pt idx="792">83602.899999999994</cx:pt>
          <cx:pt idx="793">41999</cx:pt>
          <cx:pt idx="794">30439</cx:pt>
          <cx:pt idx="795">24150</cx:pt>
          <cx:pt idx="796">60000</cx:pt>
          <cx:pt idx="797">130000</cx:pt>
          <cx:pt idx="798">79999</cx:pt>
          <cx:pt idx="799">132000</cx:pt>
          <cx:pt idx="800">6816</cx:pt>
          <cx:pt idx="801">114000</cx:pt>
          <cx:pt idx="802">27730</cx:pt>
          <cx:pt idx="803">80000</cx:pt>
          <cx:pt idx="804">96750</cx:pt>
          <cx:pt idx="805">18699.98</cx:pt>
          <cx:pt idx="806">134780.34</cx:pt>
          <cx:pt idx="807">56048</cx:pt>
          <cx:pt idx="808">2434</cx:pt>
          <cx:pt idx="809">87082</cx:pt>
          <cx:pt idx="810">86000</cx:pt>
          <cx:pt idx="811">134999.98999999999</cx:pt>
          <cx:pt idx="812">83200</cx:pt>
          <cx:pt idx="813">77048</cx:pt>
          <cx:pt idx="814">70500</cx:pt>
          <cx:pt idx="815">3900</cx:pt>
          <cx:pt idx="816">12600</cx:pt>
          <cx:pt idx="817">32000</cx:pt>
          <cx:pt idx="818">12180</cx:pt>
          <cx:pt idx="819">134000</cx:pt>
          <cx:pt idx="820">65598.470000000001</cx:pt>
          <cx:pt idx="821">17100</cx:pt>
          <cx:pt idx="822">44873.410000000003</cx:pt>
          <cx:pt idx="823">55000</cx:pt>
          <cx:pt idx="824">100000</cx:pt>
          <cx:pt idx="825">42259.139999999999</cx:pt>
          <cx:pt idx="826">59790</cx:pt>
          <cx:pt idx="827">68700</cx:pt>
          <cx:pt idx="828">77678.639999999999</cx:pt>
          <cx:pt idx="829">17645</cx:pt>
          <cx:pt idx="830">53315</cx:pt>
          <cx:pt idx="831">23902.48</cx:pt>
          <cx:pt idx="832">134999.98999999999</cx:pt>
          <cx:pt idx="833">102618.95</cx:pt>
          <cx:pt idx="834">54500</cx:pt>
          <cx:pt idx="835">99244.369999999995</cx:pt>
          <cx:pt idx="836">53099.199999999997</cx:pt>
          <cx:pt idx="837">10617.200000000001</cx:pt>
          <cx:pt idx="838">89235</cx:pt>
          <cx:pt idx="839">20600</cx:pt>
          <cx:pt idx="840">134999.98999999999</cx:pt>
          <cx:pt idx="841">90355</cx:pt>
          <cx:pt idx="842">40805.5</cx:pt>
          <cx:pt idx="843">1840</cx:pt>
          <cx:pt idx="844">43753.150000000001</cx:pt>
          <cx:pt idx="845">51056.68</cx:pt>
          <cx:pt idx="846">133999</cx:pt>
          <cx:pt idx="847">75000</cx:pt>
          <cx:pt idx="848">36410</cx:pt>
          <cx:pt idx="849">59767.589999999997</cx:pt>
          <cx:pt idx="850">96449.419999999998</cx:pt>
          <cx:pt idx="851">123085</cx:pt>
          <cx:pt idx="852">25000</cx:pt>
          <cx:pt idx="853">50000</cx:pt>
          <cx:pt idx="854">119784</cx:pt>
          <cx:pt idx="855">29790</cx:pt>
          <cx:pt idx="856">131707</cx:pt>
          <cx:pt idx="857">16355</cx:pt>
          <cx:pt idx="858">8672.4300000000003</cx:pt>
          <cx:pt idx="859">88683.5</cx:pt>
          <cx:pt idx="860">78033.830000000002</cx:pt>
          <cx:pt idx="861">23785.889999999999</cx:pt>
          <cx:pt idx="862">80325.449999999997</cx:pt>
          <cx:pt idx="863">59136.269999999997</cx:pt>
          <cx:pt idx="864">29540</cx:pt>
          <cx:pt idx="865">40110</cx:pt>
          <cx:pt idx="866">60355</cx:pt>
          <cx:pt idx="867">39005</cx:pt>
          <cx:pt idx="868">81767.449999999997</cx:pt>
          <cx:pt idx="869">107900</cx:pt>
          <cx:pt idx="870">15575</cx:pt>
          <cx:pt idx="871">71100.600000000006</cx:pt>
          <cx:pt idx="872">86015</cx:pt>
          <cx:pt idx="873">82380.479999999996</cx:pt>
          <cx:pt idx="874">78992.100000000006</cx:pt>
          <cx:pt idx="875">74900</cx:pt>
          <cx:pt idx="876">15000</cx:pt>
          <cx:pt idx="877">43800</cx:pt>
          <cx:pt idx="878">49691</cx:pt>
          <cx:pt idx="879">128800</cx:pt>
          <cx:pt idx="880">78490</cx:pt>
          <cx:pt idx="881">72000</cx:pt>
          <cx:pt idx="882">117146.10000000001</cx:pt>
          <cx:pt idx="883">67000</cx:pt>
          <cx:pt idx="884">74730</cx:pt>
          <cx:pt idx="885">50500</cx:pt>
          <cx:pt idx="886">30650</cx:pt>
          <cx:pt idx="887">76800</cx:pt>
          <cx:pt idx="888">29752.07</cx:pt>
          <cx:pt idx="889">120000</cx:pt>
          <cx:pt idx="890">117000</cx:pt>
          <cx:pt idx="891">60100</cx:pt>
          <cx:pt idx="892">37720</cx:pt>
          <cx:pt idx="893">60000</cx:pt>
          <cx:pt idx="894">58360</cx:pt>
          <cx:pt idx="895">94196.669999999998</cx:pt>
          <cx:pt idx="896">110241.60000000001</cx:pt>
          <cx:pt idx="897">79900</cx:pt>
          <cx:pt idx="898">119008.25999999999</cx:pt>
          <cx:pt idx="899">123400</cx:pt>
          <cx:pt idx="900">70000</cx:pt>
          <cx:pt idx="901">36211</cx:pt>
          <cx:pt idx="902">1700</cx:pt>
          <cx:pt idx="903">2256.9699999999998</cx:pt>
          <cx:pt idx="904">52154.300000000003</cx:pt>
          <cx:pt idx="905">100999</cx:pt>
          <cx:pt idx="906">75225.240000000005</cx:pt>
          <cx:pt idx="907">134999</cx:pt>
          <cx:pt idx="908">79947</cx:pt>
          <cx:pt idx="909">133884.29999999999</cx:pt>
          <cx:pt idx="910">2400</cx:pt>
          <cx:pt idx="911">65642.639999999999</cx:pt>
          <cx:pt idx="912">41340</cx:pt>
          <cx:pt idx="913">84297.600000000006</cx:pt>
          <cx:pt idx="914">68400</cx:pt>
          <cx:pt idx="915">59980.010000000002</cx:pt>
          <cx:pt idx="916">40000</cx:pt>
          <cx:pt idx="917">92572.75</cx:pt>
          <cx:pt idx="918">37300</cx:pt>
          <cx:pt idx="919">73373</cx:pt>
          <cx:pt idx="920">16000</cx:pt>
          <cx:pt idx="921">100000</cx:pt>
          <cx:pt idx="922">87076.320000000007</cx:pt>
          <cx:pt idx="923">134999.98999999999</cx:pt>
          <cx:pt idx="924">90000</cx:pt>
          <cx:pt idx="925">33523</cx:pt>
          <cx:pt idx="926">46600</cx:pt>
          <cx:pt idx="927">5600</cx:pt>
          <cx:pt idx="928">20800</cx:pt>
          <cx:pt idx="929">57400</cx:pt>
          <cx:pt idx="930">17400</cx:pt>
          <cx:pt idx="931">116600</cx:pt>
          <cx:pt idx="932">4454.54</cx:pt>
          <cx:pt idx="933">83170.5</cx:pt>
          <cx:pt idx="934">70920</cx:pt>
          <cx:pt idx="935">129440</cx:pt>
          <cx:pt idx="936">61157.019999999997</cx:pt>
          <cx:pt idx="937">49586</cx:pt>
          <cx:pt idx="938">78300</cx:pt>
          <cx:pt idx="939">100000</cx:pt>
          <cx:pt idx="940">74888</cx:pt>
          <cx:pt idx="941">71848.699999999997</cx:pt>
          <cx:pt idx="942">41999.169999999998</cx:pt>
          <cx:pt idx="943">58415</cx:pt>
          <cx:pt idx="944">57086</cx:pt>
          <cx:pt idx="945">97800</cx:pt>
          <cx:pt idx="946">43351.199999999997</cx:pt>
          <cx:pt idx="947">47900</cx:pt>
          <cx:pt idx="948">100016</cx:pt>
          <cx:pt idx="949">40716</cx:pt>
          <cx:pt idx="950">80000</cx:pt>
          <cx:pt idx="951">50000</cx:pt>
          <cx:pt idx="952">96600</cx:pt>
          <cx:pt idx="953">58320</cx:pt>
          <cx:pt idx="954">134999.98999999999</cx:pt>
          <cx:pt idx="955">17288.040000000001</cx:pt>
          <cx:pt idx="956">12060</cx:pt>
          <cx:pt idx="957">71372.199999999997</cx:pt>
          <cx:pt idx="958">64200</cx:pt>
          <cx:pt idx="959">64208.169999999998</cx:pt>
          <cx:pt idx="960">133835</cx:pt>
          <cx:pt idx="961">76100</cx:pt>
          <cx:pt idx="962">79900</cx:pt>
          <cx:pt idx="963">38350</cx:pt>
          <cx:pt idx="964">81501.970000000001</cx:pt>
          <cx:pt idx="965">36000</cx:pt>
          <cx:pt idx="966">2700</cx:pt>
          <cx:pt idx="967">7000</cx:pt>
          <cx:pt idx="968">5600</cx:pt>
          <cx:pt idx="969">85300</cx:pt>
          <cx:pt idx="970">36799.199999999997</cx:pt>
          <cx:pt idx="971">99240</cx:pt>
          <cx:pt idx="972">38550</cx:pt>
          <cx:pt idx="973">41957</cx:pt>
          <cx:pt idx="974">31930</cx:pt>
          <cx:pt idx="975">71200</cx:pt>
          <cx:pt idx="976">106715.5</cx:pt>
          <cx:pt idx="977">115710</cx:pt>
          <cx:pt idx="978">90624</cx:pt>
          <cx:pt idx="979">19950</cx:pt>
          <cx:pt idx="980">18793.099999999999</cx:pt>
          <cx:pt idx="981">34500</cx:pt>
          <cx:pt idx="982">6841.8299999999999</cx:pt>
          <cx:pt idx="983">4880</cx:pt>
          <cx:pt idx="984">57851.239999999998</cx:pt>
          <cx:pt idx="985">58465.199999999997</cx:pt>
          <cx:pt idx="986">86125</cx:pt>
          <cx:pt idx="987">31660</cx:pt>
          <cx:pt idx="988">53646.139999999999</cx:pt>
          <cx:pt idx="989">63251.690000000002</cx:pt>
          <cx:pt idx="990">130000</cx:pt>
          <cx:pt idx="991">47605</cx:pt>
          <cx:pt idx="992">29000</cx:pt>
          <cx:pt idx="993">120000</cx:pt>
          <cx:pt idx="994">67606</cx:pt>
          <cx:pt idx="995">23871</cx:pt>
          <cx:pt idx="996">99700</cx:pt>
          <cx:pt idx="997">50629</cx:pt>
          <cx:pt idx="998">46935</cx:pt>
          <cx:pt idx="999">132000</cx:pt>
          <cx:pt idx="1000">41885.529999999999</cx:pt>
          <cx:pt idx="1001">89115</cx:pt>
          <cx:pt idx="1002">82340.479999999996</cx:pt>
          <cx:pt idx="1003">1042.26</cx:pt>
          <cx:pt idx="1004">75000</cx:pt>
          <cx:pt idx="1005">48840</cx:pt>
          <cx:pt idx="1006">62940</cx:pt>
          <cx:pt idx="1007">58307.519999999997</cx:pt>
          <cx:pt idx="1008">96550</cx:pt>
          <cx:pt idx="1009">96550</cx:pt>
          <cx:pt idx="1010">24712</cx:pt>
          <cx:pt idx="1011">12900</cx:pt>
          <cx:pt idx="1012">129729.36</cx:pt>
          <cx:pt idx="1013">99996</cx:pt>
          <cx:pt idx="1014">78259.559999999998</cx:pt>
          <cx:pt idx="1015">66750</cx:pt>
          <cx:pt idx="1016">26076.200000000001</cx:pt>
          <cx:pt idx="1017">59400</cx:pt>
          <cx:pt idx="1018">93198</cx:pt>
          <cx:pt idx="1019">42260</cx:pt>
          <cx:pt idx="1020">121500</cx:pt>
          <cx:pt idx="1021">48890</cx:pt>
          <cx:pt idx="1022">40803.800000000003</cx:pt>
          <cx:pt idx="1023">46584.519999999997</cx:pt>
          <cx:pt idx="1024">2500</cx:pt>
          <cx:pt idx="1025">100158</cx:pt>
          <cx:pt idx="1026">115388</cx:pt>
          <cx:pt idx="1027">134999</cx:pt>
          <cx:pt idx="1028">49580</cx:pt>
          <cx:pt idx="1029">85000</cx:pt>
          <cx:pt idx="1030">84141.699999999997</cx:pt>
          <cx:pt idx="1031">51700</cx:pt>
          <cx:pt idx="1032">69700</cx:pt>
          <cx:pt idx="1033">12000</cx:pt>
          <cx:pt idx="1034">61946</cx:pt>
          <cx:pt idx="1035">57445.779999999999</cx:pt>
          <cx:pt idx="1036">2478.5</cx:pt>
          <cx:pt idx="1037">18736.889999999999</cx:pt>
          <cx:pt idx="1038">28900</cx:pt>
          <cx:pt idx="1039">33000</cx:pt>
          <cx:pt idx="1040">40000</cx:pt>
          <cx:pt idx="1041">19450</cx:pt>
          <cx:pt idx="1042">7331.5100000000002</cx:pt>
          <cx:pt idx="1043">1550</cx:pt>
          <cx:pt idx="1044">49370.650000000001</cx:pt>
          <cx:pt idx="1045">83482.199999999997</cx:pt>
          <cx:pt idx="1046">60768</cx:pt>
          <cx:pt idx="1047">20475</cx:pt>
          <cx:pt idx="1048">98256</cx:pt>
          <cx:pt idx="1049">28225.759999999998</cx:pt>
          <cx:pt idx="1050">28098</cx:pt>
          <cx:pt idx="1051">23782.5</cx:pt>
          <cx:pt idx="1052">94232.160000000003</cx:pt>
          <cx:pt idx="1053">107927.84</cx:pt>
          <cx:pt idx="1054">57583.199999999997</cx:pt>
          <cx:pt idx="1055">23820</cx:pt>
          <cx:pt idx="1056">40000</cx:pt>
          <cx:pt idx="1057">84353.5</cx:pt>
          <cx:pt idx="1058">35694</cx:pt>
          <cx:pt idx="1059">53100</cx:pt>
          <cx:pt idx="1060">43500</cx:pt>
          <cx:pt idx="1061">1936.6500000000001</cx:pt>
          <cx:pt idx="1062">26500</cx:pt>
          <cx:pt idx="1063">75725.259999999995</cx:pt>
          <cx:pt idx="1064">64723.75</cx:pt>
          <cx:pt idx="1065">104999.99000000001</cx:pt>
          <cx:pt idx="1066">78883.369999999995</cx:pt>
          <cx:pt idx="1067">46327.559999999998</cx:pt>
          <cx:pt idx="1068">79668</cx:pt>
          <cx:pt idx="1069">93256.660000000003</cx:pt>
          <cx:pt idx="1070">29500</cx:pt>
          <cx:pt idx="1071">94000</cx:pt>
          <cx:pt idx="1072">78513</cx:pt>
          <cx:pt idx="1073">38700.5</cx:pt>
          <cx:pt idx="1074">9399.9599999999991</cx:pt>
          <cx:pt idx="1075">72950</cx:pt>
          <cx:pt idx="1076">82200</cx:pt>
          <cx:pt idx="1077">45000</cx:pt>
          <cx:pt idx="1078">70000</cx:pt>
          <cx:pt idx="1079">483.51999999999998</cx:pt>
          <cx:pt idx="1080">523.02999999999997</cx:pt>
          <cx:pt idx="1081">55157</cx:pt>
          <cx:pt idx="1082">29051</cx:pt>
          <cx:pt idx="1083">50000</cx:pt>
          <cx:pt idx="1084">30654</cx:pt>
          <cx:pt idx="1085">42860</cx:pt>
          <cx:pt idx="1086">82197.5</cx:pt>
          <cx:pt idx="1087">53884.300000000003</cx:pt>
          <cx:pt idx="1088">74840.149999999994</cx:pt>
          <cx:pt idx="1089">42480</cx:pt>
          <cx:pt idx="1090">58300</cx:pt>
          <cx:pt idx="1091">52869</cx:pt>
          <cx:pt idx="1092">45500</cx:pt>
          <cx:pt idx="1093">116900</cx:pt>
          <cx:pt idx="1094">88990</cx:pt>
          <cx:pt idx="1095">30000</cx:pt>
          <cx:pt idx="1096">1560</cx:pt>
          <cx:pt idx="1097">84000</cx:pt>
          <cx:pt idx="1098">548.04999999999995</cx:pt>
          <cx:pt idx="1099">15885</cx:pt>
          <cx:pt idx="1100">15000</cx:pt>
          <cx:pt idx="1101">23418</cx:pt>
          <cx:pt idx="1102">19832.25</cx:pt>
          <cx:pt idx="1103">134000</cx:pt>
          <cx:pt idx="1104">49586.779999999999</cx:pt>
          <cx:pt idx="1105">115779.84</cx:pt>
          <cx:pt idx="1106">63221.870000000003</cx:pt>
          <cx:pt idx="1107">66440</cx:pt>
          <cx:pt idx="1108">109514.2</cx:pt>
          <cx:pt idx="1109">2108.8600000000001</cx:pt>
          <cx:pt idx="1110">120998.35000000001</cx:pt>
          <cx:pt idx="1111">4527.3900000000003</cx:pt>
          <cx:pt idx="1112">60979.860000000001</cx:pt>
          <cx:pt idx="1113">67945.130000000005</cx:pt>
          <cx:pt idx="1114">58000</cx:pt>
          <cx:pt idx="1115">120000</cx:pt>
          <cx:pt idx="1116">16000</cx:pt>
          <cx:pt idx="1117">44162.269999999997</cx:pt>
          <cx:pt idx="1118">53999.599999999999</cx:pt>
          <cx:pt idx="1119">37840</cx:pt>
          <cx:pt idx="1120">55817.230000000003</cx:pt>
          <cx:pt idx="1121">2490</cx:pt>
          <cx:pt idx="1122">27802.5</cx:pt>
          <cx:pt idx="1123">130000</cx:pt>
          <cx:pt idx="1124">47142</cx:pt>
          <cx:pt idx="1125">3676.8299999999999</cx:pt>
          <cx:pt idx="1126">134000</cx:pt>
          <cx:pt idx="1127">59900</cx:pt>
          <cx:pt idx="1128">57260</cx:pt>
          <cx:pt idx="1129">134319.81</cx:pt>
          <cx:pt idx="1130">59900</cx:pt>
          <cx:pt idx="1131">124500</cx:pt>
          <cx:pt idx="1132">4450</cx:pt>
          <cx:pt idx="1133">4450</cx:pt>
          <cx:pt idx="1134">8300</cx:pt>
          <cx:pt idx="1135">5030</cx:pt>
          <cx:pt idx="1136">1470</cx:pt>
          <cx:pt idx="1137">4540</cx:pt>
          <cx:pt idx="1138">3900</cx:pt>
        </cx:lvl>
      </cx:numDim>
    </cx:data>
  </cx:chartData>
  <cx:chart>
    <cx:plotArea>
      <cx:plotAreaRegion>
        <cx:series layoutId="clusteredColumn" uniqueId="{730638D3-A87B-4994-A7F2-FDC0B35C305D}">
          <cx:dataLabels>
            <cx:visibility seriesName="0" categoryName="0" value="1"/>
          </cx:dataLabels>
          <cx:dataId val="0"/>
          <cx:layoutPr>
            <cx:binning intervalClosed="r">
              <cx:binSize val="10000"/>
            </cx:binning>
          </cx:layoutPr>
        </cx:series>
      </cx:plotAreaRegion>
      <cx:axis id="0">
        <cx:catScaling gapWidth="0"/>
        <cx:title>
          <cx:tx>
            <cx:txData>
              <cx:v>EUR</cx:v>
            </cx:txData>
          </cx:tx>
          <cx:txPr>
            <a:bodyPr spcFirstLastPara="1" vertOverflow="ellipsis" wrap="square" lIns="0" tIns="0" rIns="0" bIns="0" anchor="ctr" anchorCtr="1"/>
            <a:lstStyle/>
            <a:p>
              <a:pPr algn="ctr">
                <a:defRPr/>
              </a:pPr>
              <a:r>
                <a:rPr lang="lv-LV"/>
                <a:t>EUR</a:t>
              </a:r>
            </a:p>
          </cx:txPr>
        </cx:title>
        <cx:tickLabels/>
      </cx:axis>
      <cx:axis id="1">
        <cx:valScaling/>
        <cx:title>
          <cx:tx>
            <cx:txData>
              <cx:v>Skaits</cx:v>
            </cx:txData>
          </cx:tx>
          <cx:txPr>
            <a:bodyPr spcFirstLastPara="1" vertOverflow="ellipsis" wrap="square" lIns="0" tIns="0" rIns="0" bIns="0" anchor="ctr" anchorCtr="1"/>
            <a:lstStyle/>
            <a:p>
              <a:pPr algn="ctr">
                <a:defRPr/>
              </a:pPr>
              <a:r>
                <a:rPr lang="lv-LV"/>
                <a:t>Skaits</a:t>
              </a:r>
            </a:p>
          </cx:txPr>
        </cx:title>
        <cx:majorGridlines/>
        <cx:tickLabels/>
      </cx:axis>
    </cx:plotArea>
  </cx:chart>
  <cx:clrMapOvr bg1="lt1" tx1="dk1" bg2="lt2" tx2="dk2" accent1="accent1" accent2="accent2" accent3="accent3" accent4="accent4" accent5="accent5" accent6="accent6" hlink="hlink" folHlink="folHlink"/>
</cx:chartSpace>
</file>

<file path=word/charts/chartEx3.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būvdarbi_virs!$D$2:$D$29</cx:f>
        <cx:lvl ptCount="28" formatCode="General">
          <cx:pt idx="0">7888888.8799999999</cx:pt>
          <cx:pt idx="1">12411117.09</cx:pt>
          <cx:pt idx="2">9862779.5500000007</cx:pt>
          <cx:pt idx="3">6787058.8200000003</cx:pt>
          <cx:pt idx="4">5193263.4500000002</cx:pt>
          <cx:pt idx="5">26743104.84</cx:pt>
          <cx:pt idx="6">10698711.42</cx:pt>
          <cx:pt idx="7">1793873.55</cx:pt>
          <cx:pt idx="8">5003244.96</cx:pt>
          <cx:pt idx="9">16997182.98</cx:pt>
          <cx:pt idx="10">7667928.0499999998</cx:pt>
          <cx:pt idx="11">8850444.4399999995</cx:pt>
          <cx:pt idx="12">5090909.0899999999</cx:pt>
          <cx:pt idx="13">14433055.050000001</cx:pt>
          <cx:pt idx="14">7832399.1699999999</cx:pt>
          <cx:pt idx="15">6188888.8799999999</cx:pt>
          <cx:pt idx="16">70250.199999999997</cx:pt>
          <cx:pt idx="17">8145080.6200000001</cx:pt>
          <cx:pt idx="18">437163.5</cx:pt>
          <cx:pt idx="19">2844237.5499999998</cx:pt>
          <cx:pt idx="20">879807.59999999998</cx:pt>
          <cx:pt idx="21">10835740.460000001</cx:pt>
          <cx:pt idx="22">4200817.0899999999</cx:pt>
          <cx:pt idx="23">9129394.8900000006</cx:pt>
          <cx:pt idx="24">11281710</cx:pt>
          <cx:pt idx="25">7439439</cx:pt>
          <cx:pt idx="26">6215427.1200000001</cx:pt>
          <cx:pt idx="27">6812287.8300000001</cx:pt>
        </cx:lvl>
      </cx:numDim>
    </cx:data>
  </cx:chartData>
  <cx:chart>
    <cx:plotArea>
      <cx:plotAreaRegion>
        <cx:series layoutId="clusteredColumn" uniqueId="{05AEE5D5-A470-4130-897D-00EF6D367A18}">
          <cx:dataLabels>
            <cx:visibility seriesName="0" categoryName="0" value="1"/>
          </cx:dataLabels>
          <cx:dataId val="0"/>
          <cx:layoutPr>
            <cx:binning intervalClosed="r">
              <cx:binSize val="1000000"/>
            </cx:binning>
          </cx:layoutPr>
        </cx:series>
      </cx:plotAreaRegion>
      <cx:axis id="0">
        <cx:catScaling gapWidth="0"/>
        <cx:title>
          <cx:tx>
            <cx:txData>
              <cx:v>EUR</cx:v>
            </cx:txData>
          </cx:tx>
          <cx:txPr>
            <a:bodyPr spcFirstLastPara="1" vertOverflow="ellipsis" wrap="square" lIns="0" tIns="0" rIns="0" bIns="0" anchor="ctr" anchorCtr="1"/>
            <a:lstStyle/>
            <a:p>
              <a:pPr algn="ctr">
                <a:defRPr/>
              </a:pPr>
              <a:r>
                <a:rPr lang="lv-LV"/>
                <a:t>EUR</a:t>
              </a:r>
            </a:p>
          </cx:txPr>
        </cx:title>
        <cx:tickLabels/>
      </cx:axis>
      <cx:axis id="1">
        <cx:valScaling/>
        <cx:title>
          <cx:tx>
            <cx:txData>
              <cx:v>Skaits</cx:v>
            </cx:txData>
          </cx:tx>
          <cx:txPr>
            <a:bodyPr spcFirstLastPara="1" vertOverflow="ellipsis" wrap="square" lIns="0" tIns="0" rIns="0" bIns="0" anchor="ctr" anchorCtr="1"/>
            <a:lstStyle/>
            <a:p>
              <a:pPr algn="ctr">
                <a:defRPr/>
              </a:pPr>
              <a:r>
                <a:rPr lang="lv-LV"/>
                <a:t>Skaits</a:t>
              </a:r>
            </a:p>
          </cx:txPr>
        </cx:title>
        <cx:majorGridlines/>
        <cx:tickLabels/>
      </cx:axis>
    </cx:plotArea>
  </cx:chart>
  <cx:clrMapOvr bg1="lt1" tx1="dk1" bg2="lt2" tx2="dk2" accent1="accent1" accent2="accent2" accent3="accent3" accent4="accent4" accent5="accent5" accent6="accent6" hlink="hlink" folHlink="folHlink"/>
</cx:chartSpace>
</file>

<file path=word/charts/chartEx4.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piegāde_pakalp_virs!$D$2:$D$858</cx:f>
        <cx:lvl ptCount="857" formatCode="General">
          <cx:pt idx="0">17900</cx:pt>
          <cx:pt idx="1">244115.39999999999</cx:pt>
          <cx:pt idx="2">162908.84</cx:pt>
          <cx:pt idx="3">21818.18</cx:pt>
          <cx:pt idx="4">4000.7800000000002</cx:pt>
          <cx:pt idx="5">2482</cx:pt>
          <cx:pt idx="6">15859</cx:pt>
          <cx:pt idx="7">289462.46000000002</cx:pt>
          <cx:pt idx="8">25432</cx:pt>
          <cx:pt idx="9">45841.099999999999</cx:pt>
          <cx:pt idx="10">122072.2</cx:pt>
          <cx:pt idx="11">343235.70000000001</cx:pt>
          <cx:pt idx="12">390000</cx:pt>
          <cx:pt idx="13">784382.40000000002</cx:pt>
          <cx:pt idx="14">570000</cx:pt>
          <cx:pt idx="15">269336.40000000002</cx:pt>
          <cx:pt idx="16">210000</cx:pt>
          <cx:pt idx="17">287848</cx:pt>
          <cx:pt idx="18">197076.92999999999</cx:pt>
          <cx:pt idx="19">151560</cx:pt>
          <cx:pt idx="20">120246.92999999999</cx:pt>
          <cx:pt idx="21">3980</cx:pt>
          <cx:pt idx="22">170548.48999999999</cx:pt>
          <cx:pt idx="23">361832.98999999999</cx:pt>
          <cx:pt idx="24">141030</cx:pt>
          <cx:pt idx="25">261048</cx:pt>
          <cx:pt idx="26">36549.489999999998</cx:pt>
          <cx:pt idx="27">187963.25</cx:pt>
          <cx:pt idx="28">303413.38</cx:pt>
          <cx:pt idx="29">447199</cx:pt>
          <cx:pt idx="30">225389.60000000001</cx:pt>
          <cx:pt idx="31">380977.38</cx:pt>
          <cx:pt idx="32">548545.5</cx:pt>
          <cx:pt idx="33">461468.95000000001</cx:pt>
          <cx:pt idx="34">368000</cx:pt>
          <cx:pt idx="35">282625.71999999997</cx:pt>
          <cx:pt idx="36">176907</cx:pt>
          <cx:pt idx="37">1305</cx:pt>
          <cx:pt idx="38">338</cx:pt>
          <cx:pt idx="39">296000</cx:pt>
          <cx:pt idx="40">19565</cx:pt>
          <cx:pt idx="41">1300586.27</cx:pt>
          <cx:pt idx="42">970732</cx:pt>
          <cx:pt idx="43">78750</cx:pt>
          <cx:pt idx="44">248127.60000000001</cx:pt>
          <cx:pt idx="45">63931</cx:pt>
          <cx:pt idx="46">17269.790000000001</cx:pt>
          <cx:pt idx="47">1890</cx:pt>
          <cx:pt idx="48">585000</cx:pt>
          <cx:pt idx="49">237600</cx:pt>
          <cx:pt idx="50">1350</cx:pt>
          <cx:pt idx="51">154000</cx:pt>
          <cx:pt idx="52">4900</cx:pt>
          <cx:pt idx="53">113289.66</cx:pt>
          <cx:pt idx="54">50633</cx:pt>
          <cx:pt idx="55">161355.79999999999</cx:pt>
          <cx:pt idx="56">268000</cx:pt>
          <cx:pt idx="57">352301.5</cx:pt>
          <cx:pt idx="58">995008.43999999994</cx:pt>
          <cx:pt idx="59">276945.90000000002</cx:pt>
          <cx:pt idx="60">129126.2</cx:pt>
          <cx:pt idx="61">126190.32000000001</cx:pt>
          <cx:pt idx="62">700000</cx:pt>
          <cx:pt idx="63">694232.21999999997</cx:pt>
          <cx:pt idx="64">68425</cx:pt>
          <cx:pt idx="65">255604</cx:pt>
          <cx:pt idx="66">1290380.8999999999</cx:pt>
          <cx:pt idx="67">287720</cx:pt>
          <cx:pt idx="68">179704.31</cx:pt>
          <cx:pt idx="69">10000</cx:pt>
          <cx:pt idx="70">39596</cx:pt>
          <cx:pt idx="71">131416.25</cx:pt>
          <cx:pt idx="72">365677.20000000001</cx:pt>
          <cx:pt idx="73">300000</cx:pt>
          <cx:pt idx="74">1300</cx:pt>
          <cx:pt idx="75">186508</cx:pt>
          <cx:pt idx="76">15200</cx:pt>
          <cx:pt idx="77">44236.720000000001</cx:pt>
          <cx:pt idx="78">1964</cx:pt>
          <cx:pt idx="79">94039.369999999995</cx:pt>
          <cx:pt idx="80">1776</cx:pt>
          <cx:pt idx="81">63018</cx:pt>
          <cx:pt idx="82">240160.73999999999</cx:pt>
          <cx:pt idx="83">9690</cx:pt>
          <cx:pt idx="84">500000</cx:pt>
          <cx:pt idx="85">26900</cx:pt>
          <cx:pt idx="86">102361.7</cx:pt>
          <cx:pt idx="87">278377.5</cx:pt>
          <cx:pt idx="88">202570</cx:pt>
          <cx:pt idx="89">232000</cx:pt>
          <cx:pt idx="90">341580</cx:pt>
          <cx:pt idx="91">11264</cx:pt>
          <cx:pt idx="92">353850.81</cx:pt>
          <cx:pt idx="93">189950</cx:pt>
          <cx:pt idx="94">2860</cx:pt>
          <cx:pt idx="95">540.13</cx:pt>
          <cx:pt idx="96">191900</cx:pt>
          <cx:pt idx="97">314049.59000000003</cx:pt>
          <cx:pt idx="98">1060</cx:pt>
          <cx:pt idx="99">101162.22</cx:pt>
          <cx:pt idx="100">603774.16000000003</cx:pt>
          <cx:pt idx="101">908441.06000000006</cx:pt>
          <cx:pt idx="102">170000</cx:pt>
          <cx:pt idx="103">1125</cx:pt>
          <cx:pt idx="104">185781.23999999999</cx:pt>
          <cx:pt idx="105">168194</cx:pt>
          <cx:pt idx="106">600000</cx:pt>
          <cx:pt idx="107">237925.78</cx:pt>
          <cx:pt idx="108">246862.88</cx:pt>
          <cx:pt idx="109">1610</cx:pt>
          <cx:pt idx="110">167655.54000000001</cx:pt>
          <cx:pt idx="111">32831.699999999997</cx:pt>
          <cx:pt idx="112">1270</cx:pt>
          <cx:pt idx="113">284007</cx:pt>
          <cx:pt idx="114">414429.70000000001</cx:pt>
          <cx:pt idx="115">506000</cx:pt>
          <cx:pt idx="116">175679.39999999999</cx:pt>
          <cx:pt idx="117">293040</cx:pt>
          <cx:pt idx="118">269920</cx:pt>
          <cx:pt idx="119">1390931.1899999999</cx:pt>
          <cx:pt idx="120">8515</cx:pt>
          <cx:pt idx="121">608374.07999999996</cx:pt>
          <cx:pt idx="122">256163</cx:pt>
          <cx:pt idx="123">383569.20000000001</cx:pt>
          <cx:pt idx="124">301696.87</cx:pt>
          <cx:pt idx="125">165592.25</cx:pt>
          <cx:pt idx="126">156877.29999999999</cx:pt>
          <cx:pt idx="127">158401.29999999999</cx:pt>
          <cx:pt idx="128">502723.79999999999</cx:pt>
          <cx:pt idx="129">62385</cx:pt>
          <cx:pt idx="130">336194</cx:pt>
          <cx:pt idx="131">351086.02000000002</cx:pt>
          <cx:pt idx="132">948700</cx:pt>
          <cx:pt idx="133">252599.94</cx:pt>
          <cx:pt idx="134">66753.050000000003</cx:pt>
          <cx:pt idx="135">106643.32000000001</cx:pt>
          <cx:pt idx="136">14005</cx:pt>
          <cx:pt idx="137">56160</cx:pt>
          <cx:pt idx="138">72882.429999999993</cx:pt>
          <cx:pt idx="139">26458.799999999999</cx:pt>
          <cx:pt idx="140">783338.84999999998</cx:pt>
          <cx:pt idx="141">214500</cx:pt>
          <cx:pt idx="142">300000</cx:pt>
          <cx:pt idx="143">576</cx:pt>
          <cx:pt idx="144">1085</cx:pt>
          <cx:pt idx="145">11850</cx:pt>
          <cx:pt idx="146">576925.67000000004</cx:pt>
          <cx:pt idx="147">399838.71000000002</cx:pt>
          <cx:pt idx="148">1975.4100000000001</cx:pt>
          <cx:pt idx="149">186950</cx:pt>
          <cx:pt idx="150">9000</cx:pt>
          <cx:pt idx="151">96661</cx:pt>
          <cx:pt idx="152">484434</cx:pt>
          <cx:pt idx="153">107784</cx:pt>
          <cx:pt idx="154">3238</cx:pt>
          <cx:pt idx="155">2359804.3500000001</cx:pt>
          <cx:pt idx="156">20863</cx:pt>
          <cx:pt idx="157">11900</cx:pt>
          <cx:pt idx="158">126855.5</cx:pt>
          <cx:pt idx="159">7267.8999999999996</cx:pt>
          <cx:pt idx="160">31269</cx:pt>
          <cx:pt idx="161">11000</cx:pt>
          <cx:pt idx="162">120840</cx:pt>
          <cx:pt idx="163">663663</cx:pt>
          <cx:pt idx="164">400826.45000000001</cx:pt>
          <cx:pt idx="165">331983</cx:pt>
          <cx:pt idx="166">130376</cx:pt>
          <cx:pt idx="167">170000</cx:pt>
          <cx:pt idx="168">114000</cx:pt>
          <cx:pt idx="169">120281.39</cx:pt>
          <cx:pt idx="170">146868</cx:pt>
          <cx:pt idx="171">25613.279999999999</cx:pt>
          <cx:pt idx="172">192531.75</cx:pt>
          <cx:pt idx="173">73941</cx:pt>
          <cx:pt idx="174">9162.7199999999993</cx:pt>
          <cx:pt idx="175">517098.28999999998</cx:pt>
          <cx:pt idx="176">102337.87</cx:pt>
          <cx:pt idx="177">282438.67999999999</cx:pt>
          <cx:pt idx="178">15883.059999999999</cx:pt>
          <cx:pt idx="179">3927.5999999999999</cx:pt>
          <cx:pt idx="180">2576.23</cx:pt>
          <cx:pt idx="181">400</cx:pt>
          <cx:pt idx="182">76811.149999999994</cx:pt>
          <cx:pt idx="183">412974.46000000002</cx:pt>
          <cx:pt idx="184">5433</cx:pt>
          <cx:pt idx="185">82400</cx:pt>
          <cx:pt idx="186">198346</cx:pt>
          <cx:pt idx="187">165621</cx:pt>
          <cx:pt idx="188">39807.32</cx:pt>
          <cx:pt idx="189">433860</cx:pt>
          <cx:pt idx="190">210369.60000000001</cx:pt>
          <cx:pt idx="191">655850.16000000003</cx:pt>
          <cx:pt idx="192">149132.72</cx:pt>
          <cx:pt idx="193">353430</cx:pt>
          <cx:pt idx="194">204411.5</cx:pt>
          <cx:pt idx="195">252000</cx:pt>
          <cx:pt idx="196">30225</cx:pt>
          <cx:pt idx="197">32646.139999999999</cx:pt>
          <cx:pt idx="198">144660</cx:pt>
          <cx:pt idx="199">561000</cx:pt>
          <cx:pt idx="200">12703</cx:pt>
          <cx:pt idx="201">40626</cx:pt>
          <cx:pt idx="202">2748128</cx:pt>
          <cx:pt idx="203">181868.82999999999</cx:pt>
          <cx:pt idx="204">307200.59999999998</cx:pt>
          <cx:pt idx="205">162400</cx:pt>
          <cx:pt idx="206">147</cx:pt>
          <cx:pt idx="207">529.54999999999995</cx:pt>
          <cx:pt idx="208">1380900</cx:pt>
          <cx:pt idx="209">390</cx:pt>
          <cx:pt idx="210">242000</cx:pt>
          <cx:pt idx="211">295156.57000000001</cx:pt>
          <cx:pt idx="212">133284.64999999999</cx:pt>
          <cx:pt idx="213">479755.25</cx:pt>
          <cx:pt idx="214">144628</cx:pt>
          <cx:pt idx="215">169200</cx:pt>
          <cx:pt idx="216">212932.79999999999</cx:pt>
          <cx:pt idx="217">10740</cx:pt>
          <cx:pt idx="218">1162</cx:pt>
          <cx:pt idx="219">159000</cx:pt>
          <cx:pt idx="220">900</cx:pt>
          <cx:pt idx="221">1875.51</cx:pt>
          <cx:pt idx="222">399666.96000000002</cx:pt>
          <cx:pt idx="223">142000</cx:pt>
          <cx:pt idx="224">245774</cx:pt>
          <cx:pt idx="225">275</cx:pt>
          <cx:pt idx="226">165211</cx:pt>
          <cx:pt idx="227">300000</cx:pt>
          <cx:pt idx="228">1003.48</cx:pt>
          <cx:pt idx="229">49132</cx:pt>
          <cx:pt idx="230">936984.45999999996</cx:pt>
          <cx:pt idx="231">287304.51000000001</cx:pt>
          <cx:pt idx="232">81099.179999999993</cx:pt>
          <cx:pt idx="233">219395</cx:pt>
          <cx:pt idx="234">950</cx:pt>
          <cx:pt idx="235">142129.60000000001</cx:pt>
          <cx:pt idx="236">38396</cx:pt>
          <cx:pt idx="237">58284</cx:pt>
          <cx:pt idx="238">49305.779999999999</cx:pt>
          <cx:pt idx="239">248943.01000000001</cx:pt>
          <cx:pt idx="240">228742.47</cx:pt>
          <cx:pt idx="241">104814</cx:pt>
          <cx:pt idx="242">280962.22999999998</cx:pt>
          <cx:pt idx="243">3480</cx:pt>
          <cx:pt idx="244">172000</cx:pt>
          <cx:pt idx="245">386940</cx:pt>
          <cx:pt idx="246">400000</cx:pt>
          <cx:pt idx="247">7150</cx:pt>
          <cx:pt idx="248">770</cx:pt>
          <cx:pt idx="249">152000</cx:pt>
          <cx:pt idx="250">505182.5</cx:pt>
          <cx:pt idx="251">50000.010000000002</cx:pt>
          <cx:pt idx="252">273959</cx:pt>
          <cx:pt idx="253">332150.17999999999</cx:pt>
          <cx:pt idx="254">3920</cx:pt>
          <cx:pt idx="255">2898</cx:pt>
          <cx:pt idx="256">24030</cx:pt>
          <cx:pt idx="257">50516</cx:pt>
          <cx:pt idx="258">129640.45</cx:pt>
          <cx:pt idx="259">200000</cx:pt>
          <cx:pt idx="260">2322498.4900000002</cx:pt>
          <cx:pt idx="261">294246.57000000001</cx:pt>
          <cx:pt idx="262">487800</cx:pt>
          <cx:pt idx="263">162</cx:pt>
          <cx:pt idx="264">169285.45000000001</cx:pt>
          <cx:pt idx="265">112150</cx:pt>
          <cx:pt idx="266">148984.53</cx:pt>
          <cx:pt idx="267">1004000</cx:pt>
          <cx:pt idx="268">6240</cx:pt>
          <cx:pt idx="269">1686.5999999999999</cx:pt>
          <cx:pt idx="270">540.89999999999998</cx:pt>
          <cx:pt idx="271">189770</cx:pt>
          <cx:pt idx="272">325</cx:pt>
          <cx:pt idx="273">124545</cx:pt>
          <cx:pt idx="274">217839.37</cx:pt>
          <cx:pt idx="275">1890</cx:pt>
          <cx:pt idx="276">49043.68</cx:pt>
          <cx:pt idx="277">299806</cx:pt>
          <cx:pt idx="278">317445</cx:pt>
          <cx:pt idx="279">1537458</cx:pt>
          <cx:pt idx="280">2630</cx:pt>
          <cx:pt idx="281">2890</cx:pt>
          <cx:pt idx="282">4440</cx:pt>
          <cx:pt idx="283">425160</cx:pt>
          <cx:pt idx="284">342750</cx:pt>
          <cx:pt idx="285">37444</cx:pt>
          <cx:pt idx="286">1313.8</cx:pt>
          <cx:pt idx="287">337</cx:pt>
          <cx:pt idx="288">1493036.28</cx:pt>
          <cx:pt idx="289">545054.31999999995</cx:pt>
          <cx:pt idx="290">56990.739999999998</cx:pt>
          <cx:pt idx="291">82.5</cx:pt>
          <cx:pt idx="292">1500000</cx:pt>
          <cx:pt idx="293">226680</cx:pt>
          <cx:pt idx="294">415635</cx:pt>
          <cx:pt idx="295">7600</cx:pt>
          <cx:pt idx="296">126237</cx:pt>
          <cx:pt idx="297">5100</cx:pt>
          <cx:pt idx="298">269999</cx:pt>
          <cx:pt idx="299">350000</cx:pt>
          <cx:pt idx="300">122084.89</cx:pt>
          <cx:pt idx="301">97356.910000000003</cx:pt>
          <cx:pt idx="302">451800</cx:pt>
          <cx:pt idx="303">1106183.05</cx:pt>
          <cx:pt idx="304">331128.47999999998</cx:pt>
          <cx:pt idx="305">341699.95000000001</cx:pt>
          <cx:pt idx="306">210</cx:pt>
          <cx:pt idx="307">3504</cx:pt>
          <cx:pt idx="308">300000</cx:pt>
          <cx:pt idx="309">340</cx:pt>
          <cx:pt idx="310">89495</cx:pt>
          <cx:pt idx="311">128500</cx:pt>
          <cx:pt idx="312">699201.16000000003</cx:pt>
          <cx:pt idx="313">245859.42000000001</cx:pt>
          <cx:pt idx="314">41220</cx:pt>
          <cx:pt idx="315">476400</cx:pt>
          <cx:pt idx="316">940216</cx:pt>
          <cx:pt idx="317">382091.39000000001</cx:pt>
          <cx:pt idx="318">262443.63</cx:pt>
          <cx:pt idx="319">139900</cx:pt>
          <cx:pt idx="320">115200</cx:pt>
          <cx:pt idx="321">682756</cx:pt>
          <cx:pt idx="322">185655</cx:pt>
          <cx:pt idx="323">7416</cx:pt>
          <cx:pt idx="324">18910</cx:pt>
          <cx:pt idx="325">335160</cx:pt>
          <cx:pt idx="326">127545</cx:pt>
          <cx:pt idx="327">233500</cx:pt>
          <cx:pt idx="328">1298</cx:pt>
          <cx:pt idx="329">154800</cx:pt>
          <cx:pt idx="330">98250.850000000006</cx:pt>
          <cx:pt idx="331">6950.7799999999997</cx:pt>
          <cx:pt idx="332">7000</cx:pt>
          <cx:pt idx="333">320000</cx:pt>
          <cx:pt idx="334">519750</cx:pt>
          <cx:pt idx="335">210601</cx:pt>
          <cx:pt idx="336">2035859</cx:pt>
          <cx:pt idx="337">135306.72</cx:pt>
          <cx:pt idx="338">181000</cx:pt>
          <cx:pt idx="339">357000</cx:pt>
          <cx:pt idx="340">145430.73999999999</cx:pt>
          <cx:pt idx="341">80507.320000000007</cx:pt>
          <cx:pt idx="342">14400</cx:pt>
          <cx:pt idx="343">1060165.45</cx:pt>
          <cx:pt idx="344">21500</cx:pt>
          <cx:pt idx="345">186857.72</cx:pt>
          <cx:pt idx="346">793740.02000000002</cx:pt>
          <cx:pt idx="347">366846.12</cx:pt>
          <cx:pt idx="348">165999</cx:pt>
          <cx:pt idx="349">654369.31999999995</cx:pt>
          <cx:pt idx="350">220313.03</cx:pt>
          <cx:pt idx="351">586741.31000000006</cx:pt>
          <cx:pt idx="352">116249.53999999999</cx:pt>
          <cx:pt idx="353">193300</cx:pt>
          <cx:pt idx="354">400</cx:pt>
          <cx:pt idx="355">13773</cx:pt>
          <cx:pt idx="356">1477149.48</cx:pt>
          <cx:pt idx="357">118473.81</cx:pt>
          <cx:pt idx="358">183420.01000000001</cx:pt>
          <cx:pt idx="359">1483982.24</cx:pt>
          <cx:pt idx="360">248611.57000000001</cx:pt>
          <cx:pt idx="361">987432.40000000002</cx:pt>
          <cx:pt idx="362">11328</cx:pt>
          <cx:pt idx="363">102014.84</cx:pt>
          <cx:pt idx="364">279020</cx:pt>
          <cx:pt idx="365">80000</cx:pt>
          <cx:pt idx="366">332949.34999999998</cx:pt>
          <cx:pt idx="367">198660</cx:pt>
          <cx:pt idx="368">212202.31</cx:pt>
          <cx:pt idx="369">158010.84</cx:pt>
          <cx:pt idx="370">208171</cx:pt>
          <cx:pt idx="371">347510.22999999998</cx:pt>
          <cx:pt idx="372">166900</cx:pt>
          <cx:pt idx="373">2460</cx:pt>
          <cx:pt idx="374">600000</cx:pt>
          <cx:pt idx="375">383714</cx:pt>
          <cx:pt idx="376">1675</cx:pt>
          <cx:pt idx="377">1271400</cx:pt>
          <cx:pt idx="378">5430</cx:pt>
          <cx:pt idx="379">135360</cx:pt>
          <cx:pt idx="380">4950</cx:pt>
          <cx:pt idx="381">283570</cx:pt>
          <cx:pt idx="382">198487.92000000001</cx:pt>
          <cx:pt idx="383">155209.60000000001</cx:pt>
          <cx:pt idx="384">1519.5</cx:pt>
          <cx:pt idx="385">1560583.6399999999</cx:pt>
          <cx:pt idx="386">7065</cx:pt>
          <cx:pt idx="387">6490</cx:pt>
          <cx:pt idx="388">1202760.8999999999</cx:pt>
          <cx:pt idx="389">89964.240000000005</cx:pt>
          <cx:pt idx="390">1243990</cx:pt>
          <cx:pt idx="391">141900</cx:pt>
          <cx:pt idx="392">65763.889999999999</cx:pt>
          <cx:pt idx="393">380000</cx:pt>
          <cx:pt idx="394">237658.64999999999</cx:pt>
          <cx:pt idx="395">678.10000000000002</cx:pt>
          <cx:pt idx="396">6488.6099999999997</cx:pt>
          <cx:pt idx="397">300000</cx:pt>
          <cx:pt idx="398">153200</cx:pt>
          <cx:pt idx="399">451333.13</cx:pt>
          <cx:pt idx="400">4650</cx:pt>
          <cx:pt idx="401">2500000</cx:pt>
          <cx:pt idx="402">253265.39000000001</cx:pt>
          <cx:pt idx="403">142129.39999999999</cx:pt>
          <cx:pt idx="404">18786.639999999999</cx:pt>
          <cx:pt idx="405">991735.54000000004</cx:pt>
          <cx:pt idx="406">570000</cx:pt>
          <cx:pt idx="407">5929.5</cx:pt>
          <cx:pt idx="408">58500</cx:pt>
          <cx:pt idx="409">140562.89999999999</cx:pt>
          <cx:pt idx="410">36000</cx:pt>
          <cx:pt idx="411">11347.139999999999</cx:pt>
          <cx:pt idx="412">300000</cx:pt>
          <cx:pt idx="413">300000</cx:pt>
          <cx:pt idx="414">1295950</cx:pt>
          <cx:pt idx="415">560433.98999999999</cx:pt>
          <cx:pt idx="416">131196</cx:pt>
          <cx:pt idx="417">2067780</cx:pt>
          <cx:pt idx="418">179761.5</cx:pt>
          <cx:pt idx="419">238739.82999999999</cx:pt>
          <cx:pt idx="420">154509.79999999999</cx:pt>
          <cx:pt idx="421">630135</cx:pt>
          <cx:pt idx="422">268870</cx:pt>
          <cx:pt idx="423">562236.21999999997</cx:pt>
          <cx:pt idx="424">2432</cx:pt>
          <cx:pt idx="425">265966.09999999998</cx:pt>
          <cx:pt idx="426">109236.87</cx:pt>
          <cx:pt idx="427">280190</cx:pt>
          <cx:pt idx="428">115728.11</cx:pt>
          <cx:pt idx="429">24925.349999999999</cx:pt>
          <cx:pt idx="430">225</cx:pt>
          <cx:pt idx="431">315168</cx:pt>
          <cx:pt idx="432">322686.09999999998</cx:pt>
          <cx:pt idx="433">59968</cx:pt>
          <cx:pt idx="434">297</cx:pt>
          <cx:pt idx="435">297214.70000000001</cx:pt>
          <cx:pt idx="436">1170600</cx:pt>
          <cx:pt idx="437">15715</cx:pt>
          <cx:pt idx="438">268633.31</cx:pt>
          <cx:pt idx="439">826479</cx:pt>
          <cx:pt idx="440">178326.31</cx:pt>
          <cx:pt idx="441">88247.139999999999</cx:pt>
          <cx:pt idx="442">9920</cx:pt>
          <cx:pt idx="443">355951.71999999997</cx:pt>
          <cx:pt idx="444">45921.599999999999</cx:pt>
          <cx:pt idx="445">593997.54000000004</cx:pt>
          <cx:pt idx="446">1100</cx:pt>
          <cx:pt idx="447">47097</cx:pt>
          <cx:pt idx="448">10196.5</cx:pt>
          <cx:pt idx="449">26540.049999999999</cx:pt>
          <cx:pt idx="450">240000</cx:pt>
          <cx:pt idx="451">9300</cx:pt>
          <cx:pt idx="452">6636.9399999999996</cx:pt>
          <cx:pt idx="453">453197.84999999998</cx:pt>
          <cx:pt idx="454">148000</cx:pt>
          <cx:pt idx="455">20661.150000000001</cx:pt>
          <cx:pt idx="456">940588.05000000005</cx:pt>
          <cx:pt idx="457">206611.57000000001</cx:pt>
          <cx:pt idx="458">38000</cx:pt>
          <cx:pt idx="459">320280</cx:pt>
          <cx:pt idx="460">3320</cx:pt>
          <cx:pt idx="461">83177</cx:pt>
          <cx:pt idx="462">117513.14</cx:pt>
          <cx:pt idx="463">460000</cx:pt>
          <cx:pt idx="464">674731.22999999998</cx:pt>
          <cx:pt idx="465">771848</cx:pt>
          <cx:pt idx="466">36125.199999999997</cx:pt>
          <cx:pt idx="467">480150.47999999998</cx:pt>
          <cx:pt idx="468">97402.259999999995</cx:pt>
          <cx:pt idx="469">340909.45000000001</cx:pt>
          <cx:pt idx="470">129470</cx:pt>
          <cx:pt idx="471">288500</cx:pt>
          <cx:pt idx="472">794644</cx:pt>
          <cx:pt idx="473">331000</cx:pt>
          <cx:pt idx="474">16233.74</cx:pt>
          <cx:pt idx="475">91494.669999999998</cx:pt>
          <cx:pt idx="476">399015.45000000001</cx:pt>
          <cx:pt idx="477">463245.09999999998</cx:pt>
          <cx:pt idx="478">240000</cx:pt>
          <cx:pt idx="479">188000</cx:pt>
          <cx:pt idx="480">750</cx:pt>
          <cx:pt idx="481">18300</cx:pt>
          <cx:pt idx="482">39517.599999999999</cx:pt>
          <cx:pt idx="483">42710</cx:pt>
          <cx:pt idx="484">144387.98000000001</cx:pt>
          <cx:pt idx="485">348694.96000000002</cx:pt>
          <cx:pt idx="486">74398</cx:pt>
          <cx:pt idx="487">36016.860000000001</cx:pt>
          <cx:pt idx="488">6088665.04</cx:pt>
          <cx:pt idx="489">76283.789999999994</cx:pt>
          <cx:pt idx="490">489600</cx:pt>
          <cx:pt idx="491">271003.83000000002</cx:pt>
          <cx:pt idx="492">503530</cx:pt>
          <cx:pt idx="493">414027.09999999998</cx:pt>
          <cx:pt idx="494">1583612.72</cx:pt>
          <cx:pt idx="495">708648.59999999998</cx:pt>
          <cx:pt idx="496">629752</cx:pt>
          <cx:pt idx="497">160000</cx:pt>
          <cx:pt idx="498">282486</cx:pt>
          <cx:pt idx="499">148240</cx:pt>
          <cx:pt idx="500">192719.85000000001</cx:pt>
          <cx:pt idx="501">108467.96000000001</cx:pt>
          <cx:pt idx="502">49870</cx:pt>
          <cx:pt idx="503">4552813.4400000004</cx:pt>
          <cx:pt idx="504">406488</cx:pt>
          <cx:pt idx="505">352395.42999999999</cx:pt>
          <cx:pt idx="506">246000</cx:pt>
          <cx:pt idx="507">350000</cx:pt>
          <cx:pt idx="508">700000</cx:pt>
          <cx:pt idx="509">935000</cx:pt>
          <cx:pt idx="510">437120</cx:pt>
          <cx:pt idx="511">282478</cx:pt>
          <cx:pt idx="512">267769</cx:pt>
          <cx:pt idx="513">28072.799999999999</cx:pt>
          <cx:pt idx="514">152000</cx:pt>
          <cx:pt idx="515">4099944.2599999998</cx:pt>
          <cx:pt idx="516">1174800</cx:pt>
          <cx:pt idx="517">408268.79999999999</cx:pt>
          <cx:pt idx="518">172420.79999999999</cx:pt>
          <cx:pt idx="519">500889.56</cx:pt>
          <cx:pt idx="520">26000</cx:pt>
          <cx:pt idx="521">500000</cx:pt>
          <cx:pt idx="522">229999.98999999999</cx:pt>
          <cx:pt idx="523">598372.43000000005</cx:pt>
          <cx:pt idx="524">28387.959999999999</cx:pt>
          <cx:pt idx="525">106923</cx:pt>
          <cx:pt idx="526">88164089</cx:pt>
          <cx:pt idx="527">41338.540000000001</cx:pt>
          <cx:pt idx="528">432206.28000000003</cx:pt>
          <cx:pt idx="529">170000</cx:pt>
          <cx:pt idx="530">179300</cx:pt>
          <cx:pt idx="531">465000</cx:pt>
          <cx:pt idx="532">511500</cx:pt>
          <cx:pt idx="533">255000</cx:pt>
          <cx:pt idx="534">134999.98999999999</cx:pt>
          <cx:pt idx="535">100341.09</cx:pt>
          <cx:pt idx="536">345576.91999999998</cx:pt>
          <cx:pt idx="537">51809.699999999997</cx:pt>
          <cx:pt idx="538">7500000</cx:pt>
          <cx:pt idx="539">186917.17999999999</cx:pt>
          <cx:pt idx="540">2000000</cx:pt>
          <cx:pt idx="541">46792.5</cx:pt>
          <cx:pt idx="542">1199324.3200000001</cx:pt>
          <cx:pt idx="543">400000</cx:pt>
          <cx:pt idx="544">165000</cx:pt>
          <cx:pt idx="545">299596</cx:pt>
          <cx:pt idx="546">48650</cx:pt>
          <cx:pt idx="547">4904000</cx:pt>
          <cx:pt idx="548">110000</cx:pt>
          <cx:pt idx="549">204855.81</cx:pt>
          <cx:pt idx="550">2644288.3799999999</cx:pt>
          <cx:pt idx="551">282658.32000000001</cx:pt>
          <cx:pt idx="552">350000</cx:pt>
          <cx:pt idx="553">1500000</cx:pt>
          <cx:pt idx="554">497681.29999999999</cx:pt>
          <cx:pt idx="555">55887.900000000001</cx:pt>
          <cx:pt idx="556">128002</cx:pt>
          <cx:pt idx="557">98700</cx:pt>
          <cx:pt idx="558">145822</cx:pt>
          <cx:pt idx="559">295200</cx:pt>
          <cx:pt idx="560">511999.79999999999</cx:pt>
          <cx:pt idx="561">203725</cx:pt>
          <cx:pt idx="562">215862.42000000001</cx:pt>
          <cx:pt idx="563">54546.779999999999</cx:pt>
          <cx:pt idx="564">1073120</cx:pt>
          <cx:pt idx="565">143000</cx:pt>
          <cx:pt idx="566">360000</cx:pt>
          <cx:pt idx="567">250000</cx:pt>
          <cx:pt idx="568">1519509.6000000001</cx:pt>
          <cx:pt idx="569">26915</cx:pt>
          <cx:pt idx="570">141404.28</cx:pt>
          <cx:pt idx="571">241072.38</cx:pt>
          <cx:pt idx="572">1102419</cx:pt>
          <cx:pt idx="573">43945.199999999997</cx:pt>
          <cx:pt idx="574">111783.32000000001</cx:pt>
          <cx:pt idx="575">593466</cx:pt>
          <cx:pt idx="576">560601.59999999998</cx:pt>
          <cx:pt idx="577">525515</cx:pt>
          <cx:pt idx="578">200000</cx:pt>
          <cx:pt idx="579">228000</cx:pt>
          <cx:pt idx="580">7019.6099999999997</cx:pt>
          <cx:pt idx="581">314049.59000000003</cx:pt>
          <cx:pt idx="582">1333053.9099999999</cx:pt>
          <cx:pt idx="583">481162.5</cx:pt>
          <cx:pt idx="584">950000</cx:pt>
          <cx:pt idx="585">140000</cx:pt>
          <cx:pt idx="586">210801.51000000001</cx:pt>
          <cx:pt idx="587">550308.95999999996</cx:pt>
          <cx:pt idx="588">2051514.8700000001</cx:pt>
          <cx:pt idx="589">4205454.4000000004</cx:pt>
          <cx:pt idx="590">108983</cx:pt>
          <cx:pt idx="591">32820</cx:pt>
          <cx:pt idx="592">670365</cx:pt>
          <cx:pt idx="593">377500</cx:pt>
          <cx:pt idx="594">2590000</cx:pt>
          <cx:pt idx="595">450000</cx:pt>
          <cx:pt idx="596">75605</cx:pt>
          <cx:pt idx="597">162877.5</cx:pt>
          <cx:pt idx="598">311016</cx:pt>
          <cx:pt idx="599">507413.88</cx:pt>
          <cx:pt idx="600">344940</cx:pt>
          <cx:pt idx="601">20069.23</cx:pt>
          <cx:pt idx="602">59898.959999999999</cx:pt>
          <cx:pt idx="603">6049999.2000000002</cx:pt>
          <cx:pt idx="604">138500</cx:pt>
          <cx:pt idx="605">900000</cx:pt>
          <cx:pt idx="606">3324000.3300000001</cx:pt>
          <cx:pt idx="607">745551.64000000001</cx:pt>
          <cx:pt idx="608">58000</cx:pt>
          <cx:pt idx="609">968867.76000000001</cx:pt>
          <cx:pt idx="610">133605.12</cx:pt>
          <cx:pt idx="611">581650.07999999996</cx:pt>
          <cx:pt idx="612">1613475</cx:pt>
          <cx:pt idx="613">20515732</cx:pt>
          <cx:pt idx="614">1535760</cx:pt>
          <cx:pt idx="615">67000</cx:pt>
          <cx:pt idx="616">707488.31999999995</cx:pt>
          <cx:pt idx="617">158834</cx:pt>
          <cx:pt idx="618">2371538.3999999999</cx:pt>
          <cx:pt idx="619">434000</cx:pt>
          <cx:pt idx="620">493970.40000000002</cx:pt>
          <cx:pt idx="621">240675</cx:pt>
          <cx:pt idx="622">520000</cx:pt>
          <cx:pt idx="623">638869.43999999994</cx:pt>
          <cx:pt idx="624">1130317.78</cx:pt>
          <cx:pt idx="625">278394</cx:pt>
          <cx:pt idx="626">1833796</cx:pt>
          <cx:pt idx="627">135752.07000000001</cx:pt>
          <cx:pt idx="628">513332.15999999997</cx:pt>
          <cx:pt idx="629">136642</cx:pt>
          <cx:pt idx="630">80966.940000000002</cx:pt>
          <cx:pt idx="631">563065</cx:pt>
          <cx:pt idx="632">56920</cx:pt>
          <cx:pt idx="633">252680</cx:pt>
          <cx:pt idx="634">153756</cx:pt>
          <cx:pt idx="635">141696</cx:pt>
          <cx:pt idx="636">1196587</cx:pt>
          <cx:pt idx="637">2299840</cx:pt>
          <cx:pt idx="638">564633.64000000001</cx:pt>
          <cx:pt idx="639">264600</cx:pt>
          <cx:pt idx="640">40000</cx:pt>
          <cx:pt idx="641">2352586.1200000001</cx:pt>
          <cx:pt idx="642">20000</cx:pt>
          <cx:pt idx="643">2121000</cx:pt>
          <cx:pt idx="644">81100</cx:pt>
          <cx:pt idx="645">30578</cx:pt>
          <cx:pt idx="646">50000</cx:pt>
          <cx:pt idx="647">50000</cx:pt>
          <cx:pt idx="648">50000</cx:pt>
          <cx:pt idx="649">149996</cx:pt>
          <cx:pt idx="650">80000</cx:pt>
          <cx:pt idx="651">50000</cx:pt>
          <cx:pt idx="652">160000</cx:pt>
          <cx:pt idx="653">259560</cx:pt>
          <cx:pt idx="654">309205</cx:pt>
          <cx:pt idx="655">405107.44</cx:pt>
          <cx:pt idx="656">297820</cx:pt>
          <cx:pt idx="657">198000</cx:pt>
          <cx:pt idx="658">3275360</cx:pt>
          <cx:pt idx="659">231404.95999999999</cx:pt>
          <cx:pt idx="660">36860</cx:pt>
          <cx:pt idx="661">165171.06</cx:pt>
          <cx:pt idx="662">1100000</cx:pt>
          <cx:pt idx="663">171303.51000000001</cx:pt>
          <cx:pt idx="664">493959.84000000003</cx:pt>
          <cx:pt idx="665">892520.64000000001</cx:pt>
          <cx:pt idx="666">277147.20000000001</cx:pt>
          <cx:pt idx="667">352123.20000000001</cx:pt>
          <cx:pt idx="668">546844.31999999995</cx:pt>
          <cx:pt idx="669">395730.71999999997</cx:pt>
          <cx:pt idx="670">154440</cx:pt>
          <cx:pt idx="671">336853.44</cx:pt>
          <cx:pt idx="672">938044.80000000005</cx:pt>
          <cx:pt idx="673">400000</cx:pt>
          <cx:pt idx="674">181510</cx:pt>
          <cx:pt idx="675">1758311.5</cx:pt>
          <cx:pt idx="676">135000</cx:pt>
          <cx:pt idx="677">620547.83999999997</cx:pt>
          <cx:pt idx="678">142906.06</cx:pt>
          <cx:pt idx="679">49650</cx:pt>
          <cx:pt idx="680">110991.95</cx:pt>
          <cx:pt idx="681">29000</cx:pt>
          <cx:pt idx="682">209690</cx:pt>
          <cx:pt idx="683">76924.800000000003</cx:pt>
          <cx:pt idx="684">732600</cx:pt>
          <cx:pt idx="685">118700</cx:pt>
          <cx:pt idx="686">749210.88</cx:pt>
          <cx:pt idx="687">440900</cx:pt>
          <cx:pt idx="688">545196.95999999996</cx:pt>
          <cx:pt idx="689">441540</cx:pt>
          <cx:pt idx="690">132356</cx:pt>
          <cx:pt idx="691">283260</cx:pt>
          <cx:pt idx="692">1266000</cx:pt>
          <cx:pt idx="693">110029</cx:pt>
          <cx:pt idx="694">343200</cx:pt>
          <cx:pt idx="695">145290</cx:pt>
          <cx:pt idx="696">379880.15999999997</cx:pt>
          <cx:pt idx="697">273345.59999999998</cx:pt>
          <cx:pt idx="698">153998.04999999999</cx:pt>
          <cx:pt idx="699">36860</cx:pt>
          <cx:pt idx="700">5350</cx:pt>
          <cx:pt idx="701">2580017</cx:pt>
          <cx:pt idx="702">1008264.46</cx:pt>
          <cx:pt idx="703">152500</cx:pt>
          <cx:pt idx="704">301759.79999999999</cx:pt>
          <cx:pt idx="705">97610.720000000001</cx:pt>
          <cx:pt idx="706">194234.94</cx:pt>
          <cx:pt idx="707">1153845</cx:pt>
          <cx:pt idx="708">157000</cx:pt>
          <cx:pt idx="709">180000</cx:pt>
          <cx:pt idx="710">302163.84000000003</cx:pt>
          <cx:pt idx="711">687049.43999999994</cx:pt>
          <cx:pt idx="712">401652.89000000001</cx:pt>
          <cx:pt idx="713">506109.12</cx:pt>
          <cx:pt idx="714">6974</cx:pt>
          <cx:pt idx="715">91780</cx:pt>
          <cx:pt idx="716">8668</cx:pt>
          <cx:pt idx="717">402990</cx:pt>
          <cx:pt idx="718">738178.08999999997</cx:pt>
          <cx:pt idx="719">438163.96000000002</cx:pt>
          <cx:pt idx="720">178179.60000000001</cx:pt>
          <cx:pt idx="721">382995.35999999999</cx:pt>
          <cx:pt idx="722">529420.31999999995</cx:pt>
          <cx:pt idx="723">1012179.84</cx:pt>
          <cx:pt idx="724">15960</cx:pt>
          <cx:pt idx="725">277817.76000000001</cx:pt>
          <cx:pt idx="726">584538.23999999999</cx:pt>
          <cx:pt idx="727">133598.20000000001</cx:pt>
          <cx:pt idx="728">160000</cx:pt>
          <cx:pt idx="729">507896.64000000001</cx:pt>
          <cx:pt idx="730">369100.32000000001</cx:pt>
          <cx:pt idx="731">113332</cx:pt>
          <cx:pt idx="732">500000</cx:pt>
          <cx:pt idx="733">82148.759999999995</cx:pt>
          <cx:pt idx="734">91420</cx:pt>
          <cx:pt idx="735">167000</cx:pt>
          <cx:pt idx="736">128193.12</cx:pt>
          <cx:pt idx="737">798500</cx:pt>
          <cx:pt idx="738">300000</cx:pt>
          <cx:pt idx="739">796605</cx:pt>
          <cx:pt idx="740">14892.68</cx:pt>
          <cx:pt idx="741">485694</cx:pt>
          <cx:pt idx="742">60580</cx:pt>
          <cx:pt idx="743">399937</cx:pt>
          <cx:pt idx="744">28000</cx:pt>
          <cx:pt idx="745">415730</cx:pt>
          <cx:pt idx="746">230000</cx:pt>
          <cx:pt idx="747">180000</cx:pt>
          <cx:pt idx="748">114027.57000000001</cx:pt>
          <cx:pt idx="749">24000000</cx:pt>
          <cx:pt idx="750">222975</cx:pt>
          <cx:pt idx="751">264138.40000000002</cx:pt>
          <cx:pt idx="752">749116.88</cx:pt>
          <cx:pt idx="753">577816.80000000005</cx:pt>
          <cx:pt idx="754">336156.78000000003</cx:pt>
          <cx:pt idx="755">396918.21999999997</cx:pt>
          <cx:pt idx="756">826800</cx:pt>
          <cx:pt idx="757">436</cx:pt>
          <cx:pt idx="758">80516</cx:pt>
          <cx:pt idx="759">58032.800000000003</cx:pt>
          <cx:pt idx="760">175000</cx:pt>
          <cx:pt idx="761">135000</cx:pt>
          <cx:pt idx="762">197469.32000000001</cx:pt>
          <cx:pt idx="763">123289.25</cx:pt>
          <cx:pt idx="764">672400</cx:pt>
          <cx:pt idx="765">10423</cx:pt>
          <cx:pt idx="766">421874</cx:pt>
          <cx:pt idx="767">1583370</cx:pt>
          <cx:pt idx="768">184707</cx:pt>
          <cx:pt idx="769">537918.23999999999</cx:pt>
          <cx:pt idx="770">598609.43999999994</cx:pt>
          <cx:pt idx="771">602918.64000000001</cx:pt>
          <cx:pt idx="772">386480.15999999997</cx:pt>
          <cx:pt idx="773">421201.44</cx:pt>
          <cx:pt idx="774">379024.79999999999</cx:pt>
          <cx:pt idx="775">815622.71999999997</cx:pt>
          <cx:pt idx="776">494825.76000000001</cx:pt>
          <cx:pt idx="777">431196.47999999998</cx:pt>
          <cx:pt idx="778">246945</cx:pt>
          <cx:pt idx="779">1182000</cx:pt>
          <cx:pt idx="780">338000</cx:pt>
          <cx:pt idx="781">290944.12</cx:pt>
          <cx:pt idx="782">1030031.5</cx:pt>
          <cx:pt idx="783">2066120</cx:pt>
          <cx:pt idx="784">750000</cx:pt>
          <cx:pt idx="785">188771.35999999999</cx:pt>
          <cx:pt idx="786">5980</cx:pt>
          <cx:pt idx="787">52902</cx:pt>
          <cx:pt idx="788">340237.5</cx:pt>
          <cx:pt idx="789">4260</cx:pt>
          <cx:pt idx="790">657814.56000000006</cx:pt>
          <cx:pt idx="791">14826.700000000001</cx:pt>
          <cx:pt idx="792">217664.45999999999</cx:pt>
          <cx:pt idx="793">261900</cx:pt>
          <cx:pt idx="794">6219325</cx:pt>
          <cx:pt idx="795">262500</cx:pt>
          <cx:pt idx="796">369324.53999999998</cx:pt>
          <cx:pt idx="797">371900.83000000002</cx:pt>
          <cx:pt idx="798">792968.88</cx:pt>
          <cx:pt idx="799">1454540.8500000001</cx:pt>
          <cx:pt idx="800">1583374.3</cx:pt>
          <cx:pt idx="801">261218.84</cx:pt>
          <cx:pt idx="802">196609.09</cx:pt>
          <cx:pt idx="803">9405</cx:pt>
          <cx:pt idx="804">1598.4000000000001</cx:pt>
          <cx:pt idx="805">737035</cx:pt>
          <cx:pt idx="806">280000</cx:pt>
          <cx:pt idx="807">31158.32</cx:pt>
          <cx:pt idx="808">1000000</cx:pt>
          <cx:pt idx="809">313639.03999999998</cx:pt>
          <cx:pt idx="810">164032</cx:pt>
          <cx:pt idx="811">181600</cx:pt>
          <cx:pt idx="812">111865</cx:pt>
          <cx:pt idx="813">165288</cx:pt>
          <cx:pt idx="814">34143</cx:pt>
          <cx:pt idx="815">250000</cx:pt>
          <cx:pt idx="816">8756</cx:pt>
          <cx:pt idx="817">542979.83999999997</cx:pt>
          <cx:pt idx="818">261509.78</cx:pt>
          <cx:pt idx="819">273943.79999999999</cx:pt>
          <cx:pt idx="820">180000</cx:pt>
          <cx:pt idx="821">2498564</cx:pt>
          <cx:pt idx="822">3100</cx:pt>
          <cx:pt idx="823">781240</cx:pt>
          <cx:pt idx="824">124006</cx:pt>
          <cx:pt idx="825">350480</cx:pt>
          <cx:pt idx="826">300000</cx:pt>
          <cx:pt idx="827">952834.07999999996</cx:pt>
          <cx:pt idx="828">17034.16</cx:pt>
          <cx:pt idx="829">908763</cx:pt>
          <cx:pt idx="830">1006.2</cx:pt>
          <cx:pt idx="831">186600</cx:pt>
          <cx:pt idx="832">25314.049999999999</cx:pt>
          <cx:pt idx="833">104505</cx:pt>
          <cx:pt idx="834">5880</cx:pt>
          <cx:pt idx="835">6961.9700000000003</cx:pt>
          <cx:pt idx="836">10075.299999999999</cx:pt>
          <cx:pt idx="837">11760.530000000001</cx:pt>
          <cx:pt idx="838">431100</cx:pt>
          <cx:pt idx="839">11100</cx:pt>
          <cx:pt idx="840">339970.56</cx:pt>
          <cx:pt idx="841">450000</cx:pt>
          <cx:pt idx="842">169500</cx:pt>
          <cx:pt idx="843">1000000</cx:pt>
          <cx:pt idx="844">324012.15000000002</cx:pt>
          <cx:pt idx="845">288000</cx:pt>
          <cx:pt idx="846">816750</cx:pt>
          <cx:pt idx="847">419160</cx:pt>
          <cx:pt idx="848">1222330.54</cx:pt>
          <cx:pt idx="849">290000</cx:pt>
          <cx:pt idx="850">100000</cx:pt>
          <cx:pt idx="851">500000</cx:pt>
          <cx:pt idx="852">25625490.670000002</cx:pt>
          <cx:pt idx="853">208057.42000000001</cx:pt>
          <cx:pt idx="854">450000</cx:pt>
          <cx:pt idx="855">247700</cx:pt>
          <cx:pt idx="856">342000</cx:pt>
        </cx:lvl>
      </cx:numDim>
    </cx:data>
  </cx:chartData>
  <cx:chart>
    <cx:plotArea>
      <cx:plotAreaRegion>
        <cx:series layoutId="clusteredColumn" uniqueId="{3ACB20EF-0054-4701-BFE9-9A2E888890D7}">
          <cx:dataLabels>
            <cx:visibility seriesName="0" categoryName="0" value="1"/>
          </cx:dataLabels>
          <cx:dataId val="0"/>
          <cx:layoutPr>
            <cx:binning intervalClosed="r">
              <cx:binSize val="5000000"/>
            </cx:binning>
          </cx:layoutPr>
        </cx:series>
      </cx:plotAreaRegion>
      <cx:axis id="0">
        <cx:catScaling gapWidth="0"/>
        <cx:title>
          <cx:tx>
            <cx:txData>
              <cx:v>EUR</cx:v>
            </cx:txData>
          </cx:tx>
          <cx:txPr>
            <a:bodyPr spcFirstLastPara="1" vertOverflow="ellipsis" wrap="square" lIns="0" tIns="0" rIns="0" bIns="0" anchor="ctr" anchorCtr="1"/>
            <a:lstStyle/>
            <a:p>
              <a:pPr algn="ctr">
                <a:defRPr/>
              </a:pPr>
              <a:r>
                <a:rPr lang="lv-LV"/>
                <a:t>EUR</a:t>
              </a:r>
            </a:p>
          </cx:txPr>
        </cx:title>
        <cx:tickLabels/>
      </cx:axis>
      <cx:axis id="1">
        <cx:valScaling/>
        <cx:title>
          <cx:tx>
            <cx:txData>
              <cx:v>Skaits</cx:v>
            </cx:txData>
          </cx:tx>
          <cx:txPr>
            <a:bodyPr spcFirstLastPara="1" vertOverflow="ellipsis" wrap="square" lIns="0" tIns="0" rIns="0" bIns="0" anchor="ctr" anchorCtr="1"/>
            <a:lstStyle/>
            <a:p>
              <a:pPr algn="ctr">
                <a:defRPr/>
              </a:pPr>
              <a:r>
                <a:rPr lang="lv-LV"/>
                <a:t>Skaits</a:t>
              </a:r>
            </a:p>
          </cx:txPr>
        </cx:title>
        <cx:majorGridlines/>
        <cx:tickLabels/>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CE50DB0DB094A96D070B1BFDF9444" ma:contentTypeVersion="0" ma:contentTypeDescription="Create a new document." ma:contentTypeScope="" ma:versionID="027926cb6e7b7cf56663ff3bc8e75ea7">
  <xsd:schema xmlns:xsd="http://www.w3.org/2001/XMLSchema" xmlns:xs="http://www.w3.org/2001/XMLSchema" xmlns:p="http://schemas.microsoft.com/office/2006/metadata/properties" targetNamespace="http://schemas.microsoft.com/office/2006/metadata/properties" ma:root="true" ma:fieldsID="3908ae204c6c644ae07194e013529a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C294F-28E5-4786-AF46-6D57342E5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A073A97-BAC9-4528-933A-C675FEA011C4}">
  <ds:schemaRefs>
    <ds:schemaRef ds:uri="http://schemas.microsoft.com/sharepoint/v3/contenttype/forms"/>
  </ds:schemaRefs>
</ds:datastoreItem>
</file>

<file path=customXml/itemProps3.xml><?xml version="1.0" encoding="utf-8"?>
<ds:datastoreItem xmlns:ds="http://schemas.openxmlformats.org/officeDocument/2006/customXml" ds:itemID="{F97A79E7-2813-459F-AC71-1FFBD3A3CB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3DE7FF-5F6D-4518-9D17-5C7BFA880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36</Pages>
  <Words>41094</Words>
  <Characters>23425</Characters>
  <Application>Microsoft Office Word</Application>
  <DocSecurity>0</DocSecurity>
  <Lines>195</Lines>
  <Paragraphs>128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European Commission</Company>
  <LinksUpToDate>false</LinksUpToDate>
  <CharactersWithSpaces>64391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HERCHER Jachym (GROW)</dc:creator>
  <cp:lastModifiedBy>Edgars Matulis</cp:lastModifiedBy>
  <cp:revision>10</cp:revision>
  <cp:lastPrinted>2018-05-14T12:25:00Z</cp:lastPrinted>
  <dcterms:created xsi:type="dcterms:W3CDTF">2018-05-15T20:58:00Z</dcterms:created>
  <dcterms:modified xsi:type="dcterms:W3CDTF">2018-05-21T11:17:00Z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0x010100FE2CE50DB0DB094A96D070B1BFDF9444</vt:lpwstr>
  </property>
  <property fmtid="{D5CDD505-2E9C-101B-9397-08002B2CF9AE}" pid="3" name="IsMyDocuments">
    <vt:bool>true</vt:bool>
  </property>
</Properties>
</file>