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118678151"/>
        <w:docPartObj>
          <w:docPartGallery w:val="Cover Pages"/>
          <w:docPartUnique/>
        </w:docPartObj>
      </w:sdtPr>
      <w:sdtEndPr>
        <w:rPr>
          <w:rFonts w:ascii="Times New Roman" w:hAnsi="Times New Roman" w:cs="Times New Roman"/>
          <w:sz w:val="24"/>
          <w:szCs w:val="24"/>
        </w:rPr>
      </w:sdtEndPr>
      <w:sdtContent>
        <w:p w:rsidR="002B2DAB" w:rsidRDefault="00690F84">
          <w:r>
            <w:rPr>
              <w:noProof/>
              <w:lang w:eastAsia="it-IT"/>
            </w:rPr>
            <mc:AlternateContent>
              <mc:Choice Requires="wps">
                <w:drawing>
                  <wp:anchor distT="0" distB="0" distL="114300" distR="114300" simplePos="0" relativeHeight="251666432" behindDoc="0" locked="0" layoutInCell="1" allowOverlap="1" wp14:anchorId="678EE0AD" wp14:editId="6F4E4DA6">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10157460"/>
                    <wp:effectExtent l="0" t="0" r="24130" b="15240"/>
                    <wp:wrapNone/>
                    <wp:docPr id="40" name="Rettangolo 40"/>
                    <wp:cNvGraphicFramePr/>
                    <a:graphic xmlns:a="http://schemas.openxmlformats.org/drawingml/2006/main">
                      <a:graphicData uri="http://schemas.microsoft.com/office/word/2010/wordprocessingShape">
                        <wps:wsp>
                          <wps:cNvSpPr/>
                          <wps:spPr>
                            <a:xfrm>
                              <a:off x="0" y="0"/>
                              <a:ext cx="3108960" cy="1015746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0</wp14:pctHeight>
                    </wp14:sizeRelV>
                  </wp:anchor>
                </w:drawing>
              </mc:Choice>
              <mc:Fallback xmlns:w15="http://schemas.microsoft.com/office/word/2012/wordml">
                <w:pict>
                  <v:rect w14:anchorId="7FF7A55A" id="Rettangolo 40" o:spid="_x0000_s1026" style="position:absolute;margin-left:0;margin-top:0;width:244.8pt;height:799.8pt;z-index:251666432;visibility:visible;mso-wrap-style:square;mso-width-percent:400;mso-height-percent:0;mso-left-percent:440;mso-top-percent:25;mso-wrap-distance-left:9pt;mso-wrap-distance-top:0;mso-wrap-distance-right:9pt;mso-wrap-distance-bottom:0;mso-position-horizontal-relative:page;mso-position-vertical-relative:page;mso-width-percent:400;mso-height-percent: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" fillcolor="white [3212]" strokecolor="#938953 [1614]" strokeweight="1.25pt">
                    <w10:wrap anchorx="page" anchory="page"/>
                  </v:rect>
                </w:pict>
              </mc:Fallback>
            </mc:AlternateContent>
          </w:r>
          <w:r w:rsidR="00AE321B">
            <w:rPr>
              <w:noProof/>
              <w:lang w:eastAsia="it-IT"/>
            </w:rPr>
            <w:drawing>
              <wp:inline distT="0" distB="0" distL="0" distR="0" wp14:anchorId="2A05BC5D" wp14:editId="3917F45B">
                <wp:extent cx="2001291" cy="1446859"/>
                <wp:effectExtent l="0" t="0" r="0" b="1270"/>
                <wp:docPr id="43" name="Immagine 43" descr="Risultati immagini per presidenza consiglio minis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presidenza consiglio ministr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2322" cy="1447605"/>
                        </a:xfrm>
                        <a:prstGeom prst="rect">
                          <a:avLst/>
                        </a:prstGeom>
                        <a:noFill/>
                        <a:ln>
                          <a:noFill/>
                        </a:ln>
                      </pic:spPr>
                    </pic:pic>
                  </a:graphicData>
                </a:graphic>
              </wp:inline>
            </w:drawing>
          </w:r>
          <w:r w:rsidR="002B2DAB">
            <w:rPr>
              <w:noProof/>
              <w:lang w:eastAsia="it-IT"/>
            </w:rPr>
            <mc:AlternateContent>
              <mc:Choice Requires="wps">
                <w:drawing>
                  <wp:anchor distT="0" distB="0" distL="114300" distR="114300" simplePos="0" relativeHeight="251671552" behindDoc="0" locked="0" layoutInCell="1" allowOverlap="1" wp14:anchorId="67062637" wp14:editId="71F5000B">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37" name="Casella di testo 37"/>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9734C8" w:rsidRDefault="009734C8">
                                <w:pPr>
                                  <w:pStyle w:val="Nessunaspaziatura"/>
                                  <w:rPr>
                                    <w:color w:val="1F497D" w:themeColor="text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xmlns:w15="http://schemas.microsoft.com/office/word/2012/wordml">
                <w:pict>
                  <v:shapetype w14:anchorId="67062637" id="_x0000_t202" coordsize="21600,21600" o:spt="202" path="m,l,21600r21600,l21600,xe">
                    <v:stroke joinstyle="miter"/>
                    <v:path gradientshapeok="t" o:connecttype="rect"/>
                  </v:shapetype>
                  <v:shape id="Casella di testo 37" o:spid="_x0000_s1026" type="#_x0000_t202" style="position:absolute;margin-left:0;margin-top:0;width:220.3pt;height:21.15pt;z-index:251671552;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" filled="f" stroked="f" strokeweight=".5pt">
                    <v:textbox style="mso-fit-shape-to-text:t">
                      <w:txbxContent>
                        <w:p w:rsidR="009734C8" w:rsidRDefault="009734C8">
                          <w:pPr>
                            <w:pStyle w:val="Nessunaspaziatura"/>
                            <w:rPr>
                              <w:color w:val="1F497D" w:themeColor="text2"/>
                            </w:rPr>
                          </w:pPr>
                        </w:p>
                      </w:txbxContent>
                    </v:textbox>
                    <w10:wrap type="square" anchorx="page" anchory="page"/>
                  </v:shape>
                </w:pict>
              </mc:Fallback>
            </mc:AlternateContent>
          </w:r>
          <w:r w:rsidR="002B2DAB">
            <w:rPr>
              <w:noProof/>
              <w:lang w:eastAsia="it-IT"/>
            </w:rPr>
            <mc:AlternateContent>
              <mc:Choice Requires="wps">
                <w:drawing>
                  <wp:anchor distT="0" distB="0" distL="114300" distR="114300" simplePos="0" relativeHeight="251670528" behindDoc="1" locked="0" layoutInCell="1" allowOverlap="1" wp14:anchorId="51548A59" wp14:editId="334C4788">
                    <wp:simplePos x="0" y="0"/>
                    <wp:positionH relativeFrom="page">
                      <wp:align>center</wp:align>
                    </wp:positionH>
                    <wp:positionV relativeFrom="page">
                      <wp:align>center</wp:align>
                    </wp:positionV>
                    <wp:extent cx="7383780" cy="9555480"/>
                    <wp:effectExtent l="0" t="0" r="0" b="0"/>
                    <wp:wrapNone/>
                    <wp:docPr id="38" name="Rettangolo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9734C8" w:rsidRDefault="009734C8"/>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5="http://schemas.microsoft.com/office/word/2012/wordml">
                <w:pict>
                  <v:rect w14:anchorId="51548A59" id="Rettangolo 38" o:spid="_x0000_s1027" style="position:absolute;margin-left:0;margin-top:0;width:581.4pt;height:752.4pt;z-index:-25164595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" fillcolor="#f1efe6 [2579]" stroked="f" strokeweight="2pt">
                    <v:fill color2="#575131 [963]" rotate="t" focusposition=".5,.5" focussize="" focus="100%" type="gradientRadial"/>
                    <v:path arrowok="t"/>
                    <v:textbox inset="21.6pt,,21.6pt">
                      <w:txbxContent>
                        <w:p w:rsidR="009734C8" w:rsidRDefault="009734C8"/>
                      </w:txbxContent>
                    </v:textbox>
                    <w10:wrap anchorx="page" anchory="page"/>
                  </v:rect>
                </w:pict>
              </mc:Fallback>
            </mc:AlternateContent>
          </w:r>
          <w:r w:rsidR="002B2DAB">
            <w:rPr>
              <w:noProof/>
              <w:lang w:eastAsia="it-IT"/>
            </w:rPr>
            <mc:AlternateContent>
              <mc:Choice Requires="wps">
                <w:drawing>
                  <wp:anchor distT="0" distB="0" distL="114300" distR="114300" simplePos="0" relativeHeight="251667456" behindDoc="0" locked="0" layoutInCell="1" allowOverlap="1" wp14:anchorId="5F0F8DB2" wp14:editId="72BBCE7C">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39" name="Rettangolo 39"/>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34C8" w:rsidRDefault="001E1FBC">
                                <w:pPr>
                                  <w:spacing w:before="240"/>
                                  <w:jc w:val="center"/>
                                  <w:rPr>
                                    <w:color w:val="FFFFFF" w:themeColor="background1"/>
                                  </w:rPr>
                                </w:pPr>
                                <w:sdt>
                                  <w:sdtPr>
                                    <w:rPr>
                                      <w:color w:val="FFFFFF" w:themeColor="background1"/>
                                    </w:rPr>
                                    <w:alias w:val="Sunto"/>
                                    <w:id w:val="207926161"/>
                                    <w:showingPlcHdr/>
                                    <w:dataBinding w:prefixMappings="xmlns:ns0='http://schemas.microsoft.com/office/2006/coverPageProps'" w:xpath="/ns0:CoverPageProperties[1]/ns0:Abstract[1]" w:storeItemID="{55AF091B-3C7A-41E3-B477-F2FDAA23CFDA}"/>
                                    <w:text/>
                                  </w:sdtPr>
                                  <w:sdtEndPr/>
                                  <w:sdtContent>
                                    <w:r w:rsidR="009734C8">
                                      <w:rPr>
                                        <w:color w:val="FFFFFF" w:themeColor="background1"/>
                                      </w:rPr>
                                      <w:t xml:space="preserve">     </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xmlns:w15="http://schemas.microsoft.com/office/word/2012/wordml">
                <w:pict>
                  <v:rect w14:anchorId="5F0F8DB2" id="Rettangolo 39" o:spid="_x0000_s1028" style="position:absolute;margin-left:0;margin-top:0;width:226.45pt;height:237.6pt;z-index:251667456;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" fillcolor="#1f497d [3215]" stroked="f" strokeweight="2pt">
                    <v:textbox inset="14.4pt,14.4pt,14.4pt,28.8pt">
                      <w:txbxContent>
                        <w:p w:rsidR="009734C8" w:rsidRDefault="00245DCB">
                          <w:pPr>
                            <w:spacing w:before="240"/>
                            <w:jc w:val="center"/>
                            <w:rPr>
                              <w:color w:val="FFFFFF" w:themeColor="background1"/>
                            </w:rPr>
                          </w:pPr>
                          <w:sdt>
                            <w:sdtPr>
                              <w:rPr>
                                <w:color w:val="FFFFFF" w:themeColor="background1"/>
                              </w:rPr>
                              <w:alias w:val="Sunto"/>
                              <w:id w:val="207926161"/>
                              <w:showingPlcHdr/>
                              <w:dataBinding w:prefixMappings="xmlns:ns0='http://schemas.microsoft.com/office/2006/coverPageProps'" w:xpath="/ns0:CoverPageProperties[1]/ns0:Abstract[1]" w:storeItemID="{55AF091B-3C7A-41E3-B477-F2FDAA23CFDA}"/>
                              <w:text/>
                            </w:sdtPr>
                            <w:sdtEndPr/>
                            <w:sdtContent>
                              <w:r w:rsidR="009734C8">
                                <w:rPr>
                                  <w:color w:val="FFFFFF" w:themeColor="background1"/>
                                </w:rPr>
                                <w:t xml:space="preserve">     </w:t>
                              </w:r>
                            </w:sdtContent>
                          </w:sdt>
                        </w:p>
                      </w:txbxContent>
                    </v:textbox>
                    <w10:wrap anchorx="page" anchory="page"/>
                  </v:rect>
                </w:pict>
              </mc:Fallback>
            </mc:AlternateContent>
          </w:r>
          <w:r w:rsidR="002B2DAB">
            <w:rPr>
              <w:noProof/>
              <w:lang w:eastAsia="it-IT"/>
            </w:rPr>
            <mc:AlternateContent>
              <mc:Choice Requires="wps">
                <w:drawing>
                  <wp:anchor distT="0" distB="0" distL="114300" distR="114300" simplePos="0" relativeHeight="251669504" behindDoc="0" locked="0" layoutInCell="1" allowOverlap="1" wp14:anchorId="29ED6FAC" wp14:editId="14E1E072">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1" name="Rettangolo 41"/>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xmlns:w15="http://schemas.microsoft.com/office/word/2012/wordml">
                <w:pict>
                  <v:rect w14:anchorId="2256D0B8" id="Rettangolo 41" o:spid="_x0000_s1026" style="position:absolute;margin-left:0;margin-top:0;width:226.45pt;height:9.35pt;z-index:251669504;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" fillcolor="#4f81bd [3204]" stroked="f" strokeweight="2pt">
                    <w10:wrap anchorx="page" anchory="page"/>
                  </v:rect>
                </w:pict>
              </mc:Fallback>
            </mc:AlternateContent>
          </w:r>
        </w:p>
        <w:p w:rsidR="002B2DAB" w:rsidRDefault="00690F84">
          <w:pPr>
            <w:rPr>
              <w:rFonts w:ascii="Times New Roman" w:hAnsi="Times New Roman" w:cs="Times New Roman"/>
              <w:sz w:val="24"/>
              <w:szCs w:val="24"/>
            </w:rPr>
          </w:pPr>
          <w:r>
            <w:rPr>
              <w:noProof/>
              <w:lang w:eastAsia="it-IT"/>
            </w:rPr>
            <mc:AlternateContent>
              <mc:Choice Requires="wps">
                <w:drawing>
                  <wp:anchor distT="0" distB="0" distL="114300" distR="114300" simplePos="0" relativeHeight="251668480" behindDoc="0" locked="0" layoutInCell="1" allowOverlap="1" wp14:anchorId="386C296A" wp14:editId="287DA399">
                    <wp:simplePos x="0" y="0"/>
                    <wp:positionH relativeFrom="page">
                      <wp:posOffset>3471545</wp:posOffset>
                    </wp:positionH>
                    <wp:positionV relativeFrom="page">
                      <wp:posOffset>5758180</wp:posOffset>
                    </wp:positionV>
                    <wp:extent cx="2797810" cy="2475230"/>
                    <wp:effectExtent l="0" t="0" r="0" b="1270"/>
                    <wp:wrapSquare wrapText="bothSides"/>
                    <wp:docPr id="42" name="Casella di testo 42"/>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imes New Roman" w:hAnsi="Times New Roman" w:cs="Times New Roman"/>
                                    <w:sz w:val="48"/>
                                    <w:szCs w:val="48"/>
                                  </w:rPr>
                                  <w:alias w:val="Titolo"/>
                                  <w:id w:val="314850067"/>
                                  <w:dataBinding w:prefixMappings="xmlns:ns0='http://schemas.openxmlformats.org/package/2006/metadata/core-properties' xmlns:ns1='http://purl.org/dc/elements/1.1/'" w:xpath="/ns0:coreProperties[1]/ns1:title[1]" w:storeItemID="{6C3C8BC8-F283-45AE-878A-BAB7291924A1}"/>
                                  <w:text/>
                                </w:sdtPr>
                                <w:sdtEndPr/>
                                <w:sdtContent>
                                  <w:p w:rsidR="009734C8" w:rsidRDefault="009734C8">
                                    <w:pPr>
                                      <w:rPr>
                                        <w:rFonts w:asciiTheme="majorHAnsi" w:hAnsiTheme="majorHAnsi"/>
                                        <w:color w:val="4F81BD" w:themeColor="accent1"/>
                                        <w:sz w:val="72"/>
                                        <w:szCs w:val="72"/>
                                      </w:rPr>
                                    </w:pPr>
                                    <w:r w:rsidRPr="002B2DAB">
                                      <w:rPr>
                                        <w:rFonts w:ascii="Times New Roman" w:hAnsi="Times New Roman" w:cs="Times New Roman"/>
                                        <w:sz w:val="48"/>
                                        <w:szCs w:val="48"/>
                                      </w:rPr>
                                      <w:t>RELAZIONE DI CONTROLLO</w:t>
                                    </w:r>
                                  </w:p>
                                </w:sdtContent>
                              </w:sdt>
                              <w:sdt>
                                <w:sdtPr>
                                  <w:rPr>
                                    <w:rFonts w:ascii="Times New Roman" w:hAnsi="Times New Roman" w:cs="Times New Roman"/>
                                    <w:sz w:val="24"/>
                                    <w:szCs w:val="24"/>
                                  </w:rPr>
                                  <w:alias w:val="Sottotitolo"/>
                                  <w:id w:val="-1489394143"/>
                                  <w:dataBinding w:prefixMappings="xmlns:ns0='http://schemas.openxmlformats.org/package/2006/metadata/core-properties' xmlns:ns1='http://purl.org/dc/elements/1.1/'" w:xpath="/ns0:coreProperties[1]/ns1:subject[1]" w:storeItemID="{6C3C8BC8-F283-45AE-878A-BAB7291924A1}"/>
                                  <w:text/>
                                </w:sdtPr>
                                <w:sdtEndPr/>
                                <w:sdtContent>
                                  <w:p w:rsidR="009734C8" w:rsidRDefault="009734C8">
                                    <w:pPr>
                                      <w:rPr>
                                        <w:rFonts w:asciiTheme="majorHAnsi" w:hAnsiTheme="majorHAnsi"/>
                                        <w:color w:val="1F497D" w:themeColor="text2"/>
                                        <w:sz w:val="32"/>
                                        <w:szCs w:val="32"/>
                                      </w:rPr>
                                    </w:pPr>
                                    <w:r w:rsidRPr="00DD6D07">
                                      <w:rPr>
                                        <w:rFonts w:ascii="Times New Roman" w:hAnsi="Times New Roman" w:cs="Times New Roman"/>
                                        <w:sz w:val="24"/>
                                        <w:szCs w:val="24"/>
                                      </w:rPr>
                                      <w:t xml:space="preserve">ai sensi dell’articolo 212, comma 3, </w:t>
                                    </w:r>
                                    <w:r>
                                      <w:rPr>
                                        <w:rFonts w:ascii="Times New Roman" w:hAnsi="Times New Roman" w:cs="Times New Roman"/>
                                        <w:sz w:val="24"/>
                                        <w:szCs w:val="24"/>
                                      </w:rPr>
                                      <w:t xml:space="preserve">     </w:t>
                                    </w:r>
                                    <w:r w:rsidRPr="00DD6D07">
                                      <w:rPr>
                                        <w:rFonts w:ascii="Times New Roman" w:hAnsi="Times New Roman" w:cs="Times New Roman"/>
                                        <w:sz w:val="24"/>
                                        <w:szCs w:val="24"/>
                                      </w:rPr>
                                      <w:t>del Codice dei contratti pubblici</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xmlns:w15="http://schemas.microsoft.com/office/word/2012/wordml">
                <w:pict>
                  <v:shape w14:anchorId="386C296A" id="Casella di testo 42" o:spid="_x0000_s1029" type="#_x0000_t202" style="position:absolute;margin-left:273.35pt;margin-top:453.4pt;width:220.3pt;height:194.9pt;z-index:251668480;visibility:visible;mso-wrap-style:square;mso-width-percent:360;mso-height-percent:280;mso-wrap-distance-left:9pt;mso-wrap-distance-top:0;mso-wrap-distance-right:9pt;mso-wrap-distance-bottom:0;mso-position-horizontal:absolute;mso-position-horizontal-relative:page;mso-position-vertical:absolute;mso-position-vertical-relative:page;mso-width-percent:36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" filled="f" stroked="f" strokeweight=".5pt">
                    <v:textbox style="mso-fit-shape-to-text:t">
                      <w:txbxContent>
                        <w:sdt>
                          <w:sdtPr>
                            <w:rPr>
                              <w:rFonts w:ascii="Times New Roman" w:hAnsi="Times New Roman" w:cs="Times New Roman"/>
                              <w:sz w:val="48"/>
                              <w:szCs w:val="48"/>
                            </w:rPr>
                            <w:alias w:val="Titolo"/>
                            <w:id w:val="314850067"/>
                            <w:dataBinding w:prefixMappings="xmlns:ns0='http://schemas.openxmlformats.org/package/2006/metadata/core-properties' xmlns:ns1='http://purl.org/dc/elements/1.1/'" w:xpath="/ns0:coreProperties[1]/ns1:title[1]" w:storeItemID="{6C3C8BC8-F283-45AE-878A-BAB7291924A1}"/>
                            <w:text/>
                          </w:sdtPr>
                          <w:sdtEndPr/>
                          <w:sdtContent>
                            <w:p w:rsidR="009734C8" w:rsidRDefault="009734C8">
                              <w:pPr>
                                <w:rPr>
                                  <w:rFonts w:asciiTheme="majorHAnsi" w:hAnsiTheme="majorHAnsi"/>
                                  <w:color w:val="4F81BD" w:themeColor="accent1"/>
                                  <w:sz w:val="72"/>
                                  <w:szCs w:val="72"/>
                                </w:rPr>
                              </w:pPr>
                              <w:r w:rsidRPr="002B2DAB">
                                <w:rPr>
                                  <w:rFonts w:ascii="Times New Roman" w:hAnsi="Times New Roman" w:cs="Times New Roman"/>
                                  <w:sz w:val="48"/>
                                  <w:szCs w:val="48"/>
                                </w:rPr>
                                <w:t>RELAZIONE DI CONTROLLO</w:t>
                              </w:r>
                            </w:p>
                          </w:sdtContent>
                        </w:sdt>
                        <w:sdt>
                          <w:sdtPr>
                            <w:rPr>
                              <w:rFonts w:ascii="Times New Roman" w:hAnsi="Times New Roman" w:cs="Times New Roman"/>
                              <w:sz w:val="24"/>
                              <w:szCs w:val="24"/>
                            </w:rPr>
                            <w:alias w:val="Sottotitolo"/>
                            <w:id w:val="-1489394143"/>
                            <w:dataBinding w:prefixMappings="xmlns:ns0='http://schemas.openxmlformats.org/package/2006/metadata/core-properties' xmlns:ns1='http://purl.org/dc/elements/1.1/'" w:xpath="/ns0:coreProperties[1]/ns1:subject[1]" w:storeItemID="{6C3C8BC8-F283-45AE-878A-BAB7291924A1}"/>
                            <w:text/>
                          </w:sdtPr>
                          <w:sdtEndPr/>
                          <w:sdtContent>
                            <w:p w:rsidR="009734C8" w:rsidRDefault="009734C8">
                              <w:pPr>
                                <w:rPr>
                                  <w:rFonts w:asciiTheme="majorHAnsi" w:hAnsiTheme="majorHAnsi"/>
                                  <w:color w:val="1F497D" w:themeColor="text2"/>
                                  <w:sz w:val="32"/>
                                  <w:szCs w:val="32"/>
                                </w:rPr>
                              </w:pPr>
                              <w:r w:rsidRPr="00DD6D07">
                                <w:rPr>
                                  <w:rFonts w:ascii="Times New Roman" w:hAnsi="Times New Roman" w:cs="Times New Roman"/>
                                  <w:sz w:val="24"/>
                                  <w:szCs w:val="24"/>
                                </w:rPr>
                                <w:t xml:space="preserve">ai sensi dell’articolo 212, comma 3, </w:t>
                              </w:r>
                              <w:r>
                                <w:rPr>
                                  <w:rFonts w:ascii="Times New Roman" w:hAnsi="Times New Roman" w:cs="Times New Roman"/>
                                  <w:sz w:val="24"/>
                                  <w:szCs w:val="24"/>
                                </w:rPr>
                                <w:t xml:space="preserve">     </w:t>
                              </w:r>
                              <w:r w:rsidRPr="00DD6D07">
                                <w:rPr>
                                  <w:rFonts w:ascii="Times New Roman" w:hAnsi="Times New Roman" w:cs="Times New Roman"/>
                                  <w:sz w:val="24"/>
                                  <w:szCs w:val="24"/>
                                </w:rPr>
                                <w:t>del Codice dei contratti pubblici</w:t>
                              </w:r>
                            </w:p>
                          </w:sdtContent>
                        </w:sdt>
                      </w:txbxContent>
                    </v:textbox>
                    <w10:wrap type="square" anchorx="page" anchory="page"/>
                  </v:shape>
                </w:pict>
              </mc:Fallback>
            </mc:AlternateContent>
          </w:r>
          <w:r w:rsidR="002B2DAB">
            <w:rPr>
              <w:rFonts w:ascii="Times New Roman" w:hAnsi="Times New Roman" w:cs="Times New Roman"/>
              <w:sz w:val="24"/>
              <w:szCs w:val="24"/>
            </w:rPr>
            <w:br w:type="page"/>
          </w:r>
        </w:p>
      </w:sdtContent>
    </w:sdt>
    <w:p w:rsidR="00D82327" w:rsidRDefault="00D82327">
      <w:pPr>
        <w:rPr>
          <w:rFonts w:ascii="Times New Roman" w:hAnsi="Times New Roman" w:cs="Times New Roman"/>
          <w:sz w:val="24"/>
          <w:szCs w:val="24"/>
        </w:rPr>
      </w:pPr>
    </w:p>
    <w:p w:rsidR="00320D47" w:rsidRDefault="00A1554D" w:rsidP="00741977">
      <w:pPr>
        <w:jc w:val="center"/>
        <w:rPr>
          <w:rFonts w:ascii="Times New Roman" w:hAnsi="Times New Roman" w:cs="Times New Roman"/>
          <w:sz w:val="24"/>
          <w:szCs w:val="24"/>
        </w:rPr>
      </w:pPr>
      <w:r>
        <w:rPr>
          <w:rFonts w:ascii="Times New Roman" w:hAnsi="Times New Roman" w:cs="Times New Roman"/>
          <w:sz w:val="24"/>
          <w:szCs w:val="24"/>
        </w:rPr>
        <w:t>RELAZIONE</w:t>
      </w:r>
      <w:r w:rsidR="002171C1">
        <w:rPr>
          <w:rFonts w:ascii="Times New Roman" w:hAnsi="Times New Roman" w:cs="Times New Roman"/>
          <w:sz w:val="24"/>
          <w:szCs w:val="24"/>
        </w:rPr>
        <w:t xml:space="preserve"> </w:t>
      </w:r>
      <w:r>
        <w:rPr>
          <w:rFonts w:ascii="Times New Roman" w:hAnsi="Times New Roman" w:cs="Times New Roman"/>
          <w:sz w:val="24"/>
          <w:szCs w:val="24"/>
        </w:rPr>
        <w:t xml:space="preserve">DI CONTROLLO </w:t>
      </w:r>
    </w:p>
    <w:p w:rsidR="00741977" w:rsidRDefault="00741977" w:rsidP="00741977">
      <w:pPr>
        <w:jc w:val="center"/>
        <w:rPr>
          <w:rFonts w:ascii="Times New Roman" w:hAnsi="Times New Roman" w:cs="Times New Roman"/>
          <w:sz w:val="24"/>
          <w:szCs w:val="24"/>
        </w:rPr>
      </w:pPr>
    </w:p>
    <w:p w:rsidR="00DB77A7" w:rsidRDefault="000F0F98" w:rsidP="000F0F98">
      <w:pPr>
        <w:jc w:val="both"/>
        <w:rPr>
          <w:rFonts w:ascii="Times New Roman" w:hAnsi="Times New Roman" w:cs="Times New Roman"/>
          <w:sz w:val="24"/>
          <w:szCs w:val="24"/>
        </w:rPr>
      </w:pPr>
      <w:r>
        <w:rPr>
          <w:rFonts w:ascii="Times New Roman" w:hAnsi="Times New Roman" w:cs="Times New Roman"/>
          <w:sz w:val="24"/>
          <w:szCs w:val="24"/>
        </w:rPr>
        <w:t>L</w:t>
      </w:r>
      <w:r w:rsidR="00A1554D">
        <w:rPr>
          <w:rFonts w:ascii="Times New Roman" w:hAnsi="Times New Roman" w:cs="Times New Roman"/>
          <w:sz w:val="24"/>
          <w:szCs w:val="24"/>
        </w:rPr>
        <w:t>a presente relazione</w:t>
      </w:r>
      <w:r w:rsidR="00DB77A7">
        <w:rPr>
          <w:rFonts w:ascii="Times New Roman" w:hAnsi="Times New Roman" w:cs="Times New Roman"/>
          <w:sz w:val="24"/>
          <w:szCs w:val="24"/>
        </w:rPr>
        <w:t xml:space="preserve"> </w:t>
      </w:r>
      <w:r w:rsidR="002B75C6">
        <w:rPr>
          <w:rFonts w:ascii="Times New Roman" w:hAnsi="Times New Roman" w:cs="Times New Roman"/>
          <w:sz w:val="24"/>
          <w:szCs w:val="24"/>
        </w:rPr>
        <w:t xml:space="preserve">di controllo </w:t>
      </w:r>
      <w:r w:rsidR="00DB77A7">
        <w:rPr>
          <w:rFonts w:ascii="Times New Roman" w:hAnsi="Times New Roman" w:cs="Times New Roman"/>
          <w:sz w:val="24"/>
          <w:szCs w:val="24"/>
        </w:rPr>
        <w:t xml:space="preserve">è predisposta </w:t>
      </w:r>
      <w:r w:rsidR="00741977">
        <w:rPr>
          <w:rFonts w:ascii="Times New Roman" w:hAnsi="Times New Roman" w:cs="Times New Roman"/>
          <w:sz w:val="24"/>
          <w:szCs w:val="24"/>
        </w:rPr>
        <w:t>in att</w:t>
      </w:r>
      <w:r w:rsidR="00DB77A7">
        <w:rPr>
          <w:rFonts w:ascii="Times New Roman" w:hAnsi="Times New Roman" w:cs="Times New Roman"/>
          <w:sz w:val="24"/>
          <w:szCs w:val="24"/>
        </w:rPr>
        <w:t>u</w:t>
      </w:r>
      <w:r w:rsidR="00741977">
        <w:rPr>
          <w:rFonts w:ascii="Times New Roman" w:hAnsi="Times New Roman" w:cs="Times New Roman"/>
          <w:sz w:val="24"/>
          <w:szCs w:val="24"/>
        </w:rPr>
        <w:t xml:space="preserve">azione delle </w:t>
      </w:r>
      <w:r w:rsidR="00DB77A7">
        <w:rPr>
          <w:rFonts w:ascii="Times New Roman" w:hAnsi="Times New Roman" w:cs="Times New Roman"/>
          <w:sz w:val="24"/>
          <w:szCs w:val="24"/>
        </w:rPr>
        <w:t xml:space="preserve">previsioni </w:t>
      </w:r>
      <w:r w:rsidR="002B75C6">
        <w:rPr>
          <w:rFonts w:ascii="Times New Roman" w:hAnsi="Times New Roman" w:cs="Times New Roman"/>
          <w:sz w:val="24"/>
          <w:szCs w:val="24"/>
        </w:rPr>
        <w:t xml:space="preserve">contenute negli </w:t>
      </w:r>
      <w:r w:rsidR="00DB77A7" w:rsidRPr="004C2706">
        <w:rPr>
          <w:rFonts w:ascii="Times New Roman" w:hAnsi="Times New Roman" w:cs="Times New Roman"/>
          <w:sz w:val="24"/>
          <w:szCs w:val="24"/>
        </w:rPr>
        <w:t xml:space="preserve">articoli 45 della Direttiva 2014/23/EU, 83 della Direttiva 2014/24/EU, e 99 della Direttiva 2014/25/EU, recepiti </w:t>
      </w:r>
      <w:r w:rsidR="002B75C6">
        <w:rPr>
          <w:rFonts w:ascii="Times New Roman" w:hAnsi="Times New Roman" w:cs="Times New Roman"/>
          <w:sz w:val="24"/>
          <w:szCs w:val="24"/>
        </w:rPr>
        <w:t>nell</w:t>
      </w:r>
      <w:r w:rsidR="002171C1">
        <w:rPr>
          <w:rFonts w:ascii="Times New Roman" w:hAnsi="Times New Roman" w:cs="Times New Roman"/>
          <w:sz w:val="24"/>
          <w:szCs w:val="24"/>
        </w:rPr>
        <w:t xml:space="preserve">’ordinamento </w:t>
      </w:r>
      <w:r w:rsidR="002B75C6">
        <w:rPr>
          <w:rFonts w:ascii="Times New Roman" w:hAnsi="Times New Roman" w:cs="Times New Roman"/>
          <w:sz w:val="24"/>
          <w:szCs w:val="24"/>
        </w:rPr>
        <w:t xml:space="preserve">ordinamento italiano </w:t>
      </w:r>
      <w:r w:rsidR="00DB77A7" w:rsidRPr="004C2706">
        <w:rPr>
          <w:rFonts w:ascii="Times New Roman" w:hAnsi="Times New Roman" w:cs="Times New Roman"/>
          <w:sz w:val="24"/>
          <w:szCs w:val="24"/>
        </w:rPr>
        <w:t>dall’articolo 212</w:t>
      </w:r>
      <w:r w:rsidR="002171C1">
        <w:rPr>
          <w:rFonts w:ascii="Times New Roman" w:hAnsi="Times New Roman" w:cs="Times New Roman"/>
          <w:sz w:val="24"/>
          <w:szCs w:val="24"/>
        </w:rPr>
        <w:t>, comma 3,</w:t>
      </w:r>
      <w:r w:rsidR="00DB77A7" w:rsidRPr="004C2706">
        <w:rPr>
          <w:rFonts w:ascii="Times New Roman" w:hAnsi="Times New Roman" w:cs="Times New Roman"/>
          <w:sz w:val="24"/>
          <w:szCs w:val="24"/>
        </w:rPr>
        <w:t xml:space="preserve"> del codice di contratti pubblici</w:t>
      </w:r>
      <w:r w:rsidR="00DB77A7">
        <w:rPr>
          <w:rFonts w:ascii="Times New Roman" w:hAnsi="Times New Roman" w:cs="Times New Roman"/>
          <w:sz w:val="24"/>
          <w:szCs w:val="24"/>
        </w:rPr>
        <w:t>.</w:t>
      </w:r>
    </w:p>
    <w:p w:rsidR="000F0F98" w:rsidRDefault="00AF4060" w:rsidP="000F0F98">
      <w:pPr>
        <w:jc w:val="both"/>
        <w:rPr>
          <w:rFonts w:ascii="Times New Roman" w:hAnsi="Times New Roman" w:cs="Times New Roman"/>
          <w:sz w:val="24"/>
          <w:szCs w:val="24"/>
        </w:rPr>
      </w:pPr>
      <w:r>
        <w:rPr>
          <w:rFonts w:ascii="Times New Roman" w:hAnsi="Times New Roman" w:cs="Times New Roman"/>
          <w:sz w:val="24"/>
          <w:szCs w:val="24"/>
        </w:rPr>
        <w:t xml:space="preserve">La relazione, come previsto dal citato articolo 212, comma 3, </w:t>
      </w:r>
      <w:r w:rsidR="0036271D" w:rsidRPr="004C2706">
        <w:rPr>
          <w:rFonts w:ascii="Times New Roman" w:hAnsi="Times New Roman" w:cs="Times New Roman"/>
          <w:sz w:val="24"/>
          <w:szCs w:val="24"/>
        </w:rPr>
        <w:t>del codice di contratti pubblici</w:t>
      </w:r>
      <w:r w:rsidR="0036271D">
        <w:rPr>
          <w:rFonts w:ascii="Times New Roman" w:hAnsi="Times New Roman" w:cs="Times New Roman"/>
          <w:sz w:val="24"/>
          <w:szCs w:val="24"/>
        </w:rPr>
        <w:t xml:space="preserve"> </w:t>
      </w:r>
      <w:r>
        <w:rPr>
          <w:rFonts w:ascii="Times New Roman" w:hAnsi="Times New Roman" w:cs="Times New Roman"/>
          <w:sz w:val="24"/>
          <w:szCs w:val="24"/>
        </w:rPr>
        <w:t xml:space="preserve">riporta le informazioni in merito </w:t>
      </w:r>
      <w:r w:rsidR="0036271D">
        <w:rPr>
          <w:rFonts w:ascii="Times New Roman" w:hAnsi="Times New Roman" w:cs="Times New Roman"/>
          <w:sz w:val="24"/>
          <w:szCs w:val="24"/>
        </w:rPr>
        <w:t>a</w:t>
      </w:r>
      <w:r w:rsidR="000F0F98" w:rsidRPr="000F0F98">
        <w:rPr>
          <w:rFonts w:ascii="Times New Roman" w:hAnsi="Times New Roman" w:cs="Times New Roman"/>
          <w:sz w:val="24"/>
          <w:szCs w:val="24"/>
        </w:rPr>
        <w:t xml:space="preserve">lle cause più frequenti di non corretta applicazione o di incertezza giuridica, compresi possibili problemi strutturali o ricorrenti nell'applicazione delle norme, </w:t>
      </w:r>
      <w:r w:rsidR="0036271D">
        <w:rPr>
          <w:rFonts w:ascii="Times New Roman" w:hAnsi="Times New Roman" w:cs="Times New Roman"/>
          <w:sz w:val="24"/>
          <w:szCs w:val="24"/>
        </w:rPr>
        <w:t>a</w:t>
      </w:r>
      <w:r w:rsidR="000F0F98" w:rsidRPr="000F0F98">
        <w:rPr>
          <w:rFonts w:ascii="Times New Roman" w:hAnsi="Times New Roman" w:cs="Times New Roman"/>
          <w:sz w:val="24"/>
          <w:szCs w:val="24"/>
        </w:rPr>
        <w:t>l livello di partecipazione delle microimprese e delle piccole e medie imprese agli appalti pubblici</w:t>
      </w:r>
      <w:r w:rsidR="0036271D">
        <w:rPr>
          <w:rFonts w:ascii="Times New Roman" w:hAnsi="Times New Roman" w:cs="Times New Roman"/>
          <w:sz w:val="24"/>
          <w:szCs w:val="24"/>
        </w:rPr>
        <w:t>,</w:t>
      </w:r>
      <w:r w:rsidR="000F0F98" w:rsidRPr="000F0F98">
        <w:rPr>
          <w:rFonts w:ascii="Times New Roman" w:hAnsi="Times New Roman" w:cs="Times New Roman"/>
          <w:sz w:val="24"/>
          <w:szCs w:val="24"/>
        </w:rPr>
        <w:t xml:space="preserve"> e </w:t>
      </w:r>
      <w:r w:rsidR="0036271D">
        <w:rPr>
          <w:rFonts w:ascii="Times New Roman" w:hAnsi="Times New Roman" w:cs="Times New Roman"/>
          <w:sz w:val="24"/>
          <w:szCs w:val="24"/>
        </w:rPr>
        <w:t>a</w:t>
      </w:r>
      <w:r w:rsidR="000F0F98" w:rsidRPr="000F0F98">
        <w:rPr>
          <w:rFonts w:ascii="Times New Roman" w:hAnsi="Times New Roman" w:cs="Times New Roman"/>
          <w:sz w:val="24"/>
          <w:szCs w:val="24"/>
        </w:rPr>
        <w:t>lla prevenzione, l'accertamento e l'adeguata segnalazione di casi di frode, corruzione, conflitto di interessi e altre irregolarità gravi in materia di appalti e di concessioni</w:t>
      </w:r>
      <w:r w:rsidR="000F0F98">
        <w:rPr>
          <w:rFonts w:ascii="Times New Roman" w:hAnsi="Times New Roman" w:cs="Times New Roman"/>
          <w:sz w:val="24"/>
          <w:szCs w:val="24"/>
        </w:rPr>
        <w:t>.</w:t>
      </w:r>
    </w:p>
    <w:p w:rsidR="00007984" w:rsidRDefault="0036271D" w:rsidP="000F0F98">
      <w:pPr>
        <w:jc w:val="both"/>
        <w:rPr>
          <w:rFonts w:ascii="Times New Roman" w:hAnsi="Times New Roman" w:cs="Times New Roman"/>
          <w:sz w:val="24"/>
          <w:szCs w:val="24"/>
        </w:rPr>
      </w:pPr>
      <w:r>
        <w:rPr>
          <w:rFonts w:ascii="Times New Roman" w:hAnsi="Times New Roman" w:cs="Times New Roman"/>
          <w:sz w:val="24"/>
          <w:szCs w:val="24"/>
        </w:rPr>
        <w:t>Le informazioni</w:t>
      </w:r>
      <w:r w:rsidR="000F0F98">
        <w:rPr>
          <w:rFonts w:ascii="Times New Roman" w:hAnsi="Times New Roman" w:cs="Times New Roman"/>
          <w:sz w:val="24"/>
          <w:szCs w:val="24"/>
        </w:rPr>
        <w:t xml:space="preserve"> sono stat</w:t>
      </w:r>
      <w:r w:rsidR="00007984">
        <w:rPr>
          <w:rFonts w:ascii="Times New Roman" w:hAnsi="Times New Roman" w:cs="Times New Roman"/>
          <w:sz w:val="24"/>
          <w:szCs w:val="24"/>
        </w:rPr>
        <w:t>e</w:t>
      </w:r>
      <w:r w:rsidR="000F0F98">
        <w:rPr>
          <w:rFonts w:ascii="Times New Roman" w:hAnsi="Times New Roman" w:cs="Times New Roman"/>
          <w:sz w:val="24"/>
          <w:szCs w:val="24"/>
        </w:rPr>
        <w:t xml:space="preserve"> acquisit</w:t>
      </w:r>
      <w:r>
        <w:rPr>
          <w:rFonts w:ascii="Times New Roman" w:hAnsi="Times New Roman" w:cs="Times New Roman"/>
          <w:sz w:val="24"/>
          <w:szCs w:val="24"/>
        </w:rPr>
        <w:t>e</w:t>
      </w:r>
      <w:r w:rsidR="000F0F98">
        <w:rPr>
          <w:rFonts w:ascii="Times New Roman" w:hAnsi="Times New Roman" w:cs="Times New Roman"/>
          <w:sz w:val="24"/>
          <w:szCs w:val="24"/>
        </w:rPr>
        <w:t xml:space="preserve"> da</w:t>
      </w:r>
      <w:r>
        <w:rPr>
          <w:rFonts w:ascii="Times New Roman" w:hAnsi="Times New Roman" w:cs="Times New Roman"/>
          <w:sz w:val="24"/>
          <w:szCs w:val="24"/>
        </w:rPr>
        <w:t xml:space="preserve">i dati </w:t>
      </w:r>
      <w:r w:rsidR="000F0F98">
        <w:rPr>
          <w:rFonts w:ascii="Times New Roman" w:hAnsi="Times New Roman" w:cs="Times New Roman"/>
          <w:sz w:val="24"/>
          <w:szCs w:val="24"/>
        </w:rPr>
        <w:t>in possesso del Ministero delle infrastrutture e d</w:t>
      </w:r>
      <w:r w:rsidR="00320D47">
        <w:rPr>
          <w:rFonts w:ascii="Times New Roman" w:hAnsi="Times New Roman" w:cs="Times New Roman"/>
          <w:sz w:val="24"/>
          <w:szCs w:val="24"/>
        </w:rPr>
        <w:t>e</w:t>
      </w:r>
      <w:r w:rsidR="000F0F98">
        <w:rPr>
          <w:rFonts w:ascii="Times New Roman" w:hAnsi="Times New Roman" w:cs="Times New Roman"/>
          <w:sz w:val="24"/>
          <w:szCs w:val="24"/>
        </w:rPr>
        <w:t xml:space="preserve">i trasporti, </w:t>
      </w:r>
      <w:r w:rsidR="00061EAC" w:rsidRPr="00061EAC">
        <w:rPr>
          <w:rFonts w:ascii="Times New Roman" w:hAnsi="Times New Roman" w:cs="Times New Roman"/>
          <w:sz w:val="24"/>
          <w:szCs w:val="24"/>
        </w:rPr>
        <w:t>del</w:t>
      </w:r>
      <w:r w:rsidR="000F0F98">
        <w:rPr>
          <w:rFonts w:ascii="Times New Roman" w:hAnsi="Times New Roman" w:cs="Times New Roman"/>
          <w:sz w:val="24"/>
          <w:szCs w:val="24"/>
        </w:rPr>
        <w:t xml:space="preserve">l’ANAC, </w:t>
      </w:r>
      <w:r w:rsidR="00061EAC" w:rsidRPr="00061EAC">
        <w:rPr>
          <w:rFonts w:ascii="Times New Roman" w:hAnsi="Times New Roman" w:cs="Times New Roman"/>
          <w:sz w:val="24"/>
          <w:szCs w:val="24"/>
        </w:rPr>
        <w:t>del</w:t>
      </w:r>
      <w:r w:rsidR="000F0F98">
        <w:rPr>
          <w:rFonts w:ascii="Times New Roman" w:hAnsi="Times New Roman" w:cs="Times New Roman"/>
          <w:sz w:val="24"/>
          <w:szCs w:val="24"/>
        </w:rPr>
        <w:t xml:space="preserve">la CONSIP, </w:t>
      </w:r>
      <w:r w:rsidR="00061EAC" w:rsidRPr="00061EAC">
        <w:rPr>
          <w:rFonts w:ascii="Times New Roman" w:hAnsi="Times New Roman" w:cs="Times New Roman"/>
          <w:sz w:val="24"/>
          <w:szCs w:val="24"/>
        </w:rPr>
        <w:t xml:space="preserve">del </w:t>
      </w:r>
      <w:r w:rsidR="000F0F98">
        <w:rPr>
          <w:rFonts w:ascii="Times New Roman" w:hAnsi="Times New Roman" w:cs="Times New Roman"/>
          <w:sz w:val="24"/>
          <w:szCs w:val="24"/>
        </w:rPr>
        <w:t xml:space="preserve">Comitato </w:t>
      </w:r>
      <w:r w:rsidR="000F0F98" w:rsidRPr="000F0F98">
        <w:rPr>
          <w:rFonts w:ascii="Times New Roman" w:hAnsi="Times New Roman" w:cs="Times New Roman"/>
          <w:sz w:val="24"/>
          <w:szCs w:val="24"/>
        </w:rPr>
        <w:t>per la lotta contro le frodi nei confronti dell’</w:t>
      </w:r>
      <w:r w:rsidR="00320D47">
        <w:rPr>
          <w:rFonts w:ascii="Times New Roman" w:hAnsi="Times New Roman" w:cs="Times New Roman"/>
          <w:sz w:val="24"/>
          <w:szCs w:val="24"/>
        </w:rPr>
        <w:t>U</w:t>
      </w:r>
      <w:r w:rsidR="000F0F98" w:rsidRPr="000F0F98">
        <w:rPr>
          <w:rFonts w:ascii="Times New Roman" w:hAnsi="Times New Roman" w:cs="Times New Roman"/>
          <w:sz w:val="24"/>
          <w:szCs w:val="24"/>
        </w:rPr>
        <w:t>nione europea</w:t>
      </w:r>
      <w:r w:rsidR="000F0F98">
        <w:rPr>
          <w:rFonts w:ascii="Times New Roman" w:hAnsi="Times New Roman" w:cs="Times New Roman"/>
          <w:sz w:val="24"/>
          <w:szCs w:val="24"/>
        </w:rPr>
        <w:t>, che opera presso il Dipartimento per le politiche europee della Presidenza del Consiglio dei Ministri</w:t>
      </w:r>
      <w:r w:rsidR="00007984">
        <w:rPr>
          <w:rFonts w:ascii="Times New Roman" w:hAnsi="Times New Roman" w:cs="Times New Roman"/>
          <w:sz w:val="24"/>
          <w:szCs w:val="24"/>
        </w:rPr>
        <w:t>,</w:t>
      </w:r>
      <w:r w:rsidR="000F0F98">
        <w:rPr>
          <w:rFonts w:ascii="Times New Roman" w:hAnsi="Times New Roman" w:cs="Times New Roman"/>
          <w:sz w:val="24"/>
          <w:szCs w:val="24"/>
        </w:rPr>
        <w:t xml:space="preserve"> e </w:t>
      </w:r>
      <w:r w:rsidR="00061EAC">
        <w:rPr>
          <w:rFonts w:ascii="Times New Roman" w:hAnsi="Times New Roman" w:cs="Times New Roman"/>
          <w:sz w:val="24"/>
          <w:szCs w:val="24"/>
        </w:rPr>
        <w:t>dai dati contenuti nelle</w:t>
      </w:r>
      <w:r w:rsidR="000F0F98">
        <w:rPr>
          <w:rFonts w:ascii="Times New Roman" w:hAnsi="Times New Roman" w:cs="Times New Roman"/>
          <w:sz w:val="24"/>
          <w:szCs w:val="24"/>
        </w:rPr>
        <w:t xml:space="preserve"> pubblicazioni dell’Ufficio studi </w:t>
      </w:r>
      <w:r w:rsidR="00320D47">
        <w:rPr>
          <w:rFonts w:ascii="Times New Roman" w:hAnsi="Times New Roman" w:cs="Times New Roman"/>
          <w:sz w:val="24"/>
          <w:szCs w:val="24"/>
        </w:rPr>
        <w:t>m</w:t>
      </w:r>
      <w:r w:rsidR="00320D47" w:rsidRPr="00320D47">
        <w:rPr>
          <w:rFonts w:ascii="Times New Roman" w:hAnsi="Times New Roman" w:cs="Times New Roman"/>
          <w:sz w:val="24"/>
          <w:szCs w:val="24"/>
        </w:rPr>
        <w:t xml:space="preserve">assimario e </w:t>
      </w:r>
      <w:r w:rsidR="00320D47">
        <w:rPr>
          <w:rFonts w:ascii="Times New Roman" w:hAnsi="Times New Roman" w:cs="Times New Roman"/>
          <w:sz w:val="24"/>
          <w:szCs w:val="24"/>
        </w:rPr>
        <w:t>f</w:t>
      </w:r>
      <w:r w:rsidR="00320D47" w:rsidRPr="00320D47">
        <w:rPr>
          <w:rFonts w:ascii="Times New Roman" w:hAnsi="Times New Roman" w:cs="Times New Roman"/>
          <w:sz w:val="24"/>
          <w:szCs w:val="24"/>
        </w:rPr>
        <w:t>ormazione</w:t>
      </w:r>
      <w:r w:rsidR="00320D47">
        <w:rPr>
          <w:rFonts w:ascii="Times New Roman" w:hAnsi="Times New Roman" w:cs="Times New Roman"/>
          <w:sz w:val="24"/>
          <w:szCs w:val="24"/>
        </w:rPr>
        <w:t xml:space="preserve"> della Giustizia amministrativa</w:t>
      </w:r>
      <w:r w:rsidR="000F0F98">
        <w:rPr>
          <w:rFonts w:ascii="Times New Roman" w:hAnsi="Times New Roman" w:cs="Times New Roman"/>
          <w:sz w:val="24"/>
          <w:szCs w:val="24"/>
        </w:rPr>
        <w:t>.</w:t>
      </w:r>
    </w:p>
    <w:p w:rsidR="00B2069A" w:rsidRDefault="00A96A0A" w:rsidP="000F0F98">
      <w:pPr>
        <w:jc w:val="both"/>
        <w:rPr>
          <w:rFonts w:ascii="Times New Roman" w:hAnsi="Times New Roman" w:cs="Times New Roman"/>
          <w:sz w:val="24"/>
          <w:szCs w:val="24"/>
        </w:rPr>
      </w:pPr>
      <w:r>
        <w:rPr>
          <w:rFonts w:ascii="Times New Roman" w:hAnsi="Times New Roman" w:cs="Times New Roman"/>
          <w:sz w:val="24"/>
          <w:szCs w:val="24"/>
        </w:rPr>
        <w:t>L</w:t>
      </w:r>
      <w:r w:rsidR="00007984">
        <w:rPr>
          <w:rFonts w:ascii="Times New Roman" w:hAnsi="Times New Roman" w:cs="Times New Roman"/>
          <w:sz w:val="24"/>
          <w:szCs w:val="24"/>
        </w:rPr>
        <w:t xml:space="preserve">a relazione </w:t>
      </w:r>
      <w:r w:rsidR="000F0F98">
        <w:rPr>
          <w:rFonts w:ascii="Times New Roman" w:hAnsi="Times New Roman" w:cs="Times New Roman"/>
          <w:sz w:val="24"/>
          <w:szCs w:val="24"/>
        </w:rPr>
        <w:t xml:space="preserve">è </w:t>
      </w:r>
      <w:r w:rsidR="00591F61">
        <w:rPr>
          <w:rFonts w:ascii="Times New Roman" w:hAnsi="Times New Roman" w:cs="Times New Roman"/>
          <w:sz w:val="24"/>
          <w:szCs w:val="24"/>
        </w:rPr>
        <w:t xml:space="preserve">articolata </w:t>
      </w:r>
      <w:r w:rsidR="000F0F98">
        <w:rPr>
          <w:rFonts w:ascii="Times New Roman" w:hAnsi="Times New Roman" w:cs="Times New Roman"/>
          <w:sz w:val="24"/>
          <w:szCs w:val="24"/>
        </w:rPr>
        <w:t xml:space="preserve">nelle seguenti </w:t>
      </w:r>
      <w:r w:rsidR="00591F61">
        <w:rPr>
          <w:rFonts w:ascii="Times New Roman" w:hAnsi="Times New Roman" w:cs="Times New Roman"/>
          <w:sz w:val="24"/>
          <w:szCs w:val="24"/>
        </w:rPr>
        <w:t>p</w:t>
      </w:r>
      <w:r w:rsidR="000F0F98">
        <w:rPr>
          <w:rFonts w:ascii="Times New Roman" w:hAnsi="Times New Roman" w:cs="Times New Roman"/>
          <w:sz w:val="24"/>
          <w:szCs w:val="24"/>
        </w:rPr>
        <w:t>arti:</w:t>
      </w:r>
    </w:p>
    <w:p w:rsidR="000F0F98" w:rsidRDefault="000F0F98" w:rsidP="000F0F98">
      <w:pPr>
        <w:jc w:val="both"/>
        <w:rPr>
          <w:rFonts w:ascii="Times New Roman" w:hAnsi="Times New Roman" w:cs="Times New Roman"/>
          <w:sz w:val="24"/>
          <w:szCs w:val="24"/>
        </w:rPr>
      </w:pPr>
      <w:r>
        <w:rPr>
          <w:rFonts w:ascii="Times New Roman" w:hAnsi="Times New Roman" w:cs="Times New Roman"/>
          <w:sz w:val="24"/>
          <w:szCs w:val="24"/>
        </w:rPr>
        <w:t xml:space="preserve">Parte I </w:t>
      </w:r>
      <w:r w:rsidR="006F14D4">
        <w:rPr>
          <w:rFonts w:ascii="Times New Roman" w:hAnsi="Times New Roman" w:cs="Times New Roman"/>
          <w:sz w:val="24"/>
          <w:szCs w:val="24"/>
        </w:rPr>
        <w:t xml:space="preserve">- </w:t>
      </w:r>
      <w:r>
        <w:rPr>
          <w:rFonts w:ascii="Times New Roman" w:hAnsi="Times New Roman" w:cs="Times New Roman"/>
          <w:sz w:val="24"/>
          <w:szCs w:val="24"/>
        </w:rPr>
        <w:t>“</w:t>
      </w:r>
      <w:r w:rsidRPr="006F14D4">
        <w:rPr>
          <w:rFonts w:ascii="Times New Roman" w:hAnsi="Times New Roman" w:cs="Times New Roman"/>
          <w:i/>
          <w:sz w:val="24"/>
          <w:szCs w:val="24"/>
        </w:rPr>
        <w:t>Cause più frequenti di non corretta applicazione o di incertezza giuridica, compresi possibili problemi strutturali o ricorrenti nell'applicazione delle norme</w:t>
      </w:r>
      <w:r>
        <w:rPr>
          <w:rFonts w:ascii="Times New Roman" w:hAnsi="Times New Roman" w:cs="Times New Roman"/>
          <w:sz w:val="24"/>
          <w:szCs w:val="24"/>
        </w:rPr>
        <w:t>”, pag. 2.</w:t>
      </w:r>
    </w:p>
    <w:p w:rsidR="000F0F98" w:rsidRDefault="000F0F98" w:rsidP="000F0F98">
      <w:pPr>
        <w:jc w:val="both"/>
        <w:rPr>
          <w:rFonts w:ascii="Times New Roman" w:hAnsi="Times New Roman" w:cs="Times New Roman"/>
          <w:sz w:val="24"/>
          <w:szCs w:val="24"/>
        </w:rPr>
      </w:pPr>
      <w:r w:rsidRPr="000F0F98">
        <w:rPr>
          <w:rFonts w:ascii="Times New Roman" w:hAnsi="Times New Roman" w:cs="Times New Roman"/>
          <w:sz w:val="24"/>
          <w:szCs w:val="24"/>
        </w:rPr>
        <w:t>Parte I</w:t>
      </w:r>
      <w:r w:rsidR="009849C0">
        <w:rPr>
          <w:rFonts w:ascii="Times New Roman" w:hAnsi="Times New Roman" w:cs="Times New Roman"/>
          <w:sz w:val="24"/>
          <w:szCs w:val="24"/>
        </w:rPr>
        <w:t xml:space="preserve">I </w:t>
      </w:r>
      <w:r w:rsidR="006F14D4">
        <w:rPr>
          <w:rFonts w:ascii="Times New Roman" w:hAnsi="Times New Roman" w:cs="Times New Roman"/>
          <w:sz w:val="24"/>
          <w:szCs w:val="24"/>
        </w:rPr>
        <w:t xml:space="preserve">- </w:t>
      </w:r>
      <w:r w:rsidR="009849C0">
        <w:rPr>
          <w:rFonts w:ascii="Times New Roman" w:hAnsi="Times New Roman" w:cs="Times New Roman"/>
          <w:sz w:val="24"/>
          <w:szCs w:val="24"/>
        </w:rPr>
        <w:t>“</w:t>
      </w:r>
      <w:r w:rsidR="004264B1" w:rsidRPr="006F14D4">
        <w:rPr>
          <w:rFonts w:ascii="Times New Roman" w:hAnsi="Times New Roman" w:cs="Times New Roman"/>
          <w:i/>
          <w:sz w:val="24"/>
          <w:szCs w:val="24"/>
        </w:rPr>
        <w:t>Dati sui contratti pubblici</w:t>
      </w:r>
      <w:r w:rsidR="004264B1" w:rsidRPr="006F14D4">
        <w:rPr>
          <w:i/>
        </w:rPr>
        <w:t xml:space="preserve"> </w:t>
      </w:r>
      <w:r w:rsidR="004264B1" w:rsidRPr="006F14D4">
        <w:rPr>
          <w:rFonts w:ascii="Times New Roman" w:hAnsi="Times New Roman" w:cs="Times New Roman"/>
          <w:i/>
          <w:sz w:val="24"/>
          <w:szCs w:val="24"/>
        </w:rPr>
        <w:t>relativi all’evoluzione della domanda di contratti pubblici</w:t>
      </w:r>
      <w:r w:rsidR="004264B1">
        <w:rPr>
          <w:rFonts w:ascii="Times New Roman" w:hAnsi="Times New Roman" w:cs="Times New Roman"/>
          <w:sz w:val="24"/>
          <w:szCs w:val="24"/>
        </w:rPr>
        <w:t>”, pag. 16.</w:t>
      </w:r>
    </w:p>
    <w:p w:rsidR="004264B1" w:rsidRDefault="004264B1" w:rsidP="000F0F98">
      <w:pPr>
        <w:jc w:val="both"/>
        <w:rPr>
          <w:rFonts w:ascii="Times New Roman" w:hAnsi="Times New Roman" w:cs="Times New Roman"/>
          <w:sz w:val="24"/>
          <w:szCs w:val="24"/>
        </w:rPr>
      </w:pPr>
      <w:r>
        <w:rPr>
          <w:rFonts w:ascii="Times New Roman" w:hAnsi="Times New Roman" w:cs="Times New Roman"/>
          <w:sz w:val="24"/>
          <w:szCs w:val="24"/>
        </w:rPr>
        <w:t xml:space="preserve">Parte III </w:t>
      </w:r>
      <w:r w:rsidR="006F14D4">
        <w:rPr>
          <w:rFonts w:ascii="Times New Roman" w:hAnsi="Times New Roman" w:cs="Times New Roman"/>
          <w:sz w:val="24"/>
          <w:szCs w:val="24"/>
        </w:rPr>
        <w:t xml:space="preserve">- </w:t>
      </w:r>
      <w:r>
        <w:rPr>
          <w:rFonts w:ascii="Times New Roman" w:hAnsi="Times New Roman" w:cs="Times New Roman"/>
          <w:sz w:val="24"/>
          <w:szCs w:val="24"/>
        </w:rPr>
        <w:t>“</w:t>
      </w:r>
      <w:r w:rsidR="001155CC" w:rsidRPr="006F14D4">
        <w:rPr>
          <w:rFonts w:ascii="Times New Roman" w:hAnsi="Times New Roman" w:cs="Times New Roman"/>
          <w:i/>
          <w:sz w:val="24"/>
          <w:szCs w:val="24"/>
        </w:rPr>
        <w:t>Accertamento e adeguata segnalazione di casi di frode, corruzione, conflitto di interessi e altre irregolarità gravi in materia di appalti e di concessioni</w:t>
      </w:r>
      <w:r w:rsidR="001155CC">
        <w:rPr>
          <w:rFonts w:ascii="Times New Roman" w:hAnsi="Times New Roman" w:cs="Times New Roman"/>
          <w:sz w:val="24"/>
          <w:szCs w:val="24"/>
        </w:rPr>
        <w:t>”, pag. 3</w:t>
      </w:r>
      <w:r w:rsidR="00FA4069">
        <w:rPr>
          <w:rFonts w:ascii="Times New Roman" w:hAnsi="Times New Roman" w:cs="Times New Roman"/>
          <w:sz w:val="24"/>
          <w:szCs w:val="24"/>
        </w:rPr>
        <w:t>6</w:t>
      </w:r>
      <w:r w:rsidR="001155CC">
        <w:rPr>
          <w:rFonts w:ascii="Times New Roman" w:hAnsi="Times New Roman" w:cs="Times New Roman"/>
          <w:sz w:val="24"/>
          <w:szCs w:val="24"/>
        </w:rPr>
        <w:t>.</w:t>
      </w:r>
    </w:p>
    <w:p w:rsidR="000F0F98" w:rsidRDefault="00C41FFE" w:rsidP="000F0F98">
      <w:pPr>
        <w:jc w:val="both"/>
        <w:rPr>
          <w:rFonts w:ascii="Times New Roman" w:hAnsi="Times New Roman" w:cs="Times New Roman"/>
          <w:sz w:val="24"/>
          <w:szCs w:val="24"/>
        </w:rPr>
      </w:pPr>
      <w:r>
        <w:rPr>
          <w:rFonts w:ascii="Times New Roman" w:hAnsi="Times New Roman" w:cs="Times New Roman"/>
          <w:sz w:val="24"/>
          <w:szCs w:val="24"/>
        </w:rPr>
        <w:t xml:space="preserve">Parte IV </w:t>
      </w:r>
      <w:r w:rsidR="006F14D4">
        <w:rPr>
          <w:rFonts w:ascii="Times New Roman" w:hAnsi="Times New Roman" w:cs="Times New Roman"/>
          <w:sz w:val="24"/>
          <w:szCs w:val="24"/>
        </w:rPr>
        <w:t xml:space="preserve">- </w:t>
      </w:r>
      <w:r>
        <w:rPr>
          <w:rFonts w:ascii="Times New Roman" w:hAnsi="Times New Roman" w:cs="Times New Roman"/>
          <w:sz w:val="24"/>
          <w:szCs w:val="24"/>
        </w:rPr>
        <w:t>“</w:t>
      </w:r>
      <w:r w:rsidR="008F0BDF" w:rsidRPr="006F14D4">
        <w:rPr>
          <w:rFonts w:ascii="Times New Roman" w:hAnsi="Times New Roman" w:cs="Times New Roman"/>
          <w:i/>
          <w:sz w:val="24"/>
          <w:szCs w:val="24"/>
        </w:rPr>
        <w:t>Analisi su</w:t>
      </w:r>
      <w:r w:rsidR="00245DCB">
        <w:rPr>
          <w:rFonts w:ascii="Times New Roman" w:hAnsi="Times New Roman" w:cs="Times New Roman"/>
          <w:i/>
          <w:sz w:val="24"/>
          <w:szCs w:val="24"/>
        </w:rPr>
        <w:t>l</w:t>
      </w:r>
      <w:r w:rsidR="008F0BDF" w:rsidRPr="006F14D4">
        <w:rPr>
          <w:rFonts w:ascii="Times New Roman" w:hAnsi="Times New Roman" w:cs="Times New Roman"/>
          <w:i/>
          <w:sz w:val="24"/>
          <w:szCs w:val="24"/>
        </w:rPr>
        <w:t xml:space="preserve"> contenzioso</w:t>
      </w:r>
      <w:r w:rsidR="008F0BDF">
        <w:rPr>
          <w:rFonts w:ascii="Times New Roman" w:hAnsi="Times New Roman" w:cs="Times New Roman"/>
          <w:sz w:val="24"/>
          <w:szCs w:val="24"/>
        </w:rPr>
        <w:t>”, pag. 4</w:t>
      </w:r>
      <w:r w:rsidR="00FA4069">
        <w:rPr>
          <w:rFonts w:ascii="Times New Roman" w:hAnsi="Times New Roman" w:cs="Times New Roman"/>
          <w:sz w:val="24"/>
          <w:szCs w:val="24"/>
        </w:rPr>
        <w:t>9</w:t>
      </w:r>
      <w:r w:rsidR="008F0BDF">
        <w:rPr>
          <w:rFonts w:ascii="Times New Roman" w:hAnsi="Times New Roman" w:cs="Times New Roman"/>
          <w:sz w:val="24"/>
          <w:szCs w:val="24"/>
        </w:rPr>
        <w:t>.</w:t>
      </w:r>
    </w:p>
    <w:p w:rsidR="00B2069A" w:rsidRDefault="00772420" w:rsidP="00AA7A69">
      <w:pPr>
        <w:jc w:val="both"/>
        <w:rPr>
          <w:rFonts w:ascii="Times New Roman" w:hAnsi="Times New Roman" w:cs="Times New Roman"/>
          <w:sz w:val="24"/>
          <w:szCs w:val="24"/>
        </w:rPr>
      </w:pPr>
      <w:r>
        <w:rPr>
          <w:rFonts w:ascii="Times New Roman" w:hAnsi="Times New Roman" w:cs="Times New Roman"/>
          <w:sz w:val="24"/>
          <w:szCs w:val="24"/>
        </w:rPr>
        <w:t xml:space="preserve">Parte V </w:t>
      </w:r>
      <w:r w:rsidR="006F14D4">
        <w:rPr>
          <w:rFonts w:ascii="Times New Roman" w:hAnsi="Times New Roman" w:cs="Times New Roman"/>
          <w:sz w:val="24"/>
          <w:szCs w:val="24"/>
        </w:rPr>
        <w:t xml:space="preserve">- </w:t>
      </w:r>
      <w:r>
        <w:rPr>
          <w:rFonts w:ascii="Times New Roman" w:hAnsi="Times New Roman" w:cs="Times New Roman"/>
          <w:sz w:val="24"/>
          <w:szCs w:val="24"/>
        </w:rPr>
        <w:t>“</w:t>
      </w:r>
      <w:r w:rsidRPr="006F14D4">
        <w:rPr>
          <w:rFonts w:ascii="Times New Roman" w:hAnsi="Times New Roman" w:cs="Times New Roman"/>
          <w:i/>
          <w:sz w:val="24"/>
          <w:szCs w:val="24"/>
        </w:rPr>
        <w:t>Strategia nazionale sul tema della lotta alle irregolarità e alle frodi in danno del bilancio dell’unione europea</w:t>
      </w:r>
      <w:r>
        <w:rPr>
          <w:rFonts w:ascii="Times New Roman" w:hAnsi="Times New Roman" w:cs="Times New Roman"/>
          <w:sz w:val="24"/>
          <w:szCs w:val="24"/>
        </w:rPr>
        <w:t>”, pag. 8</w:t>
      </w:r>
      <w:r w:rsidR="00FA4069">
        <w:rPr>
          <w:rFonts w:ascii="Times New Roman" w:hAnsi="Times New Roman" w:cs="Times New Roman"/>
          <w:sz w:val="24"/>
          <w:szCs w:val="24"/>
        </w:rPr>
        <w:t>1</w:t>
      </w:r>
      <w:r>
        <w:rPr>
          <w:rFonts w:ascii="Times New Roman" w:hAnsi="Times New Roman" w:cs="Times New Roman"/>
          <w:sz w:val="24"/>
          <w:szCs w:val="24"/>
        </w:rPr>
        <w:t>.</w:t>
      </w:r>
    </w:p>
    <w:p w:rsidR="00772420" w:rsidRDefault="00772420">
      <w:pPr>
        <w:rPr>
          <w:rFonts w:ascii="Times New Roman" w:hAnsi="Times New Roman" w:cs="Times New Roman"/>
          <w:sz w:val="24"/>
          <w:szCs w:val="24"/>
        </w:rPr>
      </w:pPr>
      <w:r>
        <w:rPr>
          <w:rFonts w:ascii="Times New Roman" w:hAnsi="Times New Roman" w:cs="Times New Roman"/>
          <w:sz w:val="24"/>
          <w:szCs w:val="24"/>
        </w:rPr>
        <w:t xml:space="preserve">Parte VI </w:t>
      </w:r>
      <w:r w:rsidR="006F14D4">
        <w:rPr>
          <w:rFonts w:ascii="Times New Roman" w:hAnsi="Times New Roman" w:cs="Times New Roman"/>
          <w:sz w:val="24"/>
          <w:szCs w:val="24"/>
        </w:rPr>
        <w:t xml:space="preserve">- </w:t>
      </w:r>
      <w:r>
        <w:rPr>
          <w:rFonts w:ascii="Times New Roman" w:hAnsi="Times New Roman" w:cs="Times New Roman"/>
          <w:sz w:val="24"/>
          <w:szCs w:val="24"/>
        </w:rPr>
        <w:t>“</w:t>
      </w:r>
      <w:r w:rsidR="00E37045" w:rsidRPr="006F14D4">
        <w:rPr>
          <w:rFonts w:ascii="Times New Roman" w:hAnsi="Times New Roman" w:cs="Times New Roman"/>
          <w:i/>
          <w:sz w:val="24"/>
          <w:szCs w:val="24"/>
        </w:rPr>
        <w:t>Partecipazione PMI agli appalti</w:t>
      </w:r>
      <w:r w:rsidR="00E37045">
        <w:rPr>
          <w:rFonts w:ascii="Times New Roman" w:hAnsi="Times New Roman" w:cs="Times New Roman"/>
          <w:sz w:val="24"/>
          <w:szCs w:val="24"/>
        </w:rPr>
        <w:t>”, pag. 8</w:t>
      </w:r>
      <w:r w:rsidR="00FA4069">
        <w:rPr>
          <w:rFonts w:ascii="Times New Roman" w:hAnsi="Times New Roman" w:cs="Times New Roman"/>
          <w:sz w:val="24"/>
          <w:szCs w:val="24"/>
        </w:rPr>
        <w:t>7</w:t>
      </w:r>
      <w:r w:rsidR="00E37045">
        <w:rPr>
          <w:rFonts w:ascii="Times New Roman" w:hAnsi="Times New Roman" w:cs="Times New Roman"/>
          <w:sz w:val="24"/>
          <w:szCs w:val="24"/>
        </w:rPr>
        <w:t>.</w:t>
      </w:r>
    </w:p>
    <w:p w:rsidR="000F0F98" w:rsidRDefault="000F0F98">
      <w:pPr>
        <w:rPr>
          <w:rFonts w:ascii="Times New Roman" w:hAnsi="Times New Roman" w:cs="Times New Roman"/>
          <w:sz w:val="24"/>
          <w:szCs w:val="24"/>
        </w:rPr>
      </w:pPr>
    </w:p>
    <w:p w:rsidR="00B2069A" w:rsidRDefault="00B2069A">
      <w:pPr>
        <w:rPr>
          <w:rFonts w:ascii="Times New Roman" w:hAnsi="Times New Roman" w:cs="Times New Roman"/>
          <w:sz w:val="24"/>
          <w:szCs w:val="24"/>
        </w:rPr>
      </w:pPr>
      <w:r>
        <w:rPr>
          <w:rFonts w:ascii="Times New Roman" w:hAnsi="Times New Roman" w:cs="Times New Roman"/>
          <w:sz w:val="24"/>
          <w:szCs w:val="24"/>
        </w:rPr>
        <w:br w:type="page"/>
      </w:r>
    </w:p>
    <w:p w:rsidR="00B2069A" w:rsidRDefault="00B2069A" w:rsidP="00290DD4">
      <w:pPr>
        <w:jc w:val="center"/>
        <w:rPr>
          <w:rFonts w:ascii="Times New Roman" w:hAnsi="Times New Roman" w:cs="Times New Roman"/>
          <w:sz w:val="24"/>
          <w:szCs w:val="24"/>
        </w:rPr>
      </w:pPr>
      <w:r>
        <w:rPr>
          <w:rFonts w:ascii="Times New Roman" w:hAnsi="Times New Roman" w:cs="Times New Roman"/>
          <w:sz w:val="24"/>
          <w:szCs w:val="24"/>
        </w:rPr>
        <w:lastRenderedPageBreak/>
        <w:t>PARTE I</w:t>
      </w:r>
    </w:p>
    <w:p w:rsidR="00290DD4" w:rsidRDefault="00290DD4" w:rsidP="00290DD4">
      <w:pPr>
        <w:jc w:val="center"/>
        <w:rPr>
          <w:rFonts w:ascii="Times New Roman" w:hAnsi="Times New Roman" w:cs="Times New Roman"/>
          <w:sz w:val="24"/>
          <w:szCs w:val="24"/>
        </w:rPr>
      </w:pPr>
      <w:r w:rsidRPr="00290DD4">
        <w:rPr>
          <w:rFonts w:ascii="Times New Roman" w:hAnsi="Times New Roman" w:cs="Times New Roman"/>
          <w:sz w:val="24"/>
          <w:szCs w:val="24"/>
        </w:rPr>
        <w:t>CAUSE PIÙ FREQUENTI DI NON CORRETTA APPLICAZIONE O DI INCERTEZZA GIURIDICA, COMPRESI POSSIBILI PROBLEMI STRUTTURALI O RICORRENTI NELL'APPLICAZIONE DELLE NORME</w:t>
      </w:r>
      <w:r>
        <w:rPr>
          <w:rFonts w:ascii="Times New Roman" w:hAnsi="Times New Roman" w:cs="Times New Roman"/>
          <w:sz w:val="24"/>
          <w:szCs w:val="24"/>
        </w:rPr>
        <w:t xml:space="preserve"> </w:t>
      </w:r>
    </w:p>
    <w:p w:rsidR="008841F5" w:rsidRPr="008841F5" w:rsidRDefault="008841F5" w:rsidP="008841F5">
      <w:pPr>
        <w:pStyle w:val="Paragrafoelenco"/>
        <w:spacing w:after="0" w:line="360" w:lineRule="auto"/>
        <w:rPr>
          <w:rFonts w:ascii="Times New Roman" w:eastAsiaTheme="majorEastAsia" w:hAnsi="Times New Roman" w:cs="Times New Roman"/>
          <w:b/>
          <w:bCs/>
          <w:sz w:val="24"/>
          <w:szCs w:val="24"/>
          <w:lang w:eastAsia="it-IT"/>
        </w:rPr>
      </w:pPr>
    </w:p>
    <w:p w:rsidR="008841F5" w:rsidRPr="008841F5" w:rsidRDefault="008841F5" w:rsidP="008841F5">
      <w:pPr>
        <w:pStyle w:val="Paragrafoelenco"/>
        <w:spacing w:after="0" w:line="360" w:lineRule="auto"/>
        <w:rPr>
          <w:rFonts w:ascii="Times New Roman" w:eastAsiaTheme="majorEastAsia" w:hAnsi="Times New Roman" w:cs="Times New Roman"/>
          <w:b/>
          <w:bCs/>
          <w:sz w:val="24"/>
          <w:szCs w:val="24"/>
          <w:lang w:eastAsia="it-IT"/>
        </w:rPr>
      </w:pPr>
    </w:p>
    <w:p w:rsidR="008A4994" w:rsidRDefault="008A4994" w:rsidP="00AC7F02">
      <w:pPr>
        <w:keepNext/>
        <w:keepLines/>
        <w:numPr>
          <w:ilvl w:val="1"/>
          <w:numId w:val="30"/>
        </w:numPr>
        <w:spacing w:before="200" w:after="0" w:line="240" w:lineRule="auto"/>
        <w:ind w:left="426" w:hanging="426"/>
        <w:contextualSpacing/>
        <w:outlineLvl w:val="2"/>
        <w:rPr>
          <w:rFonts w:ascii="Times New Roman" w:eastAsiaTheme="majorEastAsia" w:hAnsi="Times New Roman" w:cs="Times New Roman"/>
          <w:b/>
          <w:bCs/>
          <w:sz w:val="24"/>
          <w:szCs w:val="24"/>
          <w:lang w:eastAsia="it-IT"/>
        </w:rPr>
      </w:pPr>
      <w:r>
        <w:rPr>
          <w:rFonts w:ascii="Times New Roman" w:eastAsiaTheme="majorEastAsia" w:hAnsi="Times New Roman" w:cs="Times New Roman"/>
          <w:b/>
          <w:bCs/>
          <w:sz w:val="24"/>
          <w:szCs w:val="24"/>
          <w:lang w:eastAsia="it-IT"/>
        </w:rPr>
        <w:t>Premessa</w:t>
      </w:r>
    </w:p>
    <w:p w:rsidR="00404A56" w:rsidRPr="004264B1" w:rsidRDefault="00404A56" w:rsidP="00404A56">
      <w:pPr>
        <w:keepNext/>
        <w:keepLines/>
        <w:spacing w:before="200" w:after="0" w:line="240" w:lineRule="auto"/>
        <w:contextualSpacing/>
        <w:outlineLvl w:val="2"/>
        <w:rPr>
          <w:rFonts w:ascii="Times New Roman" w:eastAsiaTheme="majorEastAsia" w:hAnsi="Times New Roman" w:cs="Times New Roman"/>
          <w:b/>
          <w:bCs/>
          <w:sz w:val="24"/>
          <w:szCs w:val="24"/>
          <w:lang w:eastAsia="it-IT"/>
        </w:rPr>
      </w:pPr>
    </w:p>
    <w:p w:rsidR="00D46BCD" w:rsidRPr="00D46BCD" w:rsidRDefault="00D46BCD" w:rsidP="00D46BCD">
      <w:pPr>
        <w:jc w:val="both"/>
        <w:rPr>
          <w:rFonts w:ascii="Times New Roman" w:hAnsi="Times New Roman" w:cs="Times New Roman"/>
          <w:sz w:val="24"/>
          <w:szCs w:val="24"/>
        </w:rPr>
      </w:pPr>
      <w:r w:rsidRPr="00D46BCD">
        <w:rPr>
          <w:rFonts w:ascii="Times New Roman" w:hAnsi="Times New Roman" w:cs="Times New Roman"/>
          <w:sz w:val="24"/>
          <w:szCs w:val="24"/>
        </w:rPr>
        <w:t>La legge 28 gennaio 2016, n. 11, recante “</w:t>
      </w:r>
      <w:r w:rsidRPr="00D46BCD">
        <w:rPr>
          <w:rFonts w:ascii="Times New Roman" w:hAnsi="Times New Roman" w:cs="Times New Roman"/>
          <w:i/>
          <w:sz w:val="24"/>
          <w:szCs w:val="24"/>
        </w:rPr>
        <w:t xml:space="preserve">Deleghe al Governo per l’attuazione delle </w:t>
      </w:r>
      <w:hyperlink r:id="rId10" w:tgtFrame="_blank" w:history="1">
        <w:r w:rsidRPr="00D46BCD">
          <w:rPr>
            <w:rFonts w:ascii="Times New Roman" w:hAnsi="Times New Roman" w:cs="Times New Roman"/>
            <w:i/>
            <w:sz w:val="24"/>
            <w:szCs w:val="24"/>
          </w:rPr>
          <w:t>direttive 2014/23/UE</w:t>
        </w:r>
      </w:hyperlink>
      <w:r w:rsidRPr="00D46BCD">
        <w:rPr>
          <w:rFonts w:ascii="Times New Roman" w:hAnsi="Times New Roman" w:cs="Times New Roman"/>
          <w:i/>
          <w:sz w:val="24"/>
          <w:szCs w:val="24"/>
        </w:rPr>
        <w:t xml:space="preserve">, </w:t>
      </w:r>
      <w:hyperlink r:id="rId11" w:tgtFrame="_blank" w:history="1">
        <w:r w:rsidRPr="00D46BCD">
          <w:rPr>
            <w:rFonts w:ascii="Times New Roman" w:hAnsi="Times New Roman" w:cs="Times New Roman"/>
            <w:i/>
            <w:sz w:val="24"/>
            <w:szCs w:val="24"/>
          </w:rPr>
          <w:t>2014/24/UE</w:t>
        </w:r>
      </w:hyperlink>
      <w:r w:rsidRPr="00D46BCD">
        <w:rPr>
          <w:rFonts w:ascii="Times New Roman" w:hAnsi="Times New Roman" w:cs="Times New Roman"/>
          <w:i/>
          <w:sz w:val="24"/>
          <w:szCs w:val="24"/>
        </w:rPr>
        <w:t xml:space="preserve"> e </w:t>
      </w:r>
      <w:hyperlink r:id="rId12" w:tgtFrame="_blank" w:history="1">
        <w:r w:rsidRPr="00D46BCD">
          <w:rPr>
            <w:rFonts w:ascii="Times New Roman" w:hAnsi="Times New Roman" w:cs="Times New Roman"/>
            <w:i/>
            <w:sz w:val="24"/>
            <w:szCs w:val="24"/>
          </w:rPr>
          <w:t>2014/25/UE</w:t>
        </w:r>
      </w:hyperlink>
      <w:r w:rsidRPr="00D46BCD">
        <w:rPr>
          <w:rFonts w:ascii="Times New Roman" w:hAnsi="Times New Roman" w:cs="Times New Roman"/>
          <w:i/>
          <w:sz w:val="24"/>
          <w:szCs w:val="24"/>
        </w:rPr>
        <w:t xml:space="preserve"> del Parlamento europeo e del Consiglio, del 26 febbraio 2014, sull’aggiudicazione dei contratti di concessione, sugli appalti pubblici e sulle procedure d’appalto degli enti erogatori nei settori dell’acqua, dell’energia, dei trasporti e dei servizi postali, nonché per il riordino della disciplina vigente in materia di contratti pubblici relativi a lavori, servizi e forniture</w:t>
      </w:r>
      <w:r w:rsidRPr="00D46BCD">
        <w:rPr>
          <w:rFonts w:ascii="Times New Roman" w:hAnsi="Times New Roman" w:cs="Times New Roman"/>
          <w:sz w:val="24"/>
          <w:szCs w:val="24"/>
        </w:rPr>
        <w:t>” ha delegato il Governo a recepire le tre direttive del Parlamento europeo, rispettivamente la 2014/23/UE sui contratti di concessione, la 2014/24/UE sugli appalti pubblici  nei settori ordinari e la 2014/25/UE sugli appalti pubblici nei settori speciali, nonché a riordinare la disciplina vigente in un unico testo.</w:t>
      </w:r>
    </w:p>
    <w:p w:rsidR="00D46BCD" w:rsidRPr="00D46BCD" w:rsidRDefault="00D46BCD" w:rsidP="00D46BCD">
      <w:pPr>
        <w:jc w:val="both"/>
        <w:rPr>
          <w:rFonts w:ascii="Times New Roman" w:hAnsi="Times New Roman" w:cs="Times New Roman"/>
          <w:sz w:val="24"/>
          <w:szCs w:val="24"/>
        </w:rPr>
      </w:pPr>
      <w:bookmarkStart w:id="1" w:name="_inizio"/>
      <w:r w:rsidRPr="00D46BCD">
        <w:rPr>
          <w:rFonts w:ascii="Times New Roman" w:hAnsi="Times New Roman" w:cs="Times New Roman"/>
          <w:sz w:val="24"/>
          <w:szCs w:val="24"/>
        </w:rPr>
        <w:t>Con decreto legislativo 18 aprile 2016, n. 50</w:t>
      </w:r>
      <w:bookmarkEnd w:id="1"/>
      <w:r w:rsidRPr="00D46BCD">
        <w:rPr>
          <w:rFonts w:ascii="Times New Roman" w:hAnsi="Times New Roman" w:cs="Times New Roman"/>
          <w:sz w:val="24"/>
          <w:szCs w:val="24"/>
        </w:rPr>
        <w:t>, recante “</w:t>
      </w:r>
      <w:r w:rsidRPr="00D46BCD">
        <w:rPr>
          <w:rFonts w:ascii="Times New Roman" w:hAnsi="Times New Roman" w:cs="Times New Roman"/>
          <w:i/>
          <w:sz w:val="24"/>
          <w:szCs w:val="24"/>
        </w:rPr>
        <w:t>Attuazione delle direttive 2014/23/UE, 2014/24/UE e 2014/25/UE sull'aggiudicazione dei contratti di concessione, sugli appalti pubblici e sulle procedure d'appalto degli enti erogatori nei settori dell'acqua, dell'energia, dei trasporti e dei servizi postali, nonché per il riordino della disciplina vigente in materia di contratti pubblici relativi a lavori, servizi e forniture</w:t>
      </w:r>
      <w:r w:rsidRPr="00D46BCD">
        <w:rPr>
          <w:rFonts w:ascii="Times New Roman" w:hAnsi="Times New Roman" w:cs="Times New Roman"/>
          <w:sz w:val="24"/>
          <w:szCs w:val="24"/>
        </w:rPr>
        <w:t xml:space="preserve">” (di seguito </w:t>
      </w:r>
      <w:r w:rsidR="00290DD4">
        <w:rPr>
          <w:rFonts w:ascii="Times New Roman" w:hAnsi="Times New Roman" w:cs="Times New Roman"/>
          <w:sz w:val="24"/>
          <w:szCs w:val="24"/>
        </w:rPr>
        <w:t>c</w:t>
      </w:r>
      <w:r w:rsidRPr="00D46BCD">
        <w:rPr>
          <w:rFonts w:ascii="Times New Roman" w:hAnsi="Times New Roman" w:cs="Times New Roman"/>
          <w:sz w:val="24"/>
          <w:szCs w:val="24"/>
        </w:rPr>
        <w:t>odice</w:t>
      </w:r>
      <w:r w:rsidR="00A070D1">
        <w:rPr>
          <w:rFonts w:ascii="Times New Roman" w:hAnsi="Times New Roman" w:cs="Times New Roman"/>
          <w:sz w:val="24"/>
          <w:szCs w:val="24"/>
        </w:rPr>
        <w:t xml:space="preserve"> dei contratti </w:t>
      </w:r>
      <w:proofErr w:type="spellStart"/>
      <w:r w:rsidR="00A070D1">
        <w:rPr>
          <w:rFonts w:ascii="Times New Roman" w:hAnsi="Times New Roman" w:cs="Times New Roman"/>
          <w:sz w:val="24"/>
          <w:szCs w:val="24"/>
        </w:rPr>
        <w:t>pubbici</w:t>
      </w:r>
      <w:proofErr w:type="spellEnd"/>
      <w:r w:rsidRPr="00D46BCD">
        <w:rPr>
          <w:rFonts w:ascii="Times New Roman" w:hAnsi="Times New Roman" w:cs="Times New Roman"/>
          <w:sz w:val="24"/>
          <w:szCs w:val="24"/>
        </w:rPr>
        <w:t xml:space="preserve">), </w:t>
      </w:r>
      <w:r w:rsidR="00F31E67">
        <w:rPr>
          <w:rFonts w:ascii="Times New Roman" w:hAnsi="Times New Roman" w:cs="Times New Roman"/>
          <w:sz w:val="24"/>
          <w:szCs w:val="24"/>
        </w:rPr>
        <w:t xml:space="preserve">in attuazione della suddetta legge n. 11 del 2016 </w:t>
      </w:r>
      <w:r w:rsidRPr="00D46BCD">
        <w:rPr>
          <w:rFonts w:ascii="Times New Roman" w:hAnsi="Times New Roman" w:cs="Times New Roman"/>
          <w:sz w:val="24"/>
          <w:szCs w:val="24"/>
        </w:rPr>
        <w:t xml:space="preserve">sono state recepite </w:t>
      </w:r>
      <w:r w:rsidR="00F31E67">
        <w:rPr>
          <w:rFonts w:ascii="Times New Roman" w:hAnsi="Times New Roman" w:cs="Times New Roman"/>
          <w:sz w:val="24"/>
          <w:szCs w:val="24"/>
        </w:rPr>
        <w:t xml:space="preserve">nell’ordinamento italiano </w:t>
      </w:r>
      <w:r w:rsidRPr="00D46BCD">
        <w:rPr>
          <w:rFonts w:ascii="Times New Roman" w:hAnsi="Times New Roman" w:cs="Times New Roman"/>
          <w:sz w:val="24"/>
          <w:szCs w:val="24"/>
        </w:rPr>
        <w:t>le suddette direttive ed attuato il riordino della materia dei contratti pubblici.</w:t>
      </w:r>
    </w:p>
    <w:p w:rsidR="00D46BCD" w:rsidRDefault="00D46BCD" w:rsidP="00D46BCD">
      <w:pPr>
        <w:jc w:val="both"/>
        <w:rPr>
          <w:rFonts w:ascii="Times New Roman" w:hAnsi="Times New Roman" w:cs="Times New Roman"/>
          <w:sz w:val="24"/>
          <w:szCs w:val="24"/>
        </w:rPr>
      </w:pPr>
      <w:r w:rsidRPr="00D46BCD">
        <w:rPr>
          <w:rFonts w:ascii="Times New Roman" w:hAnsi="Times New Roman" w:cs="Times New Roman"/>
          <w:sz w:val="24"/>
          <w:szCs w:val="24"/>
        </w:rPr>
        <w:t xml:space="preserve">In </w:t>
      </w:r>
      <w:r w:rsidR="000F58B9">
        <w:rPr>
          <w:rFonts w:ascii="Times New Roman" w:hAnsi="Times New Roman" w:cs="Times New Roman"/>
          <w:sz w:val="24"/>
          <w:szCs w:val="24"/>
        </w:rPr>
        <w:t>ottemperanza</w:t>
      </w:r>
      <w:r w:rsidRPr="00D46BCD">
        <w:rPr>
          <w:rFonts w:ascii="Times New Roman" w:hAnsi="Times New Roman" w:cs="Times New Roman"/>
          <w:sz w:val="24"/>
          <w:szCs w:val="24"/>
        </w:rPr>
        <w:t xml:space="preserve"> a quanto disposto dalla </w:t>
      </w:r>
      <w:r w:rsidR="00F31E67">
        <w:rPr>
          <w:rFonts w:ascii="Times New Roman" w:hAnsi="Times New Roman" w:cs="Times New Roman"/>
          <w:sz w:val="24"/>
          <w:szCs w:val="24"/>
        </w:rPr>
        <w:t>richiamata</w:t>
      </w:r>
      <w:r w:rsidRPr="00D46BCD">
        <w:rPr>
          <w:rFonts w:ascii="Times New Roman" w:hAnsi="Times New Roman" w:cs="Times New Roman"/>
          <w:sz w:val="24"/>
          <w:szCs w:val="24"/>
        </w:rPr>
        <w:t xml:space="preserve"> legge delega n. 11</w:t>
      </w:r>
      <w:r w:rsidR="00290DD4">
        <w:rPr>
          <w:rFonts w:ascii="Times New Roman" w:hAnsi="Times New Roman" w:cs="Times New Roman"/>
          <w:sz w:val="24"/>
          <w:szCs w:val="24"/>
        </w:rPr>
        <w:t xml:space="preserve"> del </w:t>
      </w:r>
      <w:r w:rsidRPr="00D46BCD">
        <w:rPr>
          <w:rFonts w:ascii="Times New Roman" w:hAnsi="Times New Roman" w:cs="Times New Roman"/>
          <w:sz w:val="24"/>
          <w:szCs w:val="24"/>
        </w:rPr>
        <w:t>2016</w:t>
      </w:r>
      <w:r w:rsidR="000F58B9">
        <w:rPr>
          <w:rFonts w:ascii="Times New Roman" w:hAnsi="Times New Roman" w:cs="Times New Roman"/>
          <w:sz w:val="24"/>
          <w:szCs w:val="24"/>
        </w:rPr>
        <w:t>,</w:t>
      </w:r>
      <w:r w:rsidRPr="00D46BCD">
        <w:rPr>
          <w:rFonts w:ascii="Times New Roman" w:hAnsi="Times New Roman" w:cs="Times New Roman"/>
          <w:sz w:val="24"/>
          <w:szCs w:val="24"/>
        </w:rPr>
        <w:t xml:space="preserve"> entro </w:t>
      </w:r>
      <w:r w:rsidR="00F31E67">
        <w:rPr>
          <w:rFonts w:ascii="Times New Roman" w:hAnsi="Times New Roman" w:cs="Times New Roman"/>
          <w:sz w:val="24"/>
          <w:szCs w:val="24"/>
        </w:rPr>
        <w:t>l’</w:t>
      </w:r>
      <w:r w:rsidRPr="00D46BCD">
        <w:rPr>
          <w:rFonts w:ascii="Times New Roman" w:hAnsi="Times New Roman" w:cs="Times New Roman"/>
          <w:sz w:val="24"/>
          <w:szCs w:val="24"/>
        </w:rPr>
        <w:t xml:space="preserve">anno dalla data di entrata in vigore del predetto </w:t>
      </w:r>
      <w:r w:rsidR="00290DD4">
        <w:rPr>
          <w:rFonts w:ascii="Times New Roman" w:hAnsi="Times New Roman" w:cs="Times New Roman"/>
          <w:sz w:val="24"/>
          <w:szCs w:val="24"/>
        </w:rPr>
        <w:t>c</w:t>
      </w:r>
      <w:r w:rsidRPr="00D46BCD">
        <w:rPr>
          <w:rFonts w:ascii="Times New Roman" w:hAnsi="Times New Roman" w:cs="Times New Roman"/>
          <w:sz w:val="24"/>
          <w:szCs w:val="24"/>
        </w:rPr>
        <w:t>odice</w:t>
      </w:r>
      <w:r w:rsidR="000F58B9">
        <w:rPr>
          <w:rFonts w:ascii="Times New Roman" w:hAnsi="Times New Roman" w:cs="Times New Roman"/>
          <w:sz w:val="24"/>
          <w:szCs w:val="24"/>
        </w:rPr>
        <w:t>,</w:t>
      </w:r>
      <w:r w:rsidRPr="00D46BCD">
        <w:rPr>
          <w:rFonts w:ascii="Times New Roman" w:hAnsi="Times New Roman" w:cs="Times New Roman"/>
          <w:sz w:val="24"/>
          <w:szCs w:val="24"/>
        </w:rPr>
        <w:t xml:space="preserve"> il Governo </w:t>
      </w:r>
      <w:r w:rsidR="0056354A">
        <w:rPr>
          <w:rFonts w:ascii="Times New Roman" w:hAnsi="Times New Roman" w:cs="Times New Roman"/>
          <w:sz w:val="24"/>
          <w:szCs w:val="24"/>
        </w:rPr>
        <w:t>con il decreto legislativo 19 aprile 2017, n.</w:t>
      </w:r>
      <w:r w:rsidR="00A070D1">
        <w:rPr>
          <w:rFonts w:ascii="Times New Roman" w:hAnsi="Times New Roman" w:cs="Times New Roman"/>
          <w:sz w:val="24"/>
          <w:szCs w:val="24"/>
        </w:rPr>
        <w:t xml:space="preserve"> 56, </w:t>
      </w:r>
      <w:r>
        <w:rPr>
          <w:rFonts w:ascii="Times New Roman" w:hAnsi="Times New Roman" w:cs="Times New Roman"/>
          <w:sz w:val="24"/>
          <w:szCs w:val="24"/>
        </w:rPr>
        <w:t>ha adottato</w:t>
      </w:r>
      <w:r w:rsidR="00A070D1">
        <w:rPr>
          <w:rFonts w:ascii="Times New Roman" w:hAnsi="Times New Roman" w:cs="Times New Roman"/>
          <w:sz w:val="24"/>
          <w:szCs w:val="24"/>
        </w:rPr>
        <w:t xml:space="preserve"> </w:t>
      </w:r>
      <w:r w:rsidR="00A070D1" w:rsidRPr="005A487D">
        <w:rPr>
          <w:rFonts w:ascii="Times New Roman" w:hAnsi="Times New Roman" w:cs="Times New Roman"/>
          <w:i/>
          <w:sz w:val="24"/>
          <w:szCs w:val="24"/>
        </w:rPr>
        <w:t>“D</w:t>
      </w:r>
      <w:r w:rsidRPr="005A487D">
        <w:rPr>
          <w:rFonts w:ascii="Times New Roman" w:hAnsi="Times New Roman" w:cs="Times New Roman"/>
          <w:i/>
          <w:sz w:val="24"/>
          <w:szCs w:val="24"/>
        </w:rPr>
        <w:t xml:space="preserve">isposizioni integrative e correttive </w:t>
      </w:r>
      <w:r w:rsidR="00A070D1" w:rsidRPr="005A487D">
        <w:rPr>
          <w:rFonts w:ascii="Times New Roman" w:hAnsi="Times New Roman" w:cs="Times New Roman"/>
          <w:i/>
          <w:sz w:val="24"/>
          <w:szCs w:val="24"/>
        </w:rPr>
        <w:t xml:space="preserve">al </w:t>
      </w:r>
      <w:r w:rsidR="005A487D" w:rsidRPr="005A487D">
        <w:rPr>
          <w:rFonts w:ascii="Times New Roman" w:hAnsi="Times New Roman" w:cs="Times New Roman"/>
          <w:i/>
          <w:sz w:val="24"/>
          <w:szCs w:val="24"/>
        </w:rPr>
        <w:t>decreto legislativo 18 aprile 2016, n. 50”</w:t>
      </w:r>
      <w:r w:rsidR="005A487D">
        <w:rPr>
          <w:rFonts w:ascii="Times New Roman" w:hAnsi="Times New Roman" w:cs="Times New Roman"/>
          <w:sz w:val="24"/>
          <w:szCs w:val="24"/>
        </w:rPr>
        <w:t xml:space="preserve"> </w:t>
      </w:r>
      <w:r w:rsidRPr="00D46BCD">
        <w:rPr>
          <w:rFonts w:ascii="Times New Roman" w:hAnsi="Times New Roman" w:cs="Times New Roman"/>
          <w:sz w:val="24"/>
          <w:szCs w:val="24"/>
        </w:rPr>
        <w:t xml:space="preserve">nel rispetto dei principi e criteri direttivi e della procedura di cui alla medesima legge delega (di seguito correttivo al </w:t>
      </w:r>
      <w:r w:rsidR="00290DD4">
        <w:rPr>
          <w:rFonts w:ascii="Times New Roman" w:hAnsi="Times New Roman" w:cs="Times New Roman"/>
          <w:sz w:val="24"/>
          <w:szCs w:val="24"/>
        </w:rPr>
        <w:t>c</w:t>
      </w:r>
      <w:r w:rsidRPr="00D46BCD">
        <w:rPr>
          <w:rFonts w:ascii="Times New Roman" w:hAnsi="Times New Roman" w:cs="Times New Roman"/>
          <w:sz w:val="24"/>
          <w:szCs w:val="24"/>
        </w:rPr>
        <w:t>odice).</w:t>
      </w:r>
    </w:p>
    <w:p w:rsidR="00F31E67" w:rsidRDefault="00F31E67" w:rsidP="00D46BCD">
      <w:pPr>
        <w:jc w:val="both"/>
        <w:rPr>
          <w:rFonts w:ascii="Times New Roman" w:hAnsi="Times New Roman" w:cs="Times New Roman"/>
          <w:sz w:val="24"/>
          <w:szCs w:val="24"/>
          <w:u w:val="single"/>
        </w:rPr>
      </w:pPr>
      <w:r w:rsidRPr="00F31E67">
        <w:rPr>
          <w:rFonts w:ascii="Times New Roman" w:hAnsi="Times New Roman" w:cs="Times New Roman"/>
          <w:sz w:val="24"/>
          <w:szCs w:val="24"/>
          <w:u w:val="single"/>
        </w:rPr>
        <w:t xml:space="preserve">Sulle disposizioni contenute </w:t>
      </w:r>
      <w:r w:rsidR="000F58B9">
        <w:rPr>
          <w:rFonts w:ascii="Times New Roman" w:hAnsi="Times New Roman" w:cs="Times New Roman"/>
          <w:sz w:val="24"/>
          <w:szCs w:val="24"/>
          <w:u w:val="single"/>
        </w:rPr>
        <w:t>ne</w:t>
      </w:r>
      <w:r w:rsidRPr="00F31E67">
        <w:rPr>
          <w:rFonts w:ascii="Times New Roman" w:hAnsi="Times New Roman" w:cs="Times New Roman"/>
          <w:sz w:val="24"/>
          <w:szCs w:val="24"/>
          <w:u w:val="single"/>
        </w:rPr>
        <w:t>l codice sono state avviate due consultazioni da parte del Ministero delle infrastrutture e dei trasporti.</w:t>
      </w:r>
    </w:p>
    <w:p w:rsidR="00D46BCD" w:rsidRPr="00D46BCD" w:rsidRDefault="00F31E67" w:rsidP="00D82A08">
      <w:pPr>
        <w:jc w:val="both"/>
        <w:rPr>
          <w:rFonts w:ascii="Times New Roman" w:hAnsi="Times New Roman" w:cs="Times New Roman"/>
          <w:sz w:val="24"/>
          <w:szCs w:val="24"/>
        </w:rPr>
      </w:pPr>
      <w:r>
        <w:rPr>
          <w:rFonts w:ascii="Times New Roman" w:hAnsi="Times New Roman" w:cs="Times New Roman"/>
          <w:sz w:val="24"/>
          <w:szCs w:val="24"/>
        </w:rPr>
        <w:t>La prima consultazione</w:t>
      </w:r>
      <w:r w:rsidR="005A3AD0">
        <w:rPr>
          <w:rFonts w:ascii="Times New Roman" w:hAnsi="Times New Roman" w:cs="Times New Roman"/>
          <w:sz w:val="24"/>
          <w:szCs w:val="24"/>
        </w:rPr>
        <w:t xml:space="preserve"> </w:t>
      </w:r>
      <w:r w:rsidR="00D46BCD" w:rsidRPr="00D46BCD">
        <w:rPr>
          <w:rFonts w:ascii="Times New Roman" w:hAnsi="Times New Roman" w:cs="Times New Roman"/>
          <w:sz w:val="24"/>
          <w:szCs w:val="24"/>
        </w:rPr>
        <w:t xml:space="preserve">è stata svolta </w:t>
      </w:r>
      <w:r>
        <w:rPr>
          <w:rFonts w:ascii="Times New Roman" w:hAnsi="Times New Roman" w:cs="Times New Roman"/>
          <w:sz w:val="24"/>
          <w:szCs w:val="24"/>
        </w:rPr>
        <w:t xml:space="preserve">per </w:t>
      </w:r>
      <w:r w:rsidR="00D46BCD" w:rsidRPr="00D46BCD">
        <w:rPr>
          <w:rFonts w:ascii="Times New Roman" w:hAnsi="Times New Roman" w:cs="Times New Roman"/>
          <w:sz w:val="24"/>
          <w:szCs w:val="24"/>
        </w:rPr>
        <w:t xml:space="preserve">una ricognizione delle principali criticità e difficoltà riscontate in sede di prima applicazione del </w:t>
      </w:r>
      <w:r w:rsidR="00290DD4">
        <w:rPr>
          <w:rFonts w:ascii="Times New Roman" w:hAnsi="Times New Roman" w:cs="Times New Roman"/>
          <w:sz w:val="24"/>
          <w:szCs w:val="24"/>
        </w:rPr>
        <w:t>c</w:t>
      </w:r>
      <w:r w:rsidR="00D46BCD" w:rsidRPr="00D46BCD">
        <w:rPr>
          <w:rFonts w:ascii="Times New Roman" w:hAnsi="Times New Roman" w:cs="Times New Roman"/>
          <w:sz w:val="24"/>
          <w:szCs w:val="24"/>
        </w:rPr>
        <w:t>odice</w:t>
      </w:r>
      <w:r w:rsidR="00B8327D">
        <w:rPr>
          <w:rFonts w:ascii="Times New Roman" w:hAnsi="Times New Roman" w:cs="Times New Roman"/>
          <w:sz w:val="24"/>
          <w:szCs w:val="24"/>
        </w:rPr>
        <w:t xml:space="preserve"> in vista della predisposizione del correttivo.</w:t>
      </w:r>
    </w:p>
    <w:p w:rsidR="00D46BCD" w:rsidRPr="00D46BCD" w:rsidRDefault="005A3AD0" w:rsidP="00D82A08">
      <w:pPr>
        <w:jc w:val="both"/>
        <w:rPr>
          <w:rFonts w:ascii="Times New Roman" w:hAnsi="Times New Roman" w:cs="Times New Roman"/>
          <w:sz w:val="24"/>
          <w:szCs w:val="24"/>
        </w:rPr>
      </w:pPr>
      <w:r>
        <w:rPr>
          <w:rFonts w:ascii="Times New Roman" w:hAnsi="Times New Roman" w:cs="Times New Roman"/>
          <w:sz w:val="24"/>
          <w:szCs w:val="24"/>
        </w:rPr>
        <w:t>La suddetta</w:t>
      </w:r>
      <w:r w:rsidR="00D46BCD" w:rsidRPr="00D46BCD">
        <w:rPr>
          <w:rFonts w:ascii="Times New Roman" w:hAnsi="Times New Roman" w:cs="Times New Roman"/>
          <w:sz w:val="24"/>
          <w:szCs w:val="24"/>
        </w:rPr>
        <w:t xml:space="preserve"> ricognizione è stata effettuata sia sulla base delle consultazioni svolte dal Parlamento in sede di audizione delle principali stazioni appaltanti, Regioni, Province, Comuni, Sindacati, nonché delle principali associazioni di categoria degli operatori economici, sia sulla base della consultazione pubblica dei </w:t>
      </w:r>
      <w:r w:rsidR="00290DD4">
        <w:rPr>
          <w:rFonts w:ascii="Times New Roman" w:hAnsi="Times New Roman" w:cs="Times New Roman"/>
          <w:sz w:val="24"/>
          <w:szCs w:val="24"/>
        </w:rPr>
        <w:t>responsabili unici del procedimento (</w:t>
      </w:r>
      <w:r w:rsidR="00D46BCD" w:rsidRPr="00D46BCD">
        <w:rPr>
          <w:rFonts w:ascii="Times New Roman" w:hAnsi="Times New Roman" w:cs="Times New Roman"/>
          <w:sz w:val="24"/>
          <w:szCs w:val="24"/>
        </w:rPr>
        <w:t>RUP</w:t>
      </w:r>
      <w:r w:rsidR="00290DD4">
        <w:rPr>
          <w:rFonts w:ascii="Times New Roman" w:hAnsi="Times New Roman" w:cs="Times New Roman"/>
          <w:sz w:val="24"/>
          <w:szCs w:val="24"/>
        </w:rPr>
        <w:t>)</w:t>
      </w:r>
      <w:r w:rsidR="00D46BCD" w:rsidRPr="00D46BCD">
        <w:rPr>
          <w:rFonts w:ascii="Times New Roman" w:hAnsi="Times New Roman" w:cs="Times New Roman"/>
          <w:sz w:val="24"/>
          <w:szCs w:val="24"/>
        </w:rPr>
        <w:t xml:space="preserve"> delle stazioni appaltanti effettuata dalla Cabina di regia costituita ai sensi dell’articolo 212 del </w:t>
      </w:r>
      <w:r w:rsidR="00290DD4">
        <w:rPr>
          <w:rFonts w:ascii="Times New Roman" w:hAnsi="Times New Roman" w:cs="Times New Roman"/>
          <w:sz w:val="24"/>
          <w:szCs w:val="24"/>
        </w:rPr>
        <w:t>c</w:t>
      </w:r>
      <w:r w:rsidR="00D46BCD" w:rsidRPr="00D46BCD">
        <w:rPr>
          <w:rFonts w:ascii="Times New Roman" w:hAnsi="Times New Roman" w:cs="Times New Roman"/>
          <w:sz w:val="24"/>
          <w:szCs w:val="24"/>
        </w:rPr>
        <w:t>odice.</w:t>
      </w:r>
    </w:p>
    <w:p w:rsidR="00D46BCD" w:rsidRDefault="00D82A08" w:rsidP="00290DD4">
      <w:pPr>
        <w:jc w:val="both"/>
        <w:rPr>
          <w:rFonts w:ascii="Times New Roman" w:hAnsi="Times New Roman" w:cs="Times New Roman"/>
          <w:sz w:val="24"/>
          <w:szCs w:val="24"/>
        </w:rPr>
      </w:pPr>
      <w:r>
        <w:rPr>
          <w:rFonts w:ascii="Times New Roman" w:hAnsi="Times New Roman" w:cs="Times New Roman"/>
          <w:sz w:val="24"/>
          <w:szCs w:val="24"/>
        </w:rPr>
        <w:lastRenderedPageBreak/>
        <w:t>L</w:t>
      </w:r>
      <w:r w:rsidR="00D46BCD" w:rsidRPr="00D46BCD">
        <w:rPr>
          <w:rFonts w:ascii="Times New Roman" w:hAnsi="Times New Roman" w:cs="Times New Roman"/>
          <w:sz w:val="24"/>
          <w:szCs w:val="24"/>
        </w:rPr>
        <w:t xml:space="preserve">e modifiche </w:t>
      </w:r>
      <w:r>
        <w:rPr>
          <w:rFonts w:ascii="Times New Roman" w:hAnsi="Times New Roman" w:cs="Times New Roman"/>
          <w:sz w:val="24"/>
          <w:szCs w:val="24"/>
        </w:rPr>
        <w:t xml:space="preserve">apportate </w:t>
      </w:r>
      <w:r w:rsidR="00290DD4">
        <w:rPr>
          <w:rFonts w:ascii="Times New Roman" w:hAnsi="Times New Roman" w:cs="Times New Roman"/>
          <w:sz w:val="24"/>
          <w:szCs w:val="24"/>
        </w:rPr>
        <w:t xml:space="preserve">al codice con il correttivo </w:t>
      </w:r>
      <w:r>
        <w:rPr>
          <w:rFonts w:ascii="Times New Roman" w:hAnsi="Times New Roman" w:cs="Times New Roman"/>
          <w:sz w:val="24"/>
          <w:szCs w:val="24"/>
        </w:rPr>
        <w:t>hanno perseguito l’obiettivo di</w:t>
      </w:r>
      <w:r w:rsidR="00D46BCD" w:rsidRPr="00D46BCD">
        <w:rPr>
          <w:rFonts w:ascii="Times New Roman" w:hAnsi="Times New Roman" w:cs="Times New Roman"/>
          <w:sz w:val="24"/>
          <w:szCs w:val="24"/>
        </w:rPr>
        <w:t xml:space="preserve"> perfezionare l’impianto normativo del </w:t>
      </w:r>
      <w:r w:rsidR="00290DD4">
        <w:rPr>
          <w:rFonts w:ascii="Times New Roman" w:hAnsi="Times New Roman" w:cs="Times New Roman"/>
          <w:sz w:val="24"/>
          <w:szCs w:val="24"/>
        </w:rPr>
        <w:t>c</w:t>
      </w:r>
      <w:r w:rsidR="00D46BCD" w:rsidRPr="00D46BCD">
        <w:rPr>
          <w:rFonts w:ascii="Times New Roman" w:hAnsi="Times New Roman" w:cs="Times New Roman"/>
          <w:sz w:val="24"/>
          <w:szCs w:val="24"/>
        </w:rPr>
        <w:t xml:space="preserve">odice </w:t>
      </w:r>
      <w:r w:rsidR="00290DD4">
        <w:rPr>
          <w:rFonts w:ascii="Times New Roman" w:hAnsi="Times New Roman" w:cs="Times New Roman"/>
          <w:sz w:val="24"/>
          <w:szCs w:val="24"/>
        </w:rPr>
        <w:t xml:space="preserve">medesimo </w:t>
      </w:r>
      <w:r w:rsidR="00D46BCD" w:rsidRPr="00D46BCD">
        <w:rPr>
          <w:rFonts w:ascii="Times New Roman" w:hAnsi="Times New Roman" w:cs="Times New Roman"/>
          <w:sz w:val="24"/>
          <w:szCs w:val="24"/>
        </w:rPr>
        <w:t xml:space="preserve">senza </w:t>
      </w:r>
      <w:r w:rsidR="00290DD4">
        <w:rPr>
          <w:rFonts w:ascii="Times New Roman" w:hAnsi="Times New Roman" w:cs="Times New Roman"/>
          <w:sz w:val="24"/>
          <w:szCs w:val="24"/>
        </w:rPr>
        <w:t>stravolgerlo</w:t>
      </w:r>
      <w:r w:rsidR="00D46BCD" w:rsidRPr="00D46BCD">
        <w:rPr>
          <w:rFonts w:ascii="Times New Roman" w:hAnsi="Times New Roman" w:cs="Times New Roman"/>
          <w:sz w:val="24"/>
          <w:szCs w:val="24"/>
        </w:rPr>
        <w:t xml:space="preserve">, con lo scopo di migliorarne l’omogeneità, la chiarezza e l’adeguatezza in modo da perseguire efficacemente l’obiettivo dello sviluppo del settore che la stessa legge delega si era prefissata. </w:t>
      </w:r>
    </w:p>
    <w:p w:rsidR="00404A56" w:rsidRDefault="00404A56" w:rsidP="00404A56">
      <w:pPr>
        <w:keepNext/>
        <w:keepLines/>
        <w:spacing w:before="200" w:after="0" w:line="240" w:lineRule="auto"/>
        <w:ind w:left="720"/>
        <w:contextualSpacing/>
        <w:jc w:val="both"/>
        <w:outlineLvl w:val="2"/>
        <w:rPr>
          <w:rFonts w:ascii="Times New Roman" w:hAnsi="Times New Roman" w:cs="Times New Roman"/>
          <w:sz w:val="24"/>
          <w:szCs w:val="24"/>
        </w:rPr>
      </w:pPr>
    </w:p>
    <w:p w:rsidR="00D46BCD" w:rsidRPr="00A15623" w:rsidRDefault="00A15623" w:rsidP="00AC7F02">
      <w:pPr>
        <w:keepNext/>
        <w:keepLines/>
        <w:numPr>
          <w:ilvl w:val="1"/>
          <w:numId w:val="30"/>
        </w:numPr>
        <w:spacing w:before="200" w:after="0" w:line="240" w:lineRule="auto"/>
        <w:ind w:left="426" w:hanging="426"/>
        <w:contextualSpacing/>
        <w:outlineLvl w:val="2"/>
        <w:rPr>
          <w:rFonts w:ascii="Times New Roman" w:eastAsiaTheme="majorEastAsia" w:hAnsi="Times New Roman" w:cs="Times New Roman"/>
          <w:b/>
          <w:bCs/>
          <w:sz w:val="24"/>
          <w:szCs w:val="24"/>
          <w:lang w:eastAsia="it-IT"/>
        </w:rPr>
      </w:pPr>
      <w:r w:rsidRPr="00A15623">
        <w:rPr>
          <w:rFonts w:ascii="Times New Roman" w:eastAsiaTheme="majorEastAsia" w:hAnsi="Times New Roman" w:cs="Times New Roman"/>
          <w:b/>
          <w:bCs/>
          <w:sz w:val="24"/>
          <w:szCs w:val="24"/>
          <w:lang w:eastAsia="it-IT"/>
        </w:rPr>
        <w:t>Indagine conoscitiva parlamentare</w:t>
      </w:r>
    </w:p>
    <w:p w:rsidR="00A15623" w:rsidRPr="00A15623" w:rsidRDefault="00A15623" w:rsidP="00404A56">
      <w:pPr>
        <w:keepNext/>
        <w:keepLines/>
        <w:spacing w:before="200" w:after="0" w:line="240" w:lineRule="auto"/>
        <w:ind w:left="720"/>
        <w:contextualSpacing/>
        <w:jc w:val="both"/>
        <w:outlineLvl w:val="2"/>
        <w:rPr>
          <w:rFonts w:ascii="Times New Roman" w:hAnsi="Times New Roman" w:cs="Times New Roman"/>
          <w:sz w:val="24"/>
          <w:szCs w:val="24"/>
        </w:rPr>
      </w:pPr>
    </w:p>
    <w:p w:rsidR="00D46BCD" w:rsidRPr="00D46BCD" w:rsidRDefault="00D46BCD" w:rsidP="00290DD4">
      <w:pPr>
        <w:jc w:val="both"/>
        <w:rPr>
          <w:rFonts w:ascii="Times New Roman" w:hAnsi="Times New Roman" w:cs="Times New Roman"/>
          <w:sz w:val="24"/>
          <w:szCs w:val="24"/>
        </w:rPr>
      </w:pPr>
      <w:r w:rsidRPr="00D46BCD">
        <w:rPr>
          <w:rFonts w:ascii="Times New Roman" w:hAnsi="Times New Roman" w:cs="Times New Roman"/>
          <w:sz w:val="24"/>
          <w:szCs w:val="24"/>
        </w:rPr>
        <w:t xml:space="preserve">Riguardo all’indagine conoscitiva sullo stato di attuazione e sulle ipotesi di modifica della nuova disciplina sui contratti pubblici svolta dalle Commissioni congiunte 8ª (Lavori pubblici, comunicazioni) del Senato della Repubblica con la Commissione VIII (Ambiente, territorio e lavori pubblici) della Camera attraverso apposite audizioni, sono state prese in considerazione le Relazioni dei soggetti (CONISP; ANAS </w:t>
      </w:r>
      <w:proofErr w:type="spellStart"/>
      <w:r w:rsidRPr="00D46BCD">
        <w:rPr>
          <w:rFonts w:ascii="Times New Roman" w:hAnsi="Times New Roman" w:cs="Times New Roman"/>
          <w:sz w:val="24"/>
          <w:szCs w:val="24"/>
        </w:rPr>
        <w:t>SpA</w:t>
      </w:r>
      <w:proofErr w:type="spellEnd"/>
      <w:r w:rsidRPr="00D46BCD">
        <w:rPr>
          <w:rFonts w:ascii="Times New Roman" w:hAnsi="Times New Roman" w:cs="Times New Roman"/>
          <w:sz w:val="24"/>
          <w:szCs w:val="24"/>
        </w:rPr>
        <w:t>, RFI; INVITALIA; Sindacati - CGIL, CISL, UIL - Conferenza dei Presidenti delle Regioni e delle Province autonome; Unione Province italiane –UPI; ANCI; ANCE; CNA; Confartigianato; Alleanza delle cooperative italiane; FINCO; Reti professioni tecniche; OICE; UNION SOA; GENERAL SOA) nel corso delle relative audizioni dinanzi alla citate Commissioni congiunte</w:t>
      </w:r>
      <w:r w:rsidR="00D82A08">
        <w:rPr>
          <w:rFonts w:ascii="Times New Roman" w:hAnsi="Times New Roman" w:cs="Times New Roman"/>
          <w:sz w:val="24"/>
          <w:szCs w:val="24"/>
        </w:rPr>
        <w:t>.</w:t>
      </w:r>
    </w:p>
    <w:p w:rsidR="00D46BCD" w:rsidRPr="00D46BCD" w:rsidRDefault="00D46BCD" w:rsidP="00290DD4">
      <w:pPr>
        <w:jc w:val="both"/>
        <w:rPr>
          <w:rFonts w:ascii="Times New Roman" w:hAnsi="Times New Roman" w:cs="Times New Roman"/>
          <w:sz w:val="24"/>
          <w:szCs w:val="24"/>
        </w:rPr>
      </w:pPr>
      <w:r w:rsidRPr="00D46BCD">
        <w:rPr>
          <w:rFonts w:ascii="Times New Roman" w:hAnsi="Times New Roman" w:cs="Times New Roman"/>
          <w:sz w:val="24"/>
          <w:szCs w:val="24"/>
        </w:rPr>
        <w:t>Al riguardo, per quanto attiene alle esigenze manifestate dalle grandi stazioni appaltanti si elencano di seguito le principali criticità segnalate:</w:t>
      </w:r>
    </w:p>
    <w:p w:rsidR="00D46BCD" w:rsidRPr="00D46BCD" w:rsidRDefault="00D46BCD" w:rsidP="00D46BCD">
      <w:pPr>
        <w:numPr>
          <w:ilvl w:val="0"/>
          <w:numId w:val="1"/>
        </w:numPr>
        <w:spacing w:after="0" w:line="200" w:lineRule="atLeast"/>
        <w:contextualSpacing/>
        <w:jc w:val="both"/>
        <w:rPr>
          <w:rFonts w:ascii="Times New Roman" w:hAnsi="Times New Roman" w:cs="Times New Roman"/>
          <w:sz w:val="24"/>
          <w:szCs w:val="24"/>
        </w:rPr>
      </w:pPr>
      <w:r w:rsidRPr="00D46BCD">
        <w:rPr>
          <w:rFonts w:ascii="Times New Roman" w:hAnsi="Times New Roman" w:cs="Times New Roman"/>
          <w:sz w:val="24"/>
          <w:szCs w:val="24"/>
        </w:rPr>
        <w:t>l’assenza di disposizioni per superare la lungaggine dei tempi necessari per la risoluzione delle interferenze da parte degli enti gestori di reti ed impianti;</w:t>
      </w:r>
    </w:p>
    <w:p w:rsidR="00D46BCD" w:rsidRPr="00D46BCD" w:rsidRDefault="00D46BCD" w:rsidP="00D46BCD">
      <w:pPr>
        <w:numPr>
          <w:ilvl w:val="0"/>
          <w:numId w:val="1"/>
        </w:numPr>
        <w:spacing w:after="0" w:line="200" w:lineRule="atLeast"/>
        <w:contextualSpacing/>
        <w:jc w:val="both"/>
        <w:rPr>
          <w:rFonts w:ascii="Times New Roman" w:hAnsi="Times New Roman" w:cs="Times New Roman"/>
          <w:sz w:val="24"/>
          <w:szCs w:val="24"/>
        </w:rPr>
      </w:pPr>
      <w:r w:rsidRPr="00D46BCD">
        <w:rPr>
          <w:rFonts w:ascii="Times New Roman" w:hAnsi="Times New Roman" w:cs="Times New Roman"/>
          <w:sz w:val="24"/>
          <w:szCs w:val="24"/>
        </w:rPr>
        <w:t>la necessità di rivedere i meccanismi di individuazione della soglia di anomalia;</w:t>
      </w:r>
    </w:p>
    <w:p w:rsidR="00D46BCD" w:rsidRPr="00D46BCD" w:rsidRDefault="00D46BCD" w:rsidP="00D46BCD">
      <w:pPr>
        <w:numPr>
          <w:ilvl w:val="0"/>
          <w:numId w:val="1"/>
        </w:numPr>
        <w:spacing w:after="0" w:line="200" w:lineRule="atLeast"/>
        <w:contextualSpacing/>
        <w:jc w:val="both"/>
        <w:rPr>
          <w:rFonts w:ascii="Times New Roman" w:hAnsi="Times New Roman" w:cs="Times New Roman"/>
          <w:sz w:val="24"/>
          <w:szCs w:val="24"/>
        </w:rPr>
      </w:pPr>
      <w:r w:rsidRPr="00D46BCD">
        <w:rPr>
          <w:rFonts w:ascii="Times New Roman" w:hAnsi="Times New Roman" w:cs="Times New Roman"/>
          <w:sz w:val="24"/>
          <w:szCs w:val="24"/>
        </w:rPr>
        <w:t>le limitazioni previste dal Codice circa il ricorso al criterio del prezzo più basso;</w:t>
      </w:r>
    </w:p>
    <w:p w:rsidR="00D46BCD" w:rsidRPr="00D46BCD" w:rsidRDefault="00D46BCD" w:rsidP="00D46BCD">
      <w:pPr>
        <w:numPr>
          <w:ilvl w:val="0"/>
          <w:numId w:val="1"/>
        </w:numPr>
        <w:spacing w:after="0" w:line="200" w:lineRule="atLeast"/>
        <w:contextualSpacing/>
        <w:jc w:val="both"/>
        <w:rPr>
          <w:rFonts w:ascii="Times New Roman" w:hAnsi="Times New Roman" w:cs="Times New Roman"/>
          <w:sz w:val="24"/>
          <w:szCs w:val="24"/>
        </w:rPr>
      </w:pPr>
      <w:r w:rsidRPr="00D46BCD">
        <w:rPr>
          <w:rFonts w:ascii="Times New Roman" w:hAnsi="Times New Roman" w:cs="Times New Roman"/>
          <w:sz w:val="24"/>
          <w:szCs w:val="24"/>
        </w:rPr>
        <w:t>l’appesantimento degli obblighi di pubblicazione;</w:t>
      </w:r>
    </w:p>
    <w:p w:rsidR="00D46BCD" w:rsidRPr="00D46BCD" w:rsidRDefault="00D46BCD" w:rsidP="00D46BCD">
      <w:pPr>
        <w:numPr>
          <w:ilvl w:val="0"/>
          <w:numId w:val="1"/>
        </w:numPr>
        <w:spacing w:after="0" w:line="200" w:lineRule="atLeast"/>
        <w:contextualSpacing/>
        <w:jc w:val="both"/>
        <w:rPr>
          <w:rFonts w:ascii="Times New Roman" w:hAnsi="Times New Roman" w:cs="Times New Roman"/>
          <w:sz w:val="24"/>
          <w:szCs w:val="24"/>
        </w:rPr>
      </w:pPr>
      <w:r w:rsidRPr="00D46BCD">
        <w:rPr>
          <w:rFonts w:ascii="Times New Roman" w:hAnsi="Times New Roman" w:cs="Times New Roman"/>
          <w:sz w:val="24"/>
          <w:szCs w:val="24"/>
        </w:rPr>
        <w:t>la verifica dei motivi di esclusione dei subappaltatori in sede di offerta ed in generale la complessità della gestione del subappalto;</w:t>
      </w:r>
    </w:p>
    <w:p w:rsidR="00D46BCD" w:rsidRDefault="00D46BCD" w:rsidP="00D46BCD">
      <w:pPr>
        <w:numPr>
          <w:ilvl w:val="0"/>
          <w:numId w:val="1"/>
        </w:numPr>
        <w:spacing w:after="0" w:line="200" w:lineRule="atLeast"/>
        <w:contextualSpacing/>
        <w:jc w:val="both"/>
        <w:rPr>
          <w:rFonts w:ascii="Times New Roman" w:hAnsi="Times New Roman" w:cs="Times New Roman"/>
          <w:sz w:val="24"/>
          <w:szCs w:val="24"/>
        </w:rPr>
      </w:pPr>
      <w:r w:rsidRPr="00D46BCD">
        <w:rPr>
          <w:rFonts w:ascii="Times New Roman" w:hAnsi="Times New Roman" w:cs="Times New Roman"/>
          <w:sz w:val="24"/>
          <w:szCs w:val="24"/>
        </w:rPr>
        <w:t>la rigidità delle disposizioni riguardanti le commissioni di gara.</w:t>
      </w:r>
    </w:p>
    <w:p w:rsidR="002927B8" w:rsidRPr="00D46BCD" w:rsidRDefault="002927B8" w:rsidP="002927B8">
      <w:pPr>
        <w:spacing w:after="0" w:line="200" w:lineRule="atLeast"/>
        <w:ind w:left="720"/>
        <w:contextualSpacing/>
        <w:jc w:val="both"/>
        <w:rPr>
          <w:rFonts w:ascii="Times New Roman" w:hAnsi="Times New Roman" w:cs="Times New Roman"/>
          <w:sz w:val="24"/>
          <w:szCs w:val="24"/>
        </w:rPr>
      </w:pPr>
    </w:p>
    <w:p w:rsidR="00D46BCD" w:rsidRDefault="00D46BCD" w:rsidP="00D46BCD">
      <w:pPr>
        <w:spacing w:after="0" w:line="200" w:lineRule="atLeast"/>
        <w:ind w:firstLine="567"/>
        <w:jc w:val="both"/>
        <w:rPr>
          <w:rFonts w:ascii="Times New Roman" w:hAnsi="Times New Roman" w:cs="Times New Roman"/>
          <w:sz w:val="24"/>
          <w:szCs w:val="24"/>
        </w:rPr>
      </w:pPr>
      <w:r w:rsidRPr="00D46BCD">
        <w:rPr>
          <w:rFonts w:ascii="Times New Roman" w:hAnsi="Times New Roman" w:cs="Times New Roman"/>
          <w:sz w:val="24"/>
          <w:szCs w:val="24"/>
        </w:rPr>
        <w:t>Con riferimento alle osservazioni espresse dai rappresentanti delle Regioni, delle Province e dei Comuni le principali criticità riscontrate riguardano:</w:t>
      </w:r>
    </w:p>
    <w:p w:rsidR="002927B8" w:rsidRPr="00D46BCD" w:rsidRDefault="002927B8" w:rsidP="00D46BCD">
      <w:pPr>
        <w:spacing w:after="0" w:line="200" w:lineRule="atLeast"/>
        <w:ind w:firstLine="567"/>
        <w:jc w:val="both"/>
        <w:rPr>
          <w:rFonts w:ascii="Times New Roman" w:hAnsi="Times New Roman" w:cs="Times New Roman"/>
          <w:sz w:val="24"/>
          <w:szCs w:val="24"/>
        </w:rPr>
      </w:pPr>
    </w:p>
    <w:p w:rsidR="00D46BCD" w:rsidRPr="00D46BCD" w:rsidRDefault="00D46BCD" w:rsidP="00D46BCD">
      <w:pPr>
        <w:numPr>
          <w:ilvl w:val="0"/>
          <w:numId w:val="1"/>
        </w:numPr>
        <w:spacing w:after="0" w:line="200" w:lineRule="atLeast"/>
        <w:contextualSpacing/>
        <w:jc w:val="both"/>
        <w:rPr>
          <w:rFonts w:ascii="Times New Roman" w:hAnsi="Times New Roman" w:cs="Times New Roman"/>
          <w:sz w:val="24"/>
          <w:szCs w:val="24"/>
        </w:rPr>
      </w:pPr>
      <w:r w:rsidRPr="00D46BCD">
        <w:rPr>
          <w:rFonts w:ascii="Times New Roman" w:hAnsi="Times New Roman" w:cs="Times New Roman"/>
          <w:sz w:val="24"/>
          <w:szCs w:val="24"/>
        </w:rPr>
        <w:t>la disciplina del subappalto;</w:t>
      </w:r>
    </w:p>
    <w:p w:rsidR="00D46BCD" w:rsidRPr="00D46BCD" w:rsidRDefault="00D46BCD" w:rsidP="00D46BCD">
      <w:pPr>
        <w:numPr>
          <w:ilvl w:val="0"/>
          <w:numId w:val="1"/>
        </w:numPr>
        <w:spacing w:after="0" w:line="200" w:lineRule="atLeast"/>
        <w:contextualSpacing/>
        <w:jc w:val="both"/>
        <w:rPr>
          <w:rFonts w:ascii="Times New Roman" w:hAnsi="Times New Roman" w:cs="Times New Roman"/>
          <w:sz w:val="24"/>
          <w:szCs w:val="24"/>
        </w:rPr>
      </w:pPr>
      <w:r w:rsidRPr="00D46BCD">
        <w:rPr>
          <w:rFonts w:ascii="Times New Roman" w:hAnsi="Times New Roman" w:cs="Times New Roman"/>
          <w:sz w:val="24"/>
          <w:szCs w:val="24"/>
        </w:rPr>
        <w:t>la verifica dei requisiti per gli affidamenti sotto soglia;</w:t>
      </w:r>
    </w:p>
    <w:p w:rsidR="00D46BCD" w:rsidRPr="00D46BCD" w:rsidRDefault="00D46BCD" w:rsidP="00D46BCD">
      <w:pPr>
        <w:numPr>
          <w:ilvl w:val="0"/>
          <w:numId w:val="1"/>
        </w:numPr>
        <w:spacing w:after="0" w:line="200" w:lineRule="atLeast"/>
        <w:contextualSpacing/>
        <w:jc w:val="both"/>
        <w:rPr>
          <w:rFonts w:ascii="Times New Roman" w:hAnsi="Times New Roman" w:cs="Times New Roman"/>
          <w:sz w:val="24"/>
          <w:szCs w:val="24"/>
        </w:rPr>
      </w:pPr>
      <w:r w:rsidRPr="00D46BCD">
        <w:rPr>
          <w:rFonts w:ascii="Times New Roman" w:hAnsi="Times New Roman" w:cs="Times New Roman"/>
          <w:sz w:val="24"/>
          <w:szCs w:val="24"/>
        </w:rPr>
        <w:t>il soccorso istruttorio;</w:t>
      </w:r>
    </w:p>
    <w:p w:rsidR="00D46BCD" w:rsidRPr="00D46BCD" w:rsidRDefault="00D46BCD" w:rsidP="00D46BCD">
      <w:pPr>
        <w:numPr>
          <w:ilvl w:val="0"/>
          <w:numId w:val="1"/>
        </w:numPr>
        <w:spacing w:after="0" w:line="200" w:lineRule="atLeast"/>
        <w:contextualSpacing/>
        <w:jc w:val="both"/>
        <w:rPr>
          <w:rFonts w:ascii="Times New Roman" w:hAnsi="Times New Roman" w:cs="Times New Roman"/>
          <w:sz w:val="24"/>
          <w:szCs w:val="24"/>
        </w:rPr>
      </w:pPr>
      <w:r w:rsidRPr="00D46BCD">
        <w:rPr>
          <w:rFonts w:ascii="Times New Roman" w:hAnsi="Times New Roman" w:cs="Times New Roman"/>
          <w:sz w:val="24"/>
          <w:szCs w:val="24"/>
        </w:rPr>
        <w:t>le garanzie per la partecipazione alle procedure;</w:t>
      </w:r>
    </w:p>
    <w:p w:rsidR="00D46BCD" w:rsidRPr="00D46BCD" w:rsidRDefault="00D46BCD" w:rsidP="00D46BCD">
      <w:pPr>
        <w:numPr>
          <w:ilvl w:val="0"/>
          <w:numId w:val="1"/>
        </w:numPr>
        <w:spacing w:after="0" w:line="200" w:lineRule="atLeast"/>
        <w:contextualSpacing/>
        <w:jc w:val="both"/>
        <w:rPr>
          <w:rFonts w:ascii="Times New Roman" w:hAnsi="Times New Roman" w:cs="Times New Roman"/>
          <w:sz w:val="24"/>
          <w:szCs w:val="24"/>
        </w:rPr>
      </w:pPr>
      <w:r w:rsidRPr="00D46BCD">
        <w:rPr>
          <w:rFonts w:ascii="Times New Roman" w:hAnsi="Times New Roman" w:cs="Times New Roman"/>
          <w:sz w:val="24"/>
          <w:szCs w:val="24"/>
        </w:rPr>
        <w:t>l’esecuzione del contratto;</w:t>
      </w:r>
    </w:p>
    <w:p w:rsidR="00D46BCD" w:rsidRPr="00D46BCD" w:rsidRDefault="00D46BCD" w:rsidP="00D46BCD">
      <w:pPr>
        <w:numPr>
          <w:ilvl w:val="0"/>
          <w:numId w:val="1"/>
        </w:numPr>
        <w:spacing w:after="0" w:line="200" w:lineRule="atLeast"/>
        <w:contextualSpacing/>
        <w:jc w:val="both"/>
        <w:rPr>
          <w:rFonts w:ascii="Times New Roman" w:hAnsi="Times New Roman" w:cs="Times New Roman"/>
          <w:sz w:val="24"/>
          <w:szCs w:val="24"/>
        </w:rPr>
      </w:pPr>
      <w:r w:rsidRPr="00D46BCD">
        <w:rPr>
          <w:rFonts w:ascii="Times New Roman" w:hAnsi="Times New Roman" w:cs="Times New Roman"/>
          <w:sz w:val="24"/>
          <w:szCs w:val="24"/>
        </w:rPr>
        <w:t>i metodi di individuazione della soglia di anomalia;</w:t>
      </w:r>
    </w:p>
    <w:p w:rsidR="00D46BCD" w:rsidRPr="00D46BCD" w:rsidRDefault="00D46BCD" w:rsidP="00D46BCD">
      <w:pPr>
        <w:numPr>
          <w:ilvl w:val="0"/>
          <w:numId w:val="1"/>
        </w:numPr>
        <w:spacing w:after="0" w:line="200" w:lineRule="atLeast"/>
        <w:contextualSpacing/>
        <w:jc w:val="both"/>
        <w:rPr>
          <w:rFonts w:ascii="Times New Roman" w:hAnsi="Times New Roman" w:cs="Times New Roman"/>
          <w:sz w:val="24"/>
          <w:szCs w:val="24"/>
        </w:rPr>
      </w:pPr>
      <w:r w:rsidRPr="00D46BCD">
        <w:rPr>
          <w:rFonts w:ascii="Times New Roman" w:hAnsi="Times New Roman" w:cs="Times New Roman"/>
          <w:sz w:val="24"/>
          <w:szCs w:val="24"/>
        </w:rPr>
        <w:t>l’applicazione delle disposizioni riguardanti la progettazione esecutiva per gli interventi di manutenzione;</w:t>
      </w:r>
    </w:p>
    <w:p w:rsidR="00D46BCD" w:rsidRDefault="00D46BCD" w:rsidP="00D46BCD">
      <w:pPr>
        <w:numPr>
          <w:ilvl w:val="0"/>
          <w:numId w:val="1"/>
        </w:numPr>
        <w:spacing w:after="0" w:line="200" w:lineRule="atLeast"/>
        <w:contextualSpacing/>
        <w:jc w:val="both"/>
        <w:rPr>
          <w:rFonts w:ascii="Times New Roman" w:hAnsi="Times New Roman" w:cs="Times New Roman"/>
          <w:sz w:val="24"/>
          <w:szCs w:val="24"/>
        </w:rPr>
      </w:pPr>
      <w:r w:rsidRPr="00D46BCD">
        <w:rPr>
          <w:rFonts w:ascii="Times New Roman" w:hAnsi="Times New Roman" w:cs="Times New Roman"/>
          <w:sz w:val="24"/>
          <w:szCs w:val="24"/>
        </w:rPr>
        <w:t>le procedure in caso di somma u</w:t>
      </w:r>
      <w:r w:rsidR="002927B8">
        <w:rPr>
          <w:rFonts w:ascii="Times New Roman" w:hAnsi="Times New Roman" w:cs="Times New Roman"/>
          <w:sz w:val="24"/>
          <w:szCs w:val="24"/>
        </w:rPr>
        <w:t>rgenza e di protezione civile.</w:t>
      </w:r>
    </w:p>
    <w:p w:rsidR="002927B8" w:rsidRPr="00D46BCD" w:rsidRDefault="002927B8" w:rsidP="002927B8">
      <w:pPr>
        <w:spacing w:after="0" w:line="200" w:lineRule="atLeast"/>
        <w:ind w:left="720"/>
        <w:contextualSpacing/>
        <w:jc w:val="both"/>
        <w:rPr>
          <w:rFonts w:ascii="Times New Roman" w:hAnsi="Times New Roman" w:cs="Times New Roman"/>
          <w:sz w:val="24"/>
          <w:szCs w:val="24"/>
        </w:rPr>
      </w:pPr>
    </w:p>
    <w:p w:rsidR="00D46BCD" w:rsidRDefault="00D46BCD" w:rsidP="00D46BCD">
      <w:pPr>
        <w:spacing w:after="0" w:line="200" w:lineRule="atLeast"/>
        <w:ind w:firstLine="567"/>
        <w:jc w:val="both"/>
        <w:rPr>
          <w:rFonts w:ascii="Times New Roman" w:hAnsi="Times New Roman" w:cs="Times New Roman"/>
          <w:sz w:val="24"/>
          <w:szCs w:val="24"/>
        </w:rPr>
      </w:pPr>
      <w:r w:rsidRPr="00D46BCD">
        <w:rPr>
          <w:rFonts w:ascii="Times New Roman" w:hAnsi="Times New Roman" w:cs="Times New Roman"/>
          <w:sz w:val="24"/>
          <w:szCs w:val="24"/>
        </w:rPr>
        <w:t>Per quanto concerne le osservazioni delle associazioni di categoria degli operatori economici, le principali criticità segnalate riguardano:</w:t>
      </w:r>
    </w:p>
    <w:p w:rsidR="002927B8" w:rsidRPr="00D46BCD" w:rsidRDefault="002927B8" w:rsidP="00D46BCD">
      <w:pPr>
        <w:spacing w:after="0" w:line="200" w:lineRule="atLeast"/>
        <w:ind w:firstLine="567"/>
        <w:jc w:val="both"/>
        <w:rPr>
          <w:rFonts w:ascii="Times New Roman" w:hAnsi="Times New Roman" w:cs="Times New Roman"/>
          <w:sz w:val="24"/>
          <w:szCs w:val="24"/>
        </w:rPr>
      </w:pPr>
    </w:p>
    <w:p w:rsidR="00D46BCD" w:rsidRPr="00D46BCD" w:rsidRDefault="00D46BCD" w:rsidP="00D46BCD">
      <w:pPr>
        <w:numPr>
          <w:ilvl w:val="0"/>
          <w:numId w:val="1"/>
        </w:numPr>
        <w:spacing w:after="0" w:line="200" w:lineRule="atLeast"/>
        <w:contextualSpacing/>
        <w:jc w:val="both"/>
        <w:rPr>
          <w:rFonts w:ascii="Times New Roman" w:hAnsi="Times New Roman" w:cs="Times New Roman"/>
          <w:sz w:val="24"/>
          <w:szCs w:val="24"/>
        </w:rPr>
      </w:pPr>
      <w:r w:rsidRPr="00D46BCD">
        <w:rPr>
          <w:rFonts w:ascii="Times New Roman" w:hAnsi="Times New Roman" w:cs="Times New Roman"/>
          <w:sz w:val="24"/>
          <w:szCs w:val="24"/>
        </w:rPr>
        <w:t>il subappalto;</w:t>
      </w:r>
    </w:p>
    <w:p w:rsidR="00D46BCD" w:rsidRPr="00D46BCD" w:rsidRDefault="00D46BCD" w:rsidP="00D46BCD">
      <w:pPr>
        <w:numPr>
          <w:ilvl w:val="0"/>
          <w:numId w:val="1"/>
        </w:numPr>
        <w:spacing w:after="0" w:line="200" w:lineRule="atLeast"/>
        <w:contextualSpacing/>
        <w:jc w:val="both"/>
        <w:rPr>
          <w:rFonts w:ascii="Times New Roman" w:hAnsi="Times New Roman" w:cs="Times New Roman"/>
          <w:sz w:val="24"/>
          <w:szCs w:val="24"/>
        </w:rPr>
      </w:pPr>
      <w:r w:rsidRPr="00D46BCD">
        <w:rPr>
          <w:rFonts w:ascii="Times New Roman" w:hAnsi="Times New Roman" w:cs="Times New Roman"/>
          <w:sz w:val="24"/>
          <w:szCs w:val="24"/>
        </w:rPr>
        <w:t>i criteri di aggiudicazione;</w:t>
      </w:r>
    </w:p>
    <w:p w:rsidR="00D46BCD" w:rsidRPr="00D46BCD" w:rsidRDefault="00D46BCD" w:rsidP="00D46BCD">
      <w:pPr>
        <w:numPr>
          <w:ilvl w:val="0"/>
          <w:numId w:val="1"/>
        </w:numPr>
        <w:spacing w:after="0" w:line="200" w:lineRule="atLeast"/>
        <w:contextualSpacing/>
        <w:jc w:val="both"/>
        <w:rPr>
          <w:rFonts w:ascii="Times New Roman" w:hAnsi="Times New Roman" w:cs="Times New Roman"/>
          <w:sz w:val="24"/>
          <w:szCs w:val="24"/>
        </w:rPr>
      </w:pPr>
      <w:r w:rsidRPr="00D46BCD">
        <w:rPr>
          <w:rFonts w:ascii="Times New Roman" w:hAnsi="Times New Roman" w:cs="Times New Roman"/>
          <w:sz w:val="24"/>
          <w:szCs w:val="24"/>
        </w:rPr>
        <w:t>l’esclusione automatica delle offerte anomale;</w:t>
      </w:r>
    </w:p>
    <w:p w:rsidR="00D46BCD" w:rsidRPr="00D46BCD" w:rsidRDefault="00D46BCD" w:rsidP="00D46BCD">
      <w:pPr>
        <w:numPr>
          <w:ilvl w:val="0"/>
          <w:numId w:val="1"/>
        </w:numPr>
        <w:spacing w:after="0" w:line="200" w:lineRule="atLeast"/>
        <w:contextualSpacing/>
        <w:jc w:val="both"/>
        <w:rPr>
          <w:rFonts w:ascii="Times New Roman" w:hAnsi="Times New Roman" w:cs="Times New Roman"/>
          <w:sz w:val="24"/>
          <w:szCs w:val="24"/>
        </w:rPr>
      </w:pPr>
      <w:r w:rsidRPr="00D46BCD">
        <w:rPr>
          <w:rFonts w:ascii="Times New Roman" w:hAnsi="Times New Roman" w:cs="Times New Roman"/>
          <w:sz w:val="24"/>
          <w:szCs w:val="24"/>
        </w:rPr>
        <w:lastRenderedPageBreak/>
        <w:t>il divieto di appalto integrato;</w:t>
      </w:r>
    </w:p>
    <w:p w:rsidR="00D46BCD" w:rsidRPr="00D46BCD" w:rsidRDefault="00D46BCD" w:rsidP="00D46BCD">
      <w:pPr>
        <w:numPr>
          <w:ilvl w:val="0"/>
          <w:numId w:val="1"/>
        </w:numPr>
        <w:spacing w:after="0" w:line="200" w:lineRule="atLeast"/>
        <w:contextualSpacing/>
        <w:jc w:val="both"/>
        <w:rPr>
          <w:rFonts w:ascii="Times New Roman" w:hAnsi="Times New Roman" w:cs="Times New Roman"/>
          <w:sz w:val="24"/>
          <w:szCs w:val="24"/>
        </w:rPr>
      </w:pPr>
      <w:r w:rsidRPr="00D46BCD">
        <w:rPr>
          <w:rFonts w:ascii="Times New Roman" w:hAnsi="Times New Roman" w:cs="Times New Roman"/>
          <w:sz w:val="24"/>
          <w:szCs w:val="24"/>
        </w:rPr>
        <w:t>le opere di urbanizzazione a scomputo;</w:t>
      </w:r>
    </w:p>
    <w:p w:rsidR="00D46BCD" w:rsidRPr="00D46BCD" w:rsidRDefault="00D46BCD" w:rsidP="00D46BCD">
      <w:pPr>
        <w:numPr>
          <w:ilvl w:val="0"/>
          <w:numId w:val="1"/>
        </w:numPr>
        <w:autoSpaceDE w:val="0"/>
        <w:autoSpaceDN w:val="0"/>
        <w:adjustRightInd w:val="0"/>
        <w:spacing w:after="0" w:line="200" w:lineRule="atLeast"/>
        <w:contextualSpacing/>
        <w:jc w:val="both"/>
        <w:rPr>
          <w:rFonts w:ascii="Times New Roman" w:hAnsi="Times New Roman" w:cs="Times New Roman"/>
          <w:sz w:val="24"/>
          <w:szCs w:val="24"/>
        </w:rPr>
      </w:pPr>
      <w:r w:rsidRPr="00D46BCD">
        <w:rPr>
          <w:rFonts w:ascii="Times New Roman" w:hAnsi="Times New Roman" w:cs="Times New Roman"/>
          <w:sz w:val="24"/>
          <w:szCs w:val="24"/>
        </w:rPr>
        <w:t xml:space="preserve">il rischio e l’equilibrio economico-finanziario nelle concessioni. </w:t>
      </w:r>
    </w:p>
    <w:p w:rsidR="00D46BCD" w:rsidRPr="00D46BCD" w:rsidRDefault="00D46BCD" w:rsidP="00D46BCD">
      <w:pPr>
        <w:spacing w:after="0" w:line="200" w:lineRule="atLeast"/>
        <w:ind w:firstLine="567"/>
        <w:jc w:val="both"/>
        <w:rPr>
          <w:rFonts w:ascii="Times New Roman" w:hAnsi="Times New Roman" w:cs="Times New Roman"/>
          <w:sz w:val="24"/>
          <w:szCs w:val="24"/>
        </w:rPr>
      </w:pPr>
    </w:p>
    <w:p w:rsidR="00D46BCD" w:rsidRDefault="0011237A" w:rsidP="00AC7F02">
      <w:pPr>
        <w:keepNext/>
        <w:keepLines/>
        <w:numPr>
          <w:ilvl w:val="1"/>
          <w:numId w:val="30"/>
        </w:numPr>
        <w:spacing w:before="200" w:after="0" w:line="240" w:lineRule="auto"/>
        <w:ind w:left="426" w:hanging="426"/>
        <w:contextualSpacing/>
        <w:outlineLvl w:val="2"/>
        <w:rPr>
          <w:rFonts w:ascii="Times New Roman" w:eastAsiaTheme="majorEastAsia" w:hAnsi="Times New Roman" w:cs="Times New Roman"/>
          <w:b/>
          <w:bCs/>
          <w:sz w:val="24"/>
          <w:szCs w:val="24"/>
          <w:lang w:eastAsia="it-IT"/>
        </w:rPr>
      </w:pPr>
      <w:r>
        <w:rPr>
          <w:rFonts w:ascii="Times New Roman" w:eastAsiaTheme="majorEastAsia" w:hAnsi="Times New Roman" w:cs="Times New Roman"/>
          <w:b/>
          <w:bCs/>
          <w:sz w:val="24"/>
          <w:szCs w:val="24"/>
          <w:lang w:eastAsia="it-IT"/>
        </w:rPr>
        <w:t>C</w:t>
      </w:r>
      <w:r w:rsidRPr="0011237A">
        <w:rPr>
          <w:rFonts w:ascii="Times New Roman" w:eastAsiaTheme="majorEastAsia" w:hAnsi="Times New Roman" w:cs="Times New Roman"/>
          <w:b/>
          <w:bCs/>
          <w:sz w:val="24"/>
          <w:szCs w:val="24"/>
          <w:lang w:eastAsia="it-IT"/>
        </w:rPr>
        <w:t>onsultazione dei RUP delle stazioni appaltanti</w:t>
      </w:r>
    </w:p>
    <w:p w:rsidR="0011237A" w:rsidRPr="0011237A" w:rsidRDefault="0011237A" w:rsidP="0011237A">
      <w:pPr>
        <w:keepNext/>
        <w:keepLines/>
        <w:spacing w:before="200" w:after="0" w:line="240" w:lineRule="auto"/>
        <w:contextualSpacing/>
        <w:outlineLvl w:val="2"/>
        <w:rPr>
          <w:rFonts w:ascii="Times New Roman" w:eastAsiaTheme="majorEastAsia" w:hAnsi="Times New Roman" w:cs="Times New Roman"/>
          <w:b/>
          <w:bCs/>
          <w:sz w:val="24"/>
          <w:szCs w:val="24"/>
          <w:lang w:eastAsia="it-IT"/>
        </w:rPr>
      </w:pPr>
    </w:p>
    <w:p w:rsidR="00D46BCD" w:rsidRPr="00D46BCD" w:rsidRDefault="00D82A08" w:rsidP="002927B8">
      <w:pPr>
        <w:jc w:val="both"/>
        <w:rPr>
          <w:rFonts w:ascii="Times New Roman" w:hAnsi="Times New Roman" w:cs="Times New Roman"/>
          <w:sz w:val="24"/>
          <w:szCs w:val="24"/>
        </w:rPr>
      </w:pPr>
      <w:r>
        <w:rPr>
          <w:rFonts w:ascii="Times New Roman" w:hAnsi="Times New Roman" w:cs="Times New Roman"/>
          <w:sz w:val="24"/>
          <w:szCs w:val="24"/>
        </w:rPr>
        <w:t>L</w:t>
      </w:r>
      <w:r w:rsidR="00D46BCD" w:rsidRPr="00D46BCD">
        <w:rPr>
          <w:rFonts w:ascii="Times New Roman" w:hAnsi="Times New Roman" w:cs="Times New Roman"/>
          <w:sz w:val="24"/>
          <w:szCs w:val="24"/>
        </w:rPr>
        <w:t xml:space="preserve">a </w:t>
      </w:r>
      <w:r>
        <w:rPr>
          <w:rFonts w:ascii="Times New Roman" w:hAnsi="Times New Roman" w:cs="Times New Roman"/>
          <w:sz w:val="24"/>
          <w:szCs w:val="24"/>
        </w:rPr>
        <w:t xml:space="preserve">suddetta </w:t>
      </w:r>
      <w:r w:rsidR="00D46BCD" w:rsidRPr="00D46BCD">
        <w:rPr>
          <w:rFonts w:ascii="Times New Roman" w:hAnsi="Times New Roman" w:cs="Times New Roman"/>
          <w:sz w:val="24"/>
          <w:szCs w:val="24"/>
        </w:rPr>
        <w:t xml:space="preserve">Cabina di regia </w:t>
      </w:r>
      <w:r w:rsidR="00D46BCD" w:rsidRPr="002927B8">
        <w:rPr>
          <w:rFonts w:ascii="Times New Roman" w:hAnsi="Times New Roman" w:cs="Times New Roman"/>
          <w:sz w:val="24"/>
          <w:szCs w:val="24"/>
        </w:rPr>
        <w:t>ex</w:t>
      </w:r>
      <w:r w:rsidR="00D46BCD" w:rsidRPr="00D46BCD">
        <w:rPr>
          <w:rFonts w:ascii="Times New Roman" w:hAnsi="Times New Roman" w:cs="Times New Roman"/>
          <w:sz w:val="24"/>
          <w:szCs w:val="24"/>
        </w:rPr>
        <w:t xml:space="preserve"> articolo 212 del </w:t>
      </w:r>
      <w:r w:rsidR="002927B8">
        <w:rPr>
          <w:rFonts w:ascii="Times New Roman" w:hAnsi="Times New Roman" w:cs="Times New Roman"/>
          <w:sz w:val="24"/>
          <w:szCs w:val="24"/>
        </w:rPr>
        <w:t>c</w:t>
      </w:r>
      <w:r w:rsidR="00D46BCD" w:rsidRPr="00D46BCD">
        <w:rPr>
          <w:rFonts w:ascii="Times New Roman" w:hAnsi="Times New Roman" w:cs="Times New Roman"/>
          <w:sz w:val="24"/>
          <w:szCs w:val="24"/>
        </w:rPr>
        <w:t xml:space="preserve">odice ha effettuato una ricognizione sullo stato di attuazione del </w:t>
      </w:r>
      <w:r w:rsidR="002927B8">
        <w:rPr>
          <w:rFonts w:ascii="Times New Roman" w:hAnsi="Times New Roman" w:cs="Times New Roman"/>
          <w:sz w:val="24"/>
          <w:szCs w:val="24"/>
        </w:rPr>
        <w:t>c</w:t>
      </w:r>
      <w:r w:rsidR="00D46BCD" w:rsidRPr="00D46BCD">
        <w:rPr>
          <w:rFonts w:ascii="Times New Roman" w:hAnsi="Times New Roman" w:cs="Times New Roman"/>
          <w:sz w:val="24"/>
          <w:szCs w:val="24"/>
        </w:rPr>
        <w:t>odice stesso, nonché delle difficoltà riscontrate dalle stazioni appaltanti nella fase di applicazione, al fine di proporre eventuali soluzioni correttive e di miglioramento, attraverso una consultazione rivolta ai RUP delle stazioni appaltanti.</w:t>
      </w:r>
    </w:p>
    <w:p w:rsidR="00D46BCD" w:rsidRPr="00D46BCD" w:rsidRDefault="00D46BCD" w:rsidP="002927B8">
      <w:pPr>
        <w:jc w:val="both"/>
        <w:rPr>
          <w:rFonts w:ascii="Times New Roman" w:hAnsi="Times New Roman" w:cs="Times New Roman"/>
          <w:sz w:val="24"/>
          <w:szCs w:val="24"/>
        </w:rPr>
      </w:pPr>
      <w:r w:rsidRPr="00D46BCD">
        <w:rPr>
          <w:rFonts w:ascii="Times New Roman" w:hAnsi="Times New Roman" w:cs="Times New Roman"/>
          <w:sz w:val="24"/>
          <w:szCs w:val="24"/>
        </w:rPr>
        <w:t xml:space="preserve">La suddetta consultazione è stata svolta attraverso l’invio di un apposito questionario, indirizzato a ciascun RUP registrato nella banca dati SIMOG dell’ANAC, nel quale sono state rivolte domande sulle potenziali difficoltà di applicazione del </w:t>
      </w:r>
      <w:r w:rsidR="002927B8">
        <w:rPr>
          <w:rFonts w:ascii="Times New Roman" w:hAnsi="Times New Roman" w:cs="Times New Roman"/>
          <w:sz w:val="24"/>
          <w:szCs w:val="24"/>
        </w:rPr>
        <w:t>c</w:t>
      </w:r>
      <w:r w:rsidRPr="00D46BCD">
        <w:rPr>
          <w:rFonts w:ascii="Times New Roman" w:hAnsi="Times New Roman" w:cs="Times New Roman"/>
          <w:sz w:val="24"/>
          <w:szCs w:val="24"/>
        </w:rPr>
        <w:t>odice relativamente alle disposizioni di seguito elencate, oltre a lasciare la possibilità al RUP di indicare due ulteriori segnalazioni a tema libero:</w:t>
      </w:r>
    </w:p>
    <w:p w:rsidR="00D46BCD" w:rsidRPr="00D46BCD" w:rsidRDefault="0036773D" w:rsidP="00D46BCD">
      <w:pPr>
        <w:numPr>
          <w:ilvl w:val="0"/>
          <w:numId w:val="2"/>
        </w:numPr>
        <w:spacing w:after="0" w:line="200" w:lineRule="atLeast"/>
        <w:ind w:left="567" w:hanging="567"/>
        <w:contextualSpacing/>
        <w:jc w:val="both"/>
        <w:rPr>
          <w:rFonts w:ascii="Times New Roman" w:hAnsi="Times New Roman" w:cs="Times New Roman"/>
          <w:sz w:val="24"/>
          <w:szCs w:val="24"/>
        </w:rPr>
      </w:pPr>
      <w:r>
        <w:rPr>
          <w:rFonts w:ascii="Times New Roman" w:hAnsi="Times New Roman" w:cs="Times New Roman"/>
          <w:sz w:val="24"/>
          <w:szCs w:val="24"/>
        </w:rPr>
        <w:t>c</w:t>
      </w:r>
      <w:r w:rsidR="00D46BCD" w:rsidRPr="00D46BCD">
        <w:rPr>
          <w:rFonts w:ascii="Times New Roman" w:hAnsi="Times New Roman" w:cs="Times New Roman"/>
          <w:sz w:val="24"/>
          <w:szCs w:val="24"/>
        </w:rPr>
        <w:t>ontenuto polizze (artt. 24, 31, 103 e 104);</w:t>
      </w:r>
    </w:p>
    <w:p w:rsidR="00D46BCD" w:rsidRPr="00D46BCD" w:rsidRDefault="0036773D" w:rsidP="00D46BCD">
      <w:pPr>
        <w:numPr>
          <w:ilvl w:val="0"/>
          <w:numId w:val="2"/>
        </w:numPr>
        <w:spacing w:after="0" w:line="200" w:lineRule="atLeast"/>
        <w:ind w:left="567" w:hanging="567"/>
        <w:contextualSpacing/>
        <w:jc w:val="both"/>
        <w:rPr>
          <w:rFonts w:ascii="Times New Roman" w:hAnsi="Times New Roman" w:cs="Times New Roman"/>
          <w:sz w:val="24"/>
          <w:szCs w:val="24"/>
        </w:rPr>
      </w:pPr>
      <w:r>
        <w:rPr>
          <w:rFonts w:ascii="Times New Roman" w:hAnsi="Times New Roman" w:cs="Times New Roman"/>
          <w:sz w:val="24"/>
          <w:szCs w:val="24"/>
        </w:rPr>
        <w:t>a</w:t>
      </w:r>
      <w:r w:rsidR="00D46BCD" w:rsidRPr="00D46BCD">
        <w:rPr>
          <w:rFonts w:ascii="Times New Roman" w:hAnsi="Times New Roman" w:cs="Times New Roman"/>
          <w:sz w:val="24"/>
          <w:szCs w:val="24"/>
        </w:rPr>
        <w:t>ffidamenti di importo inferiore a 40.000</w:t>
      </w:r>
      <w:r>
        <w:rPr>
          <w:rFonts w:ascii="Times New Roman" w:hAnsi="Times New Roman" w:cs="Times New Roman"/>
          <w:sz w:val="24"/>
          <w:szCs w:val="24"/>
        </w:rPr>
        <w:t xml:space="preserve"> euro</w:t>
      </w:r>
      <w:r w:rsidR="00D46BCD" w:rsidRPr="00D46BCD">
        <w:rPr>
          <w:rFonts w:ascii="Times New Roman" w:hAnsi="Times New Roman" w:cs="Times New Roman"/>
          <w:sz w:val="24"/>
          <w:szCs w:val="24"/>
        </w:rPr>
        <w:t xml:space="preserve"> (art. 36);</w:t>
      </w:r>
    </w:p>
    <w:p w:rsidR="00D46BCD" w:rsidRPr="00D46BCD" w:rsidRDefault="0011237A" w:rsidP="00D46BCD">
      <w:pPr>
        <w:numPr>
          <w:ilvl w:val="0"/>
          <w:numId w:val="2"/>
        </w:numPr>
        <w:spacing w:after="0" w:line="200" w:lineRule="atLeast"/>
        <w:ind w:left="567" w:hanging="567"/>
        <w:contextualSpacing/>
        <w:jc w:val="both"/>
        <w:rPr>
          <w:rFonts w:ascii="Times New Roman" w:hAnsi="Times New Roman" w:cs="Times New Roman"/>
          <w:sz w:val="24"/>
          <w:szCs w:val="24"/>
        </w:rPr>
      </w:pPr>
      <w:r>
        <w:rPr>
          <w:rFonts w:ascii="Times New Roman" w:hAnsi="Times New Roman" w:cs="Times New Roman"/>
          <w:sz w:val="24"/>
          <w:szCs w:val="24"/>
        </w:rPr>
        <w:t>m</w:t>
      </w:r>
      <w:r w:rsidR="00D46BCD" w:rsidRPr="00D46BCD">
        <w:rPr>
          <w:rFonts w:ascii="Times New Roman" w:hAnsi="Times New Roman" w:cs="Times New Roman"/>
          <w:sz w:val="24"/>
          <w:szCs w:val="24"/>
        </w:rPr>
        <w:t>odalità di selezione degli operatori economici tramite indagini di mercato ed elenchi (art. 36);</w:t>
      </w:r>
    </w:p>
    <w:p w:rsidR="00D46BCD" w:rsidRPr="00D46BCD" w:rsidRDefault="0036773D" w:rsidP="00D46BCD">
      <w:pPr>
        <w:numPr>
          <w:ilvl w:val="0"/>
          <w:numId w:val="2"/>
        </w:numPr>
        <w:spacing w:after="0" w:line="200" w:lineRule="atLeast"/>
        <w:ind w:left="567" w:hanging="567"/>
        <w:contextualSpacing/>
        <w:jc w:val="both"/>
        <w:rPr>
          <w:rFonts w:ascii="Times New Roman" w:hAnsi="Times New Roman" w:cs="Times New Roman"/>
          <w:sz w:val="24"/>
          <w:szCs w:val="24"/>
        </w:rPr>
      </w:pPr>
      <w:r>
        <w:rPr>
          <w:rFonts w:ascii="Times New Roman" w:hAnsi="Times New Roman" w:cs="Times New Roman"/>
          <w:sz w:val="24"/>
          <w:szCs w:val="24"/>
        </w:rPr>
        <w:t>a</w:t>
      </w:r>
      <w:r w:rsidR="00D46BCD" w:rsidRPr="00D46BCD">
        <w:rPr>
          <w:rFonts w:ascii="Times New Roman" w:hAnsi="Times New Roman" w:cs="Times New Roman"/>
          <w:sz w:val="24"/>
          <w:szCs w:val="24"/>
        </w:rPr>
        <w:t>ffidamento opere di urbanizzazione secondaria sotto soglia (art. 36, comma 3);</w:t>
      </w:r>
    </w:p>
    <w:p w:rsidR="00D46BCD" w:rsidRPr="00D46BCD" w:rsidRDefault="0036773D" w:rsidP="00D46BCD">
      <w:pPr>
        <w:numPr>
          <w:ilvl w:val="0"/>
          <w:numId w:val="2"/>
        </w:numPr>
        <w:spacing w:after="0" w:line="200" w:lineRule="atLeast"/>
        <w:ind w:left="567" w:hanging="567"/>
        <w:contextualSpacing/>
        <w:jc w:val="both"/>
        <w:rPr>
          <w:rFonts w:ascii="Times New Roman" w:hAnsi="Times New Roman" w:cs="Times New Roman"/>
          <w:sz w:val="24"/>
          <w:szCs w:val="24"/>
        </w:rPr>
      </w:pPr>
      <w:r>
        <w:rPr>
          <w:rFonts w:ascii="Times New Roman" w:hAnsi="Times New Roman" w:cs="Times New Roman"/>
          <w:sz w:val="24"/>
          <w:szCs w:val="24"/>
        </w:rPr>
        <w:t>v</w:t>
      </w:r>
      <w:r w:rsidR="00D46BCD" w:rsidRPr="00D46BCD">
        <w:rPr>
          <w:rFonts w:ascii="Times New Roman" w:hAnsi="Times New Roman" w:cs="Times New Roman"/>
          <w:sz w:val="24"/>
          <w:szCs w:val="24"/>
        </w:rPr>
        <w:t>erifica dei requisiti dell’aggiudicatario nel sotto soglia (art. 36);</w:t>
      </w:r>
    </w:p>
    <w:p w:rsidR="00D46BCD" w:rsidRPr="00D46BCD" w:rsidRDefault="0036773D" w:rsidP="00D46BCD">
      <w:pPr>
        <w:numPr>
          <w:ilvl w:val="0"/>
          <w:numId w:val="2"/>
        </w:numPr>
        <w:spacing w:after="0" w:line="200" w:lineRule="atLeast"/>
        <w:ind w:left="567" w:hanging="567"/>
        <w:contextualSpacing/>
        <w:jc w:val="both"/>
        <w:rPr>
          <w:rFonts w:ascii="Times New Roman" w:hAnsi="Times New Roman" w:cs="Times New Roman"/>
          <w:sz w:val="24"/>
          <w:szCs w:val="24"/>
        </w:rPr>
      </w:pPr>
      <w:r>
        <w:rPr>
          <w:rFonts w:ascii="Times New Roman" w:hAnsi="Times New Roman" w:cs="Times New Roman"/>
          <w:sz w:val="24"/>
          <w:szCs w:val="24"/>
        </w:rPr>
        <w:t>r</w:t>
      </w:r>
      <w:r w:rsidR="00D46BCD" w:rsidRPr="00D46BCD">
        <w:rPr>
          <w:rFonts w:ascii="Times New Roman" w:hAnsi="Times New Roman" w:cs="Times New Roman"/>
          <w:sz w:val="24"/>
          <w:szCs w:val="24"/>
        </w:rPr>
        <w:t>icorso ad una centrale di committenza, ad una stazione unica appaltante o a soggetti aggregatori (artt. 37 e 38);</w:t>
      </w:r>
    </w:p>
    <w:p w:rsidR="00D46BCD" w:rsidRPr="00D46BCD" w:rsidRDefault="0036773D" w:rsidP="00D46BCD">
      <w:pPr>
        <w:numPr>
          <w:ilvl w:val="0"/>
          <w:numId w:val="2"/>
        </w:numPr>
        <w:spacing w:after="0" w:line="200" w:lineRule="atLeast"/>
        <w:ind w:left="567" w:hanging="567"/>
        <w:contextualSpacing/>
        <w:jc w:val="both"/>
        <w:rPr>
          <w:rFonts w:ascii="Times New Roman" w:hAnsi="Times New Roman" w:cs="Times New Roman"/>
          <w:sz w:val="24"/>
          <w:szCs w:val="24"/>
        </w:rPr>
      </w:pPr>
      <w:r>
        <w:rPr>
          <w:rFonts w:ascii="Times New Roman" w:hAnsi="Times New Roman" w:cs="Times New Roman"/>
          <w:sz w:val="24"/>
          <w:szCs w:val="24"/>
        </w:rPr>
        <w:t>l</w:t>
      </w:r>
      <w:r w:rsidR="00D46BCD" w:rsidRPr="00D46BCD">
        <w:rPr>
          <w:rFonts w:ascii="Times New Roman" w:hAnsi="Times New Roman" w:cs="Times New Roman"/>
          <w:sz w:val="24"/>
          <w:szCs w:val="24"/>
        </w:rPr>
        <w:t>ivello di progettazione richiesto per gli interventi di manutenzione (art. 59, comma 1);</w:t>
      </w:r>
    </w:p>
    <w:p w:rsidR="00D46BCD" w:rsidRPr="00D46BCD" w:rsidRDefault="0036773D" w:rsidP="00D46BCD">
      <w:pPr>
        <w:numPr>
          <w:ilvl w:val="0"/>
          <w:numId w:val="2"/>
        </w:numPr>
        <w:spacing w:after="0" w:line="200" w:lineRule="atLeast"/>
        <w:ind w:left="567" w:hanging="567"/>
        <w:contextualSpacing/>
        <w:jc w:val="both"/>
        <w:rPr>
          <w:rFonts w:ascii="Times New Roman" w:hAnsi="Times New Roman" w:cs="Times New Roman"/>
          <w:sz w:val="24"/>
          <w:szCs w:val="24"/>
        </w:rPr>
      </w:pPr>
      <w:r>
        <w:rPr>
          <w:rFonts w:ascii="Times New Roman" w:hAnsi="Times New Roman" w:cs="Times New Roman"/>
          <w:sz w:val="24"/>
          <w:szCs w:val="24"/>
        </w:rPr>
        <w:t>l</w:t>
      </w:r>
      <w:r w:rsidR="00D46BCD" w:rsidRPr="00D46BCD">
        <w:rPr>
          <w:rFonts w:ascii="Times New Roman" w:hAnsi="Times New Roman" w:cs="Times New Roman"/>
          <w:sz w:val="24"/>
          <w:szCs w:val="24"/>
        </w:rPr>
        <w:t>ivello di progettazione nella procedura competitiva con negoziazione e nel dialogo competitivo  (art. 62 e 64);</w:t>
      </w:r>
    </w:p>
    <w:p w:rsidR="00D46BCD" w:rsidRPr="00D46BCD" w:rsidRDefault="0036773D" w:rsidP="00D46BCD">
      <w:pPr>
        <w:numPr>
          <w:ilvl w:val="0"/>
          <w:numId w:val="2"/>
        </w:numPr>
        <w:spacing w:after="0" w:line="200" w:lineRule="atLeast"/>
        <w:ind w:left="567" w:hanging="567"/>
        <w:contextualSpacing/>
        <w:jc w:val="both"/>
        <w:rPr>
          <w:rFonts w:ascii="Times New Roman" w:hAnsi="Times New Roman" w:cs="Times New Roman"/>
          <w:sz w:val="24"/>
          <w:szCs w:val="24"/>
        </w:rPr>
      </w:pPr>
      <w:r>
        <w:rPr>
          <w:rFonts w:ascii="Times New Roman" w:hAnsi="Times New Roman" w:cs="Times New Roman"/>
          <w:sz w:val="24"/>
          <w:szCs w:val="24"/>
        </w:rPr>
        <w:t>i</w:t>
      </w:r>
      <w:r w:rsidR="00D46BCD" w:rsidRPr="00D46BCD">
        <w:rPr>
          <w:rFonts w:ascii="Times New Roman" w:hAnsi="Times New Roman" w:cs="Times New Roman"/>
          <w:sz w:val="24"/>
          <w:szCs w:val="24"/>
        </w:rPr>
        <w:t>nformazioni ai candidati e agli offerenti (art. 76, comma 3 e art. 29, comma 1);</w:t>
      </w:r>
    </w:p>
    <w:p w:rsidR="00D46BCD" w:rsidRPr="00D46BCD" w:rsidRDefault="00D46BCD" w:rsidP="00D46BCD">
      <w:pPr>
        <w:numPr>
          <w:ilvl w:val="0"/>
          <w:numId w:val="2"/>
        </w:numPr>
        <w:spacing w:after="0" w:line="200" w:lineRule="atLeast"/>
        <w:ind w:left="567" w:hanging="567"/>
        <w:contextualSpacing/>
        <w:jc w:val="both"/>
        <w:rPr>
          <w:rFonts w:ascii="Times New Roman" w:hAnsi="Times New Roman" w:cs="Times New Roman"/>
          <w:sz w:val="24"/>
          <w:szCs w:val="24"/>
        </w:rPr>
      </w:pPr>
      <w:r w:rsidRPr="00D46BCD">
        <w:rPr>
          <w:rFonts w:ascii="Times New Roman" w:hAnsi="Times New Roman" w:cs="Times New Roman"/>
          <w:sz w:val="24"/>
          <w:szCs w:val="24"/>
        </w:rPr>
        <w:t xml:space="preserve">RUP e Commissione di gara (art. 77, comma 4) </w:t>
      </w:r>
    </w:p>
    <w:p w:rsidR="00D46BCD" w:rsidRPr="00D46BCD" w:rsidRDefault="0036773D" w:rsidP="00D46BCD">
      <w:pPr>
        <w:numPr>
          <w:ilvl w:val="0"/>
          <w:numId w:val="2"/>
        </w:numPr>
        <w:spacing w:after="0" w:line="200" w:lineRule="atLeast"/>
        <w:ind w:left="567" w:hanging="567"/>
        <w:contextualSpacing/>
        <w:jc w:val="both"/>
        <w:rPr>
          <w:rFonts w:ascii="Times New Roman" w:hAnsi="Times New Roman" w:cs="Times New Roman"/>
          <w:sz w:val="24"/>
          <w:szCs w:val="24"/>
        </w:rPr>
      </w:pPr>
      <w:r>
        <w:rPr>
          <w:rFonts w:ascii="Times New Roman" w:hAnsi="Times New Roman" w:cs="Times New Roman"/>
          <w:sz w:val="24"/>
          <w:szCs w:val="24"/>
        </w:rPr>
        <w:t>m</w:t>
      </w:r>
      <w:r w:rsidR="00D46BCD" w:rsidRPr="00D46BCD">
        <w:rPr>
          <w:rFonts w:ascii="Times New Roman" w:hAnsi="Times New Roman" w:cs="Times New Roman"/>
          <w:sz w:val="24"/>
          <w:szCs w:val="24"/>
        </w:rPr>
        <w:t>otivi di esclusione: quali criticità ha riscontrato nell’individuazione dei soggetti di cui all’art. 80, comma 3 cui fanno riferimento le condanne dell’art. 80, comma</w:t>
      </w:r>
      <w:r>
        <w:rPr>
          <w:rFonts w:ascii="Times New Roman" w:hAnsi="Times New Roman" w:cs="Times New Roman"/>
          <w:sz w:val="24"/>
          <w:szCs w:val="24"/>
        </w:rPr>
        <w:t xml:space="preserve"> </w:t>
      </w:r>
      <w:r w:rsidR="00D46BCD" w:rsidRPr="00D46BCD">
        <w:rPr>
          <w:rFonts w:ascii="Times New Roman" w:hAnsi="Times New Roman" w:cs="Times New Roman"/>
          <w:sz w:val="24"/>
          <w:szCs w:val="24"/>
        </w:rPr>
        <w:t>1;</w:t>
      </w:r>
    </w:p>
    <w:p w:rsidR="00D46BCD" w:rsidRPr="00D46BCD" w:rsidRDefault="0036773D" w:rsidP="00D46BCD">
      <w:pPr>
        <w:numPr>
          <w:ilvl w:val="0"/>
          <w:numId w:val="2"/>
        </w:numPr>
        <w:spacing w:after="0" w:line="200" w:lineRule="atLeast"/>
        <w:ind w:left="567" w:hanging="567"/>
        <w:contextualSpacing/>
        <w:jc w:val="both"/>
        <w:rPr>
          <w:rFonts w:ascii="Times New Roman" w:hAnsi="Times New Roman" w:cs="Times New Roman"/>
          <w:sz w:val="24"/>
          <w:szCs w:val="24"/>
        </w:rPr>
      </w:pPr>
      <w:r>
        <w:rPr>
          <w:rFonts w:ascii="Times New Roman" w:hAnsi="Times New Roman" w:cs="Times New Roman"/>
          <w:sz w:val="24"/>
          <w:szCs w:val="24"/>
        </w:rPr>
        <w:t>v</w:t>
      </w:r>
      <w:r w:rsidR="00D46BCD" w:rsidRPr="00D46BCD">
        <w:rPr>
          <w:rFonts w:ascii="Times New Roman" w:hAnsi="Times New Roman" w:cs="Times New Roman"/>
          <w:sz w:val="24"/>
          <w:szCs w:val="24"/>
        </w:rPr>
        <w:t>erifica dei requisiti di ordine generale e speciale negli affidamenti sopra-soglia (artt. 80, 85, 86 e 87);</w:t>
      </w:r>
    </w:p>
    <w:p w:rsidR="00D46BCD" w:rsidRPr="00D46BCD" w:rsidRDefault="0036773D" w:rsidP="00D46BCD">
      <w:pPr>
        <w:numPr>
          <w:ilvl w:val="0"/>
          <w:numId w:val="2"/>
        </w:numPr>
        <w:spacing w:after="0" w:line="200" w:lineRule="atLeast"/>
        <w:ind w:left="567" w:hanging="567"/>
        <w:contextualSpacing/>
        <w:jc w:val="both"/>
        <w:rPr>
          <w:rFonts w:ascii="Times New Roman" w:hAnsi="Times New Roman" w:cs="Times New Roman"/>
          <w:sz w:val="24"/>
          <w:szCs w:val="24"/>
        </w:rPr>
      </w:pPr>
      <w:r>
        <w:rPr>
          <w:rFonts w:ascii="Times New Roman" w:hAnsi="Times New Roman" w:cs="Times New Roman"/>
          <w:sz w:val="24"/>
          <w:szCs w:val="24"/>
        </w:rPr>
        <w:t>d</w:t>
      </w:r>
      <w:r w:rsidR="00D46BCD" w:rsidRPr="00D46BCD">
        <w:rPr>
          <w:rFonts w:ascii="Times New Roman" w:hAnsi="Times New Roman" w:cs="Times New Roman"/>
          <w:sz w:val="24"/>
          <w:szCs w:val="24"/>
        </w:rPr>
        <w:t>eterminazione dei requisiti di capacità economico-finanziaria (art. 83);</w:t>
      </w:r>
    </w:p>
    <w:p w:rsidR="00D46BCD" w:rsidRPr="00D46BCD" w:rsidRDefault="0036773D" w:rsidP="00D46BCD">
      <w:pPr>
        <w:numPr>
          <w:ilvl w:val="0"/>
          <w:numId w:val="2"/>
        </w:numPr>
        <w:spacing w:after="0" w:line="200" w:lineRule="atLeast"/>
        <w:ind w:left="567" w:hanging="567"/>
        <w:contextualSpacing/>
        <w:jc w:val="both"/>
        <w:rPr>
          <w:rFonts w:ascii="Times New Roman" w:hAnsi="Times New Roman" w:cs="Times New Roman"/>
          <w:sz w:val="24"/>
          <w:szCs w:val="24"/>
        </w:rPr>
      </w:pPr>
      <w:r>
        <w:rPr>
          <w:rFonts w:ascii="Times New Roman" w:hAnsi="Times New Roman" w:cs="Times New Roman"/>
          <w:sz w:val="24"/>
          <w:szCs w:val="24"/>
        </w:rPr>
        <w:t>s</w:t>
      </w:r>
      <w:r w:rsidR="00D46BCD" w:rsidRPr="00D46BCD">
        <w:rPr>
          <w:rFonts w:ascii="Times New Roman" w:hAnsi="Times New Roman" w:cs="Times New Roman"/>
          <w:sz w:val="24"/>
          <w:szCs w:val="24"/>
        </w:rPr>
        <w:t>occorso istruttorio (art. 83, comma 9);</w:t>
      </w:r>
    </w:p>
    <w:p w:rsidR="00D46BCD" w:rsidRPr="00D46BCD" w:rsidRDefault="0036773D" w:rsidP="00D46BCD">
      <w:pPr>
        <w:numPr>
          <w:ilvl w:val="0"/>
          <w:numId w:val="2"/>
        </w:numPr>
        <w:spacing w:after="0" w:line="200" w:lineRule="atLeast"/>
        <w:ind w:left="567" w:hanging="567"/>
        <w:contextualSpacing/>
        <w:jc w:val="both"/>
        <w:rPr>
          <w:rFonts w:ascii="Times New Roman" w:hAnsi="Times New Roman" w:cs="Times New Roman"/>
          <w:sz w:val="24"/>
          <w:szCs w:val="24"/>
        </w:rPr>
      </w:pPr>
      <w:r>
        <w:rPr>
          <w:rFonts w:ascii="Times New Roman" w:hAnsi="Times New Roman" w:cs="Times New Roman"/>
          <w:sz w:val="24"/>
          <w:szCs w:val="24"/>
        </w:rPr>
        <w:t>g</w:t>
      </w:r>
      <w:r w:rsidR="00D46BCD" w:rsidRPr="00D46BCD">
        <w:rPr>
          <w:rFonts w:ascii="Times New Roman" w:hAnsi="Times New Roman" w:cs="Times New Roman"/>
          <w:sz w:val="24"/>
          <w:szCs w:val="24"/>
        </w:rPr>
        <w:t>aranzie per la partecipazione alla procedura (art. 93);</w:t>
      </w:r>
    </w:p>
    <w:p w:rsidR="00D46BCD" w:rsidRPr="00D46BCD" w:rsidRDefault="0036773D" w:rsidP="00D46BCD">
      <w:pPr>
        <w:numPr>
          <w:ilvl w:val="0"/>
          <w:numId w:val="2"/>
        </w:numPr>
        <w:spacing w:after="0" w:line="200" w:lineRule="atLeast"/>
        <w:ind w:left="567" w:hanging="567"/>
        <w:contextualSpacing/>
        <w:jc w:val="both"/>
        <w:rPr>
          <w:rFonts w:ascii="Times New Roman" w:hAnsi="Times New Roman" w:cs="Times New Roman"/>
          <w:sz w:val="24"/>
          <w:szCs w:val="24"/>
        </w:rPr>
      </w:pPr>
      <w:r>
        <w:rPr>
          <w:rFonts w:ascii="Times New Roman" w:hAnsi="Times New Roman" w:cs="Times New Roman"/>
          <w:sz w:val="24"/>
          <w:szCs w:val="24"/>
        </w:rPr>
        <w:t>c</w:t>
      </w:r>
      <w:r w:rsidR="00D46BCD" w:rsidRPr="00D46BCD">
        <w:rPr>
          <w:rFonts w:ascii="Times New Roman" w:hAnsi="Times New Roman" w:cs="Times New Roman"/>
          <w:sz w:val="24"/>
          <w:szCs w:val="24"/>
        </w:rPr>
        <w:t>alcolo della soglia di anomalia (art. 97, comma 2);</w:t>
      </w:r>
    </w:p>
    <w:p w:rsidR="00D46BCD" w:rsidRPr="00D46BCD" w:rsidRDefault="0036773D" w:rsidP="00D46BCD">
      <w:pPr>
        <w:numPr>
          <w:ilvl w:val="0"/>
          <w:numId w:val="2"/>
        </w:numPr>
        <w:spacing w:after="0" w:line="200" w:lineRule="atLeast"/>
        <w:ind w:left="567" w:hanging="567"/>
        <w:contextualSpacing/>
        <w:jc w:val="both"/>
        <w:rPr>
          <w:rFonts w:ascii="Times New Roman" w:hAnsi="Times New Roman" w:cs="Times New Roman"/>
          <w:sz w:val="24"/>
          <w:szCs w:val="24"/>
        </w:rPr>
      </w:pPr>
      <w:r>
        <w:rPr>
          <w:rFonts w:ascii="Times New Roman" w:hAnsi="Times New Roman" w:cs="Times New Roman"/>
          <w:sz w:val="24"/>
          <w:szCs w:val="24"/>
        </w:rPr>
        <w:t>p</w:t>
      </w:r>
      <w:r w:rsidR="00D46BCD" w:rsidRPr="00D46BCD">
        <w:rPr>
          <w:rFonts w:ascii="Times New Roman" w:hAnsi="Times New Roman" w:cs="Times New Roman"/>
          <w:sz w:val="24"/>
          <w:szCs w:val="24"/>
        </w:rPr>
        <w:t>rocedure relative al subappalto (art.105);</w:t>
      </w:r>
    </w:p>
    <w:p w:rsidR="00D46BCD" w:rsidRPr="00D46BCD" w:rsidRDefault="0036773D" w:rsidP="00D46BCD">
      <w:pPr>
        <w:numPr>
          <w:ilvl w:val="0"/>
          <w:numId w:val="2"/>
        </w:numPr>
        <w:spacing w:after="0" w:line="200" w:lineRule="atLeast"/>
        <w:ind w:left="567" w:hanging="567"/>
        <w:contextualSpacing/>
        <w:jc w:val="both"/>
        <w:rPr>
          <w:rFonts w:ascii="Times New Roman" w:hAnsi="Times New Roman" w:cs="Times New Roman"/>
          <w:sz w:val="24"/>
          <w:szCs w:val="24"/>
        </w:rPr>
      </w:pPr>
      <w:r>
        <w:rPr>
          <w:rFonts w:ascii="Times New Roman" w:hAnsi="Times New Roman" w:cs="Times New Roman"/>
          <w:sz w:val="24"/>
          <w:szCs w:val="24"/>
        </w:rPr>
        <w:t>v</w:t>
      </w:r>
      <w:r w:rsidR="00D46BCD" w:rsidRPr="00D46BCD">
        <w:rPr>
          <w:rFonts w:ascii="Times New Roman" w:hAnsi="Times New Roman" w:cs="Times New Roman"/>
          <w:sz w:val="24"/>
          <w:szCs w:val="24"/>
        </w:rPr>
        <w:t>arianti negli appalti (art. 106) e nelle concessioni (art. 175);</w:t>
      </w:r>
    </w:p>
    <w:p w:rsidR="00D46BCD" w:rsidRDefault="0036773D" w:rsidP="00D46BCD">
      <w:pPr>
        <w:numPr>
          <w:ilvl w:val="0"/>
          <w:numId w:val="2"/>
        </w:numPr>
        <w:spacing w:after="0" w:line="200" w:lineRule="atLeast"/>
        <w:ind w:left="567" w:hanging="567"/>
        <w:contextualSpacing/>
        <w:jc w:val="both"/>
        <w:rPr>
          <w:rFonts w:ascii="Times New Roman" w:hAnsi="Times New Roman" w:cs="Times New Roman"/>
          <w:sz w:val="24"/>
          <w:szCs w:val="24"/>
        </w:rPr>
      </w:pPr>
      <w:r>
        <w:rPr>
          <w:rFonts w:ascii="Times New Roman" w:hAnsi="Times New Roman" w:cs="Times New Roman"/>
          <w:sz w:val="24"/>
          <w:szCs w:val="24"/>
        </w:rPr>
        <w:t>a</w:t>
      </w:r>
      <w:r w:rsidR="00D46BCD" w:rsidRPr="00D46BCD">
        <w:rPr>
          <w:rFonts w:ascii="Times New Roman" w:hAnsi="Times New Roman" w:cs="Times New Roman"/>
          <w:sz w:val="24"/>
          <w:szCs w:val="24"/>
        </w:rPr>
        <w:t>pplicazione dello strumento della Finanza di Progetto sia per i lavori che per i servizi (art. 183, comma 15 e art. 179, comma 3).</w:t>
      </w:r>
    </w:p>
    <w:p w:rsidR="002927B8" w:rsidRPr="00D46BCD" w:rsidRDefault="002927B8" w:rsidP="002927B8">
      <w:pPr>
        <w:spacing w:after="0" w:line="200" w:lineRule="atLeast"/>
        <w:ind w:left="567"/>
        <w:contextualSpacing/>
        <w:jc w:val="both"/>
        <w:rPr>
          <w:rFonts w:ascii="Times New Roman" w:hAnsi="Times New Roman" w:cs="Times New Roman"/>
          <w:sz w:val="24"/>
          <w:szCs w:val="24"/>
        </w:rPr>
      </w:pPr>
    </w:p>
    <w:p w:rsidR="00D46BCD" w:rsidRDefault="00D46BCD" w:rsidP="00D46BCD">
      <w:pPr>
        <w:spacing w:after="0" w:line="200" w:lineRule="atLeast"/>
        <w:ind w:firstLine="567"/>
        <w:jc w:val="both"/>
        <w:rPr>
          <w:rFonts w:ascii="Times New Roman" w:hAnsi="Times New Roman" w:cs="Times New Roman"/>
          <w:sz w:val="24"/>
          <w:szCs w:val="24"/>
        </w:rPr>
      </w:pPr>
      <w:r w:rsidRPr="00D46BCD">
        <w:rPr>
          <w:rFonts w:ascii="Times New Roman" w:hAnsi="Times New Roman" w:cs="Times New Roman"/>
          <w:sz w:val="24"/>
          <w:szCs w:val="24"/>
        </w:rPr>
        <w:t>Le principali criticità emerse dalla suddetta consultazione sono le seguenti:</w:t>
      </w:r>
    </w:p>
    <w:p w:rsidR="002927B8" w:rsidRPr="00D46BCD" w:rsidRDefault="002927B8" w:rsidP="00D46BCD">
      <w:pPr>
        <w:spacing w:after="0" w:line="200" w:lineRule="atLeast"/>
        <w:ind w:firstLine="567"/>
        <w:jc w:val="both"/>
        <w:rPr>
          <w:rFonts w:ascii="Times New Roman" w:hAnsi="Times New Roman" w:cs="Times New Roman"/>
          <w:sz w:val="24"/>
          <w:szCs w:val="24"/>
        </w:rPr>
      </w:pPr>
    </w:p>
    <w:p w:rsidR="00D46BCD" w:rsidRPr="00D46BCD" w:rsidRDefault="00D46BCD" w:rsidP="00D46BCD">
      <w:pPr>
        <w:numPr>
          <w:ilvl w:val="0"/>
          <w:numId w:val="2"/>
        </w:numPr>
        <w:spacing w:after="0" w:line="200" w:lineRule="atLeast"/>
        <w:contextualSpacing/>
        <w:jc w:val="both"/>
        <w:rPr>
          <w:rFonts w:ascii="Times New Roman" w:hAnsi="Times New Roman" w:cs="Times New Roman"/>
          <w:sz w:val="24"/>
          <w:szCs w:val="24"/>
        </w:rPr>
      </w:pPr>
      <w:r w:rsidRPr="00D46BCD">
        <w:rPr>
          <w:rFonts w:ascii="Times New Roman" w:hAnsi="Times New Roman" w:cs="Times New Roman"/>
          <w:sz w:val="24"/>
          <w:szCs w:val="24"/>
        </w:rPr>
        <w:t>affidamenti sotto soglia;</w:t>
      </w:r>
    </w:p>
    <w:p w:rsidR="00D46BCD" w:rsidRPr="00D46BCD" w:rsidRDefault="00D46BCD" w:rsidP="00D46BCD">
      <w:pPr>
        <w:numPr>
          <w:ilvl w:val="0"/>
          <w:numId w:val="2"/>
        </w:numPr>
        <w:spacing w:after="0" w:line="200" w:lineRule="atLeast"/>
        <w:contextualSpacing/>
        <w:jc w:val="both"/>
        <w:rPr>
          <w:rFonts w:ascii="Times New Roman" w:hAnsi="Times New Roman" w:cs="Times New Roman"/>
          <w:sz w:val="24"/>
          <w:szCs w:val="24"/>
        </w:rPr>
      </w:pPr>
      <w:r w:rsidRPr="00D46BCD">
        <w:rPr>
          <w:rFonts w:ascii="Times New Roman" w:hAnsi="Times New Roman" w:cs="Times New Roman"/>
          <w:sz w:val="24"/>
          <w:szCs w:val="24"/>
        </w:rPr>
        <w:t>criteri di esclusione dalle procedure di gara</w:t>
      </w:r>
    </w:p>
    <w:p w:rsidR="00D46BCD" w:rsidRPr="00D46BCD" w:rsidRDefault="00D46BCD" w:rsidP="00D46BCD">
      <w:pPr>
        <w:numPr>
          <w:ilvl w:val="0"/>
          <w:numId w:val="2"/>
        </w:numPr>
        <w:spacing w:after="0" w:line="200" w:lineRule="atLeast"/>
        <w:contextualSpacing/>
        <w:jc w:val="both"/>
        <w:rPr>
          <w:rFonts w:ascii="Times New Roman" w:hAnsi="Times New Roman" w:cs="Times New Roman"/>
          <w:sz w:val="24"/>
          <w:szCs w:val="24"/>
        </w:rPr>
      </w:pPr>
      <w:r w:rsidRPr="00D46BCD">
        <w:rPr>
          <w:rFonts w:ascii="Times New Roman" w:hAnsi="Times New Roman" w:cs="Times New Roman"/>
          <w:sz w:val="24"/>
          <w:szCs w:val="24"/>
        </w:rPr>
        <w:t>criteri di calcolo dell’anomalia dell’offerta;</w:t>
      </w:r>
    </w:p>
    <w:p w:rsidR="00D46BCD" w:rsidRPr="00D46BCD" w:rsidRDefault="00D46BCD" w:rsidP="00D46BCD">
      <w:pPr>
        <w:numPr>
          <w:ilvl w:val="0"/>
          <w:numId w:val="2"/>
        </w:numPr>
        <w:spacing w:after="0" w:line="200" w:lineRule="atLeast"/>
        <w:contextualSpacing/>
        <w:jc w:val="both"/>
        <w:rPr>
          <w:rFonts w:ascii="Times New Roman" w:hAnsi="Times New Roman" w:cs="Times New Roman"/>
          <w:sz w:val="24"/>
          <w:szCs w:val="24"/>
        </w:rPr>
      </w:pPr>
      <w:r w:rsidRPr="00D46BCD">
        <w:rPr>
          <w:rFonts w:ascii="Times New Roman" w:hAnsi="Times New Roman" w:cs="Times New Roman"/>
          <w:sz w:val="24"/>
          <w:szCs w:val="24"/>
        </w:rPr>
        <w:t>disciplina dell’aggregazione e di qualificazione delle committenze;</w:t>
      </w:r>
    </w:p>
    <w:p w:rsidR="00D46BCD" w:rsidRDefault="002927B8" w:rsidP="00D46BCD">
      <w:pPr>
        <w:numPr>
          <w:ilvl w:val="0"/>
          <w:numId w:val="2"/>
        </w:numPr>
        <w:spacing w:after="0" w:line="200" w:lineRule="atLeast"/>
        <w:contextualSpacing/>
        <w:jc w:val="both"/>
        <w:rPr>
          <w:rFonts w:ascii="Times New Roman" w:hAnsi="Times New Roman" w:cs="Times New Roman"/>
          <w:sz w:val="24"/>
          <w:szCs w:val="24"/>
        </w:rPr>
      </w:pPr>
      <w:r>
        <w:rPr>
          <w:rFonts w:ascii="Times New Roman" w:hAnsi="Times New Roman" w:cs="Times New Roman"/>
          <w:sz w:val="24"/>
          <w:szCs w:val="24"/>
        </w:rPr>
        <w:t>finanza di progetto.</w:t>
      </w:r>
    </w:p>
    <w:p w:rsidR="002927B8" w:rsidRPr="00D46BCD" w:rsidRDefault="002927B8" w:rsidP="00541143">
      <w:pPr>
        <w:spacing w:after="0" w:line="200" w:lineRule="atLeast"/>
        <w:ind w:left="720"/>
        <w:contextualSpacing/>
        <w:jc w:val="both"/>
        <w:rPr>
          <w:rFonts w:ascii="Times New Roman" w:hAnsi="Times New Roman" w:cs="Times New Roman"/>
          <w:sz w:val="24"/>
          <w:szCs w:val="24"/>
        </w:rPr>
      </w:pPr>
    </w:p>
    <w:p w:rsidR="00D46BCD" w:rsidRDefault="00D46BCD">
      <w:pPr>
        <w:rPr>
          <w:rFonts w:ascii="Times New Roman" w:hAnsi="Times New Roman" w:cs="Times New Roman"/>
          <w:sz w:val="24"/>
          <w:szCs w:val="24"/>
        </w:rPr>
      </w:pPr>
    </w:p>
    <w:p w:rsidR="00D82A08" w:rsidRDefault="006A60FF" w:rsidP="006A60FF">
      <w:pPr>
        <w:jc w:val="both"/>
        <w:rPr>
          <w:rFonts w:ascii="Times New Roman" w:hAnsi="Times New Roman" w:cs="Times New Roman"/>
          <w:sz w:val="24"/>
          <w:szCs w:val="24"/>
        </w:rPr>
      </w:pPr>
      <w:r>
        <w:rPr>
          <w:rFonts w:ascii="Times New Roman" w:hAnsi="Times New Roman" w:cs="Times New Roman"/>
          <w:sz w:val="24"/>
          <w:szCs w:val="24"/>
        </w:rPr>
        <w:t>Sulla base di tale attività conoscitiva si è provveduto</w:t>
      </w:r>
      <w:r w:rsidR="000725A7">
        <w:rPr>
          <w:rFonts w:ascii="Times New Roman" w:hAnsi="Times New Roman" w:cs="Times New Roman"/>
          <w:sz w:val="24"/>
          <w:szCs w:val="24"/>
        </w:rPr>
        <w:t>, quindi,</w:t>
      </w:r>
      <w:r>
        <w:rPr>
          <w:rFonts w:ascii="Times New Roman" w:hAnsi="Times New Roman" w:cs="Times New Roman"/>
          <w:sz w:val="24"/>
          <w:szCs w:val="24"/>
        </w:rPr>
        <w:t xml:space="preserve"> con decreto legislativo 19 aprile 2017, n. 56, recante “</w:t>
      </w:r>
      <w:r w:rsidRPr="006A60FF">
        <w:rPr>
          <w:rFonts w:ascii="Times New Roman" w:hAnsi="Times New Roman" w:cs="Times New Roman"/>
          <w:i/>
          <w:sz w:val="24"/>
          <w:szCs w:val="24"/>
        </w:rPr>
        <w:t>Disposizioni integrative e correttive al decreto legislativo 18 aprile 2016, n. 50</w:t>
      </w:r>
      <w:r>
        <w:rPr>
          <w:rFonts w:ascii="Times New Roman" w:hAnsi="Times New Roman" w:cs="Times New Roman"/>
          <w:sz w:val="24"/>
          <w:szCs w:val="24"/>
        </w:rPr>
        <w:t>”</w:t>
      </w:r>
      <w:r w:rsidR="00F31E67">
        <w:rPr>
          <w:rFonts w:ascii="Times New Roman" w:hAnsi="Times New Roman" w:cs="Times New Roman"/>
          <w:sz w:val="24"/>
          <w:szCs w:val="24"/>
        </w:rPr>
        <w:t>,</w:t>
      </w:r>
      <w:r>
        <w:rPr>
          <w:rFonts w:ascii="Times New Roman" w:hAnsi="Times New Roman" w:cs="Times New Roman"/>
          <w:sz w:val="24"/>
          <w:szCs w:val="24"/>
        </w:rPr>
        <w:t xml:space="preserve"> ad apportare delle modifiche al </w:t>
      </w:r>
      <w:r w:rsidR="000725A7">
        <w:rPr>
          <w:rFonts w:ascii="Times New Roman" w:hAnsi="Times New Roman" w:cs="Times New Roman"/>
          <w:sz w:val="24"/>
          <w:szCs w:val="24"/>
        </w:rPr>
        <w:t>c</w:t>
      </w:r>
      <w:r>
        <w:rPr>
          <w:rFonts w:ascii="Times New Roman" w:hAnsi="Times New Roman" w:cs="Times New Roman"/>
          <w:sz w:val="24"/>
          <w:szCs w:val="24"/>
        </w:rPr>
        <w:t>odice.</w:t>
      </w:r>
    </w:p>
    <w:p w:rsidR="0011237A" w:rsidRPr="004D7312" w:rsidRDefault="0011237A" w:rsidP="004D7312">
      <w:pPr>
        <w:keepNext/>
        <w:keepLines/>
        <w:spacing w:before="200" w:after="0" w:line="240" w:lineRule="auto"/>
        <w:ind w:left="1080"/>
        <w:contextualSpacing/>
        <w:outlineLvl w:val="2"/>
        <w:rPr>
          <w:rFonts w:ascii="Times New Roman" w:eastAsiaTheme="majorEastAsia" w:hAnsi="Times New Roman" w:cs="Times New Roman"/>
          <w:b/>
          <w:bCs/>
          <w:sz w:val="24"/>
          <w:szCs w:val="24"/>
          <w:lang w:eastAsia="it-IT"/>
        </w:rPr>
      </w:pPr>
    </w:p>
    <w:p w:rsidR="0011237A" w:rsidRDefault="0011237A" w:rsidP="00AC7F02">
      <w:pPr>
        <w:keepNext/>
        <w:keepLines/>
        <w:numPr>
          <w:ilvl w:val="1"/>
          <w:numId w:val="30"/>
        </w:numPr>
        <w:spacing w:before="200" w:after="0" w:line="240" w:lineRule="auto"/>
        <w:ind w:left="426" w:hanging="426"/>
        <w:contextualSpacing/>
        <w:outlineLvl w:val="2"/>
        <w:rPr>
          <w:rFonts w:ascii="Times New Roman" w:eastAsiaTheme="majorEastAsia" w:hAnsi="Times New Roman" w:cs="Times New Roman"/>
          <w:b/>
          <w:bCs/>
          <w:sz w:val="24"/>
          <w:szCs w:val="24"/>
          <w:lang w:eastAsia="it-IT"/>
        </w:rPr>
      </w:pPr>
      <w:r>
        <w:rPr>
          <w:rFonts w:ascii="Times New Roman" w:eastAsiaTheme="majorEastAsia" w:hAnsi="Times New Roman" w:cs="Times New Roman"/>
          <w:b/>
          <w:bCs/>
          <w:sz w:val="24"/>
          <w:szCs w:val="24"/>
          <w:lang w:eastAsia="it-IT"/>
        </w:rPr>
        <w:t>C</w:t>
      </w:r>
      <w:r w:rsidRPr="0011237A">
        <w:rPr>
          <w:rFonts w:ascii="Times New Roman" w:eastAsiaTheme="majorEastAsia" w:hAnsi="Times New Roman" w:cs="Times New Roman"/>
          <w:b/>
          <w:bCs/>
          <w:sz w:val="24"/>
          <w:szCs w:val="24"/>
          <w:lang w:eastAsia="it-IT"/>
        </w:rPr>
        <w:t xml:space="preserve">onsultazione </w:t>
      </w:r>
      <w:r>
        <w:rPr>
          <w:rFonts w:ascii="Times New Roman" w:eastAsiaTheme="majorEastAsia" w:hAnsi="Times New Roman" w:cs="Times New Roman"/>
          <w:b/>
          <w:bCs/>
          <w:sz w:val="24"/>
          <w:szCs w:val="24"/>
          <w:lang w:eastAsia="it-IT"/>
        </w:rPr>
        <w:t>pubblica sul Codice dei contratti pubblici</w:t>
      </w:r>
    </w:p>
    <w:p w:rsidR="004D7312" w:rsidRDefault="004D7312" w:rsidP="004D7312">
      <w:pPr>
        <w:keepNext/>
        <w:keepLines/>
        <w:spacing w:before="200" w:after="0" w:line="240" w:lineRule="auto"/>
        <w:ind w:left="1080"/>
        <w:contextualSpacing/>
        <w:outlineLvl w:val="2"/>
        <w:rPr>
          <w:rFonts w:ascii="Times New Roman" w:eastAsiaTheme="majorEastAsia" w:hAnsi="Times New Roman" w:cs="Times New Roman"/>
          <w:b/>
          <w:bCs/>
          <w:sz w:val="24"/>
          <w:szCs w:val="24"/>
          <w:lang w:eastAsia="it-IT"/>
        </w:rPr>
      </w:pPr>
    </w:p>
    <w:p w:rsidR="005755BC" w:rsidRDefault="005755BC" w:rsidP="006A60FF">
      <w:pPr>
        <w:jc w:val="both"/>
        <w:rPr>
          <w:rFonts w:ascii="Times New Roman" w:hAnsi="Times New Roman" w:cs="Times New Roman"/>
          <w:sz w:val="24"/>
          <w:szCs w:val="24"/>
        </w:rPr>
      </w:pPr>
      <w:r>
        <w:rPr>
          <w:rFonts w:ascii="Times New Roman" w:hAnsi="Times New Roman" w:cs="Times New Roman"/>
          <w:sz w:val="24"/>
          <w:szCs w:val="24"/>
        </w:rPr>
        <w:t xml:space="preserve">A più di un anno dall’emanazione del suddetto decreto legislativo n. 56 del 2017 </w:t>
      </w:r>
      <w:r w:rsidRPr="00F31E67">
        <w:rPr>
          <w:rFonts w:ascii="Times New Roman" w:hAnsi="Times New Roman" w:cs="Times New Roman"/>
          <w:sz w:val="24"/>
          <w:szCs w:val="24"/>
          <w:u w:val="single"/>
        </w:rPr>
        <w:t xml:space="preserve">il Ministero delle infrastrutture e dei trasporti ha </w:t>
      </w:r>
      <w:r w:rsidR="000725A7" w:rsidRPr="00F31E67">
        <w:rPr>
          <w:rFonts w:ascii="Times New Roman" w:hAnsi="Times New Roman" w:cs="Times New Roman"/>
          <w:sz w:val="24"/>
          <w:szCs w:val="24"/>
          <w:u w:val="single"/>
        </w:rPr>
        <w:t>avviato</w:t>
      </w:r>
      <w:r w:rsidR="00F31E67">
        <w:rPr>
          <w:rFonts w:ascii="Times New Roman" w:hAnsi="Times New Roman" w:cs="Times New Roman"/>
          <w:sz w:val="24"/>
          <w:szCs w:val="24"/>
          <w:u w:val="single"/>
        </w:rPr>
        <w:t xml:space="preserve">, ad agosto 2018, </w:t>
      </w:r>
      <w:r w:rsidRPr="00F31E67">
        <w:rPr>
          <w:rFonts w:ascii="Times New Roman" w:hAnsi="Times New Roman" w:cs="Times New Roman"/>
          <w:sz w:val="24"/>
          <w:szCs w:val="24"/>
          <w:u w:val="single"/>
        </w:rPr>
        <w:t xml:space="preserve">una </w:t>
      </w:r>
      <w:r w:rsidR="00F31E67" w:rsidRPr="00F31E67">
        <w:rPr>
          <w:rFonts w:ascii="Times New Roman" w:hAnsi="Times New Roman" w:cs="Times New Roman"/>
          <w:sz w:val="24"/>
          <w:szCs w:val="24"/>
          <w:u w:val="single"/>
        </w:rPr>
        <w:t xml:space="preserve">seconda </w:t>
      </w:r>
      <w:r w:rsidRPr="00F31E67">
        <w:rPr>
          <w:rFonts w:ascii="Times New Roman" w:hAnsi="Times New Roman" w:cs="Times New Roman"/>
          <w:sz w:val="24"/>
          <w:szCs w:val="24"/>
          <w:u w:val="single"/>
        </w:rPr>
        <w:t>consultazione pubblica</w:t>
      </w:r>
      <w:r w:rsidRPr="005755BC">
        <w:rPr>
          <w:rFonts w:ascii="Times New Roman" w:hAnsi="Times New Roman" w:cs="Times New Roman"/>
          <w:sz w:val="24"/>
          <w:szCs w:val="24"/>
        </w:rPr>
        <w:t xml:space="preserve"> finalizzata a raccogliere </w:t>
      </w:r>
      <w:r>
        <w:rPr>
          <w:rFonts w:ascii="Times New Roman" w:hAnsi="Times New Roman" w:cs="Times New Roman"/>
          <w:sz w:val="24"/>
          <w:szCs w:val="24"/>
        </w:rPr>
        <w:t xml:space="preserve">l’opinione </w:t>
      </w:r>
      <w:r w:rsidRPr="005755BC">
        <w:rPr>
          <w:rFonts w:ascii="Times New Roman" w:hAnsi="Times New Roman" w:cs="Times New Roman"/>
          <w:sz w:val="24"/>
          <w:szCs w:val="24"/>
        </w:rPr>
        <w:t>di pubbliche amministrazioni, liberi professionisti e imprese sulle nuove norme che regolano i contratti pubblici in Italia</w:t>
      </w:r>
      <w:r>
        <w:rPr>
          <w:rFonts w:ascii="Times New Roman" w:hAnsi="Times New Roman" w:cs="Times New Roman"/>
          <w:sz w:val="24"/>
          <w:szCs w:val="24"/>
        </w:rPr>
        <w:t>.</w:t>
      </w:r>
    </w:p>
    <w:p w:rsidR="005755BC" w:rsidRPr="005755BC" w:rsidRDefault="005755BC" w:rsidP="005755BC">
      <w:pPr>
        <w:jc w:val="both"/>
        <w:rPr>
          <w:rFonts w:ascii="Times New Roman" w:hAnsi="Times New Roman" w:cs="Times New Roman"/>
          <w:sz w:val="24"/>
          <w:szCs w:val="24"/>
        </w:rPr>
      </w:pPr>
      <w:r w:rsidRPr="005755BC">
        <w:rPr>
          <w:rFonts w:ascii="Times New Roman" w:hAnsi="Times New Roman" w:cs="Times New Roman"/>
          <w:sz w:val="24"/>
          <w:szCs w:val="24"/>
        </w:rPr>
        <w:t>In data 10 settembre 2018 si è conclusa la consultazione avviata</w:t>
      </w:r>
      <w:r w:rsidR="000725A7">
        <w:rPr>
          <w:rFonts w:ascii="Times New Roman" w:hAnsi="Times New Roman" w:cs="Times New Roman"/>
          <w:sz w:val="24"/>
          <w:szCs w:val="24"/>
        </w:rPr>
        <w:t xml:space="preserve"> </w:t>
      </w:r>
      <w:r w:rsidR="000725A7" w:rsidRPr="005755BC">
        <w:rPr>
          <w:rFonts w:ascii="Times New Roman" w:hAnsi="Times New Roman" w:cs="Times New Roman"/>
          <w:sz w:val="24"/>
          <w:szCs w:val="24"/>
        </w:rPr>
        <w:t xml:space="preserve">on-line </w:t>
      </w:r>
      <w:r w:rsidR="000725A7">
        <w:rPr>
          <w:rFonts w:ascii="Times New Roman" w:hAnsi="Times New Roman" w:cs="Times New Roman"/>
          <w:sz w:val="24"/>
          <w:szCs w:val="24"/>
        </w:rPr>
        <w:t>l’8 agosto 2018</w:t>
      </w:r>
      <w:r w:rsidRPr="005755BC">
        <w:rPr>
          <w:rFonts w:ascii="Times New Roman" w:hAnsi="Times New Roman" w:cs="Times New Roman"/>
          <w:sz w:val="24"/>
          <w:szCs w:val="24"/>
        </w:rPr>
        <w:t xml:space="preserve">. Con essa si è voluta garantire la massima partecipazione degli </w:t>
      </w:r>
      <w:proofErr w:type="spellStart"/>
      <w:r w:rsidRPr="005755BC">
        <w:rPr>
          <w:rFonts w:ascii="Times New Roman" w:hAnsi="Times New Roman" w:cs="Times New Roman"/>
          <w:sz w:val="24"/>
          <w:szCs w:val="24"/>
        </w:rPr>
        <w:t>stakeholders</w:t>
      </w:r>
      <w:proofErr w:type="spellEnd"/>
      <w:r w:rsidRPr="005755BC">
        <w:rPr>
          <w:rFonts w:ascii="Times New Roman" w:hAnsi="Times New Roman" w:cs="Times New Roman"/>
          <w:sz w:val="24"/>
          <w:szCs w:val="24"/>
        </w:rPr>
        <w:t xml:space="preserve"> al fine di dar vita ad una scelta il più possibile condivisa per la riforma del </w:t>
      </w:r>
      <w:r w:rsidR="000725A7">
        <w:rPr>
          <w:rFonts w:ascii="Times New Roman" w:hAnsi="Times New Roman" w:cs="Times New Roman"/>
          <w:sz w:val="24"/>
          <w:szCs w:val="24"/>
        </w:rPr>
        <w:t>c</w:t>
      </w:r>
      <w:r w:rsidRPr="005755BC">
        <w:rPr>
          <w:rFonts w:ascii="Times New Roman" w:hAnsi="Times New Roman" w:cs="Times New Roman"/>
          <w:sz w:val="24"/>
          <w:szCs w:val="24"/>
        </w:rPr>
        <w:t xml:space="preserve">odice dei contratti pubblici e, nell’ambito delle sue </w:t>
      </w:r>
      <w:proofErr w:type="spellStart"/>
      <w:r w:rsidRPr="005755BC">
        <w:rPr>
          <w:rFonts w:ascii="Times New Roman" w:hAnsi="Times New Roman" w:cs="Times New Roman"/>
          <w:sz w:val="24"/>
          <w:szCs w:val="24"/>
        </w:rPr>
        <w:t>policies</w:t>
      </w:r>
      <w:proofErr w:type="spellEnd"/>
      <w:r w:rsidRPr="005755BC">
        <w:rPr>
          <w:rFonts w:ascii="Times New Roman" w:hAnsi="Times New Roman" w:cs="Times New Roman"/>
          <w:sz w:val="24"/>
          <w:szCs w:val="24"/>
        </w:rPr>
        <w:t xml:space="preserve">: </w:t>
      </w:r>
      <w:r w:rsidR="000725A7">
        <w:rPr>
          <w:rFonts w:ascii="Times New Roman" w:hAnsi="Times New Roman" w:cs="Times New Roman"/>
          <w:sz w:val="24"/>
          <w:szCs w:val="24"/>
        </w:rPr>
        <w:t>a</w:t>
      </w:r>
      <w:r w:rsidRPr="005755BC">
        <w:rPr>
          <w:rFonts w:ascii="Times New Roman" w:hAnsi="Times New Roman" w:cs="Times New Roman"/>
          <w:sz w:val="24"/>
          <w:szCs w:val="24"/>
        </w:rPr>
        <w:t xml:space="preserve">) garantire l’efficienza del sistema dei contratti pubblici; </w:t>
      </w:r>
      <w:r w:rsidR="000725A7">
        <w:rPr>
          <w:rFonts w:ascii="Times New Roman" w:hAnsi="Times New Roman" w:cs="Times New Roman"/>
          <w:sz w:val="24"/>
          <w:szCs w:val="24"/>
        </w:rPr>
        <w:t>b</w:t>
      </w:r>
      <w:r w:rsidRPr="005755BC">
        <w:rPr>
          <w:rFonts w:ascii="Times New Roman" w:hAnsi="Times New Roman" w:cs="Times New Roman"/>
          <w:sz w:val="24"/>
          <w:szCs w:val="24"/>
        </w:rPr>
        <w:t xml:space="preserve">) procedere alla semplificazione del quadro normativo, assicurandone la chiarezza; </w:t>
      </w:r>
      <w:r w:rsidR="000725A7">
        <w:rPr>
          <w:rFonts w:ascii="Times New Roman" w:hAnsi="Times New Roman" w:cs="Times New Roman"/>
          <w:sz w:val="24"/>
          <w:szCs w:val="24"/>
        </w:rPr>
        <w:t>c</w:t>
      </w:r>
      <w:r w:rsidRPr="005755BC">
        <w:rPr>
          <w:rFonts w:ascii="Times New Roman" w:hAnsi="Times New Roman" w:cs="Times New Roman"/>
          <w:sz w:val="24"/>
          <w:szCs w:val="24"/>
        </w:rPr>
        <w:t>) eliminare le criticità sul piano normativo e, conseguentemente, sul piano applicativo.</w:t>
      </w:r>
    </w:p>
    <w:p w:rsidR="005755BC" w:rsidRPr="005755BC" w:rsidRDefault="005755BC" w:rsidP="005755BC">
      <w:pPr>
        <w:jc w:val="both"/>
        <w:rPr>
          <w:rFonts w:ascii="Times New Roman" w:hAnsi="Times New Roman" w:cs="Times New Roman"/>
          <w:sz w:val="24"/>
          <w:szCs w:val="24"/>
        </w:rPr>
      </w:pPr>
      <w:r w:rsidRPr="005755BC">
        <w:rPr>
          <w:rFonts w:ascii="Times New Roman" w:hAnsi="Times New Roman" w:cs="Times New Roman"/>
          <w:sz w:val="24"/>
          <w:szCs w:val="24"/>
        </w:rPr>
        <w:t>Si segnala che i «temi di riflessione» sottoposti a consultazione costituivano altrettanti punti di emersione d</w:t>
      </w:r>
      <w:r w:rsidR="003B757C">
        <w:rPr>
          <w:rFonts w:ascii="Times New Roman" w:hAnsi="Times New Roman" w:cs="Times New Roman"/>
          <w:sz w:val="24"/>
          <w:szCs w:val="24"/>
        </w:rPr>
        <w:t>elle</w:t>
      </w:r>
      <w:r w:rsidRPr="005755BC">
        <w:rPr>
          <w:rFonts w:ascii="Times New Roman" w:hAnsi="Times New Roman" w:cs="Times New Roman"/>
          <w:sz w:val="24"/>
          <w:szCs w:val="24"/>
        </w:rPr>
        <w:t xml:space="preserve"> criticità più urgenti rilevate durante la costante opera di monitoraggio effettuata dal Ministero </w:t>
      </w:r>
      <w:r w:rsidR="00A26A84">
        <w:rPr>
          <w:rFonts w:ascii="Times New Roman" w:hAnsi="Times New Roman" w:cs="Times New Roman"/>
          <w:sz w:val="24"/>
          <w:szCs w:val="24"/>
        </w:rPr>
        <w:t xml:space="preserve">delle infrastrutture e dei trasporti </w:t>
      </w:r>
      <w:r w:rsidRPr="005755BC">
        <w:rPr>
          <w:rFonts w:ascii="Times New Roman" w:hAnsi="Times New Roman" w:cs="Times New Roman"/>
          <w:sz w:val="24"/>
          <w:szCs w:val="24"/>
        </w:rPr>
        <w:t xml:space="preserve">nei primi due anni di vigenza del </w:t>
      </w:r>
      <w:r w:rsidR="000725A7">
        <w:rPr>
          <w:rFonts w:ascii="Times New Roman" w:hAnsi="Times New Roman" w:cs="Times New Roman"/>
          <w:sz w:val="24"/>
          <w:szCs w:val="24"/>
        </w:rPr>
        <w:t>c</w:t>
      </w:r>
      <w:r w:rsidRPr="005755BC">
        <w:rPr>
          <w:rFonts w:ascii="Times New Roman" w:hAnsi="Times New Roman" w:cs="Times New Roman"/>
          <w:sz w:val="24"/>
          <w:szCs w:val="24"/>
        </w:rPr>
        <w:t xml:space="preserve">odice, ovvero segnalate nel tempo al Ministero da un’ampia platea di </w:t>
      </w:r>
      <w:proofErr w:type="spellStart"/>
      <w:r w:rsidRPr="005755BC">
        <w:rPr>
          <w:rFonts w:ascii="Times New Roman" w:hAnsi="Times New Roman" w:cs="Times New Roman"/>
          <w:sz w:val="24"/>
          <w:szCs w:val="24"/>
        </w:rPr>
        <w:t>stakeholders</w:t>
      </w:r>
      <w:proofErr w:type="spellEnd"/>
      <w:r w:rsidRPr="005755BC">
        <w:rPr>
          <w:rFonts w:ascii="Times New Roman" w:hAnsi="Times New Roman" w:cs="Times New Roman"/>
          <w:sz w:val="24"/>
          <w:szCs w:val="24"/>
        </w:rPr>
        <w:t>, tra cui associazioni di categoria, fondazioni di studio e ricerca, liberi professionisti, altre Amministrazioni pubbliche.</w:t>
      </w:r>
    </w:p>
    <w:p w:rsidR="005755BC" w:rsidRDefault="005755BC" w:rsidP="005755BC">
      <w:pPr>
        <w:jc w:val="both"/>
        <w:rPr>
          <w:rFonts w:ascii="Times New Roman" w:hAnsi="Times New Roman" w:cs="Times New Roman"/>
          <w:sz w:val="24"/>
          <w:szCs w:val="24"/>
        </w:rPr>
      </w:pPr>
      <w:r w:rsidRPr="005755BC">
        <w:rPr>
          <w:rFonts w:ascii="Times New Roman" w:hAnsi="Times New Roman" w:cs="Times New Roman"/>
          <w:sz w:val="24"/>
          <w:szCs w:val="24"/>
        </w:rPr>
        <w:t>Gli interventi registrati hanno avuto carattere puntuale, sono stati riferiti allo specifico tema e alla disposizione in consultazione, mettendo in rilievo l’eventuale criticità del quadro normativo v</w:t>
      </w:r>
      <w:r w:rsidR="003B757C">
        <w:rPr>
          <w:rFonts w:ascii="Times New Roman" w:hAnsi="Times New Roman" w:cs="Times New Roman"/>
          <w:sz w:val="24"/>
          <w:szCs w:val="24"/>
        </w:rPr>
        <w:t>igente e le proposte di modifiche</w:t>
      </w:r>
      <w:r w:rsidRPr="005755BC">
        <w:rPr>
          <w:rFonts w:ascii="Times New Roman" w:hAnsi="Times New Roman" w:cs="Times New Roman"/>
          <w:sz w:val="24"/>
          <w:szCs w:val="24"/>
        </w:rPr>
        <w:t>.</w:t>
      </w:r>
    </w:p>
    <w:p w:rsidR="00814927" w:rsidRDefault="00814927" w:rsidP="005755BC">
      <w:pPr>
        <w:jc w:val="both"/>
        <w:rPr>
          <w:rFonts w:ascii="Times New Roman" w:hAnsi="Times New Roman" w:cs="Times New Roman"/>
          <w:sz w:val="24"/>
          <w:szCs w:val="24"/>
        </w:rPr>
      </w:pPr>
      <w:r>
        <w:rPr>
          <w:rFonts w:ascii="Times New Roman" w:hAnsi="Times New Roman" w:cs="Times New Roman"/>
          <w:sz w:val="24"/>
          <w:szCs w:val="24"/>
        </w:rPr>
        <w:t xml:space="preserve">Di seguito si </w:t>
      </w:r>
      <w:r w:rsidR="00B611FC">
        <w:rPr>
          <w:rFonts w:ascii="Times New Roman" w:hAnsi="Times New Roman" w:cs="Times New Roman"/>
          <w:sz w:val="24"/>
          <w:szCs w:val="24"/>
        </w:rPr>
        <w:t xml:space="preserve">forniscono i principali dati sulla dimensione ed i </w:t>
      </w:r>
      <w:r w:rsidR="00B611FC" w:rsidRPr="00B611FC">
        <w:rPr>
          <w:rFonts w:ascii="Times New Roman" w:hAnsi="Times New Roman" w:cs="Times New Roman"/>
          <w:i/>
          <w:sz w:val="24"/>
          <w:szCs w:val="24"/>
        </w:rPr>
        <w:t>tr</w:t>
      </w:r>
      <w:r w:rsidR="00A26A84">
        <w:rPr>
          <w:rFonts w:ascii="Times New Roman" w:hAnsi="Times New Roman" w:cs="Times New Roman"/>
          <w:i/>
          <w:sz w:val="24"/>
          <w:szCs w:val="24"/>
        </w:rPr>
        <w:t>e</w:t>
      </w:r>
      <w:r w:rsidR="00B611FC" w:rsidRPr="00B611FC">
        <w:rPr>
          <w:rFonts w:ascii="Times New Roman" w:hAnsi="Times New Roman" w:cs="Times New Roman"/>
          <w:i/>
          <w:sz w:val="24"/>
          <w:szCs w:val="24"/>
        </w:rPr>
        <w:t>nd</w:t>
      </w:r>
      <w:r w:rsidR="00B611FC">
        <w:rPr>
          <w:rFonts w:ascii="Times New Roman" w:hAnsi="Times New Roman" w:cs="Times New Roman"/>
          <w:sz w:val="24"/>
          <w:szCs w:val="24"/>
        </w:rPr>
        <w:t xml:space="preserve"> della partecipazione alla </w:t>
      </w:r>
      <w:r>
        <w:rPr>
          <w:rFonts w:ascii="Times New Roman" w:hAnsi="Times New Roman" w:cs="Times New Roman"/>
          <w:sz w:val="24"/>
          <w:szCs w:val="24"/>
        </w:rPr>
        <w:t>suddetta consultazione.</w:t>
      </w:r>
    </w:p>
    <w:p w:rsidR="00814927" w:rsidRDefault="00814927">
      <w:pPr>
        <w:rPr>
          <w:rFonts w:ascii="Times New Roman" w:hAnsi="Times New Roman" w:cs="Times New Roman"/>
          <w:sz w:val="24"/>
          <w:szCs w:val="24"/>
        </w:rPr>
      </w:pPr>
      <w:r>
        <w:rPr>
          <w:rFonts w:ascii="Times New Roman" w:hAnsi="Times New Roman" w:cs="Times New Roman"/>
          <w:sz w:val="24"/>
          <w:szCs w:val="24"/>
        </w:rPr>
        <w:br w:type="page"/>
      </w:r>
    </w:p>
    <w:p w:rsidR="00814927" w:rsidRPr="00814927" w:rsidRDefault="00814927" w:rsidP="00814927">
      <w:pPr>
        <w:jc w:val="both"/>
        <w:rPr>
          <w:rFonts w:ascii="Times New Roman" w:hAnsi="Times New Roman" w:cs="Times New Roman"/>
          <w:b/>
          <w:sz w:val="24"/>
          <w:szCs w:val="24"/>
          <w:u w:val="single"/>
        </w:rPr>
      </w:pPr>
      <w:bookmarkStart w:id="2" w:name="_Toc530131997"/>
      <w:r w:rsidRPr="00814927">
        <w:rPr>
          <w:rFonts w:ascii="Times New Roman" w:hAnsi="Times New Roman" w:cs="Times New Roman"/>
          <w:b/>
          <w:sz w:val="24"/>
          <w:szCs w:val="24"/>
          <w:u w:val="single"/>
        </w:rPr>
        <w:lastRenderedPageBreak/>
        <w:t>Dimensione e trend della partecipazione</w:t>
      </w:r>
      <w:bookmarkEnd w:id="2"/>
    </w:p>
    <w:p w:rsidR="00814927" w:rsidRPr="00814927" w:rsidRDefault="00814927" w:rsidP="00814927">
      <w:pPr>
        <w:jc w:val="both"/>
        <w:rPr>
          <w:rFonts w:ascii="Times New Roman" w:hAnsi="Times New Roman" w:cs="Times New Roman"/>
          <w:sz w:val="24"/>
          <w:szCs w:val="24"/>
        </w:rPr>
      </w:pPr>
    </w:p>
    <w:p w:rsidR="00814927" w:rsidRPr="00814927" w:rsidRDefault="00814927" w:rsidP="00814927">
      <w:pPr>
        <w:jc w:val="both"/>
        <w:rPr>
          <w:rFonts w:ascii="Times New Roman" w:hAnsi="Times New Roman" w:cs="Times New Roman"/>
          <w:sz w:val="24"/>
          <w:szCs w:val="24"/>
          <w:u w:val="single"/>
        </w:rPr>
      </w:pPr>
      <w:bookmarkStart w:id="3" w:name="_Toc530131998"/>
      <w:r w:rsidRPr="00814927">
        <w:rPr>
          <w:rFonts w:ascii="Times New Roman" w:hAnsi="Times New Roman" w:cs="Times New Roman"/>
          <w:sz w:val="24"/>
          <w:szCs w:val="24"/>
          <w:u w:val="single"/>
        </w:rPr>
        <w:t>Contributi per giorno</w:t>
      </w:r>
      <w:bookmarkEnd w:id="3"/>
    </w:p>
    <w:p w:rsidR="00814927" w:rsidRPr="00814927" w:rsidRDefault="00814927" w:rsidP="00814927"/>
    <w:p w:rsidR="00814927" w:rsidRPr="00814927" w:rsidRDefault="00814927" w:rsidP="00814927">
      <w:pPr>
        <w:jc w:val="center"/>
      </w:pPr>
      <w:r w:rsidRPr="00814927">
        <w:rPr>
          <w:noProof/>
          <w:lang w:eastAsia="it-IT"/>
        </w:rPr>
        <w:drawing>
          <wp:inline distT="0" distB="0" distL="0" distR="0" wp14:anchorId="04672112" wp14:editId="036C7587">
            <wp:extent cx="6120130" cy="1668122"/>
            <wp:effectExtent l="0" t="0" r="0" b="889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20130" cy="1668122"/>
                    </a:xfrm>
                    <a:prstGeom prst="rect">
                      <a:avLst/>
                    </a:prstGeom>
                  </pic:spPr>
                </pic:pic>
              </a:graphicData>
            </a:graphic>
          </wp:inline>
        </w:drawing>
      </w:r>
    </w:p>
    <w:p w:rsidR="00814927" w:rsidRPr="00814927" w:rsidRDefault="00814927" w:rsidP="00814927">
      <w:pPr>
        <w:jc w:val="both"/>
        <w:rPr>
          <w:rFonts w:ascii="Times New Roman" w:hAnsi="Times New Roman" w:cs="Times New Roman"/>
          <w:sz w:val="24"/>
          <w:szCs w:val="24"/>
        </w:rPr>
      </w:pPr>
      <w:r w:rsidRPr="00814927">
        <w:rPr>
          <w:rFonts w:ascii="Times New Roman" w:hAnsi="Times New Roman" w:cs="Times New Roman"/>
          <w:sz w:val="24"/>
          <w:szCs w:val="24"/>
        </w:rPr>
        <w:t>Il grafico mostra la distribuzione nel tempo della dimensione della partecipazione alla consultazione.</w:t>
      </w:r>
    </w:p>
    <w:p w:rsidR="00814927" w:rsidRPr="00814927" w:rsidRDefault="00814927" w:rsidP="00814927">
      <w:pPr>
        <w:jc w:val="both"/>
        <w:rPr>
          <w:rFonts w:ascii="Times New Roman" w:hAnsi="Times New Roman" w:cs="Times New Roman"/>
          <w:sz w:val="24"/>
          <w:szCs w:val="24"/>
        </w:rPr>
      </w:pPr>
      <w:r w:rsidRPr="00814927">
        <w:rPr>
          <w:rFonts w:ascii="Times New Roman" w:hAnsi="Times New Roman" w:cs="Times New Roman"/>
          <w:sz w:val="24"/>
          <w:szCs w:val="24"/>
        </w:rPr>
        <w:t>Sono stati inseriti in totale 1.908 contributi, tra proposte e recensioni, con una media di 58 contributi al giorno, calcolata sull’intero periodo.</w:t>
      </w:r>
    </w:p>
    <w:p w:rsidR="00814927" w:rsidRPr="00814927" w:rsidRDefault="00814927" w:rsidP="00814927">
      <w:pPr>
        <w:jc w:val="both"/>
        <w:rPr>
          <w:rFonts w:ascii="Times New Roman" w:hAnsi="Times New Roman" w:cs="Times New Roman"/>
          <w:sz w:val="24"/>
          <w:szCs w:val="24"/>
        </w:rPr>
      </w:pPr>
      <w:r w:rsidRPr="00814927">
        <w:rPr>
          <w:rFonts w:ascii="Times New Roman" w:hAnsi="Times New Roman" w:cs="Times New Roman"/>
          <w:sz w:val="24"/>
          <w:szCs w:val="24"/>
        </w:rPr>
        <w:t>La partecipazione è stata pressoché costante nel periodo iniziale e intermedio, dall’avvio della consultazione al 5 settembre, in cui è stato inserito il 42% dei contributi, con una media di 28 contributi al giorno.</w:t>
      </w:r>
    </w:p>
    <w:p w:rsidR="00814927" w:rsidRPr="00814927" w:rsidRDefault="00814927" w:rsidP="00814927">
      <w:pPr>
        <w:jc w:val="both"/>
        <w:rPr>
          <w:rFonts w:ascii="Times New Roman" w:hAnsi="Times New Roman" w:cs="Times New Roman"/>
          <w:sz w:val="24"/>
          <w:szCs w:val="24"/>
        </w:rPr>
      </w:pPr>
      <w:r w:rsidRPr="00814927">
        <w:rPr>
          <w:rFonts w:ascii="Times New Roman" w:hAnsi="Times New Roman" w:cs="Times New Roman"/>
          <w:sz w:val="24"/>
          <w:szCs w:val="24"/>
        </w:rPr>
        <w:t>Nel periodo finale la partecipazione ha subito un netto incremento, con l’inserimento di 1.114 contributi negli ultimi cinque giorni, pari al 58% del totale, e un picco di 669 contributi inseriti solo nell’ultimo giorno, pari al 35 % del totale.</w:t>
      </w:r>
    </w:p>
    <w:p w:rsidR="00814927" w:rsidRPr="00814927" w:rsidRDefault="00814927" w:rsidP="00814927">
      <w:pPr>
        <w:rPr>
          <w:sz w:val="24"/>
          <w:szCs w:val="24"/>
        </w:rPr>
      </w:pPr>
      <w:r w:rsidRPr="00814927">
        <w:rPr>
          <w:sz w:val="24"/>
          <w:szCs w:val="24"/>
        </w:rPr>
        <w:br w:type="page"/>
      </w:r>
    </w:p>
    <w:p w:rsidR="00814927" w:rsidRPr="00814927" w:rsidRDefault="00814927" w:rsidP="00814927">
      <w:pPr>
        <w:jc w:val="center"/>
        <w:rPr>
          <w:sz w:val="24"/>
          <w:szCs w:val="24"/>
        </w:rPr>
      </w:pPr>
      <w:r w:rsidRPr="00814927">
        <w:rPr>
          <w:noProof/>
          <w:lang w:eastAsia="it-IT"/>
        </w:rPr>
        <w:lastRenderedPageBreak/>
        <mc:AlternateContent>
          <mc:Choice Requires="wps">
            <w:drawing>
              <wp:anchor distT="0" distB="0" distL="114300" distR="114300" simplePos="0" relativeHeight="251659264" behindDoc="0" locked="0" layoutInCell="1" allowOverlap="1" wp14:anchorId="72E5622E" wp14:editId="64F46A02">
                <wp:simplePos x="0" y="0"/>
                <wp:positionH relativeFrom="column">
                  <wp:posOffset>41910</wp:posOffset>
                </wp:positionH>
                <wp:positionV relativeFrom="paragraph">
                  <wp:posOffset>-417195</wp:posOffset>
                </wp:positionV>
                <wp:extent cx="4470400" cy="361950"/>
                <wp:effectExtent l="0" t="0" r="25400" b="19050"/>
                <wp:wrapNone/>
                <wp:docPr id="7" name="Casella di testo 7"/>
                <wp:cNvGraphicFramePr/>
                <a:graphic xmlns:a="http://schemas.openxmlformats.org/drawingml/2006/main">
                  <a:graphicData uri="http://schemas.microsoft.com/office/word/2010/wordprocessingShape">
                    <wps:wsp>
                      <wps:cNvSpPr txBox="1"/>
                      <wps:spPr>
                        <a:xfrm>
                          <a:off x="0" y="0"/>
                          <a:ext cx="4470400" cy="361950"/>
                        </a:xfrm>
                        <a:prstGeom prst="rect">
                          <a:avLst/>
                        </a:prstGeom>
                        <a:solidFill>
                          <a:sysClr val="window" lastClr="FFFFFF"/>
                        </a:solidFill>
                        <a:ln w="6350">
                          <a:solidFill>
                            <a:sysClr val="window" lastClr="FFFFFF"/>
                          </a:solidFill>
                        </a:ln>
                        <a:effectLst/>
                      </wps:spPr>
                      <wps:txbx>
                        <w:txbxContent>
                          <w:p w:rsidR="002A0DB2" w:rsidRPr="00814927" w:rsidRDefault="002A0DB2" w:rsidP="00814927">
                            <w:pPr>
                              <w:jc w:val="both"/>
                              <w:rPr>
                                <w:rFonts w:ascii="Times New Roman" w:hAnsi="Times New Roman" w:cs="Times New Roman"/>
                                <w:sz w:val="24"/>
                                <w:szCs w:val="24"/>
                                <w:u w:val="single"/>
                              </w:rPr>
                            </w:pPr>
                            <w:bookmarkStart w:id="4" w:name="_Toc530131999"/>
                            <w:r w:rsidRPr="00814927">
                              <w:rPr>
                                <w:rFonts w:ascii="Times New Roman" w:hAnsi="Times New Roman" w:cs="Times New Roman"/>
                                <w:sz w:val="24"/>
                                <w:szCs w:val="24"/>
                                <w:u w:val="single"/>
                              </w:rPr>
                              <w:t>Contributi per ciascun tema in consultazione</w:t>
                            </w:r>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E5622E" id="Casella di testo 7" o:spid="_x0000_s1030" type="#_x0000_t202" style="position:absolute;left:0;text-align:left;margin-left:3.3pt;margin-top:-32.85pt;width:352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" fillcolor="window" strokecolor="window" strokeweight=".5pt">
                <v:textbox>
                  <w:txbxContent>
                    <w:p w:rsidR="002A0DB2" w:rsidRPr="00814927" w:rsidRDefault="002A0DB2" w:rsidP="00814927">
                      <w:pPr>
                        <w:jc w:val="both"/>
                        <w:rPr>
                          <w:rFonts w:ascii="Times New Roman" w:hAnsi="Times New Roman" w:cs="Times New Roman"/>
                          <w:sz w:val="24"/>
                          <w:szCs w:val="24"/>
                          <w:u w:val="single"/>
                        </w:rPr>
                      </w:pPr>
                      <w:bookmarkStart w:id="4" w:name="_Toc530131999"/>
                      <w:r w:rsidRPr="00814927">
                        <w:rPr>
                          <w:rFonts w:ascii="Times New Roman" w:hAnsi="Times New Roman" w:cs="Times New Roman"/>
                          <w:sz w:val="24"/>
                          <w:szCs w:val="24"/>
                          <w:u w:val="single"/>
                        </w:rPr>
                        <w:t>Contributi per ciascun tema in consultazione</w:t>
                      </w:r>
                      <w:bookmarkEnd w:id="4"/>
                    </w:p>
                  </w:txbxContent>
                </v:textbox>
              </v:shape>
            </w:pict>
          </mc:Fallback>
        </mc:AlternateContent>
      </w:r>
      <w:r w:rsidRPr="00814927">
        <w:rPr>
          <w:noProof/>
          <w:lang w:eastAsia="it-IT"/>
        </w:rPr>
        <w:drawing>
          <wp:inline distT="0" distB="0" distL="0" distR="0" wp14:anchorId="0F93ACC4" wp14:editId="2F578D1B">
            <wp:extent cx="6120130" cy="3731487"/>
            <wp:effectExtent l="0" t="0" r="0" b="254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20130" cy="3731487"/>
                    </a:xfrm>
                    <a:prstGeom prst="rect">
                      <a:avLst/>
                    </a:prstGeom>
                  </pic:spPr>
                </pic:pic>
              </a:graphicData>
            </a:graphic>
          </wp:inline>
        </w:drawing>
      </w:r>
    </w:p>
    <w:p w:rsidR="00814927" w:rsidRPr="00814927" w:rsidRDefault="00814927" w:rsidP="00814927">
      <w:pPr>
        <w:jc w:val="center"/>
        <w:rPr>
          <w:sz w:val="24"/>
          <w:szCs w:val="24"/>
        </w:rPr>
      </w:pPr>
      <w:r w:rsidRPr="00814927">
        <w:rPr>
          <w:noProof/>
          <w:lang w:eastAsia="it-IT"/>
        </w:rPr>
        <w:drawing>
          <wp:inline distT="0" distB="0" distL="0" distR="0" wp14:anchorId="4CCD1D99" wp14:editId="73F559C9">
            <wp:extent cx="6120130" cy="34326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20130" cy="3432600"/>
                    </a:xfrm>
                    <a:prstGeom prst="rect">
                      <a:avLst/>
                    </a:prstGeom>
                  </pic:spPr>
                </pic:pic>
              </a:graphicData>
            </a:graphic>
          </wp:inline>
        </w:drawing>
      </w:r>
    </w:p>
    <w:p w:rsidR="00814927" w:rsidRPr="00814927" w:rsidRDefault="00814927" w:rsidP="00814927">
      <w:pPr>
        <w:jc w:val="both"/>
        <w:rPr>
          <w:rFonts w:ascii="Times New Roman" w:hAnsi="Times New Roman" w:cs="Times New Roman"/>
          <w:sz w:val="24"/>
          <w:szCs w:val="24"/>
        </w:rPr>
      </w:pPr>
      <w:r w:rsidRPr="00814927">
        <w:rPr>
          <w:rFonts w:ascii="Times New Roman" w:hAnsi="Times New Roman" w:cs="Times New Roman"/>
          <w:sz w:val="24"/>
          <w:szCs w:val="24"/>
        </w:rPr>
        <w:t>Nei grafici è riportata la distribuzione assoluta e in termini percentuali dei contributi (criticità e proposte) rispetto ai temi messi in consultazione.</w:t>
      </w:r>
    </w:p>
    <w:p w:rsidR="00814927" w:rsidRPr="00814927" w:rsidRDefault="00814927" w:rsidP="00814927">
      <w:pPr>
        <w:jc w:val="both"/>
        <w:rPr>
          <w:rFonts w:ascii="Times New Roman" w:hAnsi="Times New Roman" w:cs="Times New Roman"/>
          <w:sz w:val="24"/>
          <w:szCs w:val="24"/>
        </w:rPr>
      </w:pPr>
      <w:r w:rsidRPr="00814927">
        <w:rPr>
          <w:rFonts w:ascii="Times New Roman" w:hAnsi="Times New Roman" w:cs="Times New Roman"/>
          <w:sz w:val="24"/>
          <w:szCs w:val="24"/>
        </w:rPr>
        <w:t>Si registra un’ampia partecipazione sulle tematiche libere, per le quali sono stati inseriti complessivamente 369 contributi, pari al 19,3% del totale, di cui si darà distintamente conto di seguito.</w:t>
      </w:r>
    </w:p>
    <w:p w:rsidR="00814927" w:rsidRPr="00BB27D4" w:rsidRDefault="00814927" w:rsidP="00814927">
      <w:pPr>
        <w:jc w:val="both"/>
        <w:rPr>
          <w:rFonts w:ascii="Times New Roman" w:hAnsi="Times New Roman" w:cs="Times New Roman"/>
          <w:sz w:val="24"/>
          <w:szCs w:val="24"/>
        </w:rPr>
      </w:pPr>
      <w:r w:rsidRPr="00BB27D4">
        <w:rPr>
          <w:rFonts w:ascii="Times New Roman" w:hAnsi="Times New Roman" w:cs="Times New Roman"/>
          <w:sz w:val="24"/>
          <w:szCs w:val="24"/>
        </w:rPr>
        <w:lastRenderedPageBreak/>
        <w:t xml:space="preserve">Per quanto riguarda i temi predefiniti, un interesse relativamente alto in particolare per tre temi (art. 95 commi 4 e 5, art. 97 commi 2 e 3, art. 105), che hanno totalizzato il 20,9% dei contributi (con una media di 133 contributi per articolo) e un livello di partecipazione medio per i restanti 20 temi, che hanno collazionato il 55% dei contributi (circa 52 contributi per articolo). </w:t>
      </w:r>
    </w:p>
    <w:p w:rsidR="00814927" w:rsidRPr="00BB27D4" w:rsidRDefault="00814927" w:rsidP="00814927">
      <w:pPr>
        <w:jc w:val="both"/>
        <w:rPr>
          <w:rFonts w:ascii="Times New Roman" w:hAnsi="Times New Roman" w:cs="Times New Roman"/>
          <w:sz w:val="24"/>
          <w:szCs w:val="24"/>
        </w:rPr>
      </w:pPr>
      <w:r w:rsidRPr="00BB27D4">
        <w:rPr>
          <w:rFonts w:ascii="Times New Roman" w:hAnsi="Times New Roman" w:cs="Times New Roman"/>
          <w:sz w:val="24"/>
          <w:szCs w:val="24"/>
        </w:rPr>
        <w:t>Si riscontra invece una partecipazione relativamente bassa su altri articoli (artt. 48, 102, 110, 174, 177, 196) che hanno raccolto complessivamente il 4,8% dei contributi (circa 16 contributi in media per ciascun articolo).</w:t>
      </w:r>
    </w:p>
    <w:p w:rsidR="00814927" w:rsidRPr="00814927" w:rsidRDefault="00814927" w:rsidP="00814927">
      <w:pPr>
        <w:jc w:val="both"/>
        <w:rPr>
          <w:sz w:val="24"/>
          <w:szCs w:val="24"/>
        </w:rPr>
      </w:pPr>
    </w:p>
    <w:p w:rsidR="00814927" w:rsidRPr="00814927" w:rsidRDefault="00814927" w:rsidP="00814927">
      <w:pPr>
        <w:rPr>
          <w:sz w:val="24"/>
          <w:szCs w:val="24"/>
        </w:rPr>
      </w:pPr>
      <w:r w:rsidRPr="00814927">
        <w:rPr>
          <w:sz w:val="24"/>
          <w:szCs w:val="24"/>
        </w:rPr>
        <w:br w:type="page"/>
      </w:r>
    </w:p>
    <w:p w:rsidR="00814927" w:rsidRPr="00814927" w:rsidRDefault="00814927" w:rsidP="00814927">
      <w:pPr>
        <w:jc w:val="center"/>
        <w:rPr>
          <w:sz w:val="24"/>
          <w:szCs w:val="24"/>
        </w:rPr>
      </w:pPr>
      <w:r w:rsidRPr="00814927">
        <w:rPr>
          <w:noProof/>
          <w:lang w:eastAsia="it-IT"/>
        </w:rPr>
        <w:lastRenderedPageBreak/>
        <mc:AlternateContent>
          <mc:Choice Requires="wps">
            <w:drawing>
              <wp:anchor distT="0" distB="0" distL="114300" distR="114300" simplePos="0" relativeHeight="251660288" behindDoc="0" locked="0" layoutInCell="1" allowOverlap="1" wp14:anchorId="268260BE" wp14:editId="72C62213">
                <wp:simplePos x="0" y="0"/>
                <wp:positionH relativeFrom="column">
                  <wp:posOffset>-2540</wp:posOffset>
                </wp:positionH>
                <wp:positionV relativeFrom="paragraph">
                  <wp:posOffset>-360045</wp:posOffset>
                </wp:positionV>
                <wp:extent cx="4197350" cy="304800"/>
                <wp:effectExtent l="0" t="0" r="12700" b="19050"/>
                <wp:wrapNone/>
                <wp:docPr id="8" name="Casella di testo 8"/>
                <wp:cNvGraphicFramePr/>
                <a:graphic xmlns:a="http://schemas.openxmlformats.org/drawingml/2006/main">
                  <a:graphicData uri="http://schemas.microsoft.com/office/word/2010/wordprocessingShape">
                    <wps:wsp>
                      <wps:cNvSpPr txBox="1"/>
                      <wps:spPr>
                        <a:xfrm>
                          <a:off x="0" y="0"/>
                          <a:ext cx="4197350" cy="304800"/>
                        </a:xfrm>
                        <a:prstGeom prst="rect">
                          <a:avLst/>
                        </a:prstGeom>
                        <a:solidFill>
                          <a:sysClr val="window" lastClr="FFFFFF"/>
                        </a:solidFill>
                        <a:ln w="6350">
                          <a:solidFill>
                            <a:sysClr val="window" lastClr="FFFFFF"/>
                          </a:solidFill>
                        </a:ln>
                        <a:effectLst/>
                      </wps:spPr>
                      <wps:txbx>
                        <w:txbxContent>
                          <w:p w:rsidR="002A0DB2" w:rsidRPr="00BB27D4" w:rsidRDefault="002A0DB2" w:rsidP="00814927">
                            <w:pPr>
                              <w:pStyle w:val="Titolo2"/>
                              <w:spacing w:before="0" w:line="240" w:lineRule="auto"/>
                              <w:rPr>
                                <w:rFonts w:ascii="Times New Roman" w:hAnsi="Times New Roman" w:cs="Times New Roman"/>
                                <w:b w:val="0"/>
                                <w:color w:val="auto"/>
                                <w:sz w:val="24"/>
                                <w:szCs w:val="24"/>
                                <w:u w:val="single"/>
                              </w:rPr>
                            </w:pPr>
                            <w:bookmarkStart w:id="5" w:name="_Toc530132000"/>
                            <w:r w:rsidRPr="00BB27D4">
                              <w:rPr>
                                <w:rFonts w:ascii="Times New Roman" w:hAnsi="Times New Roman" w:cs="Times New Roman"/>
                                <w:b w:val="0"/>
                                <w:color w:val="auto"/>
                                <w:sz w:val="24"/>
                                <w:szCs w:val="24"/>
                                <w:u w:val="single"/>
                              </w:rPr>
                              <w:t>Contributi per tipologia di impiego</w:t>
                            </w:r>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68260BE" id="Casella di testo 8" o:spid="_x0000_s1031" type="#_x0000_t202" style="position:absolute;left:0;text-align:left;margin-left:-.2pt;margin-top:-28.35pt;width:330.5pt;height:2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" fillcolor="window" strokecolor="window" strokeweight=".5pt">
                <v:textbox>
                  <w:txbxContent>
                    <w:p w:rsidR="002A0DB2" w:rsidRPr="00BB27D4" w:rsidRDefault="002A0DB2" w:rsidP="00814927">
                      <w:pPr>
                        <w:pStyle w:val="Titolo2"/>
                        <w:spacing w:before="0" w:line="240" w:lineRule="auto"/>
                        <w:rPr>
                          <w:rFonts w:ascii="Times New Roman" w:hAnsi="Times New Roman" w:cs="Times New Roman"/>
                          <w:b w:val="0"/>
                          <w:color w:val="auto"/>
                          <w:sz w:val="24"/>
                          <w:szCs w:val="24"/>
                          <w:u w:val="single"/>
                        </w:rPr>
                      </w:pPr>
                      <w:bookmarkStart w:id="6" w:name="_Toc530132000"/>
                      <w:r w:rsidRPr="00BB27D4">
                        <w:rPr>
                          <w:rFonts w:ascii="Times New Roman" w:hAnsi="Times New Roman" w:cs="Times New Roman"/>
                          <w:b w:val="0"/>
                          <w:color w:val="auto"/>
                          <w:sz w:val="24"/>
                          <w:szCs w:val="24"/>
                          <w:u w:val="single"/>
                        </w:rPr>
                        <w:t>Contributi per tipologia di impiego</w:t>
                      </w:r>
                      <w:bookmarkEnd w:id="6"/>
                    </w:p>
                  </w:txbxContent>
                </v:textbox>
              </v:shape>
            </w:pict>
          </mc:Fallback>
        </mc:AlternateContent>
      </w:r>
      <w:r w:rsidRPr="00814927">
        <w:rPr>
          <w:noProof/>
          <w:lang w:eastAsia="it-IT"/>
        </w:rPr>
        <w:drawing>
          <wp:inline distT="0" distB="0" distL="0" distR="0" wp14:anchorId="361636ED" wp14:editId="0D45FE0A">
            <wp:extent cx="6121400" cy="3535896"/>
            <wp:effectExtent l="0" t="0" r="0" b="762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20130" cy="3535162"/>
                    </a:xfrm>
                    <a:prstGeom prst="rect">
                      <a:avLst/>
                    </a:prstGeom>
                  </pic:spPr>
                </pic:pic>
              </a:graphicData>
            </a:graphic>
          </wp:inline>
        </w:drawing>
      </w:r>
    </w:p>
    <w:p w:rsidR="00814927" w:rsidRPr="00BB27D4" w:rsidRDefault="00814927" w:rsidP="00814927">
      <w:pPr>
        <w:jc w:val="both"/>
        <w:rPr>
          <w:rFonts w:ascii="Times New Roman" w:hAnsi="Times New Roman" w:cs="Times New Roman"/>
          <w:sz w:val="24"/>
          <w:szCs w:val="24"/>
        </w:rPr>
      </w:pPr>
      <w:r w:rsidRPr="00BB27D4">
        <w:rPr>
          <w:rFonts w:ascii="Times New Roman" w:hAnsi="Times New Roman" w:cs="Times New Roman"/>
          <w:sz w:val="24"/>
          <w:szCs w:val="24"/>
        </w:rPr>
        <w:t>Il grafico rappresenta la dimensione della partecipazione alla consultazione rispetto a quattro classi di utenti raggruppate, per semplicità di rappresentazione, in: a) pubbliche amministrazioni, b) aziende private; c) liberi professionisti; d) altro.</w:t>
      </w:r>
    </w:p>
    <w:p w:rsidR="00814927" w:rsidRPr="00BB27D4" w:rsidRDefault="00814927" w:rsidP="00814927">
      <w:pPr>
        <w:jc w:val="both"/>
        <w:rPr>
          <w:rFonts w:ascii="Times New Roman" w:hAnsi="Times New Roman" w:cs="Times New Roman"/>
          <w:sz w:val="24"/>
          <w:szCs w:val="24"/>
        </w:rPr>
      </w:pPr>
      <w:r w:rsidRPr="00BB27D4">
        <w:rPr>
          <w:rFonts w:ascii="Times New Roman" w:hAnsi="Times New Roman" w:cs="Times New Roman"/>
          <w:sz w:val="24"/>
          <w:szCs w:val="24"/>
        </w:rPr>
        <w:t>La partecipazione maggiore, con il 56,76% di contributi, si registra nella categoria “Aziende Private”, nella quale sono stati inclusi i dipendenti e i titolari di cariche di aziende private, nonché gli imprenditori individuali.</w:t>
      </w:r>
    </w:p>
    <w:p w:rsidR="00814927" w:rsidRPr="00BB27D4" w:rsidRDefault="00814927" w:rsidP="00814927">
      <w:pPr>
        <w:jc w:val="both"/>
        <w:rPr>
          <w:rFonts w:ascii="Times New Roman" w:hAnsi="Times New Roman" w:cs="Times New Roman"/>
          <w:sz w:val="24"/>
          <w:szCs w:val="24"/>
        </w:rPr>
      </w:pPr>
      <w:r w:rsidRPr="00BB27D4">
        <w:rPr>
          <w:rFonts w:ascii="Times New Roman" w:hAnsi="Times New Roman" w:cs="Times New Roman"/>
          <w:sz w:val="24"/>
          <w:szCs w:val="24"/>
        </w:rPr>
        <w:t>A seguire, con il 30,08% di contributi, si colloca la categoria “Pubbliche Amministrazioni”, che include i dipendenti di P.A. e di Enti Pubblici.</w:t>
      </w:r>
    </w:p>
    <w:p w:rsidR="00814927" w:rsidRPr="00BB27D4" w:rsidRDefault="00814927" w:rsidP="00814927">
      <w:pPr>
        <w:jc w:val="both"/>
        <w:rPr>
          <w:rFonts w:ascii="Times New Roman" w:hAnsi="Times New Roman" w:cs="Times New Roman"/>
          <w:sz w:val="24"/>
          <w:szCs w:val="24"/>
        </w:rPr>
      </w:pPr>
      <w:r w:rsidRPr="00BB27D4">
        <w:rPr>
          <w:rFonts w:ascii="Times New Roman" w:hAnsi="Times New Roman" w:cs="Times New Roman"/>
          <w:sz w:val="24"/>
          <w:szCs w:val="24"/>
        </w:rPr>
        <w:t>I liberi professionisti hanno partecipato con il 12,74% dei contributi totali, mentre un numero relativamente esiguo di contributi, pari complessivamente allo 0,42% del totale, si registra da parte dei soggetti che non rientrano in alcuna delle precedenti categorie (pensionati, disoccupati, ecc.).</w:t>
      </w:r>
    </w:p>
    <w:p w:rsidR="00814927" w:rsidRPr="00814927" w:rsidRDefault="00814927" w:rsidP="00814927">
      <w:pPr>
        <w:rPr>
          <w:sz w:val="24"/>
          <w:szCs w:val="24"/>
        </w:rPr>
      </w:pPr>
      <w:r w:rsidRPr="00814927">
        <w:rPr>
          <w:sz w:val="24"/>
          <w:szCs w:val="24"/>
        </w:rPr>
        <w:br w:type="page"/>
      </w:r>
    </w:p>
    <w:p w:rsidR="00814927" w:rsidRPr="00814927" w:rsidRDefault="00814927" w:rsidP="00814927">
      <w:pPr>
        <w:jc w:val="both"/>
        <w:rPr>
          <w:sz w:val="24"/>
          <w:szCs w:val="24"/>
        </w:rPr>
      </w:pPr>
      <w:r w:rsidRPr="00814927">
        <w:rPr>
          <w:noProof/>
          <w:lang w:eastAsia="it-IT"/>
        </w:rPr>
        <w:lastRenderedPageBreak/>
        <mc:AlternateContent>
          <mc:Choice Requires="wps">
            <w:drawing>
              <wp:anchor distT="0" distB="0" distL="114300" distR="114300" simplePos="0" relativeHeight="251661312" behindDoc="0" locked="0" layoutInCell="1" allowOverlap="1" wp14:anchorId="512F743D" wp14:editId="248B2140">
                <wp:simplePos x="0" y="0"/>
                <wp:positionH relativeFrom="column">
                  <wp:posOffset>200660</wp:posOffset>
                </wp:positionH>
                <wp:positionV relativeFrom="paragraph">
                  <wp:posOffset>59055</wp:posOffset>
                </wp:positionV>
                <wp:extent cx="5086350" cy="323850"/>
                <wp:effectExtent l="0" t="0" r="19050" b="19050"/>
                <wp:wrapNone/>
                <wp:docPr id="9" name="Casella di testo 9"/>
                <wp:cNvGraphicFramePr/>
                <a:graphic xmlns:a="http://schemas.openxmlformats.org/drawingml/2006/main">
                  <a:graphicData uri="http://schemas.microsoft.com/office/word/2010/wordprocessingShape">
                    <wps:wsp>
                      <wps:cNvSpPr txBox="1"/>
                      <wps:spPr>
                        <a:xfrm>
                          <a:off x="0" y="0"/>
                          <a:ext cx="5086350" cy="323850"/>
                        </a:xfrm>
                        <a:prstGeom prst="rect">
                          <a:avLst/>
                        </a:prstGeom>
                        <a:solidFill>
                          <a:sysClr val="window" lastClr="FFFFFF"/>
                        </a:solidFill>
                        <a:ln w="6350">
                          <a:solidFill>
                            <a:sysClr val="window" lastClr="FFFFFF"/>
                          </a:solidFill>
                        </a:ln>
                        <a:effectLst/>
                      </wps:spPr>
                      <wps:txbx>
                        <w:txbxContent>
                          <w:p w:rsidR="002A0DB2" w:rsidRPr="00BB27D4" w:rsidRDefault="002A0DB2" w:rsidP="00BB27D4">
                            <w:pPr>
                              <w:jc w:val="both"/>
                              <w:rPr>
                                <w:rFonts w:ascii="Times New Roman" w:hAnsi="Times New Roman" w:cs="Times New Roman"/>
                                <w:sz w:val="24"/>
                                <w:szCs w:val="24"/>
                                <w:u w:val="single"/>
                              </w:rPr>
                            </w:pPr>
                            <w:bookmarkStart w:id="6" w:name="_Toc530132001"/>
                            <w:r w:rsidRPr="00BB27D4">
                              <w:rPr>
                                <w:rFonts w:ascii="Times New Roman" w:hAnsi="Times New Roman" w:cs="Times New Roman"/>
                                <w:sz w:val="24"/>
                                <w:szCs w:val="24"/>
                                <w:u w:val="single"/>
                              </w:rPr>
                              <w:t>Contributi per tema e per tipologia di impiego</w:t>
                            </w:r>
                            <w:bookmarkEnd w:id="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12F743D" id="Casella di testo 9" o:spid="_x0000_s1032" type="#_x0000_t202" style="position:absolute;left:0;text-align:left;margin-left:15.8pt;margin-top:4.65pt;width:400.5pt;height:2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" fillcolor="window" strokecolor="window" strokeweight=".5pt">
                <v:textbox>
                  <w:txbxContent>
                    <w:p w:rsidR="002A0DB2" w:rsidRPr="00BB27D4" w:rsidRDefault="002A0DB2" w:rsidP="00BB27D4">
                      <w:pPr>
                        <w:jc w:val="both"/>
                        <w:rPr>
                          <w:rFonts w:ascii="Times New Roman" w:hAnsi="Times New Roman" w:cs="Times New Roman"/>
                          <w:sz w:val="24"/>
                          <w:szCs w:val="24"/>
                          <w:u w:val="single"/>
                        </w:rPr>
                      </w:pPr>
                      <w:bookmarkStart w:id="8" w:name="_Toc530132001"/>
                      <w:r w:rsidRPr="00BB27D4">
                        <w:rPr>
                          <w:rFonts w:ascii="Times New Roman" w:hAnsi="Times New Roman" w:cs="Times New Roman"/>
                          <w:sz w:val="24"/>
                          <w:szCs w:val="24"/>
                          <w:u w:val="single"/>
                        </w:rPr>
                        <w:t>Contributi per tema e per tipologia di impiego</w:t>
                      </w:r>
                      <w:bookmarkEnd w:id="8"/>
                    </w:p>
                  </w:txbxContent>
                </v:textbox>
              </v:shape>
            </w:pict>
          </mc:Fallback>
        </mc:AlternateContent>
      </w:r>
    </w:p>
    <w:p w:rsidR="00814927" w:rsidRPr="00814927" w:rsidRDefault="00814927" w:rsidP="00814927">
      <w:pPr>
        <w:jc w:val="both"/>
        <w:rPr>
          <w:sz w:val="24"/>
          <w:szCs w:val="24"/>
        </w:rPr>
      </w:pPr>
    </w:p>
    <w:p w:rsidR="00814927" w:rsidRPr="00814927" w:rsidRDefault="00814927" w:rsidP="00814927">
      <w:pPr>
        <w:jc w:val="both"/>
        <w:rPr>
          <w:sz w:val="24"/>
          <w:szCs w:val="24"/>
        </w:rPr>
      </w:pPr>
      <w:r w:rsidRPr="00814927">
        <w:rPr>
          <w:noProof/>
          <w:lang w:eastAsia="it-IT"/>
        </w:rPr>
        <w:drawing>
          <wp:inline distT="0" distB="0" distL="0" distR="0" wp14:anchorId="08876CF8" wp14:editId="4E6C1BF7">
            <wp:extent cx="6118677" cy="29718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20130" cy="2972506"/>
                    </a:xfrm>
                    <a:prstGeom prst="rect">
                      <a:avLst/>
                    </a:prstGeom>
                  </pic:spPr>
                </pic:pic>
              </a:graphicData>
            </a:graphic>
          </wp:inline>
        </w:drawing>
      </w:r>
    </w:p>
    <w:p w:rsidR="00814927" w:rsidRPr="00BB27D4" w:rsidRDefault="00814927" w:rsidP="00814927">
      <w:pPr>
        <w:jc w:val="both"/>
        <w:rPr>
          <w:rFonts w:ascii="Times New Roman" w:hAnsi="Times New Roman" w:cs="Times New Roman"/>
          <w:sz w:val="24"/>
          <w:szCs w:val="24"/>
        </w:rPr>
      </w:pPr>
      <w:r w:rsidRPr="00BB27D4">
        <w:rPr>
          <w:rFonts w:ascii="Times New Roman" w:hAnsi="Times New Roman" w:cs="Times New Roman"/>
          <w:sz w:val="24"/>
          <w:szCs w:val="24"/>
        </w:rPr>
        <w:t>Il grafico mostra la distribuzione dei contributi su ciascun tema in consultazione  da parte delle diverse tipologie di partecipanti.</w:t>
      </w:r>
    </w:p>
    <w:p w:rsidR="00814927" w:rsidRPr="00BB27D4" w:rsidRDefault="00814927" w:rsidP="00814927">
      <w:pPr>
        <w:jc w:val="both"/>
        <w:rPr>
          <w:rFonts w:ascii="Times New Roman" w:hAnsi="Times New Roman" w:cs="Times New Roman"/>
          <w:sz w:val="24"/>
          <w:szCs w:val="24"/>
        </w:rPr>
      </w:pPr>
      <w:r w:rsidRPr="00BB27D4">
        <w:rPr>
          <w:rFonts w:ascii="Times New Roman" w:hAnsi="Times New Roman" w:cs="Times New Roman"/>
          <w:sz w:val="24"/>
          <w:szCs w:val="24"/>
        </w:rPr>
        <w:t>Per alcuni temi (art. 105, art. 113 commi 1,2 e 3, art. 29 commi 1 e 2, art. 31 comma 1, art. 77 commi 1 e 3, art. 80) si registra un interesse alla consultazione relativamente più alto da parte delle Pubbliche Amministrazioni, in relazione alle altre categorie di utenti, rispetto a quanto avviene per gli altri temi. In particolare, relativamente all’art. 113, il numero di contributi provenienti da P.A. rappresenta il 77% del totale.</w:t>
      </w:r>
    </w:p>
    <w:p w:rsidR="00814927" w:rsidRPr="00BB27D4" w:rsidRDefault="00814927" w:rsidP="00814927">
      <w:pPr>
        <w:jc w:val="both"/>
        <w:rPr>
          <w:rFonts w:ascii="Times New Roman" w:hAnsi="Times New Roman" w:cs="Times New Roman"/>
          <w:sz w:val="24"/>
          <w:szCs w:val="24"/>
        </w:rPr>
      </w:pPr>
      <w:r w:rsidRPr="00BB27D4">
        <w:rPr>
          <w:rFonts w:ascii="Times New Roman" w:hAnsi="Times New Roman" w:cs="Times New Roman"/>
          <w:sz w:val="24"/>
          <w:szCs w:val="24"/>
        </w:rPr>
        <w:t>Per quanto riguarda la categoria del liberi professionisti, escluso il tema “ulteriore” da introdurre in consultazione, gli articoli che hanno raccolto maggiore interesse sono l’art. 31 comma 1, l’art. 59 commi 1 e 1-bis e l’art. 95 commi 4 e 5, che hanno totalizzato complessivamente un numero di contributi pari al 28% del totale corrispondente a tale categoria di utenti.</w:t>
      </w:r>
    </w:p>
    <w:p w:rsidR="00814927" w:rsidRPr="00814927" w:rsidRDefault="00814927" w:rsidP="00814927">
      <w:pPr>
        <w:rPr>
          <w:b/>
          <w:smallCaps/>
          <w:sz w:val="24"/>
          <w:szCs w:val="24"/>
        </w:rPr>
      </w:pPr>
    </w:p>
    <w:p w:rsidR="00814927" w:rsidRPr="00814927" w:rsidRDefault="00814927" w:rsidP="00814927">
      <w:pPr>
        <w:rPr>
          <w:b/>
          <w:smallCaps/>
          <w:sz w:val="24"/>
          <w:szCs w:val="24"/>
        </w:rPr>
      </w:pPr>
    </w:p>
    <w:p w:rsidR="00814927" w:rsidRPr="00814927" w:rsidRDefault="00814927" w:rsidP="00814927">
      <w:pPr>
        <w:rPr>
          <w:b/>
          <w:smallCaps/>
          <w:sz w:val="24"/>
          <w:szCs w:val="24"/>
        </w:rPr>
      </w:pPr>
    </w:p>
    <w:p w:rsidR="00814927" w:rsidRPr="00814927" w:rsidRDefault="00814927" w:rsidP="00814927">
      <w:pPr>
        <w:rPr>
          <w:b/>
          <w:smallCaps/>
          <w:sz w:val="24"/>
          <w:szCs w:val="24"/>
        </w:rPr>
      </w:pPr>
    </w:p>
    <w:p w:rsidR="00814927" w:rsidRPr="00814927" w:rsidRDefault="00814927" w:rsidP="00814927">
      <w:pPr>
        <w:rPr>
          <w:b/>
          <w:smallCaps/>
          <w:sz w:val="24"/>
          <w:szCs w:val="24"/>
        </w:rPr>
      </w:pPr>
    </w:p>
    <w:p w:rsidR="00814927" w:rsidRPr="00814927" w:rsidRDefault="00814927" w:rsidP="00814927">
      <w:pPr>
        <w:rPr>
          <w:b/>
          <w:smallCaps/>
          <w:sz w:val="24"/>
          <w:szCs w:val="24"/>
        </w:rPr>
      </w:pPr>
    </w:p>
    <w:p w:rsidR="00814927" w:rsidRPr="00814927" w:rsidRDefault="00814927" w:rsidP="00814927">
      <w:pPr>
        <w:rPr>
          <w:b/>
          <w:smallCaps/>
          <w:sz w:val="24"/>
          <w:szCs w:val="24"/>
        </w:rPr>
      </w:pPr>
    </w:p>
    <w:p w:rsidR="00814927" w:rsidRPr="00814927" w:rsidRDefault="00814927" w:rsidP="00814927">
      <w:pPr>
        <w:rPr>
          <w:b/>
          <w:smallCaps/>
          <w:sz w:val="24"/>
          <w:szCs w:val="24"/>
        </w:rPr>
      </w:pPr>
    </w:p>
    <w:p w:rsidR="00814927" w:rsidRPr="00814927" w:rsidRDefault="00814927" w:rsidP="00814927">
      <w:pPr>
        <w:rPr>
          <w:sz w:val="24"/>
          <w:szCs w:val="24"/>
        </w:rPr>
      </w:pPr>
    </w:p>
    <w:p w:rsidR="00814927" w:rsidRPr="00814927" w:rsidRDefault="00814927" w:rsidP="00814927">
      <w:pPr>
        <w:jc w:val="center"/>
        <w:rPr>
          <w:sz w:val="24"/>
          <w:szCs w:val="24"/>
        </w:rPr>
      </w:pPr>
      <w:r w:rsidRPr="00814927">
        <w:rPr>
          <w:noProof/>
          <w:lang w:eastAsia="it-IT"/>
        </w:rPr>
        <mc:AlternateContent>
          <mc:Choice Requires="wps">
            <w:drawing>
              <wp:anchor distT="0" distB="0" distL="114300" distR="114300" simplePos="0" relativeHeight="251662336" behindDoc="0" locked="0" layoutInCell="1" allowOverlap="1" wp14:anchorId="2479C393" wp14:editId="6E50A701">
                <wp:simplePos x="0" y="0"/>
                <wp:positionH relativeFrom="column">
                  <wp:posOffset>86360</wp:posOffset>
                </wp:positionH>
                <wp:positionV relativeFrom="paragraph">
                  <wp:posOffset>-347345</wp:posOffset>
                </wp:positionV>
                <wp:extent cx="5683250" cy="279400"/>
                <wp:effectExtent l="0" t="0" r="12700" b="25400"/>
                <wp:wrapNone/>
                <wp:docPr id="21" name="Casella di testo 21"/>
                <wp:cNvGraphicFramePr/>
                <a:graphic xmlns:a="http://schemas.openxmlformats.org/drawingml/2006/main">
                  <a:graphicData uri="http://schemas.microsoft.com/office/word/2010/wordprocessingShape">
                    <wps:wsp>
                      <wps:cNvSpPr txBox="1"/>
                      <wps:spPr>
                        <a:xfrm>
                          <a:off x="0" y="0"/>
                          <a:ext cx="5683250" cy="279400"/>
                        </a:xfrm>
                        <a:prstGeom prst="rect">
                          <a:avLst/>
                        </a:prstGeom>
                        <a:solidFill>
                          <a:sysClr val="window" lastClr="FFFFFF"/>
                        </a:solidFill>
                        <a:ln w="6350">
                          <a:solidFill>
                            <a:sysClr val="window" lastClr="FFFFFF"/>
                          </a:solidFill>
                        </a:ln>
                        <a:effectLst/>
                      </wps:spPr>
                      <wps:txbx>
                        <w:txbxContent>
                          <w:p w:rsidR="002A0DB2" w:rsidRPr="00BB27D4" w:rsidRDefault="002A0DB2" w:rsidP="00814927">
                            <w:pPr>
                              <w:pStyle w:val="Titolo2"/>
                              <w:spacing w:before="0"/>
                              <w:rPr>
                                <w:rFonts w:ascii="Times New Roman" w:hAnsi="Times New Roman" w:cs="Times New Roman"/>
                                <w:b w:val="0"/>
                                <w:color w:val="auto"/>
                                <w:sz w:val="24"/>
                                <w:szCs w:val="24"/>
                                <w:u w:val="single"/>
                              </w:rPr>
                            </w:pPr>
                            <w:bookmarkStart w:id="7" w:name="_Toc530132002"/>
                            <w:r w:rsidRPr="00BB27D4">
                              <w:rPr>
                                <w:rFonts w:ascii="Times New Roman" w:hAnsi="Times New Roman" w:cs="Times New Roman"/>
                                <w:b w:val="0"/>
                                <w:color w:val="auto"/>
                                <w:sz w:val="24"/>
                                <w:szCs w:val="24"/>
                                <w:u w:val="single"/>
                              </w:rPr>
                              <w:t xml:space="preserve">Le statistiche sulle tematiche “ulteriori” introdotte dagli </w:t>
                            </w:r>
                            <w:proofErr w:type="spellStart"/>
                            <w:r w:rsidRPr="00BB27D4">
                              <w:rPr>
                                <w:rFonts w:ascii="Times New Roman" w:hAnsi="Times New Roman" w:cs="Times New Roman"/>
                                <w:b w:val="0"/>
                                <w:i/>
                                <w:color w:val="auto"/>
                                <w:sz w:val="24"/>
                                <w:szCs w:val="24"/>
                                <w:u w:val="single"/>
                              </w:rPr>
                              <w:t>stakeholders</w:t>
                            </w:r>
                            <w:bookmarkEnd w:id="7"/>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479C393" id="Casella di testo 21" o:spid="_x0000_s1033" type="#_x0000_t202" style="position:absolute;left:0;text-align:left;margin-left:6.8pt;margin-top:-27.35pt;width:447.5pt;height:2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" fillcolor="window" strokecolor="window" strokeweight=".5pt">
                <v:textbox>
                  <w:txbxContent>
                    <w:p w:rsidR="002A0DB2" w:rsidRPr="00BB27D4" w:rsidRDefault="002A0DB2" w:rsidP="00814927">
                      <w:pPr>
                        <w:pStyle w:val="Titolo2"/>
                        <w:spacing w:before="0"/>
                        <w:rPr>
                          <w:rFonts w:ascii="Times New Roman" w:hAnsi="Times New Roman" w:cs="Times New Roman"/>
                          <w:b w:val="0"/>
                          <w:color w:val="auto"/>
                          <w:sz w:val="24"/>
                          <w:szCs w:val="24"/>
                          <w:u w:val="single"/>
                        </w:rPr>
                      </w:pPr>
                      <w:bookmarkStart w:id="10" w:name="_Toc530132002"/>
                      <w:r w:rsidRPr="00BB27D4">
                        <w:rPr>
                          <w:rFonts w:ascii="Times New Roman" w:hAnsi="Times New Roman" w:cs="Times New Roman"/>
                          <w:b w:val="0"/>
                          <w:color w:val="auto"/>
                          <w:sz w:val="24"/>
                          <w:szCs w:val="24"/>
                          <w:u w:val="single"/>
                        </w:rPr>
                        <w:t xml:space="preserve">Le statistiche sulle tematiche “ulteriori” introdotte dagli </w:t>
                      </w:r>
                      <w:r w:rsidRPr="00BB27D4">
                        <w:rPr>
                          <w:rFonts w:ascii="Times New Roman" w:hAnsi="Times New Roman" w:cs="Times New Roman"/>
                          <w:b w:val="0"/>
                          <w:i/>
                          <w:color w:val="auto"/>
                          <w:sz w:val="24"/>
                          <w:szCs w:val="24"/>
                          <w:u w:val="single"/>
                        </w:rPr>
                        <w:t>stakeholders</w:t>
                      </w:r>
                      <w:bookmarkEnd w:id="10"/>
                    </w:p>
                  </w:txbxContent>
                </v:textbox>
              </v:shape>
            </w:pict>
          </mc:Fallback>
        </mc:AlternateContent>
      </w:r>
      <w:r w:rsidRPr="00814927">
        <w:rPr>
          <w:noProof/>
          <w:lang w:eastAsia="it-IT"/>
        </w:rPr>
        <w:drawing>
          <wp:inline distT="0" distB="0" distL="0" distR="0" wp14:anchorId="2723D1F1" wp14:editId="2439D8B4">
            <wp:extent cx="6120130" cy="2627384"/>
            <wp:effectExtent l="0" t="0" r="0" b="190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20130" cy="2627384"/>
                    </a:xfrm>
                    <a:prstGeom prst="rect">
                      <a:avLst/>
                    </a:prstGeom>
                  </pic:spPr>
                </pic:pic>
              </a:graphicData>
            </a:graphic>
          </wp:inline>
        </w:drawing>
      </w:r>
    </w:p>
    <w:p w:rsidR="00814927" w:rsidRPr="00BB27D4" w:rsidRDefault="00814927" w:rsidP="00BB27D4">
      <w:pPr>
        <w:jc w:val="both"/>
        <w:rPr>
          <w:rFonts w:ascii="Times New Roman" w:hAnsi="Times New Roman" w:cs="Times New Roman"/>
          <w:sz w:val="24"/>
          <w:szCs w:val="24"/>
        </w:rPr>
      </w:pPr>
      <w:r w:rsidRPr="00BB27D4">
        <w:rPr>
          <w:rFonts w:ascii="Times New Roman" w:hAnsi="Times New Roman" w:cs="Times New Roman"/>
          <w:sz w:val="24"/>
          <w:szCs w:val="24"/>
        </w:rPr>
        <w:t xml:space="preserve">Il grafico evidenzia la percentuale di contributi sulle nuove tematiche introdotte dagli </w:t>
      </w:r>
      <w:proofErr w:type="spellStart"/>
      <w:r w:rsidRPr="00BB27D4">
        <w:rPr>
          <w:rFonts w:ascii="Times New Roman" w:hAnsi="Times New Roman" w:cs="Times New Roman"/>
          <w:i/>
          <w:sz w:val="24"/>
          <w:szCs w:val="24"/>
        </w:rPr>
        <w:t>stakeholdes</w:t>
      </w:r>
      <w:proofErr w:type="spellEnd"/>
      <w:r w:rsidRPr="00BB27D4">
        <w:rPr>
          <w:rFonts w:ascii="Times New Roman" w:hAnsi="Times New Roman" w:cs="Times New Roman"/>
          <w:sz w:val="24"/>
          <w:szCs w:val="24"/>
        </w:rPr>
        <w:t xml:space="preserve"> calcolata sul totale dei contributi pervenuti, in particolare sono stati inseriti in consultazione complessivamente 369 contributi, pari al 19,3% del totale.</w:t>
      </w:r>
    </w:p>
    <w:p w:rsidR="00814927" w:rsidRPr="00BB27D4" w:rsidRDefault="00814927" w:rsidP="00BB27D4">
      <w:pPr>
        <w:jc w:val="both"/>
        <w:rPr>
          <w:rFonts w:ascii="Times New Roman" w:hAnsi="Times New Roman" w:cs="Times New Roman"/>
          <w:sz w:val="24"/>
          <w:szCs w:val="24"/>
        </w:rPr>
      </w:pPr>
      <w:r w:rsidRPr="00BB27D4">
        <w:rPr>
          <w:rFonts w:ascii="Times New Roman" w:hAnsi="Times New Roman" w:cs="Times New Roman"/>
          <w:sz w:val="24"/>
          <w:szCs w:val="24"/>
        </w:rPr>
        <w:t>Per una migliore rappresentazione grafica sono stati raggruppati in cluster le tematiche di carattere generale (indicate con la categoria “Altro”), e gli articoli con un numero di commenti relativamente basso numero (da 1 a 6).</w:t>
      </w:r>
    </w:p>
    <w:p w:rsidR="00814927" w:rsidRPr="00BB27D4" w:rsidRDefault="00814927" w:rsidP="00BB27D4">
      <w:pPr>
        <w:jc w:val="both"/>
        <w:rPr>
          <w:rFonts w:ascii="Times New Roman" w:hAnsi="Times New Roman" w:cs="Times New Roman"/>
          <w:sz w:val="24"/>
          <w:szCs w:val="24"/>
        </w:rPr>
      </w:pPr>
      <w:r w:rsidRPr="00BB27D4">
        <w:rPr>
          <w:rFonts w:ascii="Times New Roman" w:hAnsi="Times New Roman" w:cs="Times New Roman"/>
          <w:sz w:val="24"/>
          <w:szCs w:val="24"/>
        </w:rPr>
        <w:t>Le tematiche che hanno riscosso la partecipazione più ampia sono relative ai contenuti dell’art. 36, dell’art. 95 e dell’art. 23, che hanno ottenuto rispettivamente il 9,6%, il 7,2% e il 6,1% dei contributi.</w:t>
      </w:r>
    </w:p>
    <w:p w:rsidR="00814927" w:rsidRPr="00BB27D4" w:rsidRDefault="00814927" w:rsidP="00BB27D4">
      <w:pPr>
        <w:jc w:val="both"/>
        <w:rPr>
          <w:rFonts w:ascii="Times New Roman" w:hAnsi="Times New Roman" w:cs="Times New Roman"/>
          <w:sz w:val="24"/>
          <w:szCs w:val="24"/>
        </w:rPr>
      </w:pPr>
      <w:r w:rsidRPr="00BB27D4">
        <w:rPr>
          <w:rFonts w:ascii="Times New Roman" w:hAnsi="Times New Roman" w:cs="Times New Roman"/>
          <w:sz w:val="24"/>
          <w:szCs w:val="24"/>
        </w:rPr>
        <w:t xml:space="preserve">Si evidenzia che gli articoli hanno ricevuto al massimo due proposte da parte </w:t>
      </w:r>
      <w:proofErr w:type="spellStart"/>
      <w:r w:rsidRPr="00BB27D4">
        <w:rPr>
          <w:rFonts w:ascii="Times New Roman" w:hAnsi="Times New Roman" w:cs="Times New Roman"/>
          <w:sz w:val="24"/>
          <w:szCs w:val="24"/>
        </w:rPr>
        <w:t>stakeholdes</w:t>
      </w:r>
      <w:proofErr w:type="spellEnd"/>
      <w:r w:rsidRPr="00BB27D4">
        <w:rPr>
          <w:rFonts w:ascii="Times New Roman" w:hAnsi="Times New Roman" w:cs="Times New Roman"/>
          <w:sz w:val="24"/>
          <w:szCs w:val="24"/>
        </w:rPr>
        <w:t xml:space="preserve"> ammontano al 22,4% del totale.</w:t>
      </w:r>
    </w:p>
    <w:p w:rsidR="00814927" w:rsidRPr="00814927" w:rsidRDefault="00814927" w:rsidP="00814927">
      <w:pPr>
        <w:jc w:val="both"/>
        <w:rPr>
          <w:sz w:val="24"/>
          <w:szCs w:val="24"/>
        </w:rPr>
      </w:pPr>
    </w:p>
    <w:p w:rsidR="00814927" w:rsidRPr="00814927" w:rsidRDefault="00814927" w:rsidP="00814927">
      <w:pPr>
        <w:rPr>
          <w:sz w:val="24"/>
          <w:szCs w:val="24"/>
        </w:rPr>
      </w:pPr>
      <w:r w:rsidRPr="00814927">
        <w:rPr>
          <w:sz w:val="24"/>
          <w:szCs w:val="24"/>
        </w:rPr>
        <w:br w:type="page"/>
      </w:r>
    </w:p>
    <w:p w:rsidR="00814927" w:rsidRPr="00814927" w:rsidRDefault="00814927" w:rsidP="00814927">
      <w:pPr>
        <w:rPr>
          <w:sz w:val="24"/>
          <w:szCs w:val="24"/>
        </w:rPr>
      </w:pPr>
      <w:r w:rsidRPr="00814927">
        <w:rPr>
          <w:noProof/>
          <w:lang w:eastAsia="it-IT"/>
        </w:rPr>
        <w:lastRenderedPageBreak/>
        <mc:AlternateContent>
          <mc:Choice Requires="wps">
            <w:drawing>
              <wp:anchor distT="0" distB="0" distL="114300" distR="114300" simplePos="0" relativeHeight="251663360" behindDoc="0" locked="0" layoutInCell="1" allowOverlap="1" wp14:anchorId="5A3B362C" wp14:editId="2C9A2C73">
                <wp:simplePos x="0" y="0"/>
                <wp:positionH relativeFrom="column">
                  <wp:posOffset>238760</wp:posOffset>
                </wp:positionH>
                <wp:positionV relativeFrom="paragraph">
                  <wp:posOffset>-194945</wp:posOffset>
                </wp:positionV>
                <wp:extent cx="5683250" cy="279400"/>
                <wp:effectExtent l="0" t="0" r="12700" b="25400"/>
                <wp:wrapNone/>
                <wp:docPr id="22" name="Casella di testo 22"/>
                <wp:cNvGraphicFramePr/>
                <a:graphic xmlns:a="http://schemas.openxmlformats.org/drawingml/2006/main">
                  <a:graphicData uri="http://schemas.microsoft.com/office/word/2010/wordprocessingShape">
                    <wps:wsp>
                      <wps:cNvSpPr txBox="1"/>
                      <wps:spPr>
                        <a:xfrm>
                          <a:off x="0" y="0"/>
                          <a:ext cx="5683250" cy="279400"/>
                        </a:xfrm>
                        <a:prstGeom prst="rect">
                          <a:avLst/>
                        </a:prstGeom>
                        <a:noFill/>
                        <a:ln w="6350">
                          <a:solidFill>
                            <a:sysClr val="window" lastClr="FFFFFF"/>
                          </a:solidFill>
                        </a:ln>
                        <a:effectLst/>
                      </wps:spPr>
                      <wps:txbx>
                        <w:txbxContent>
                          <w:p w:rsidR="002A0DB2" w:rsidRPr="0085701C" w:rsidRDefault="002A0DB2" w:rsidP="00814927">
                            <w:pPr>
                              <w:pStyle w:val="Titolo2"/>
                              <w:spacing w:before="0"/>
                              <w:rPr>
                                <w:sz w:val="24"/>
                                <w:szCs w:val="24"/>
                              </w:rPr>
                            </w:pPr>
                            <w:bookmarkStart w:id="8" w:name="_Toc530132003"/>
                            <w:r w:rsidRPr="00BB27D4">
                              <w:rPr>
                                <w:b w:val="0"/>
                                <w:color w:val="auto"/>
                                <w:sz w:val="24"/>
                                <w:szCs w:val="24"/>
                                <w:u w:val="single"/>
                              </w:rPr>
                              <w:t>Contributi per tipologia di impiego sulle tematiche “ulteriori</w:t>
                            </w:r>
                            <w:r>
                              <w:rPr>
                                <w:sz w:val="24"/>
                                <w:szCs w:val="24"/>
                              </w:rPr>
                              <w:t>”</w:t>
                            </w:r>
                            <w:bookmarkEnd w:id="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A3B362C" id="Casella di testo 22" o:spid="_x0000_s1034" type="#_x0000_t202" style="position:absolute;margin-left:18.8pt;margin-top:-15.35pt;width:447.5pt;height:2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" filled="f" strokecolor="window" strokeweight=".5pt">
                <v:textbox>
                  <w:txbxContent>
                    <w:p w:rsidR="002A0DB2" w:rsidRPr="0085701C" w:rsidRDefault="002A0DB2" w:rsidP="00814927">
                      <w:pPr>
                        <w:pStyle w:val="Titolo2"/>
                        <w:spacing w:before="0"/>
                        <w:rPr>
                          <w:sz w:val="24"/>
                          <w:szCs w:val="24"/>
                        </w:rPr>
                      </w:pPr>
                      <w:bookmarkStart w:id="12" w:name="_Toc530132003"/>
                      <w:r w:rsidRPr="00BB27D4">
                        <w:rPr>
                          <w:b w:val="0"/>
                          <w:color w:val="auto"/>
                          <w:sz w:val="24"/>
                          <w:szCs w:val="24"/>
                          <w:u w:val="single"/>
                        </w:rPr>
                        <w:t>Contributi per tipologia di impiego sulle tematiche “ulteriori</w:t>
                      </w:r>
                      <w:r>
                        <w:rPr>
                          <w:sz w:val="24"/>
                          <w:szCs w:val="24"/>
                        </w:rPr>
                        <w:t>”</w:t>
                      </w:r>
                      <w:bookmarkEnd w:id="12"/>
                    </w:p>
                  </w:txbxContent>
                </v:textbox>
              </v:shape>
            </w:pict>
          </mc:Fallback>
        </mc:AlternateContent>
      </w:r>
    </w:p>
    <w:p w:rsidR="00814927" w:rsidRPr="00814927" w:rsidRDefault="00814927" w:rsidP="00814927">
      <w:pPr>
        <w:jc w:val="both"/>
        <w:rPr>
          <w:sz w:val="24"/>
          <w:szCs w:val="24"/>
        </w:rPr>
      </w:pPr>
      <w:r w:rsidRPr="00814927">
        <w:rPr>
          <w:noProof/>
          <w:lang w:eastAsia="it-IT"/>
        </w:rPr>
        <w:drawing>
          <wp:inline distT="0" distB="0" distL="0" distR="0" wp14:anchorId="31A7F1EC" wp14:editId="12F8C2C7">
            <wp:extent cx="6121400" cy="3504767"/>
            <wp:effectExtent l="0" t="0" r="0" b="63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20130" cy="3504040"/>
                    </a:xfrm>
                    <a:prstGeom prst="rect">
                      <a:avLst/>
                    </a:prstGeom>
                  </pic:spPr>
                </pic:pic>
              </a:graphicData>
            </a:graphic>
          </wp:inline>
        </w:drawing>
      </w:r>
    </w:p>
    <w:p w:rsidR="00814927" w:rsidRPr="00BB27D4" w:rsidRDefault="00814927" w:rsidP="00BB27D4">
      <w:pPr>
        <w:jc w:val="both"/>
        <w:rPr>
          <w:rFonts w:ascii="Times New Roman" w:hAnsi="Times New Roman" w:cs="Times New Roman"/>
          <w:sz w:val="24"/>
          <w:szCs w:val="24"/>
        </w:rPr>
      </w:pPr>
      <w:r w:rsidRPr="00BB27D4">
        <w:rPr>
          <w:rFonts w:ascii="Times New Roman" w:hAnsi="Times New Roman" w:cs="Times New Roman"/>
          <w:sz w:val="24"/>
          <w:szCs w:val="24"/>
        </w:rPr>
        <w:t>Il grafico rappresenta la dimensione della partecipazione alla consultazione, sulle nuove tematiche, da parte degli utenti distinti in base alla tipologia d’impiego.</w:t>
      </w:r>
    </w:p>
    <w:p w:rsidR="00814927" w:rsidRPr="00BB27D4" w:rsidRDefault="00814927" w:rsidP="00BB27D4">
      <w:pPr>
        <w:jc w:val="both"/>
        <w:rPr>
          <w:rFonts w:ascii="Times New Roman" w:hAnsi="Times New Roman" w:cs="Times New Roman"/>
          <w:sz w:val="24"/>
          <w:szCs w:val="24"/>
        </w:rPr>
      </w:pPr>
      <w:r w:rsidRPr="00BB27D4">
        <w:rPr>
          <w:rFonts w:ascii="Times New Roman" w:hAnsi="Times New Roman" w:cs="Times New Roman"/>
          <w:sz w:val="24"/>
          <w:szCs w:val="24"/>
        </w:rPr>
        <w:t xml:space="preserve">La distribuzione è analoga a quella già registrata sui contributi dell’intero insieme delle tematiche messe in consultazione, con una partecipazione maggiore, pari al 56,24%, da parte di utenti di “Aziende Private”. </w:t>
      </w:r>
    </w:p>
    <w:p w:rsidR="00814927" w:rsidRPr="00BB27D4" w:rsidRDefault="00814927" w:rsidP="00BB27D4">
      <w:pPr>
        <w:jc w:val="both"/>
        <w:rPr>
          <w:rFonts w:ascii="Times New Roman" w:hAnsi="Times New Roman" w:cs="Times New Roman"/>
          <w:sz w:val="24"/>
          <w:szCs w:val="24"/>
        </w:rPr>
      </w:pPr>
      <w:r w:rsidRPr="00BB27D4">
        <w:rPr>
          <w:rFonts w:ascii="Times New Roman" w:hAnsi="Times New Roman" w:cs="Times New Roman"/>
          <w:sz w:val="24"/>
          <w:szCs w:val="24"/>
        </w:rPr>
        <w:t>A seguire si collocano la partecipazione:</w:t>
      </w:r>
    </w:p>
    <w:p w:rsidR="00814927" w:rsidRPr="00BB27D4" w:rsidRDefault="00814927" w:rsidP="00814927">
      <w:pPr>
        <w:jc w:val="both"/>
        <w:rPr>
          <w:rFonts w:ascii="Times New Roman" w:hAnsi="Times New Roman" w:cs="Times New Roman"/>
          <w:sz w:val="24"/>
          <w:szCs w:val="24"/>
        </w:rPr>
      </w:pPr>
      <w:r w:rsidRPr="00BB27D4">
        <w:rPr>
          <w:rFonts w:ascii="Times New Roman" w:hAnsi="Times New Roman" w:cs="Times New Roman"/>
          <w:sz w:val="24"/>
          <w:szCs w:val="24"/>
        </w:rPr>
        <w:t>a) delle “Pubbliche Amministrazioni”, con il 26,04% di contributi;</w:t>
      </w:r>
    </w:p>
    <w:p w:rsidR="00814927" w:rsidRPr="00BB27D4" w:rsidRDefault="00814927" w:rsidP="00814927">
      <w:pPr>
        <w:jc w:val="both"/>
        <w:rPr>
          <w:rFonts w:ascii="Times New Roman" w:hAnsi="Times New Roman" w:cs="Times New Roman"/>
          <w:sz w:val="24"/>
          <w:szCs w:val="24"/>
        </w:rPr>
      </w:pPr>
      <w:r w:rsidRPr="00BB27D4">
        <w:rPr>
          <w:rFonts w:ascii="Times New Roman" w:hAnsi="Times New Roman" w:cs="Times New Roman"/>
          <w:sz w:val="24"/>
          <w:szCs w:val="24"/>
        </w:rPr>
        <w:t xml:space="preserve"> b) dei liberi professionisti, con il 12,74% dei contributi;</w:t>
      </w:r>
    </w:p>
    <w:p w:rsidR="00814927" w:rsidRPr="00BB27D4" w:rsidRDefault="00814927" w:rsidP="00814927">
      <w:pPr>
        <w:jc w:val="both"/>
        <w:rPr>
          <w:rFonts w:ascii="Times New Roman" w:hAnsi="Times New Roman" w:cs="Times New Roman"/>
          <w:sz w:val="24"/>
          <w:szCs w:val="24"/>
        </w:rPr>
      </w:pPr>
      <w:r w:rsidRPr="00BB27D4">
        <w:rPr>
          <w:rFonts w:ascii="Times New Roman" w:hAnsi="Times New Roman" w:cs="Times New Roman"/>
          <w:sz w:val="24"/>
          <w:szCs w:val="24"/>
        </w:rPr>
        <w:t>c) dei soggetti classificati nella categoria “Altro”, con l’ 1,31% dei contributi sul totale.</w:t>
      </w:r>
    </w:p>
    <w:p w:rsidR="00814927" w:rsidRPr="00814927" w:rsidRDefault="00814927" w:rsidP="00814927">
      <w:pPr>
        <w:rPr>
          <w:sz w:val="24"/>
          <w:szCs w:val="24"/>
        </w:rPr>
      </w:pPr>
    </w:p>
    <w:p w:rsidR="00814927" w:rsidRPr="00814927" w:rsidRDefault="00814927" w:rsidP="00814927">
      <w:pPr>
        <w:rPr>
          <w:sz w:val="24"/>
          <w:szCs w:val="24"/>
        </w:rPr>
      </w:pPr>
    </w:p>
    <w:p w:rsidR="00814927" w:rsidRPr="00814927" w:rsidRDefault="00814927" w:rsidP="00814927">
      <w:pPr>
        <w:rPr>
          <w:sz w:val="24"/>
          <w:szCs w:val="24"/>
        </w:rPr>
      </w:pPr>
    </w:p>
    <w:p w:rsidR="00814927" w:rsidRPr="00814927" w:rsidRDefault="00814927" w:rsidP="00814927">
      <w:pPr>
        <w:rPr>
          <w:sz w:val="24"/>
          <w:szCs w:val="24"/>
        </w:rPr>
      </w:pPr>
    </w:p>
    <w:p w:rsidR="00814927" w:rsidRPr="00814927" w:rsidRDefault="00814927" w:rsidP="00814927">
      <w:pPr>
        <w:rPr>
          <w:sz w:val="24"/>
          <w:szCs w:val="24"/>
        </w:rPr>
      </w:pPr>
      <w:r w:rsidRPr="00814927">
        <w:rPr>
          <w:noProof/>
          <w:lang w:eastAsia="it-IT"/>
        </w:rPr>
        <w:lastRenderedPageBreak/>
        <mc:AlternateContent>
          <mc:Choice Requires="wps">
            <w:drawing>
              <wp:anchor distT="0" distB="0" distL="114300" distR="114300" simplePos="0" relativeHeight="251664384" behindDoc="0" locked="0" layoutInCell="1" allowOverlap="1" wp14:anchorId="6C55102D" wp14:editId="165A7DEB">
                <wp:simplePos x="0" y="0"/>
                <wp:positionH relativeFrom="column">
                  <wp:posOffset>-2540</wp:posOffset>
                </wp:positionH>
                <wp:positionV relativeFrom="paragraph">
                  <wp:posOffset>-493395</wp:posOffset>
                </wp:positionV>
                <wp:extent cx="5899150" cy="495300"/>
                <wp:effectExtent l="0" t="0" r="25400" b="19050"/>
                <wp:wrapNone/>
                <wp:docPr id="26" name="Casella di testo 26"/>
                <wp:cNvGraphicFramePr/>
                <a:graphic xmlns:a="http://schemas.openxmlformats.org/drawingml/2006/main">
                  <a:graphicData uri="http://schemas.microsoft.com/office/word/2010/wordprocessingShape">
                    <wps:wsp>
                      <wps:cNvSpPr txBox="1"/>
                      <wps:spPr>
                        <a:xfrm>
                          <a:off x="0" y="0"/>
                          <a:ext cx="5899150" cy="495300"/>
                        </a:xfrm>
                        <a:prstGeom prst="rect">
                          <a:avLst/>
                        </a:prstGeom>
                        <a:solidFill>
                          <a:sysClr val="window" lastClr="FFFFFF"/>
                        </a:solidFill>
                        <a:ln w="6350">
                          <a:solidFill>
                            <a:sysClr val="window" lastClr="FFFFFF"/>
                          </a:solidFill>
                        </a:ln>
                        <a:effectLst/>
                      </wps:spPr>
                      <wps:txbx>
                        <w:txbxContent>
                          <w:p w:rsidR="002A0DB2" w:rsidRPr="00FF1C99" w:rsidRDefault="002A0DB2" w:rsidP="00814927">
                            <w:pPr>
                              <w:pStyle w:val="Titolo2"/>
                              <w:spacing w:before="0" w:line="240" w:lineRule="auto"/>
                              <w:rPr>
                                <w:b w:val="0"/>
                                <w:color w:val="auto"/>
                                <w:sz w:val="24"/>
                                <w:szCs w:val="24"/>
                                <w:u w:val="single"/>
                              </w:rPr>
                            </w:pPr>
                            <w:bookmarkStart w:id="9" w:name="_Toc530132004"/>
                            <w:r w:rsidRPr="00FF1C99">
                              <w:rPr>
                                <w:b w:val="0"/>
                                <w:color w:val="auto"/>
                                <w:sz w:val="24"/>
                                <w:szCs w:val="24"/>
                                <w:u w:val="single"/>
                              </w:rPr>
                              <w:t>Contributi per tematiche “ulteriori” e tipologia di impiego</w:t>
                            </w:r>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55102D" id="Casella di testo 26" o:spid="_x0000_s1035" type="#_x0000_t202" style="position:absolute;margin-left:-.2pt;margin-top:-38.85pt;width:464.5pt;height: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" fillcolor="window" strokecolor="window" strokeweight=".5pt">
                <v:textbox>
                  <w:txbxContent>
                    <w:p w:rsidR="002A0DB2" w:rsidRPr="00FF1C99" w:rsidRDefault="002A0DB2" w:rsidP="00814927">
                      <w:pPr>
                        <w:pStyle w:val="Titolo2"/>
                        <w:spacing w:before="0" w:line="240" w:lineRule="auto"/>
                        <w:rPr>
                          <w:b w:val="0"/>
                          <w:color w:val="auto"/>
                          <w:sz w:val="24"/>
                          <w:szCs w:val="24"/>
                          <w:u w:val="single"/>
                        </w:rPr>
                      </w:pPr>
                      <w:bookmarkStart w:id="14" w:name="_Toc530132004"/>
                      <w:r w:rsidRPr="00FF1C99">
                        <w:rPr>
                          <w:b w:val="0"/>
                          <w:color w:val="auto"/>
                          <w:sz w:val="24"/>
                          <w:szCs w:val="24"/>
                          <w:u w:val="single"/>
                        </w:rPr>
                        <w:t>Contributi per tematiche “ulteriori” e tipologia di impiego</w:t>
                      </w:r>
                      <w:bookmarkEnd w:id="14"/>
                    </w:p>
                  </w:txbxContent>
                </v:textbox>
              </v:shape>
            </w:pict>
          </mc:Fallback>
        </mc:AlternateContent>
      </w:r>
      <w:r w:rsidRPr="00814927">
        <w:rPr>
          <w:noProof/>
          <w:lang w:eastAsia="it-IT"/>
        </w:rPr>
        <w:drawing>
          <wp:inline distT="0" distB="0" distL="0" distR="0" wp14:anchorId="289D65AE" wp14:editId="39529EBA">
            <wp:extent cx="6120130" cy="2625543"/>
            <wp:effectExtent l="0" t="0" r="0" b="381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20130" cy="2625543"/>
                    </a:xfrm>
                    <a:prstGeom prst="rect">
                      <a:avLst/>
                    </a:prstGeom>
                  </pic:spPr>
                </pic:pic>
              </a:graphicData>
            </a:graphic>
          </wp:inline>
        </w:drawing>
      </w:r>
    </w:p>
    <w:p w:rsidR="00814927" w:rsidRPr="00FF1C99" w:rsidRDefault="00814927" w:rsidP="00814927">
      <w:pPr>
        <w:jc w:val="both"/>
        <w:rPr>
          <w:rFonts w:ascii="Times New Roman" w:hAnsi="Times New Roman" w:cs="Times New Roman"/>
          <w:sz w:val="24"/>
          <w:szCs w:val="24"/>
        </w:rPr>
      </w:pPr>
      <w:r w:rsidRPr="00FF1C99">
        <w:rPr>
          <w:rFonts w:ascii="Times New Roman" w:hAnsi="Times New Roman" w:cs="Times New Roman"/>
          <w:sz w:val="24"/>
          <w:szCs w:val="24"/>
        </w:rPr>
        <w:t>Il grafico mostra, per ciascun articolo o cluster di articoli, la composizione dei contributi rispetto alle diverse tipologie di impiego dei partecipanti.</w:t>
      </w:r>
    </w:p>
    <w:p w:rsidR="00814927" w:rsidRPr="00FF1C99" w:rsidRDefault="00814927" w:rsidP="00814927">
      <w:pPr>
        <w:jc w:val="both"/>
        <w:rPr>
          <w:rFonts w:ascii="Times New Roman" w:hAnsi="Times New Roman" w:cs="Times New Roman"/>
          <w:sz w:val="24"/>
          <w:szCs w:val="24"/>
        </w:rPr>
      </w:pPr>
      <w:r w:rsidRPr="00FF1C99">
        <w:rPr>
          <w:rFonts w:ascii="Times New Roman" w:hAnsi="Times New Roman" w:cs="Times New Roman"/>
          <w:sz w:val="24"/>
          <w:szCs w:val="24"/>
        </w:rPr>
        <w:t>Come trend generale si evidenzia in larga parte una prevalenza di contributi da parte delle Aziende private; tuttavia un interesse relativamente più ampio da parte delle Pubbliche Amministrazioni è stato manifestato verso gli artt. 30, 40, 73 e 113.</w:t>
      </w:r>
    </w:p>
    <w:p w:rsidR="00814927" w:rsidRPr="00FF1C99" w:rsidRDefault="00814927" w:rsidP="00814927">
      <w:pPr>
        <w:jc w:val="both"/>
        <w:rPr>
          <w:rFonts w:ascii="Times New Roman" w:hAnsi="Times New Roman" w:cs="Times New Roman"/>
          <w:sz w:val="24"/>
          <w:szCs w:val="24"/>
        </w:rPr>
      </w:pPr>
      <w:r w:rsidRPr="00FF1C99">
        <w:rPr>
          <w:rFonts w:ascii="Times New Roman" w:hAnsi="Times New Roman" w:cs="Times New Roman"/>
          <w:sz w:val="24"/>
          <w:szCs w:val="24"/>
        </w:rPr>
        <w:t>I liberi professionisti hanno invece evidenziato criticità e proposto modifiche con incidenza più elevata rispetto agli altri soggetti sugli artt. 46 e 183; in particolare questi contributi costituiscono rispettivamente il 15% e il 13% dei contributi totali da essi proposti, e complessivamente il 5%  dei contributi totali.</w:t>
      </w:r>
    </w:p>
    <w:p w:rsidR="008D7F1C" w:rsidRDefault="008D7F1C">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4264B1" w:rsidRPr="008D7F1C" w:rsidRDefault="004264B1" w:rsidP="00AC7F02">
      <w:pPr>
        <w:keepNext/>
        <w:keepLines/>
        <w:numPr>
          <w:ilvl w:val="1"/>
          <w:numId w:val="30"/>
        </w:numPr>
        <w:spacing w:before="200" w:after="0" w:line="240" w:lineRule="auto"/>
        <w:ind w:left="426" w:hanging="426"/>
        <w:contextualSpacing/>
        <w:outlineLvl w:val="2"/>
        <w:rPr>
          <w:rFonts w:ascii="Times New Roman" w:eastAsiaTheme="majorEastAsia" w:hAnsi="Times New Roman" w:cs="Times New Roman"/>
          <w:b/>
          <w:bCs/>
          <w:sz w:val="24"/>
          <w:szCs w:val="24"/>
          <w:lang w:eastAsia="it-IT"/>
        </w:rPr>
      </w:pPr>
      <w:bookmarkStart w:id="10" w:name="_Toc530132038"/>
      <w:r w:rsidRPr="008D7F1C">
        <w:rPr>
          <w:rFonts w:ascii="Times New Roman" w:eastAsiaTheme="majorEastAsia" w:hAnsi="Times New Roman" w:cs="Times New Roman"/>
          <w:b/>
          <w:bCs/>
          <w:sz w:val="24"/>
          <w:szCs w:val="24"/>
          <w:lang w:eastAsia="it-IT"/>
        </w:rPr>
        <w:lastRenderedPageBreak/>
        <w:t>Conclusioni</w:t>
      </w:r>
      <w:bookmarkEnd w:id="10"/>
    </w:p>
    <w:p w:rsidR="004264B1" w:rsidRPr="004264B1" w:rsidRDefault="004264B1" w:rsidP="004264B1">
      <w:pPr>
        <w:rPr>
          <w:rFonts w:ascii="Times New Roman" w:hAnsi="Times New Roman" w:cs="Times New Roman"/>
          <w:sz w:val="24"/>
          <w:szCs w:val="24"/>
        </w:rPr>
      </w:pPr>
    </w:p>
    <w:p w:rsidR="004264B1" w:rsidRPr="004264B1" w:rsidRDefault="004264B1" w:rsidP="004264B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Si evidenziano</w:t>
      </w:r>
      <w:r w:rsidRPr="004264B1">
        <w:rPr>
          <w:rFonts w:ascii="Times New Roman" w:hAnsi="Times New Roman" w:cs="Times New Roman"/>
          <w:sz w:val="24"/>
          <w:szCs w:val="24"/>
        </w:rPr>
        <w:t xml:space="preserve"> i principali </w:t>
      </w:r>
      <w:r w:rsidRPr="004264B1">
        <w:rPr>
          <w:rFonts w:ascii="Times New Roman" w:hAnsi="Times New Roman" w:cs="Times New Roman"/>
          <w:i/>
          <w:sz w:val="24"/>
          <w:szCs w:val="24"/>
        </w:rPr>
        <w:t xml:space="preserve">trend </w:t>
      </w:r>
      <w:r w:rsidRPr="004264B1">
        <w:rPr>
          <w:rFonts w:ascii="Times New Roman" w:hAnsi="Times New Roman" w:cs="Times New Roman"/>
          <w:sz w:val="24"/>
          <w:szCs w:val="24"/>
        </w:rPr>
        <w:t>emersi</w:t>
      </w:r>
      <w:r w:rsidR="008D7F1C">
        <w:rPr>
          <w:rFonts w:ascii="Times New Roman" w:hAnsi="Times New Roman" w:cs="Times New Roman"/>
          <w:sz w:val="24"/>
          <w:szCs w:val="24"/>
        </w:rPr>
        <w:t xml:space="preserve"> dalla seconda consultazione pubblica</w:t>
      </w:r>
      <w:r w:rsidRPr="004264B1">
        <w:rPr>
          <w:rFonts w:ascii="Times New Roman" w:hAnsi="Times New Roman" w:cs="Times New Roman"/>
          <w:sz w:val="24"/>
          <w:szCs w:val="24"/>
        </w:rPr>
        <w:t xml:space="preserve">. </w:t>
      </w:r>
    </w:p>
    <w:p w:rsidR="004264B1" w:rsidRPr="004264B1" w:rsidRDefault="004264B1" w:rsidP="004264B1">
      <w:pPr>
        <w:spacing w:after="0" w:line="360" w:lineRule="auto"/>
        <w:ind w:firstLine="708"/>
        <w:jc w:val="both"/>
        <w:rPr>
          <w:rFonts w:ascii="Times New Roman" w:hAnsi="Times New Roman" w:cs="Times New Roman"/>
          <w:sz w:val="24"/>
          <w:szCs w:val="24"/>
        </w:rPr>
      </w:pPr>
      <w:r w:rsidRPr="004264B1">
        <w:rPr>
          <w:rFonts w:ascii="Times New Roman" w:hAnsi="Times New Roman" w:cs="Times New Roman"/>
          <w:sz w:val="24"/>
          <w:szCs w:val="24"/>
        </w:rPr>
        <w:t xml:space="preserve">In particolare i temi predefiniti che hanno destato il maggior interesse, con richieste di profonda modifica degli istituti, sono stati: </w:t>
      </w:r>
    </w:p>
    <w:p w:rsidR="004264B1" w:rsidRPr="004264B1" w:rsidRDefault="004264B1" w:rsidP="004264B1">
      <w:pPr>
        <w:spacing w:after="0" w:line="360" w:lineRule="auto"/>
        <w:ind w:firstLine="709"/>
        <w:jc w:val="both"/>
        <w:rPr>
          <w:rFonts w:ascii="Times New Roman" w:hAnsi="Times New Roman" w:cs="Times New Roman"/>
          <w:sz w:val="24"/>
          <w:szCs w:val="24"/>
        </w:rPr>
      </w:pPr>
      <w:r w:rsidRPr="004264B1">
        <w:rPr>
          <w:rFonts w:ascii="Times New Roman" w:hAnsi="Times New Roman" w:cs="Times New Roman"/>
          <w:sz w:val="24"/>
          <w:szCs w:val="24"/>
        </w:rPr>
        <w:t xml:space="preserve">a) il subappalto (art. 105); </w:t>
      </w:r>
    </w:p>
    <w:p w:rsidR="004264B1" w:rsidRPr="004264B1" w:rsidRDefault="004264B1" w:rsidP="004264B1">
      <w:pPr>
        <w:spacing w:after="0" w:line="360" w:lineRule="auto"/>
        <w:ind w:firstLine="709"/>
        <w:jc w:val="both"/>
        <w:rPr>
          <w:rFonts w:ascii="Times New Roman" w:hAnsi="Times New Roman" w:cs="Times New Roman"/>
          <w:sz w:val="24"/>
          <w:szCs w:val="24"/>
        </w:rPr>
      </w:pPr>
      <w:r w:rsidRPr="004264B1">
        <w:rPr>
          <w:rFonts w:ascii="Times New Roman" w:hAnsi="Times New Roman" w:cs="Times New Roman"/>
          <w:sz w:val="24"/>
          <w:szCs w:val="24"/>
        </w:rPr>
        <w:t xml:space="preserve">b) i criteri di aggiudicazione (art. 95 commi 4 e 5); </w:t>
      </w:r>
    </w:p>
    <w:p w:rsidR="004264B1" w:rsidRPr="004264B1" w:rsidRDefault="004264B1" w:rsidP="004264B1">
      <w:pPr>
        <w:spacing w:after="0" w:line="360" w:lineRule="auto"/>
        <w:ind w:firstLine="709"/>
        <w:jc w:val="both"/>
        <w:rPr>
          <w:rFonts w:ascii="Times New Roman" w:hAnsi="Times New Roman" w:cs="Times New Roman"/>
          <w:sz w:val="24"/>
          <w:szCs w:val="24"/>
        </w:rPr>
      </w:pPr>
      <w:r w:rsidRPr="004264B1">
        <w:rPr>
          <w:rFonts w:ascii="Times New Roman" w:hAnsi="Times New Roman" w:cs="Times New Roman"/>
          <w:sz w:val="24"/>
          <w:szCs w:val="24"/>
        </w:rPr>
        <w:t>c) la disciplina dell’anomalia (art. 97 commi 2 e 3);</w:t>
      </w:r>
    </w:p>
    <w:p w:rsidR="004264B1" w:rsidRPr="004264B1" w:rsidRDefault="004264B1" w:rsidP="0097343C">
      <w:pPr>
        <w:spacing w:after="0" w:line="360" w:lineRule="auto"/>
        <w:ind w:left="709"/>
        <w:jc w:val="both"/>
        <w:rPr>
          <w:rFonts w:ascii="Times New Roman" w:hAnsi="Times New Roman" w:cs="Times New Roman"/>
          <w:sz w:val="24"/>
          <w:szCs w:val="24"/>
        </w:rPr>
      </w:pPr>
      <w:r w:rsidRPr="004264B1">
        <w:rPr>
          <w:rFonts w:ascii="Times New Roman" w:hAnsi="Times New Roman" w:cs="Times New Roman"/>
          <w:sz w:val="24"/>
          <w:szCs w:val="24"/>
        </w:rPr>
        <w:t>d) i dati oggetto di pubblicazione e i termini di decorrenza anche ai fini dell’impugnativa (art. 29 commi 1 e 2);</w:t>
      </w:r>
    </w:p>
    <w:p w:rsidR="004264B1" w:rsidRPr="004264B1" w:rsidRDefault="004264B1" w:rsidP="004264B1">
      <w:pPr>
        <w:spacing w:after="0" w:line="360" w:lineRule="auto"/>
        <w:ind w:firstLine="708"/>
        <w:jc w:val="both"/>
        <w:rPr>
          <w:rFonts w:ascii="Times New Roman" w:hAnsi="Times New Roman" w:cs="Times New Roman"/>
          <w:sz w:val="24"/>
          <w:szCs w:val="24"/>
        </w:rPr>
      </w:pPr>
      <w:r w:rsidRPr="004264B1">
        <w:rPr>
          <w:rFonts w:ascii="Times New Roman" w:hAnsi="Times New Roman" w:cs="Times New Roman"/>
          <w:sz w:val="24"/>
          <w:szCs w:val="24"/>
        </w:rPr>
        <w:t>e) la nomina e i requisiti del RUP (art. 31 comma 1);</w:t>
      </w:r>
    </w:p>
    <w:p w:rsidR="004264B1" w:rsidRPr="004264B1" w:rsidRDefault="004264B1" w:rsidP="004264B1">
      <w:pPr>
        <w:spacing w:after="0" w:line="360" w:lineRule="auto"/>
        <w:ind w:firstLine="708"/>
        <w:jc w:val="both"/>
        <w:rPr>
          <w:rFonts w:ascii="Times New Roman" w:hAnsi="Times New Roman" w:cs="Times New Roman"/>
          <w:sz w:val="24"/>
          <w:szCs w:val="24"/>
        </w:rPr>
      </w:pPr>
      <w:r w:rsidRPr="004264B1">
        <w:rPr>
          <w:rFonts w:ascii="Times New Roman" w:hAnsi="Times New Roman" w:cs="Times New Roman"/>
          <w:sz w:val="24"/>
          <w:szCs w:val="24"/>
        </w:rPr>
        <w:t>f) i motivi di esclusione (art. 80);</w:t>
      </w:r>
    </w:p>
    <w:p w:rsidR="004264B1" w:rsidRPr="004264B1" w:rsidRDefault="004264B1" w:rsidP="004264B1">
      <w:pPr>
        <w:spacing w:after="0" w:line="360" w:lineRule="auto"/>
        <w:ind w:firstLine="708"/>
        <w:jc w:val="both"/>
        <w:rPr>
          <w:rFonts w:ascii="Times New Roman" w:hAnsi="Times New Roman" w:cs="Times New Roman"/>
          <w:sz w:val="24"/>
          <w:szCs w:val="24"/>
        </w:rPr>
      </w:pPr>
      <w:r w:rsidRPr="004264B1">
        <w:rPr>
          <w:rFonts w:ascii="Times New Roman" w:hAnsi="Times New Roman" w:cs="Times New Roman"/>
          <w:sz w:val="24"/>
          <w:szCs w:val="24"/>
        </w:rPr>
        <w:t>g) gli incentivi per le funzioni tecniche  (art. 113).</w:t>
      </w:r>
    </w:p>
    <w:p w:rsidR="004264B1" w:rsidRPr="004264B1" w:rsidRDefault="004264B1" w:rsidP="004264B1">
      <w:pPr>
        <w:spacing w:after="0" w:line="360" w:lineRule="auto"/>
        <w:ind w:firstLine="708"/>
        <w:jc w:val="both"/>
        <w:rPr>
          <w:rFonts w:ascii="Times New Roman" w:hAnsi="Times New Roman" w:cs="Times New Roman"/>
          <w:sz w:val="24"/>
          <w:szCs w:val="24"/>
        </w:rPr>
      </w:pPr>
    </w:p>
    <w:p w:rsidR="004264B1" w:rsidRPr="004264B1" w:rsidRDefault="004264B1" w:rsidP="004264B1">
      <w:pPr>
        <w:spacing w:after="0" w:line="360" w:lineRule="auto"/>
        <w:ind w:firstLine="708"/>
        <w:jc w:val="both"/>
        <w:rPr>
          <w:rFonts w:ascii="Times New Roman" w:hAnsi="Times New Roman" w:cs="Times New Roman"/>
          <w:sz w:val="24"/>
          <w:szCs w:val="24"/>
        </w:rPr>
      </w:pPr>
      <w:r w:rsidRPr="004264B1">
        <w:rPr>
          <w:rFonts w:ascii="Times New Roman" w:hAnsi="Times New Roman" w:cs="Times New Roman"/>
          <w:sz w:val="24"/>
          <w:szCs w:val="24"/>
        </w:rPr>
        <w:t>Inoltre, soprattutto le pubbliche amministrazioni hanno chiesto profonde modifiche degli istituti di cui alle lettere a), d),e), f), g). Esse hanno anche proposto la riforma della disciplina delle commissioni giudicatrici e dell’albo dei commissari presso l’ANAC (art. 77, commi 1 e 3). Sui medesimi temi si è registrata la sostanziale convergenza delle aziende private e dei liberi professionisti, con un maggior interesse rispetto alla riforma dei criteri di aggiudicazione (art. 95, commi 4 e 5), di quelli di nomina dei Responsabili Unici del Procedimento (RUP) e dei relativi requisiti (art. 31, comma 1).</w:t>
      </w:r>
    </w:p>
    <w:p w:rsidR="004264B1" w:rsidRPr="004264B1" w:rsidRDefault="004264B1" w:rsidP="004264B1">
      <w:pPr>
        <w:spacing w:after="0" w:line="360" w:lineRule="auto"/>
        <w:ind w:firstLine="708"/>
        <w:jc w:val="both"/>
        <w:rPr>
          <w:rFonts w:ascii="Times New Roman" w:hAnsi="Times New Roman" w:cs="Times New Roman"/>
          <w:sz w:val="24"/>
          <w:szCs w:val="24"/>
        </w:rPr>
      </w:pPr>
      <w:r w:rsidRPr="004264B1">
        <w:rPr>
          <w:rFonts w:ascii="Times New Roman" w:hAnsi="Times New Roman" w:cs="Times New Roman"/>
          <w:sz w:val="24"/>
          <w:szCs w:val="24"/>
        </w:rPr>
        <w:t>Una netta presa di posizione con richiesta di abrogazione, sia pur con contributi numericamente meno ampi dei precedenti, ha riguardato:</w:t>
      </w:r>
    </w:p>
    <w:p w:rsidR="004264B1" w:rsidRPr="004264B1" w:rsidRDefault="004264B1" w:rsidP="004264B1">
      <w:pPr>
        <w:pStyle w:val="Paragrafoelenco"/>
        <w:numPr>
          <w:ilvl w:val="0"/>
          <w:numId w:val="22"/>
        </w:numPr>
        <w:spacing w:after="0" w:line="360" w:lineRule="auto"/>
        <w:jc w:val="both"/>
        <w:rPr>
          <w:rFonts w:ascii="Times New Roman" w:hAnsi="Times New Roman" w:cs="Times New Roman"/>
          <w:sz w:val="24"/>
          <w:szCs w:val="24"/>
        </w:rPr>
      </w:pPr>
      <w:r w:rsidRPr="004264B1">
        <w:rPr>
          <w:rFonts w:ascii="Times New Roman" w:hAnsi="Times New Roman" w:cs="Times New Roman"/>
          <w:sz w:val="24"/>
          <w:szCs w:val="24"/>
        </w:rPr>
        <w:t xml:space="preserve">la </w:t>
      </w:r>
      <w:r w:rsidRPr="004264B1">
        <w:rPr>
          <w:rFonts w:ascii="Times New Roman" w:hAnsi="Times New Roman" w:cs="Times New Roman"/>
          <w:i/>
          <w:sz w:val="24"/>
          <w:szCs w:val="24"/>
        </w:rPr>
        <w:t>soft law</w:t>
      </w:r>
      <w:r w:rsidRPr="004264B1">
        <w:rPr>
          <w:rFonts w:ascii="Times New Roman" w:hAnsi="Times New Roman" w:cs="Times New Roman"/>
          <w:sz w:val="24"/>
          <w:szCs w:val="24"/>
        </w:rPr>
        <w:t xml:space="preserve"> e le linee guida (art. 213), con una sostanziale richiesta di superamento dell’esperienza che avrebbe determinato incertezza e instabilità del quadro normativo;</w:t>
      </w:r>
    </w:p>
    <w:p w:rsidR="004264B1" w:rsidRPr="004264B1" w:rsidRDefault="004264B1" w:rsidP="004264B1">
      <w:pPr>
        <w:pStyle w:val="Paragrafoelenco"/>
        <w:numPr>
          <w:ilvl w:val="0"/>
          <w:numId w:val="22"/>
        </w:numPr>
        <w:spacing w:after="0" w:line="360" w:lineRule="auto"/>
        <w:jc w:val="both"/>
        <w:rPr>
          <w:rFonts w:ascii="Times New Roman" w:hAnsi="Times New Roman" w:cs="Times New Roman"/>
          <w:sz w:val="24"/>
          <w:szCs w:val="24"/>
        </w:rPr>
      </w:pPr>
      <w:r w:rsidRPr="004264B1">
        <w:rPr>
          <w:rFonts w:ascii="Times New Roman" w:hAnsi="Times New Roman" w:cs="Times New Roman"/>
          <w:sz w:val="24"/>
          <w:szCs w:val="24"/>
        </w:rPr>
        <w:t xml:space="preserve">il rito c.d. super speciale, ritenuto inidoneo sul piano processuale a raggiungere l’obiettivo di deflazionare il contenzioso (come emerge dall’analisi congiunta dei contributi pervenuti sull’art. 204, comma 1, </w:t>
      </w:r>
      <w:proofErr w:type="spellStart"/>
      <w:r w:rsidRPr="004264B1">
        <w:rPr>
          <w:rFonts w:ascii="Times New Roman" w:hAnsi="Times New Roman" w:cs="Times New Roman"/>
          <w:sz w:val="24"/>
          <w:szCs w:val="24"/>
        </w:rPr>
        <w:t>lett</w:t>
      </w:r>
      <w:proofErr w:type="spellEnd"/>
      <w:r w:rsidRPr="004264B1">
        <w:rPr>
          <w:rFonts w:ascii="Times New Roman" w:hAnsi="Times New Roman" w:cs="Times New Roman"/>
          <w:sz w:val="24"/>
          <w:szCs w:val="24"/>
        </w:rPr>
        <w:t>. b e d, e sull’ art. 29, comma 1);</w:t>
      </w:r>
    </w:p>
    <w:p w:rsidR="004264B1" w:rsidRPr="004264B1" w:rsidRDefault="004264B1" w:rsidP="004264B1">
      <w:pPr>
        <w:pStyle w:val="Paragrafoelenco"/>
        <w:numPr>
          <w:ilvl w:val="0"/>
          <w:numId w:val="22"/>
        </w:numPr>
        <w:spacing w:after="0" w:line="360" w:lineRule="auto"/>
        <w:jc w:val="both"/>
        <w:rPr>
          <w:rFonts w:ascii="Times New Roman" w:hAnsi="Times New Roman" w:cs="Times New Roman"/>
          <w:sz w:val="24"/>
          <w:szCs w:val="24"/>
        </w:rPr>
      </w:pPr>
      <w:r w:rsidRPr="004264B1">
        <w:rPr>
          <w:rFonts w:ascii="Times New Roman" w:hAnsi="Times New Roman" w:cs="Times New Roman"/>
          <w:sz w:val="24"/>
          <w:szCs w:val="24"/>
        </w:rPr>
        <w:t>l’avvalimento (art. 89, commi 2 e 4), per evitare che imprese non adeguatamente qualificate partecipino alle gare.</w:t>
      </w:r>
    </w:p>
    <w:p w:rsidR="004264B1" w:rsidRPr="004264B1" w:rsidRDefault="004264B1" w:rsidP="004264B1">
      <w:pPr>
        <w:spacing w:after="0" w:line="360" w:lineRule="auto"/>
        <w:jc w:val="both"/>
        <w:rPr>
          <w:rFonts w:ascii="Times New Roman" w:hAnsi="Times New Roman" w:cs="Times New Roman"/>
          <w:sz w:val="24"/>
          <w:szCs w:val="24"/>
        </w:rPr>
      </w:pPr>
    </w:p>
    <w:p w:rsidR="004264B1" w:rsidRPr="004264B1" w:rsidRDefault="004264B1" w:rsidP="004264B1">
      <w:pPr>
        <w:spacing w:after="0" w:line="360" w:lineRule="auto"/>
        <w:ind w:firstLine="708"/>
        <w:jc w:val="both"/>
        <w:rPr>
          <w:rFonts w:ascii="Times New Roman" w:hAnsi="Times New Roman" w:cs="Times New Roman"/>
          <w:sz w:val="24"/>
          <w:szCs w:val="24"/>
        </w:rPr>
      </w:pPr>
      <w:r w:rsidRPr="004264B1">
        <w:rPr>
          <w:rFonts w:ascii="Times New Roman" w:hAnsi="Times New Roman" w:cs="Times New Roman"/>
          <w:sz w:val="24"/>
          <w:szCs w:val="24"/>
        </w:rPr>
        <w:t>Si segnalano, infine, le richieste di modifica sui temi:</w:t>
      </w:r>
    </w:p>
    <w:p w:rsidR="004264B1" w:rsidRPr="004264B1" w:rsidRDefault="004264B1" w:rsidP="004264B1">
      <w:pPr>
        <w:pStyle w:val="Paragrafoelenco"/>
        <w:numPr>
          <w:ilvl w:val="0"/>
          <w:numId w:val="23"/>
        </w:numPr>
        <w:spacing w:after="0" w:line="360" w:lineRule="auto"/>
        <w:jc w:val="both"/>
        <w:rPr>
          <w:rFonts w:ascii="Times New Roman" w:hAnsi="Times New Roman" w:cs="Times New Roman"/>
          <w:sz w:val="24"/>
          <w:szCs w:val="24"/>
        </w:rPr>
      </w:pPr>
      <w:r w:rsidRPr="004264B1">
        <w:rPr>
          <w:rFonts w:ascii="Times New Roman" w:hAnsi="Times New Roman" w:cs="Times New Roman"/>
          <w:sz w:val="24"/>
          <w:szCs w:val="24"/>
        </w:rPr>
        <w:t>dell’elenco delle stazioni appaltanti qualificate (art. 38), rispetto al quale si chiede di tener conto della natura dei soggetti e degli ambiti di operatività;</w:t>
      </w:r>
    </w:p>
    <w:p w:rsidR="004264B1" w:rsidRPr="004264B1" w:rsidRDefault="004264B1" w:rsidP="004264B1">
      <w:pPr>
        <w:pStyle w:val="Paragrafoelenco"/>
        <w:numPr>
          <w:ilvl w:val="0"/>
          <w:numId w:val="23"/>
        </w:numPr>
        <w:spacing w:after="0" w:line="360" w:lineRule="auto"/>
        <w:jc w:val="both"/>
        <w:rPr>
          <w:rFonts w:ascii="Times New Roman" w:hAnsi="Times New Roman" w:cs="Times New Roman"/>
          <w:sz w:val="24"/>
          <w:szCs w:val="24"/>
        </w:rPr>
      </w:pPr>
      <w:r w:rsidRPr="004264B1">
        <w:rPr>
          <w:rFonts w:ascii="Times New Roman" w:hAnsi="Times New Roman" w:cs="Times New Roman"/>
          <w:sz w:val="24"/>
          <w:szCs w:val="24"/>
        </w:rPr>
        <w:lastRenderedPageBreak/>
        <w:t>dell’appalto integrato (art. 59, commi 1 e 1-</w:t>
      </w:r>
      <w:r w:rsidRPr="004264B1">
        <w:rPr>
          <w:rFonts w:ascii="Times New Roman" w:hAnsi="Times New Roman" w:cs="Times New Roman"/>
          <w:i/>
          <w:sz w:val="24"/>
          <w:szCs w:val="24"/>
        </w:rPr>
        <w:t>bis</w:t>
      </w:r>
      <w:r w:rsidRPr="004264B1">
        <w:rPr>
          <w:rFonts w:ascii="Times New Roman" w:hAnsi="Times New Roman" w:cs="Times New Roman"/>
          <w:sz w:val="24"/>
          <w:szCs w:val="24"/>
        </w:rPr>
        <w:t>), articolo commentato in prevalenza da soggetti privati, con richiesta di modifica volta a limitare, in senso più o meno ampio, l’utilizzo dell’istituto;</w:t>
      </w:r>
    </w:p>
    <w:p w:rsidR="004264B1" w:rsidRPr="004264B1" w:rsidRDefault="004264B1" w:rsidP="004264B1">
      <w:pPr>
        <w:pStyle w:val="Paragrafoelenco"/>
        <w:numPr>
          <w:ilvl w:val="0"/>
          <w:numId w:val="23"/>
        </w:numPr>
        <w:spacing w:after="0" w:line="360" w:lineRule="auto"/>
        <w:jc w:val="both"/>
        <w:rPr>
          <w:rFonts w:ascii="Times New Roman" w:hAnsi="Times New Roman" w:cs="Times New Roman"/>
          <w:sz w:val="24"/>
          <w:szCs w:val="24"/>
        </w:rPr>
      </w:pPr>
      <w:r w:rsidRPr="004264B1">
        <w:rPr>
          <w:rFonts w:ascii="Times New Roman" w:hAnsi="Times New Roman" w:cs="Times New Roman"/>
          <w:sz w:val="24"/>
          <w:szCs w:val="24"/>
        </w:rPr>
        <w:t xml:space="preserve">del </w:t>
      </w:r>
      <w:r w:rsidRPr="004264B1">
        <w:rPr>
          <w:rFonts w:ascii="Times New Roman" w:hAnsi="Times New Roman" w:cs="Times New Roman"/>
          <w:i/>
          <w:sz w:val="24"/>
          <w:szCs w:val="24"/>
        </w:rPr>
        <w:t>rating</w:t>
      </w:r>
      <w:r w:rsidRPr="004264B1">
        <w:rPr>
          <w:rFonts w:ascii="Times New Roman" w:hAnsi="Times New Roman" w:cs="Times New Roman"/>
          <w:sz w:val="24"/>
          <w:szCs w:val="24"/>
        </w:rPr>
        <w:t xml:space="preserve"> d’impresa (art. 83), per il quale le varie richieste di modifica hanno segnato visioni riformatrici dell’istituto completamente antitetiche (es.: abolizione o previsione di obbligatorietà);</w:t>
      </w:r>
    </w:p>
    <w:p w:rsidR="004264B1" w:rsidRPr="004264B1" w:rsidRDefault="004264B1" w:rsidP="004264B1">
      <w:pPr>
        <w:pStyle w:val="Paragrafoelenco"/>
        <w:numPr>
          <w:ilvl w:val="0"/>
          <w:numId w:val="23"/>
        </w:numPr>
        <w:spacing w:after="0" w:line="360" w:lineRule="auto"/>
        <w:jc w:val="both"/>
        <w:rPr>
          <w:rFonts w:ascii="Times New Roman" w:hAnsi="Times New Roman" w:cs="Times New Roman"/>
          <w:sz w:val="24"/>
          <w:szCs w:val="24"/>
        </w:rPr>
      </w:pPr>
      <w:r w:rsidRPr="004264B1">
        <w:rPr>
          <w:rFonts w:ascii="Times New Roman" w:hAnsi="Times New Roman" w:cs="Times New Roman"/>
          <w:sz w:val="24"/>
          <w:szCs w:val="24"/>
        </w:rPr>
        <w:t>della qualificazione delle imprese (art. 84, comma 4), per il quale si registrano, accanto alle prevalenti richieste di modifica dell’istituto, anche proposte di conferma dello stesso;</w:t>
      </w:r>
    </w:p>
    <w:p w:rsidR="004264B1" w:rsidRPr="004264B1" w:rsidRDefault="004264B1" w:rsidP="004264B1">
      <w:pPr>
        <w:pStyle w:val="Paragrafoelenco"/>
        <w:numPr>
          <w:ilvl w:val="0"/>
          <w:numId w:val="23"/>
        </w:numPr>
        <w:spacing w:after="0" w:line="360" w:lineRule="auto"/>
        <w:jc w:val="both"/>
        <w:rPr>
          <w:rFonts w:ascii="Times New Roman" w:hAnsi="Times New Roman" w:cs="Times New Roman"/>
          <w:sz w:val="24"/>
          <w:szCs w:val="24"/>
        </w:rPr>
      </w:pPr>
      <w:r w:rsidRPr="004264B1">
        <w:rPr>
          <w:rFonts w:ascii="Times New Roman" w:hAnsi="Times New Roman" w:cs="Times New Roman"/>
          <w:sz w:val="24"/>
          <w:szCs w:val="24"/>
        </w:rPr>
        <w:t>dei costi della manodopera (art. 95, comma 10), con necessità di precisazioni sul tenore della disposizione, anche a maggior tutela dei lavoratori;</w:t>
      </w:r>
    </w:p>
    <w:p w:rsidR="004264B1" w:rsidRPr="004264B1" w:rsidRDefault="004264B1" w:rsidP="004264B1">
      <w:pPr>
        <w:pStyle w:val="Paragrafoelenco"/>
        <w:numPr>
          <w:ilvl w:val="0"/>
          <w:numId w:val="23"/>
        </w:numPr>
        <w:spacing w:after="0" w:line="360" w:lineRule="auto"/>
        <w:jc w:val="both"/>
        <w:rPr>
          <w:rFonts w:ascii="Times New Roman" w:hAnsi="Times New Roman" w:cs="Times New Roman"/>
          <w:sz w:val="24"/>
          <w:szCs w:val="24"/>
        </w:rPr>
      </w:pPr>
      <w:r w:rsidRPr="004264B1">
        <w:rPr>
          <w:rFonts w:ascii="Times New Roman" w:hAnsi="Times New Roman" w:cs="Times New Roman"/>
          <w:sz w:val="24"/>
          <w:szCs w:val="24"/>
        </w:rPr>
        <w:t>del punteggio massimo all’offerta economica (art. 95, comma 10-</w:t>
      </w:r>
      <w:r w:rsidRPr="004264B1">
        <w:rPr>
          <w:rFonts w:ascii="Times New Roman" w:hAnsi="Times New Roman" w:cs="Times New Roman"/>
          <w:i/>
          <w:sz w:val="24"/>
          <w:szCs w:val="24"/>
        </w:rPr>
        <w:t>bis</w:t>
      </w:r>
      <w:r w:rsidRPr="004264B1">
        <w:rPr>
          <w:rFonts w:ascii="Times New Roman" w:hAnsi="Times New Roman" w:cs="Times New Roman"/>
          <w:sz w:val="24"/>
          <w:szCs w:val="24"/>
        </w:rPr>
        <w:t>), per il quale sono risultate numericamente quasi equivalenti le richieste di abrogazione e di modifica, queste ultime antitetiche rispetto alla previsione della discrezionalità della stazione appaltante, per taluni da limitare per altri da ampliare.</w:t>
      </w:r>
    </w:p>
    <w:p w:rsidR="00814927" w:rsidRPr="004264B1" w:rsidRDefault="00814927" w:rsidP="00814927">
      <w:pPr>
        <w:rPr>
          <w:rFonts w:ascii="Times New Roman" w:hAnsi="Times New Roman" w:cs="Times New Roman"/>
          <w:b/>
          <w:smallCaps/>
          <w:sz w:val="24"/>
          <w:szCs w:val="24"/>
        </w:rPr>
      </w:pPr>
    </w:p>
    <w:p w:rsidR="004264B1" w:rsidRPr="004264B1" w:rsidRDefault="004264B1" w:rsidP="00814927">
      <w:pPr>
        <w:rPr>
          <w:rFonts w:ascii="Times New Roman" w:hAnsi="Times New Roman" w:cs="Times New Roman"/>
          <w:b/>
          <w:smallCaps/>
          <w:sz w:val="24"/>
          <w:szCs w:val="24"/>
        </w:rPr>
      </w:pPr>
    </w:p>
    <w:p w:rsidR="004264B1" w:rsidRPr="004264B1" w:rsidRDefault="004264B1" w:rsidP="00814927">
      <w:pPr>
        <w:rPr>
          <w:rFonts w:ascii="Times New Roman" w:hAnsi="Times New Roman" w:cs="Times New Roman"/>
          <w:b/>
          <w:smallCaps/>
          <w:sz w:val="24"/>
          <w:szCs w:val="24"/>
        </w:rPr>
      </w:pPr>
    </w:p>
    <w:p w:rsidR="00716707" w:rsidRDefault="00716707">
      <w:pPr>
        <w:rPr>
          <w:sz w:val="24"/>
          <w:szCs w:val="24"/>
        </w:rPr>
      </w:pPr>
      <w:r>
        <w:rPr>
          <w:sz w:val="24"/>
          <w:szCs w:val="24"/>
        </w:rPr>
        <w:br w:type="page"/>
      </w:r>
    </w:p>
    <w:p w:rsidR="00BD36D2" w:rsidRPr="004264B1" w:rsidRDefault="004264B1" w:rsidP="004264B1">
      <w:pPr>
        <w:spacing w:after="0" w:line="360" w:lineRule="auto"/>
        <w:jc w:val="center"/>
        <w:rPr>
          <w:rFonts w:ascii="Times New Roman" w:eastAsiaTheme="majorEastAsia" w:hAnsi="Times New Roman" w:cs="Times New Roman"/>
          <w:bCs/>
          <w:sz w:val="24"/>
          <w:szCs w:val="24"/>
          <w:lang w:eastAsia="it-IT"/>
        </w:rPr>
      </w:pPr>
      <w:r>
        <w:rPr>
          <w:rFonts w:ascii="Times New Roman" w:eastAsiaTheme="majorEastAsia" w:hAnsi="Times New Roman" w:cs="Times New Roman"/>
          <w:bCs/>
          <w:sz w:val="24"/>
          <w:szCs w:val="24"/>
          <w:lang w:eastAsia="it-IT"/>
        </w:rPr>
        <w:lastRenderedPageBreak/>
        <w:t>PARTE II</w:t>
      </w:r>
    </w:p>
    <w:p w:rsidR="00BD36D2" w:rsidRPr="004264B1" w:rsidRDefault="00BD36D2" w:rsidP="004264B1">
      <w:pPr>
        <w:spacing w:after="0" w:line="360" w:lineRule="auto"/>
        <w:jc w:val="center"/>
        <w:rPr>
          <w:rFonts w:ascii="Times New Roman" w:eastAsiaTheme="majorEastAsia" w:hAnsi="Times New Roman" w:cs="Times New Roman"/>
          <w:bCs/>
          <w:sz w:val="24"/>
          <w:szCs w:val="24"/>
          <w:lang w:eastAsia="it-IT"/>
        </w:rPr>
      </w:pPr>
      <w:r w:rsidRPr="004264B1">
        <w:rPr>
          <w:rFonts w:ascii="Times New Roman" w:eastAsiaTheme="majorEastAsia" w:hAnsi="Times New Roman" w:cs="Times New Roman"/>
          <w:bCs/>
          <w:sz w:val="24"/>
          <w:szCs w:val="24"/>
          <w:lang w:eastAsia="it-IT"/>
        </w:rPr>
        <w:t>DATI SUI CONTRATTI PUBBLICI</w:t>
      </w:r>
      <w:r w:rsidR="004264B1">
        <w:rPr>
          <w:rFonts w:ascii="Times New Roman" w:eastAsiaTheme="majorEastAsia" w:hAnsi="Times New Roman" w:cs="Times New Roman"/>
          <w:bCs/>
          <w:sz w:val="24"/>
          <w:szCs w:val="24"/>
          <w:lang w:eastAsia="it-IT"/>
        </w:rPr>
        <w:t xml:space="preserve"> </w:t>
      </w:r>
      <w:r w:rsidR="004264B1" w:rsidRPr="004264B1">
        <w:rPr>
          <w:rFonts w:ascii="Times New Roman" w:eastAsiaTheme="majorEastAsia" w:hAnsi="Times New Roman" w:cs="Times New Roman"/>
          <w:bCs/>
          <w:sz w:val="24"/>
          <w:szCs w:val="24"/>
          <w:lang w:eastAsia="it-IT"/>
        </w:rPr>
        <w:t>RELATIVI ALL’EVOLUZIONE DELLA DOMANDA DI CONTRATTI PUBBLICI</w:t>
      </w:r>
    </w:p>
    <w:p w:rsidR="00BD36D2" w:rsidRDefault="00BD36D2" w:rsidP="00BD36D2">
      <w:pPr>
        <w:spacing w:after="0" w:line="360" w:lineRule="auto"/>
        <w:jc w:val="center"/>
        <w:rPr>
          <w:rFonts w:ascii="Times New Roman" w:eastAsiaTheme="majorEastAsia" w:hAnsi="Times New Roman" w:cs="Times New Roman"/>
          <w:b/>
          <w:bCs/>
          <w:sz w:val="24"/>
          <w:szCs w:val="24"/>
          <w:lang w:eastAsia="it-IT"/>
        </w:rPr>
      </w:pPr>
    </w:p>
    <w:p w:rsidR="008841F5" w:rsidRPr="004264B1" w:rsidRDefault="008841F5" w:rsidP="00BD36D2">
      <w:pPr>
        <w:spacing w:after="0" w:line="360" w:lineRule="auto"/>
        <w:jc w:val="center"/>
        <w:rPr>
          <w:rFonts w:ascii="Times New Roman" w:eastAsiaTheme="majorEastAsia" w:hAnsi="Times New Roman" w:cs="Times New Roman"/>
          <w:b/>
          <w:bCs/>
          <w:sz w:val="24"/>
          <w:szCs w:val="24"/>
          <w:lang w:eastAsia="it-IT"/>
        </w:rPr>
      </w:pPr>
    </w:p>
    <w:p w:rsidR="00BD36D2" w:rsidRPr="004264B1" w:rsidRDefault="00BD36D2" w:rsidP="00AA30F5">
      <w:pPr>
        <w:keepNext/>
        <w:keepLines/>
        <w:numPr>
          <w:ilvl w:val="1"/>
          <w:numId w:val="26"/>
        </w:numPr>
        <w:tabs>
          <w:tab w:val="left" w:pos="426"/>
        </w:tabs>
        <w:spacing w:before="200" w:after="0" w:line="240" w:lineRule="auto"/>
        <w:ind w:left="426" w:hanging="426"/>
        <w:contextualSpacing/>
        <w:outlineLvl w:val="2"/>
        <w:rPr>
          <w:rFonts w:ascii="Times New Roman" w:eastAsiaTheme="majorEastAsia" w:hAnsi="Times New Roman" w:cs="Times New Roman"/>
          <w:b/>
          <w:bCs/>
          <w:sz w:val="24"/>
          <w:szCs w:val="24"/>
          <w:lang w:eastAsia="it-IT"/>
        </w:rPr>
      </w:pPr>
      <w:bookmarkStart w:id="11" w:name="_Toc513486422"/>
      <w:bookmarkStart w:id="12" w:name="_Toc515035683"/>
      <w:r w:rsidRPr="004264B1">
        <w:rPr>
          <w:rFonts w:ascii="Times New Roman" w:eastAsiaTheme="majorEastAsia" w:hAnsi="Times New Roman" w:cs="Times New Roman"/>
          <w:b/>
          <w:bCs/>
          <w:sz w:val="24"/>
          <w:szCs w:val="24"/>
          <w:lang w:eastAsia="it-IT"/>
        </w:rPr>
        <w:t xml:space="preserve">L’andamento della domanda </w:t>
      </w:r>
      <w:bookmarkEnd w:id="11"/>
      <w:bookmarkEnd w:id="12"/>
      <w:r w:rsidRPr="004264B1">
        <w:rPr>
          <w:rFonts w:ascii="Times New Roman" w:eastAsiaTheme="majorEastAsia" w:hAnsi="Times New Roman" w:cs="Times New Roman"/>
          <w:b/>
          <w:bCs/>
          <w:sz w:val="24"/>
          <w:szCs w:val="24"/>
          <w:lang w:eastAsia="it-IT"/>
        </w:rPr>
        <w:t>di contratti pubblici</w:t>
      </w:r>
    </w:p>
    <w:p w:rsidR="00BD36D2" w:rsidRPr="004264B1" w:rsidRDefault="00BD36D2" w:rsidP="00BD36D2">
      <w:pPr>
        <w:spacing w:after="0" w:line="360" w:lineRule="auto"/>
        <w:jc w:val="both"/>
        <w:rPr>
          <w:rFonts w:ascii="Times New Roman" w:eastAsia="Calibri" w:hAnsi="Times New Roman" w:cs="Times New Roman"/>
          <w:sz w:val="24"/>
          <w:szCs w:val="24"/>
          <w:lang w:eastAsia="it-IT"/>
        </w:rPr>
      </w:pPr>
    </w:p>
    <w:p w:rsidR="00BD36D2" w:rsidRPr="001E3A34" w:rsidRDefault="00BD36D2" w:rsidP="00BD36D2">
      <w:pPr>
        <w:spacing w:after="0" w:line="360" w:lineRule="auto"/>
        <w:jc w:val="both"/>
        <w:rPr>
          <w:rFonts w:ascii="Times New Roman" w:eastAsia="Calibri" w:hAnsi="Times New Roman" w:cs="Times New Roman"/>
          <w:sz w:val="24"/>
          <w:szCs w:val="24"/>
          <w:lang w:eastAsia="it-IT"/>
        </w:rPr>
      </w:pPr>
      <w:r w:rsidRPr="001E3A34">
        <w:rPr>
          <w:rFonts w:ascii="Times New Roman" w:eastAsia="Calibri" w:hAnsi="Times New Roman" w:cs="Times New Roman"/>
          <w:sz w:val="24"/>
          <w:szCs w:val="24"/>
          <w:lang w:eastAsia="it-IT"/>
        </w:rPr>
        <w:t>Nella presente Parte vengono illustrati alcuni dati</w:t>
      </w:r>
      <w:r w:rsidR="004264B1">
        <w:rPr>
          <w:rFonts w:ascii="Times New Roman" w:eastAsia="Calibri" w:hAnsi="Times New Roman" w:cs="Times New Roman"/>
          <w:sz w:val="24"/>
          <w:szCs w:val="24"/>
          <w:lang w:eastAsia="it-IT"/>
        </w:rPr>
        <w:t>, forniti da ANAC,</w:t>
      </w:r>
      <w:r w:rsidRPr="001E3A34">
        <w:rPr>
          <w:rFonts w:ascii="Times New Roman" w:eastAsia="Calibri" w:hAnsi="Times New Roman" w:cs="Times New Roman"/>
          <w:sz w:val="24"/>
          <w:szCs w:val="24"/>
          <w:lang w:eastAsia="it-IT"/>
        </w:rPr>
        <w:t xml:space="preserve"> relativi all’evoluzione della domanda di contratti pubblici con particolare riferimento agli anni 2016 e 2017, utili a una rappresentazione del fenomeno nell’anno di entrata in vigore del nuovo Codice dei contratti pubblici e nell’anno successivo. </w:t>
      </w:r>
    </w:p>
    <w:p w:rsidR="00BD36D2" w:rsidRPr="001E3A34" w:rsidRDefault="00BD36D2" w:rsidP="00BD36D2">
      <w:pPr>
        <w:spacing w:after="0" w:line="360" w:lineRule="auto"/>
        <w:jc w:val="both"/>
        <w:rPr>
          <w:rFonts w:ascii="Times New Roman" w:eastAsia="Calibri" w:hAnsi="Times New Roman" w:cs="Times New Roman"/>
          <w:sz w:val="24"/>
          <w:szCs w:val="24"/>
          <w:lang w:eastAsia="it-IT"/>
        </w:rPr>
      </w:pPr>
      <w:r w:rsidRPr="001E3A34">
        <w:rPr>
          <w:rFonts w:ascii="Times New Roman" w:eastAsia="Calibri" w:hAnsi="Times New Roman" w:cs="Times New Roman"/>
          <w:sz w:val="24"/>
          <w:szCs w:val="24"/>
          <w:lang w:eastAsia="it-IT"/>
        </w:rPr>
        <w:t xml:space="preserve">Più in particolare, vengono illustrati i dati sull’andamento del valore complessivo dei contratti pubblici, sulle tipologie di lavori, servizi e forniture a maggiore impatto, sulle procedure di affidamento e sull’attività sanzionatoria. Per ulteriori dettagli e informazioni, anche in ordine agli aspetti metodologici, si rinvia al Capitolo 7 della Relazione </w:t>
      </w:r>
      <w:r w:rsidR="00A4264F">
        <w:rPr>
          <w:rFonts w:ascii="Times New Roman" w:eastAsia="Calibri" w:hAnsi="Times New Roman" w:cs="Times New Roman"/>
          <w:sz w:val="24"/>
          <w:szCs w:val="24"/>
          <w:lang w:eastAsia="it-IT"/>
        </w:rPr>
        <w:t xml:space="preserve">dell’ANAC </w:t>
      </w:r>
      <w:r w:rsidRPr="001E3A34">
        <w:rPr>
          <w:rFonts w:ascii="Times New Roman" w:eastAsia="Calibri" w:hAnsi="Times New Roman" w:cs="Times New Roman"/>
          <w:sz w:val="24"/>
          <w:szCs w:val="24"/>
          <w:lang w:eastAsia="it-IT"/>
        </w:rPr>
        <w:t>al Parlamento 2018 e ai dati contenuti nei rapport</w:t>
      </w:r>
      <w:r w:rsidR="00A4264F">
        <w:rPr>
          <w:rFonts w:ascii="Times New Roman" w:eastAsia="Calibri" w:hAnsi="Times New Roman" w:cs="Times New Roman"/>
          <w:sz w:val="24"/>
          <w:szCs w:val="24"/>
          <w:lang w:eastAsia="it-IT"/>
        </w:rPr>
        <w:t>i</w:t>
      </w:r>
      <w:r w:rsidRPr="001E3A34">
        <w:rPr>
          <w:rFonts w:ascii="Times New Roman" w:eastAsia="Calibri" w:hAnsi="Times New Roman" w:cs="Times New Roman"/>
          <w:sz w:val="24"/>
          <w:szCs w:val="24"/>
          <w:lang w:eastAsia="it-IT"/>
        </w:rPr>
        <w:t xml:space="preserve"> quadrimestrali pubblicati sul sito dell’Autorità. Tutti i dati sono di fonte ANAC.</w:t>
      </w:r>
    </w:p>
    <w:p w:rsidR="00BD36D2" w:rsidRPr="001E3A34" w:rsidRDefault="00BD36D2" w:rsidP="00BD36D2">
      <w:pPr>
        <w:spacing w:before="240" w:after="0" w:line="360" w:lineRule="auto"/>
        <w:jc w:val="both"/>
        <w:rPr>
          <w:rFonts w:ascii="Times New Roman" w:eastAsia="Calibri" w:hAnsi="Times New Roman" w:cs="Times New Roman"/>
          <w:sz w:val="24"/>
          <w:szCs w:val="24"/>
          <w:lang w:eastAsia="it-IT"/>
        </w:rPr>
      </w:pPr>
      <w:r w:rsidRPr="001E3A34">
        <w:rPr>
          <w:rFonts w:ascii="Times New Roman" w:eastAsia="Calibri" w:hAnsi="Times New Roman" w:cs="Times New Roman"/>
          <w:sz w:val="24"/>
          <w:szCs w:val="24"/>
          <w:lang w:eastAsia="it-IT"/>
        </w:rPr>
        <w:t xml:space="preserve">In sintesi, i dati sulla domanda di contratti pubblici mostrano, dopo un 2016 caratterizzato da una flessione della domanda in termini di numero delle procedure e importo, probabilmente dovuta all’entrata in vigore del nuovo Codice, un aumento in tutti i settori sia del numero delle procedure di affidamento sia del loro valore nel corso del 2017. In particolare, il settore in maggiore espansione è quello delle forniture, nel quale si è assistito a una rilevante centralizzazione soprattutto in ambito sanitario. Il trend espansivo viene confermato anche dati sui primi quattro mesi del 2018. </w:t>
      </w:r>
    </w:p>
    <w:p w:rsidR="00BD36D2" w:rsidRPr="001E3A34" w:rsidRDefault="00BD36D2" w:rsidP="00BD36D2">
      <w:pPr>
        <w:spacing w:after="0" w:line="360" w:lineRule="auto"/>
        <w:jc w:val="both"/>
        <w:rPr>
          <w:rFonts w:ascii="Times New Roman" w:eastAsia="Calibri" w:hAnsi="Times New Roman" w:cs="Times New Roman"/>
          <w:sz w:val="24"/>
          <w:szCs w:val="24"/>
          <w:lang w:eastAsia="it-IT"/>
        </w:rPr>
      </w:pPr>
      <w:r w:rsidRPr="001E3A34">
        <w:rPr>
          <w:rFonts w:ascii="Times New Roman" w:eastAsia="Calibri" w:hAnsi="Times New Roman" w:cs="Times New Roman"/>
          <w:sz w:val="24"/>
          <w:szCs w:val="24"/>
          <w:lang w:eastAsia="it-IT"/>
        </w:rPr>
        <w:t xml:space="preserve">Infine, sotto il profilo delle modalità di affidamento in termini di importo, si è avuto un aumento delle procedure aperte di oltre il 41%, a discapito delle procedure ristrette che diminuiscono del 22,5%. Se a tali due modalità di scelte del contraente si aggiunge anche il sistema dinamico di acquisizione – che come su evidenziato è quello in maggiore espansione – ben il 61,9% degli importi sono affidati con tali tipologie di procedura. Continua a rimanere tuttavia abbastanza significativa la quota del 35,9% relativa agli importi affidati con procedure negoziate o affidamenti diretti. </w:t>
      </w:r>
    </w:p>
    <w:p w:rsidR="00BD36D2" w:rsidRPr="00BD36D2" w:rsidRDefault="00BD36D2" w:rsidP="00BD36D2">
      <w:pPr>
        <w:spacing w:after="0" w:line="360" w:lineRule="auto"/>
        <w:jc w:val="both"/>
        <w:rPr>
          <w:rFonts w:ascii="Garamond" w:eastAsia="Calibri" w:hAnsi="Garamond" w:cs="Times New Roman"/>
          <w:sz w:val="24"/>
          <w:szCs w:val="24"/>
          <w:lang w:eastAsia="it-IT"/>
        </w:rPr>
      </w:pPr>
    </w:p>
    <w:p w:rsidR="00BD36D2" w:rsidRPr="00BD36D2" w:rsidRDefault="00BD36D2" w:rsidP="00BD36D2">
      <w:pPr>
        <w:spacing w:after="0" w:line="360" w:lineRule="auto"/>
        <w:jc w:val="center"/>
        <w:rPr>
          <w:rFonts w:ascii="Garamond" w:eastAsia="Calibri" w:hAnsi="Garamond" w:cs="Times New Roman"/>
          <w:sz w:val="24"/>
          <w:szCs w:val="24"/>
          <w:lang w:eastAsia="it-IT"/>
        </w:rPr>
      </w:pPr>
      <w:r w:rsidRPr="00BD36D2">
        <w:rPr>
          <w:rFonts w:ascii="Garamond" w:eastAsia="Calibri" w:hAnsi="Garamond" w:cs="Times New Roman"/>
          <w:sz w:val="24"/>
          <w:szCs w:val="24"/>
          <w:lang w:eastAsia="it-IT"/>
        </w:rPr>
        <w:t>****</w:t>
      </w:r>
    </w:p>
    <w:p w:rsidR="00BD36D2" w:rsidRPr="00BD36D2" w:rsidRDefault="00BD36D2" w:rsidP="00BD36D2">
      <w:pPr>
        <w:spacing w:after="0" w:line="360" w:lineRule="auto"/>
        <w:jc w:val="both"/>
        <w:rPr>
          <w:rFonts w:ascii="Garamond" w:eastAsia="Calibri" w:hAnsi="Garamond" w:cs="Times New Roman"/>
          <w:sz w:val="24"/>
          <w:szCs w:val="24"/>
          <w:lang w:eastAsia="it-IT"/>
        </w:rPr>
      </w:pPr>
    </w:p>
    <w:p w:rsidR="00BD36D2" w:rsidRPr="001E3A34" w:rsidRDefault="00BD36D2" w:rsidP="00BD36D2">
      <w:pPr>
        <w:spacing w:after="0" w:line="360" w:lineRule="auto"/>
        <w:jc w:val="both"/>
        <w:rPr>
          <w:rFonts w:ascii="Times New Roman" w:eastAsia="Calibri" w:hAnsi="Times New Roman" w:cs="Times New Roman"/>
          <w:sz w:val="24"/>
          <w:szCs w:val="24"/>
          <w:lang w:eastAsia="it-IT"/>
        </w:rPr>
      </w:pPr>
      <w:r w:rsidRPr="001E3A34">
        <w:rPr>
          <w:rFonts w:ascii="Times New Roman" w:eastAsia="Calibri" w:hAnsi="Times New Roman" w:cs="Times New Roman"/>
          <w:sz w:val="24"/>
          <w:szCs w:val="24"/>
          <w:lang w:eastAsia="it-IT"/>
        </w:rPr>
        <w:lastRenderedPageBreak/>
        <w:t>Il valore complessivo degli appalti di importo pari o superiore a 40.000 euro in tutti i settori (ordinari e speciali) nel 2017 si è attestato attorno ai 139 miliardi di euro. Tale dato rappresenta il massimo della serie storica di cui alla figura 1, dalla quale si evidenzia un aumento dei valori del mercato rispetto al precedente anno del 36,2% e del 13,8% rispetto al picco dell’anno ancora precedente (2015).</w:t>
      </w:r>
    </w:p>
    <w:p w:rsidR="00BD36D2" w:rsidRPr="001E3A34" w:rsidRDefault="00BD36D2" w:rsidP="00BD36D2">
      <w:pPr>
        <w:spacing w:after="0" w:line="360" w:lineRule="auto"/>
        <w:jc w:val="both"/>
        <w:rPr>
          <w:rFonts w:ascii="Times New Roman" w:eastAsia="Times New Roman" w:hAnsi="Times New Roman" w:cs="Times New Roman"/>
          <w:sz w:val="24"/>
          <w:szCs w:val="24"/>
          <w:lang w:eastAsia="it-IT"/>
        </w:rPr>
      </w:pPr>
      <w:r w:rsidRPr="001E3A34">
        <w:rPr>
          <w:rFonts w:ascii="Times New Roman" w:eastAsia="Times New Roman" w:hAnsi="Times New Roman" w:cs="Times New Roman"/>
          <w:sz w:val="24"/>
          <w:szCs w:val="24"/>
          <w:lang w:eastAsia="it-IT"/>
        </w:rPr>
        <w:t xml:space="preserve">Dalla figura 2 emerge che l’aumento della domanda rispetto al 2016 - che in virtù dell’incertezza applicativa dovuta all’entrata in vigore del nuovo Codice aveva prodotto una stasi del mercato - ha coinvolto tutti i settori. In particolare il settore più in espansione è quello delle forniture, che fa registrare un aumento del valore complessivo di beni del 64% rispetto al precedente anno e del 45,2% rispetto al precedente picco (avutosi nel 2015 e pari a circa 38,9 miliardi di euro) del quinquennio 2013-2017. </w:t>
      </w:r>
    </w:p>
    <w:p w:rsidR="00BD36D2" w:rsidRPr="001E3A34" w:rsidRDefault="00BD36D2" w:rsidP="00BD36D2">
      <w:pPr>
        <w:spacing w:after="0" w:line="360" w:lineRule="auto"/>
        <w:jc w:val="both"/>
        <w:rPr>
          <w:rFonts w:ascii="Times New Roman" w:eastAsia="Times New Roman" w:hAnsi="Times New Roman" w:cs="Times New Roman"/>
          <w:sz w:val="24"/>
          <w:szCs w:val="24"/>
          <w:lang w:eastAsia="it-IT"/>
        </w:rPr>
      </w:pPr>
      <w:r w:rsidRPr="001E3A34">
        <w:rPr>
          <w:rFonts w:ascii="Times New Roman" w:eastAsia="Times New Roman" w:hAnsi="Times New Roman" w:cs="Times New Roman"/>
          <w:sz w:val="24"/>
          <w:szCs w:val="24"/>
          <w:lang w:eastAsia="it-IT"/>
        </w:rPr>
        <w:t>Il settore dei servizi (pari a circa 59,3 miliardi di euro) registra un aumento del 26,2% rispetto al precedente anno, raggiungendo quasi il massimo delle serie storica avutosi nell’anno 2015 e pari a circa 59,4 miliardi di euro. Un leggero aumento anche per il settore lavori (circa 23,1 miliardi di euro), che aumenta del 12,5% rispetto al precedente anno, ma comunque rimanendo sempre in contrazione del 16,1% rispetto al massimo della serie registratosi nel 2014 e pari a circa 27,1 miliardi di euro.</w:t>
      </w:r>
    </w:p>
    <w:p w:rsidR="00BD36D2" w:rsidRPr="001E3A34" w:rsidRDefault="00BD36D2" w:rsidP="00BD36D2">
      <w:pPr>
        <w:spacing w:after="0" w:line="360" w:lineRule="auto"/>
        <w:jc w:val="both"/>
        <w:rPr>
          <w:rFonts w:ascii="Times New Roman" w:eastAsia="Times New Roman" w:hAnsi="Times New Roman" w:cs="Times New Roman"/>
          <w:sz w:val="24"/>
          <w:szCs w:val="24"/>
          <w:lang w:eastAsia="it-IT"/>
        </w:rPr>
      </w:pPr>
    </w:p>
    <w:p w:rsidR="00BD36D2" w:rsidRPr="00BD36D2" w:rsidRDefault="00BD36D2" w:rsidP="00BD36D2">
      <w:pPr>
        <w:spacing w:after="0" w:line="240" w:lineRule="auto"/>
        <w:jc w:val="center"/>
        <w:rPr>
          <w:rFonts w:ascii="Garamond" w:eastAsia="Times New Roman" w:hAnsi="Garamond" w:cs="Times New Roman"/>
          <w:b/>
          <w:lang w:eastAsia="it-IT"/>
        </w:rPr>
      </w:pPr>
      <w:r w:rsidRPr="00BD36D2">
        <w:rPr>
          <w:rFonts w:ascii="Garamond" w:eastAsia="Times New Roman" w:hAnsi="Garamond" w:cs="Times New Roman"/>
          <w:b/>
          <w:lang w:eastAsia="it-IT"/>
        </w:rPr>
        <w:t>Figura 1 Valore complessivo a base di gara delle procedure di affidamento (bandi e inviti di importo superiore a 40.000 euro, settori ordinario e speciale, 2013-2017)</w:t>
      </w:r>
    </w:p>
    <w:p w:rsidR="00BD36D2" w:rsidRPr="00BD36D2" w:rsidRDefault="00BD36D2" w:rsidP="00BD36D2">
      <w:pPr>
        <w:spacing w:after="0" w:line="240" w:lineRule="auto"/>
        <w:jc w:val="center"/>
        <w:rPr>
          <w:rFonts w:ascii="Garamond" w:eastAsia="Times New Roman" w:hAnsi="Garamond" w:cs="Times New Roman"/>
          <w:b/>
          <w:lang w:eastAsia="it-IT"/>
        </w:rPr>
      </w:pPr>
    </w:p>
    <w:p w:rsidR="00BD36D2" w:rsidRPr="00BD36D2" w:rsidRDefault="00BD36D2" w:rsidP="00BD36D2">
      <w:pPr>
        <w:spacing w:after="0" w:line="240" w:lineRule="auto"/>
        <w:jc w:val="center"/>
        <w:rPr>
          <w:rFonts w:ascii="Garamond" w:eastAsia="Times New Roman" w:hAnsi="Garamond" w:cs="Times New Roman"/>
          <w:sz w:val="24"/>
          <w:szCs w:val="24"/>
          <w:lang w:eastAsia="it-IT"/>
        </w:rPr>
      </w:pPr>
      <w:r w:rsidRPr="00BD36D2">
        <w:rPr>
          <w:rFonts w:ascii="Times New Roman" w:eastAsia="Times New Roman" w:hAnsi="Times New Roman" w:cs="Times New Roman"/>
          <w:noProof/>
          <w:sz w:val="24"/>
          <w:szCs w:val="24"/>
          <w:lang w:eastAsia="it-IT"/>
        </w:rPr>
        <w:drawing>
          <wp:inline distT="0" distB="0" distL="0" distR="0" wp14:anchorId="31A0093B" wp14:editId="638EF718">
            <wp:extent cx="5562600" cy="2962275"/>
            <wp:effectExtent l="0" t="0" r="19050" b="9525"/>
            <wp:docPr id="28" name="Gra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D36D2" w:rsidRPr="00BD36D2" w:rsidRDefault="00BD36D2" w:rsidP="00BD36D2">
      <w:pPr>
        <w:spacing w:after="0" w:line="240" w:lineRule="auto"/>
        <w:rPr>
          <w:rFonts w:ascii="Garamond" w:eastAsia="Times New Roman" w:hAnsi="Garamond" w:cs="Times New Roman"/>
          <w:b/>
          <w:lang w:eastAsia="it-IT"/>
        </w:rPr>
      </w:pPr>
    </w:p>
    <w:p w:rsidR="00A72518" w:rsidRDefault="00A72518">
      <w:pPr>
        <w:rPr>
          <w:rFonts w:ascii="Garamond" w:eastAsia="Times New Roman" w:hAnsi="Garamond" w:cs="Times New Roman"/>
          <w:b/>
          <w:lang w:eastAsia="it-IT"/>
        </w:rPr>
      </w:pPr>
      <w:r>
        <w:rPr>
          <w:rFonts w:ascii="Garamond" w:eastAsia="Times New Roman" w:hAnsi="Garamond" w:cs="Times New Roman"/>
          <w:b/>
          <w:lang w:eastAsia="it-IT"/>
        </w:rPr>
        <w:br w:type="page"/>
      </w:r>
    </w:p>
    <w:p w:rsidR="00BD36D2" w:rsidRPr="00BD36D2" w:rsidRDefault="00BD36D2" w:rsidP="00BD36D2">
      <w:pPr>
        <w:spacing w:after="0" w:line="240" w:lineRule="auto"/>
        <w:ind w:left="142"/>
        <w:jc w:val="center"/>
        <w:rPr>
          <w:rFonts w:ascii="Garamond" w:eastAsia="Times New Roman" w:hAnsi="Garamond" w:cs="Times New Roman"/>
          <w:b/>
          <w:lang w:eastAsia="it-IT"/>
        </w:rPr>
      </w:pPr>
      <w:r w:rsidRPr="00BD36D2">
        <w:rPr>
          <w:rFonts w:ascii="Garamond" w:eastAsia="Times New Roman" w:hAnsi="Garamond" w:cs="Times New Roman"/>
          <w:b/>
          <w:lang w:eastAsia="it-IT"/>
        </w:rPr>
        <w:lastRenderedPageBreak/>
        <w:t xml:space="preserve">Figura 2 Valore complessivo a base di gara delle procedure di affidamento per settore </w:t>
      </w:r>
    </w:p>
    <w:p w:rsidR="00BD36D2" w:rsidRPr="00BD36D2" w:rsidRDefault="00BD36D2" w:rsidP="00BD36D2">
      <w:pPr>
        <w:spacing w:after="0" w:line="240" w:lineRule="auto"/>
        <w:ind w:left="142"/>
        <w:jc w:val="center"/>
        <w:rPr>
          <w:rFonts w:ascii="Garamond" w:eastAsia="Times New Roman" w:hAnsi="Garamond" w:cs="Times New Roman"/>
          <w:b/>
          <w:lang w:eastAsia="it-IT"/>
        </w:rPr>
      </w:pPr>
      <w:r w:rsidRPr="00BD36D2">
        <w:rPr>
          <w:rFonts w:ascii="Garamond" w:eastAsia="Times New Roman" w:hAnsi="Garamond" w:cs="Times New Roman"/>
          <w:b/>
          <w:lang w:eastAsia="it-IT"/>
        </w:rPr>
        <w:t>(bandi e inviti di importo superiore a 40.000 euro, tipologia di contratto 2013-2017)</w:t>
      </w:r>
    </w:p>
    <w:p w:rsidR="00BD36D2" w:rsidRPr="00BD36D2" w:rsidRDefault="00BD36D2" w:rsidP="00BD36D2">
      <w:pPr>
        <w:spacing w:after="0" w:line="240" w:lineRule="auto"/>
        <w:ind w:left="142"/>
        <w:jc w:val="center"/>
        <w:rPr>
          <w:rFonts w:ascii="Garamond" w:eastAsia="Times New Roman" w:hAnsi="Garamond" w:cs="Times New Roman"/>
          <w:b/>
          <w:lang w:eastAsia="it-IT"/>
        </w:rPr>
      </w:pPr>
    </w:p>
    <w:p w:rsidR="00BD36D2" w:rsidRPr="00BD36D2" w:rsidRDefault="00BD36D2" w:rsidP="00BD36D2">
      <w:pPr>
        <w:spacing w:after="0" w:line="240" w:lineRule="auto"/>
        <w:ind w:left="142"/>
        <w:jc w:val="center"/>
        <w:rPr>
          <w:rFonts w:ascii="Garamond" w:eastAsia="Times New Roman" w:hAnsi="Garamond" w:cs="Times New Roman"/>
          <w:i/>
          <w:sz w:val="20"/>
          <w:szCs w:val="20"/>
          <w:lang w:eastAsia="it-IT"/>
        </w:rPr>
      </w:pPr>
      <w:r w:rsidRPr="00BD36D2">
        <w:rPr>
          <w:rFonts w:ascii="Times New Roman" w:eastAsia="Times New Roman" w:hAnsi="Times New Roman" w:cs="Times New Roman"/>
          <w:noProof/>
          <w:sz w:val="24"/>
          <w:szCs w:val="24"/>
          <w:lang w:eastAsia="it-IT"/>
        </w:rPr>
        <w:drawing>
          <wp:inline distT="0" distB="0" distL="0" distR="0" wp14:anchorId="7EAA4BAD" wp14:editId="662624A1">
            <wp:extent cx="5667375" cy="2813050"/>
            <wp:effectExtent l="0" t="0" r="9525" b="6350"/>
            <wp:docPr id="29" name="Gra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D36D2" w:rsidRPr="00BD36D2" w:rsidRDefault="00BD36D2" w:rsidP="00BD36D2">
      <w:pPr>
        <w:spacing w:after="0" w:line="360" w:lineRule="auto"/>
        <w:jc w:val="both"/>
        <w:rPr>
          <w:rFonts w:ascii="Garamond" w:eastAsia="Times New Roman" w:hAnsi="Garamond" w:cs="Times New Roman"/>
          <w:sz w:val="24"/>
          <w:szCs w:val="24"/>
          <w:lang w:eastAsia="it-IT"/>
        </w:rPr>
      </w:pPr>
    </w:p>
    <w:p w:rsidR="00BD36D2" w:rsidRPr="001E3A34" w:rsidRDefault="00A72518" w:rsidP="00BD36D2">
      <w:pPr>
        <w:spacing w:after="0"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Con riferimento al </w:t>
      </w:r>
      <w:r w:rsidRPr="00B83CB0">
        <w:rPr>
          <w:rFonts w:ascii="Times New Roman" w:eastAsia="Times New Roman" w:hAnsi="Times New Roman" w:cs="Times New Roman"/>
          <w:b/>
          <w:sz w:val="24"/>
          <w:szCs w:val="24"/>
          <w:lang w:eastAsia="it-IT"/>
        </w:rPr>
        <w:t>settore dei lavori</w:t>
      </w:r>
      <w:r>
        <w:rPr>
          <w:rFonts w:ascii="Times New Roman" w:eastAsia="Times New Roman" w:hAnsi="Times New Roman" w:cs="Times New Roman"/>
          <w:sz w:val="24"/>
          <w:szCs w:val="24"/>
          <w:lang w:eastAsia="it-IT"/>
        </w:rPr>
        <w:t>, n</w:t>
      </w:r>
      <w:r w:rsidR="00BD36D2" w:rsidRPr="001E3A34">
        <w:rPr>
          <w:rFonts w:ascii="Times New Roman" w:eastAsia="Times New Roman" w:hAnsi="Times New Roman" w:cs="Times New Roman"/>
          <w:sz w:val="24"/>
          <w:szCs w:val="24"/>
          <w:lang w:eastAsia="it-IT"/>
        </w:rPr>
        <w:t xml:space="preserve">ella tabella 1 si evidenziano le prime cinque categorie generali (OG) e le prime cinque categorie speciali (OS), che in termini di numerosità hanno avuto un impatto maggiore nell’anno 2017.  Dal raffronto con i dati del 2016 emerge che la categoria OG1 a fronte di una lieve diminuzione in termini di CIG (Codice identificativo di gara) perfezionati (-0,4 punti percentuali) ha avuto un lieve aumento in termini di importo (0,6%). Analogamente, la categoria OG2 a fronte di un’invarianza in termini di numerosità (0,0%) ha avuto un piccolo aumento in termini di importi (+1,5%). Le prime cinque categorie speciali (OS) risultano invece, a livello percentuale, in leggerissimo aumento sia in termini di numerosità, sia in termini di importo. </w:t>
      </w:r>
    </w:p>
    <w:p w:rsidR="00BD36D2" w:rsidRPr="001E3A34" w:rsidRDefault="00BD36D2" w:rsidP="00BD36D2">
      <w:pPr>
        <w:spacing w:after="60" w:line="360" w:lineRule="auto"/>
        <w:jc w:val="center"/>
        <w:rPr>
          <w:rFonts w:ascii="Times New Roman" w:eastAsia="Calibri" w:hAnsi="Times New Roman" w:cs="Times New Roman"/>
          <w:b/>
          <w:lang w:eastAsia="it-IT"/>
        </w:rPr>
      </w:pPr>
    </w:p>
    <w:p w:rsidR="00BD36D2" w:rsidRPr="00BD36D2" w:rsidRDefault="00BD36D2" w:rsidP="00BD36D2">
      <w:pPr>
        <w:spacing w:after="0" w:line="240" w:lineRule="auto"/>
        <w:jc w:val="center"/>
        <w:rPr>
          <w:rFonts w:ascii="Garamond" w:eastAsia="Calibri" w:hAnsi="Garamond" w:cs="Times New Roman"/>
          <w:b/>
          <w:lang w:eastAsia="it-IT"/>
        </w:rPr>
      </w:pPr>
      <w:r w:rsidRPr="00BD36D2">
        <w:rPr>
          <w:rFonts w:ascii="Garamond" w:eastAsia="Calibri" w:hAnsi="Garamond" w:cs="Times New Roman"/>
          <w:b/>
          <w:lang w:eastAsia="it-IT"/>
        </w:rPr>
        <w:t>Tabella 1  Distribuzione percentuale delle procedure di affidamento, di importo uguale o superiore di € 40.000, per le prime cinque categorie generali e per le prime cinque categorie speciali in ordine di numerosità (2016-2017)</w:t>
      </w:r>
    </w:p>
    <w:tbl>
      <w:tblPr>
        <w:tblStyle w:val="Grigliamedia1-Colore11"/>
        <w:tblW w:w="0" w:type="auto"/>
        <w:jc w:val="center"/>
        <w:tblLayout w:type="fixed"/>
        <w:tblLook w:val="04A0" w:firstRow="1" w:lastRow="0" w:firstColumn="1" w:lastColumn="0" w:noHBand="0" w:noVBand="1"/>
      </w:tblPr>
      <w:tblGrid>
        <w:gridCol w:w="951"/>
        <w:gridCol w:w="2410"/>
        <w:gridCol w:w="992"/>
        <w:gridCol w:w="990"/>
        <w:gridCol w:w="995"/>
        <w:gridCol w:w="1138"/>
        <w:gridCol w:w="1065"/>
        <w:gridCol w:w="1009"/>
      </w:tblGrid>
      <w:tr w:rsidR="00BD36D2" w:rsidRPr="00BD36D2" w:rsidTr="00BD36D2">
        <w:trPr>
          <w:cnfStyle w:val="100000000000" w:firstRow="1" w:lastRow="0" w:firstColumn="0" w:lastColumn="0" w:oddVBand="0" w:evenVBand="0" w:oddHBand="0" w:evenHBand="0" w:firstRowFirstColumn="0" w:firstRowLastColumn="0" w:lastRowFirstColumn="0" w:lastRowLastColumn="0"/>
          <w:cantSplit/>
          <w:trHeight w:val="545"/>
          <w:jc w:val="center"/>
        </w:trPr>
        <w:tc>
          <w:tcPr>
            <w:cnfStyle w:val="001000000000" w:firstRow="0" w:lastRow="0" w:firstColumn="1" w:lastColumn="0" w:oddVBand="0" w:evenVBand="0" w:oddHBand="0" w:evenHBand="0" w:firstRowFirstColumn="0" w:firstRowLastColumn="0" w:lastRowFirstColumn="0" w:lastRowLastColumn="0"/>
            <w:tcW w:w="951" w:type="dxa"/>
            <w:vMerge w:val="restart"/>
            <w:tcBorders>
              <w:top w:val="single" w:sz="8" w:space="0" w:color="7BA0CD"/>
              <w:left w:val="single" w:sz="8" w:space="0" w:color="7BA0CD"/>
              <w:bottom w:val="single" w:sz="8" w:space="0" w:color="7BA0CD"/>
              <w:right w:val="single" w:sz="8" w:space="0" w:color="7BA0CD"/>
            </w:tcBorders>
            <w:shd w:val="clear" w:color="auto" w:fill="365F91"/>
            <w:textDirection w:val="btLr"/>
            <w:vAlign w:val="center"/>
            <w:hideMark/>
          </w:tcPr>
          <w:p w:rsidR="00BD36D2" w:rsidRPr="00BD36D2" w:rsidRDefault="00BD36D2" w:rsidP="00BD36D2">
            <w:pPr>
              <w:spacing w:before="60" w:after="60" w:line="360" w:lineRule="auto"/>
              <w:ind w:left="113" w:right="113"/>
              <w:jc w:val="center"/>
              <w:rPr>
                <w:rFonts w:ascii="Garamond" w:eastAsia="Times New Roman" w:hAnsi="Garamond"/>
                <w:color w:val="FFFFFF"/>
                <w:sz w:val="18"/>
                <w:szCs w:val="18"/>
              </w:rPr>
            </w:pPr>
            <w:r w:rsidRPr="00BD36D2">
              <w:rPr>
                <w:rFonts w:ascii="Garamond" w:eastAsia="Times New Roman" w:hAnsi="Garamond"/>
                <w:color w:val="FFFFFF"/>
                <w:sz w:val="18"/>
                <w:szCs w:val="18"/>
              </w:rPr>
              <w:t>Categorie</w:t>
            </w:r>
          </w:p>
        </w:tc>
        <w:tc>
          <w:tcPr>
            <w:tcW w:w="2410" w:type="dxa"/>
            <w:vMerge w:val="restart"/>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before="60" w:after="60" w:line="360"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olor w:val="FFFFFF"/>
                <w:sz w:val="18"/>
                <w:szCs w:val="18"/>
              </w:rPr>
            </w:pPr>
            <w:r w:rsidRPr="00BD36D2">
              <w:rPr>
                <w:rFonts w:ascii="Garamond" w:eastAsia="Times New Roman" w:hAnsi="Garamond"/>
                <w:color w:val="FFFFFF"/>
                <w:sz w:val="18"/>
                <w:szCs w:val="18"/>
              </w:rPr>
              <w:t>Categorie d’opera</w:t>
            </w:r>
          </w:p>
        </w:tc>
        <w:tc>
          <w:tcPr>
            <w:tcW w:w="2977" w:type="dxa"/>
            <w:gridSpan w:val="3"/>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line="360"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olor w:val="FFFFFF"/>
                <w:sz w:val="18"/>
                <w:szCs w:val="18"/>
              </w:rPr>
            </w:pPr>
            <w:r w:rsidRPr="00BD36D2">
              <w:rPr>
                <w:rFonts w:ascii="Garamond" w:eastAsia="Times New Roman" w:hAnsi="Garamond"/>
                <w:color w:val="FFFFFF"/>
                <w:sz w:val="18"/>
                <w:szCs w:val="18"/>
              </w:rPr>
              <w:t>% CIG perfezionati</w:t>
            </w:r>
          </w:p>
        </w:tc>
        <w:tc>
          <w:tcPr>
            <w:tcW w:w="3212" w:type="dxa"/>
            <w:gridSpan w:val="3"/>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line="360"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olor w:val="FFFFFF"/>
                <w:sz w:val="18"/>
                <w:szCs w:val="18"/>
              </w:rPr>
            </w:pPr>
            <w:r w:rsidRPr="00BD36D2">
              <w:rPr>
                <w:rFonts w:ascii="Garamond" w:eastAsia="Times New Roman" w:hAnsi="Garamond"/>
                <w:color w:val="FFFFFF"/>
                <w:sz w:val="18"/>
                <w:szCs w:val="18"/>
              </w:rPr>
              <w:t>% Importo complessivo</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cantSplit/>
          <w:trHeight w:val="587"/>
          <w:jc w:val="center"/>
        </w:trPr>
        <w:tc>
          <w:tcPr>
            <w:cnfStyle w:val="001000000000" w:firstRow="0" w:lastRow="0" w:firstColumn="1" w:lastColumn="0" w:oddVBand="0" w:evenVBand="0" w:oddHBand="0" w:evenHBand="0" w:firstRowFirstColumn="0" w:firstRowLastColumn="0" w:lastRowFirstColumn="0" w:lastRowLastColumn="0"/>
            <w:tcW w:w="951"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FFFFFF"/>
                <w:sz w:val="18"/>
                <w:szCs w:val="18"/>
              </w:rPr>
            </w:pPr>
          </w:p>
        </w:tc>
        <w:tc>
          <w:tcPr>
            <w:tcW w:w="2410"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FFFFFF"/>
                <w:sz w:val="18"/>
                <w:szCs w:val="18"/>
              </w:rPr>
            </w:pPr>
          </w:p>
        </w:tc>
        <w:tc>
          <w:tcPr>
            <w:tcW w:w="992" w:type="dxa"/>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bCs/>
                <w:color w:val="FFFFFF"/>
                <w:sz w:val="18"/>
                <w:szCs w:val="18"/>
              </w:rPr>
            </w:pPr>
            <w:r w:rsidRPr="00BD36D2">
              <w:rPr>
                <w:rFonts w:ascii="Garamond" w:eastAsia="Times New Roman" w:hAnsi="Garamond"/>
                <w:b/>
                <w:bCs/>
                <w:color w:val="FFFFFF"/>
                <w:sz w:val="18"/>
                <w:szCs w:val="18"/>
              </w:rPr>
              <w:t>2016</w:t>
            </w:r>
          </w:p>
        </w:tc>
        <w:tc>
          <w:tcPr>
            <w:tcW w:w="990" w:type="dxa"/>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bCs/>
                <w:color w:val="FFFFFF"/>
                <w:sz w:val="18"/>
                <w:szCs w:val="18"/>
              </w:rPr>
            </w:pPr>
            <w:r w:rsidRPr="00BD36D2">
              <w:rPr>
                <w:rFonts w:ascii="Garamond" w:eastAsia="Times New Roman" w:hAnsi="Garamond"/>
                <w:b/>
                <w:bCs/>
                <w:color w:val="FFFFFF"/>
                <w:sz w:val="18"/>
                <w:szCs w:val="18"/>
              </w:rPr>
              <w:t>2017</w:t>
            </w:r>
          </w:p>
        </w:tc>
        <w:tc>
          <w:tcPr>
            <w:tcW w:w="995" w:type="dxa"/>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FFFFFF"/>
                <w:sz w:val="18"/>
                <w:szCs w:val="18"/>
              </w:rPr>
            </w:pPr>
            <w:r w:rsidRPr="00BD36D2">
              <w:rPr>
                <w:rFonts w:ascii="Garamond" w:eastAsia="Times New Roman" w:hAnsi="Garamond"/>
                <w:b/>
                <w:color w:val="FFFFFF"/>
                <w:sz w:val="18"/>
                <w:szCs w:val="18"/>
              </w:rPr>
              <w:t xml:space="preserve">Δ </w:t>
            </w:r>
          </w:p>
        </w:tc>
        <w:tc>
          <w:tcPr>
            <w:tcW w:w="1138" w:type="dxa"/>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FFFFFF"/>
                <w:sz w:val="18"/>
                <w:szCs w:val="18"/>
              </w:rPr>
            </w:pPr>
            <w:r w:rsidRPr="00BD36D2">
              <w:rPr>
                <w:rFonts w:ascii="Garamond" w:eastAsia="Times New Roman" w:hAnsi="Garamond"/>
                <w:b/>
                <w:color w:val="FFFFFF"/>
                <w:sz w:val="18"/>
                <w:szCs w:val="18"/>
              </w:rPr>
              <w:t xml:space="preserve">2016 </w:t>
            </w:r>
          </w:p>
        </w:tc>
        <w:tc>
          <w:tcPr>
            <w:tcW w:w="1065" w:type="dxa"/>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FFFFFF"/>
                <w:sz w:val="18"/>
                <w:szCs w:val="18"/>
              </w:rPr>
            </w:pPr>
            <w:r w:rsidRPr="00BD36D2">
              <w:rPr>
                <w:rFonts w:ascii="Garamond" w:eastAsia="Times New Roman" w:hAnsi="Garamond"/>
                <w:b/>
                <w:color w:val="FFFFFF"/>
                <w:sz w:val="18"/>
                <w:szCs w:val="18"/>
              </w:rPr>
              <w:t xml:space="preserve">2017 </w:t>
            </w:r>
          </w:p>
        </w:tc>
        <w:tc>
          <w:tcPr>
            <w:tcW w:w="1009" w:type="dxa"/>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bCs/>
                <w:color w:val="FFFFFF"/>
                <w:sz w:val="18"/>
                <w:szCs w:val="18"/>
              </w:rPr>
            </w:pPr>
            <w:r w:rsidRPr="00BD36D2">
              <w:rPr>
                <w:rFonts w:ascii="Garamond" w:eastAsia="Times New Roman" w:hAnsi="Garamond"/>
                <w:b/>
                <w:color w:val="FFFFFF"/>
                <w:sz w:val="18"/>
                <w:szCs w:val="18"/>
              </w:rPr>
              <w:t>Δ</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951" w:type="dxa"/>
            <w:vMerge w:val="restart"/>
            <w:tcBorders>
              <w:top w:val="single" w:sz="8" w:space="0" w:color="7BA0CD"/>
              <w:left w:val="single" w:sz="8" w:space="0" w:color="7BA0CD"/>
              <w:bottom w:val="single" w:sz="8" w:space="0" w:color="7BA0CD"/>
              <w:right w:val="single" w:sz="8" w:space="0" w:color="7BA0CD"/>
            </w:tcBorders>
            <w:textDirection w:val="btLr"/>
            <w:vAlign w:val="center"/>
            <w:hideMark/>
          </w:tcPr>
          <w:p w:rsidR="00BD36D2" w:rsidRPr="00BD36D2" w:rsidRDefault="00BD36D2" w:rsidP="00BD36D2">
            <w:pPr>
              <w:ind w:left="113" w:right="113"/>
              <w:jc w:val="center"/>
              <w:rPr>
                <w:rFonts w:ascii="Garamond" w:eastAsia="Times New Roman" w:hAnsi="Garamond"/>
                <w:color w:val="000000"/>
                <w:sz w:val="18"/>
                <w:szCs w:val="18"/>
              </w:rPr>
            </w:pPr>
            <w:r w:rsidRPr="00BD36D2">
              <w:rPr>
                <w:rFonts w:ascii="Garamond" w:eastAsia="Times New Roman" w:hAnsi="Garamond"/>
                <w:color w:val="000000"/>
                <w:sz w:val="18"/>
                <w:szCs w:val="18"/>
              </w:rPr>
              <w:t>OG - Generali</w:t>
            </w:r>
          </w:p>
        </w:tc>
        <w:tc>
          <w:tcPr>
            <w:tcW w:w="241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OG1 - Edifici civili e industriali</w:t>
            </w:r>
          </w:p>
        </w:tc>
        <w:tc>
          <w:tcPr>
            <w:tcW w:w="992"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26,7%</w:t>
            </w:r>
          </w:p>
        </w:tc>
        <w:tc>
          <w:tcPr>
            <w:tcW w:w="990"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26,3%</w:t>
            </w:r>
          </w:p>
        </w:tc>
        <w:tc>
          <w:tcPr>
            <w:tcW w:w="995"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-0,4%</w:t>
            </w:r>
          </w:p>
        </w:tc>
        <w:tc>
          <w:tcPr>
            <w:tcW w:w="1138"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18,0%</w:t>
            </w:r>
          </w:p>
        </w:tc>
        <w:tc>
          <w:tcPr>
            <w:tcW w:w="1065"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18,6%</w:t>
            </w:r>
          </w:p>
        </w:tc>
        <w:tc>
          <w:tcPr>
            <w:tcW w:w="1009"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0,6%</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777"/>
          <w:jc w:val="center"/>
        </w:trPr>
        <w:tc>
          <w:tcPr>
            <w:cnfStyle w:val="001000000000" w:firstRow="0" w:lastRow="0" w:firstColumn="1" w:lastColumn="0" w:oddVBand="0" w:evenVBand="0" w:oddHBand="0" w:evenHBand="0" w:firstRowFirstColumn="0" w:firstRowLastColumn="0" w:lastRowFirstColumn="0" w:lastRowLastColumn="0"/>
            <w:tcW w:w="951"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rPr>
                <w:rFonts w:ascii="Garamond" w:eastAsia="Times New Roman" w:hAnsi="Garamond"/>
                <w:color w:val="000000"/>
                <w:sz w:val="18"/>
                <w:szCs w:val="18"/>
              </w:rPr>
            </w:pPr>
          </w:p>
        </w:tc>
        <w:tc>
          <w:tcPr>
            <w:tcW w:w="241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OG3 - Strade, autostrade, ponti, viadotti, ferrovie, metropolitane</w:t>
            </w:r>
          </w:p>
        </w:tc>
        <w:tc>
          <w:tcPr>
            <w:tcW w:w="992"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24,2%</w:t>
            </w:r>
          </w:p>
        </w:tc>
        <w:tc>
          <w:tcPr>
            <w:tcW w:w="990"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24,1%</w:t>
            </w:r>
          </w:p>
        </w:tc>
        <w:tc>
          <w:tcPr>
            <w:tcW w:w="995"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-0,1%</w:t>
            </w:r>
          </w:p>
        </w:tc>
        <w:tc>
          <w:tcPr>
            <w:tcW w:w="1138"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20,8%</w:t>
            </w:r>
          </w:p>
        </w:tc>
        <w:tc>
          <w:tcPr>
            <w:tcW w:w="1065"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18,0%</w:t>
            </w:r>
          </w:p>
        </w:tc>
        <w:tc>
          <w:tcPr>
            <w:tcW w:w="1009"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-2,8%</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951"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rPr>
                <w:rFonts w:ascii="Garamond" w:eastAsia="Times New Roman" w:hAnsi="Garamond"/>
                <w:color w:val="000000"/>
                <w:sz w:val="18"/>
                <w:szCs w:val="18"/>
              </w:rPr>
            </w:pPr>
          </w:p>
        </w:tc>
        <w:tc>
          <w:tcPr>
            <w:tcW w:w="241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OG6 - Acquedotti, gasdotti, oleodotti, opere di irrigazione e di evacuazione</w:t>
            </w:r>
          </w:p>
        </w:tc>
        <w:tc>
          <w:tcPr>
            <w:tcW w:w="992"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7,2%</w:t>
            </w:r>
          </w:p>
        </w:tc>
        <w:tc>
          <w:tcPr>
            <w:tcW w:w="990"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6,5%</w:t>
            </w:r>
          </w:p>
        </w:tc>
        <w:tc>
          <w:tcPr>
            <w:tcW w:w="995"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-0,7%</w:t>
            </w:r>
          </w:p>
        </w:tc>
        <w:tc>
          <w:tcPr>
            <w:tcW w:w="1138"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7,0%</w:t>
            </w:r>
          </w:p>
        </w:tc>
        <w:tc>
          <w:tcPr>
            <w:tcW w:w="1065"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6,2%</w:t>
            </w:r>
          </w:p>
        </w:tc>
        <w:tc>
          <w:tcPr>
            <w:tcW w:w="1009"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-0,8%</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951"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rPr>
                <w:rFonts w:ascii="Garamond" w:eastAsia="Times New Roman" w:hAnsi="Garamond"/>
                <w:color w:val="000000"/>
                <w:sz w:val="18"/>
                <w:szCs w:val="18"/>
              </w:rPr>
            </w:pPr>
          </w:p>
        </w:tc>
        <w:tc>
          <w:tcPr>
            <w:tcW w:w="241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 xml:space="preserve">OG2 - Restauro e manutenzione dei beni immobili sottoposti a tutela ai sensi delle disposizioni in materia di beni culturali e </w:t>
            </w:r>
            <w:r w:rsidRPr="00BD36D2">
              <w:rPr>
                <w:rFonts w:ascii="Garamond" w:eastAsia="Times New Roman" w:hAnsi="Garamond"/>
                <w:color w:val="000000"/>
                <w:sz w:val="18"/>
                <w:szCs w:val="18"/>
              </w:rPr>
              <w:lastRenderedPageBreak/>
              <w:t>ambientali</w:t>
            </w:r>
          </w:p>
        </w:tc>
        <w:tc>
          <w:tcPr>
            <w:tcW w:w="992"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lastRenderedPageBreak/>
              <w:t>4,8%</w:t>
            </w:r>
          </w:p>
        </w:tc>
        <w:tc>
          <w:tcPr>
            <w:tcW w:w="990"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4,8%</w:t>
            </w:r>
          </w:p>
        </w:tc>
        <w:tc>
          <w:tcPr>
            <w:tcW w:w="995"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0,0%</w:t>
            </w:r>
          </w:p>
        </w:tc>
        <w:tc>
          <w:tcPr>
            <w:tcW w:w="1138"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2,8%</w:t>
            </w:r>
          </w:p>
        </w:tc>
        <w:tc>
          <w:tcPr>
            <w:tcW w:w="1065"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4,3%</w:t>
            </w:r>
          </w:p>
        </w:tc>
        <w:tc>
          <w:tcPr>
            <w:tcW w:w="1009"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1,5%</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951"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rPr>
                <w:rFonts w:ascii="Garamond" w:eastAsia="Times New Roman" w:hAnsi="Garamond"/>
                <w:color w:val="000000"/>
                <w:sz w:val="18"/>
                <w:szCs w:val="18"/>
              </w:rPr>
            </w:pPr>
          </w:p>
        </w:tc>
        <w:tc>
          <w:tcPr>
            <w:tcW w:w="241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OG8 - Opere fluviali, di difesa, di sistemazione idraulica e di bonifica</w:t>
            </w:r>
          </w:p>
        </w:tc>
        <w:tc>
          <w:tcPr>
            <w:tcW w:w="992"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4,0%</w:t>
            </w:r>
          </w:p>
        </w:tc>
        <w:tc>
          <w:tcPr>
            <w:tcW w:w="990"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3,9%</w:t>
            </w:r>
          </w:p>
        </w:tc>
        <w:tc>
          <w:tcPr>
            <w:tcW w:w="995"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-0,1%</w:t>
            </w:r>
          </w:p>
        </w:tc>
        <w:tc>
          <w:tcPr>
            <w:tcW w:w="1138"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1,4%</w:t>
            </w:r>
          </w:p>
        </w:tc>
        <w:tc>
          <w:tcPr>
            <w:tcW w:w="1065"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1,5%</w:t>
            </w:r>
          </w:p>
        </w:tc>
        <w:tc>
          <w:tcPr>
            <w:tcW w:w="1009"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0,1%</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951"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rPr>
                <w:rFonts w:ascii="Garamond" w:eastAsia="Times New Roman" w:hAnsi="Garamond"/>
                <w:color w:val="000000"/>
                <w:sz w:val="18"/>
                <w:szCs w:val="18"/>
              </w:rPr>
            </w:pPr>
          </w:p>
        </w:tc>
        <w:tc>
          <w:tcPr>
            <w:tcW w:w="241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000000"/>
                <w:sz w:val="18"/>
                <w:szCs w:val="18"/>
              </w:rPr>
            </w:pPr>
            <w:r w:rsidRPr="00BD36D2">
              <w:rPr>
                <w:rFonts w:ascii="Garamond" w:eastAsia="Times New Roman" w:hAnsi="Garamond"/>
                <w:b/>
                <w:color w:val="000000"/>
                <w:sz w:val="18"/>
                <w:szCs w:val="18"/>
              </w:rPr>
              <w:t>TOT OG</w:t>
            </w:r>
          </w:p>
        </w:tc>
        <w:tc>
          <w:tcPr>
            <w:tcW w:w="992"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000000"/>
                <w:sz w:val="18"/>
                <w:szCs w:val="18"/>
              </w:rPr>
            </w:pPr>
            <w:r w:rsidRPr="00BD36D2">
              <w:rPr>
                <w:rFonts w:ascii="Garamond" w:eastAsia="Times New Roman" w:hAnsi="Garamond"/>
                <w:b/>
                <w:color w:val="000000"/>
                <w:sz w:val="18"/>
                <w:szCs w:val="18"/>
              </w:rPr>
              <w:t>66,9%</w:t>
            </w:r>
          </w:p>
        </w:tc>
        <w:tc>
          <w:tcPr>
            <w:tcW w:w="990"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000000"/>
                <w:sz w:val="18"/>
                <w:szCs w:val="18"/>
              </w:rPr>
            </w:pPr>
            <w:r w:rsidRPr="00BD36D2">
              <w:rPr>
                <w:rFonts w:ascii="Garamond" w:eastAsia="Times New Roman" w:hAnsi="Garamond"/>
                <w:b/>
                <w:color w:val="000000"/>
                <w:sz w:val="18"/>
                <w:szCs w:val="18"/>
              </w:rPr>
              <w:t>65,6%</w:t>
            </w:r>
          </w:p>
        </w:tc>
        <w:tc>
          <w:tcPr>
            <w:tcW w:w="995"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000000"/>
                <w:sz w:val="18"/>
                <w:szCs w:val="18"/>
              </w:rPr>
            </w:pPr>
            <w:r w:rsidRPr="00BD36D2">
              <w:rPr>
                <w:rFonts w:ascii="Garamond" w:eastAsia="Times New Roman" w:hAnsi="Garamond"/>
                <w:b/>
                <w:color w:val="000000"/>
                <w:sz w:val="18"/>
                <w:szCs w:val="18"/>
              </w:rPr>
              <w:t>-1,3%</w:t>
            </w:r>
          </w:p>
        </w:tc>
        <w:tc>
          <w:tcPr>
            <w:tcW w:w="1138"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000000"/>
                <w:sz w:val="18"/>
                <w:szCs w:val="18"/>
              </w:rPr>
            </w:pPr>
            <w:r w:rsidRPr="00BD36D2">
              <w:rPr>
                <w:rFonts w:ascii="Garamond" w:eastAsia="Times New Roman" w:hAnsi="Garamond"/>
                <w:b/>
                <w:color w:val="000000"/>
                <w:sz w:val="18"/>
                <w:szCs w:val="18"/>
              </w:rPr>
              <w:t>50,0%</w:t>
            </w:r>
          </w:p>
        </w:tc>
        <w:tc>
          <w:tcPr>
            <w:tcW w:w="1065"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000000"/>
                <w:sz w:val="18"/>
                <w:szCs w:val="18"/>
              </w:rPr>
            </w:pPr>
            <w:r w:rsidRPr="00BD36D2">
              <w:rPr>
                <w:rFonts w:ascii="Garamond" w:eastAsia="Times New Roman" w:hAnsi="Garamond"/>
                <w:b/>
                <w:color w:val="000000"/>
                <w:sz w:val="18"/>
                <w:szCs w:val="18"/>
              </w:rPr>
              <w:t>48,6%</w:t>
            </w:r>
          </w:p>
        </w:tc>
        <w:tc>
          <w:tcPr>
            <w:tcW w:w="1009"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000000"/>
                <w:sz w:val="18"/>
                <w:szCs w:val="18"/>
              </w:rPr>
            </w:pPr>
            <w:r w:rsidRPr="00BD36D2">
              <w:rPr>
                <w:rFonts w:ascii="Garamond" w:eastAsia="Times New Roman" w:hAnsi="Garamond"/>
                <w:b/>
                <w:color w:val="000000"/>
                <w:sz w:val="18"/>
                <w:szCs w:val="18"/>
              </w:rPr>
              <w:t>-1,4%</w:t>
            </w:r>
          </w:p>
        </w:tc>
      </w:tr>
      <w:tr w:rsidR="00BD36D2" w:rsidRPr="00BD36D2" w:rsidTr="00BD36D2">
        <w:trPr>
          <w:cantSplit/>
          <w:trHeight w:val="378"/>
          <w:jc w:val="center"/>
        </w:trPr>
        <w:tc>
          <w:tcPr>
            <w:cnfStyle w:val="001000000000" w:firstRow="0" w:lastRow="0" w:firstColumn="1" w:lastColumn="0" w:oddVBand="0" w:evenVBand="0" w:oddHBand="0" w:evenHBand="0" w:firstRowFirstColumn="0" w:firstRowLastColumn="0" w:lastRowFirstColumn="0" w:lastRowLastColumn="0"/>
            <w:tcW w:w="951" w:type="dxa"/>
            <w:vMerge w:val="restart"/>
            <w:tcBorders>
              <w:top w:val="single" w:sz="8" w:space="0" w:color="7BA0CD"/>
              <w:left w:val="single" w:sz="8" w:space="0" w:color="7BA0CD"/>
              <w:bottom w:val="single" w:sz="8" w:space="0" w:color="7BA0CD"/>
              <w:right w:val="single" w:sz="8" w:space="0" w:color="7BA0CD"/>
            </w:tcBorders>
            <w:textDirection w:val="btLr"/>
            <w:vAlign w:val="center"/>
            <w:hideMark/>
          </w:tcPr>
          <w:p w:rsidR="00BD36D2" w:rsidRPr="00BD36D2" w:rsidRDefault="00BD36D2" w:rsidP="00BD36D2">
            <w:pPr>
              <w:ind w:left="113" w:right="113"/>
              <w:jc w:val="center"/>
              <w:rPr>
                <w:rFonts w:ascii="Garamond" w:eastAsia="Times New Roman" w:hAnsi="Garamond"/>
                <w:color w:val="000000"/>
                <w:sz w:val="18"/>
                <w:szCs w:val="18"/>
              </w:rPr>
            </w:pPr>
            <w:r w:rsidRPr="00BD36D2">
              <w:rPr>
                <w:rFonts w:ascii="Garamond" w:eastAsia="Times New Roman" w:hAnsi="Garamond"/>
                <w:color w:val="000000"/>
                <w:sz w:val="18"/>
                <w:szCs w:val="18"/>
              </w:rPr>
              <w:t>OS - Speciali</w:t>
            </w:r>
          </w:p>
        </w:tc>
        <w:tc>
          <w:tcPr>
            <w:tcW w:w="241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OS30 - Impianti interni elettrici, telefonici, radiotelefonici e televisivi</w:t>
            </w:r>
          </w:p>
        </w:tc>
        <w:tc>
          <w:tcPr>
            <w:tcW w:w="992"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2,6%</w:t>
            </w:r>
          </w:p>
        </w:tc>
        <w:tc>
          <w:tcPr>
            <w:tcW w:w="990"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3,1%</w:t>
            </w:r>
          </w:p>
        </w:tc>
        <w:tc>
          <w:tcPr>
            <w:tcW w:w="995"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0,5%</w:t>
            </w:r>
          </w:p>
        </w:tc>
        <w:tc>
          <w:tcPr>
            <w:tcW w:w="1138"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1,1%</w:t>
            </w:r>
          </w:p>
        </w:tc>
        <w:tc>
          <w:tcPr>
            <w:tcW w:w="1065"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1,6%</w:t>
            </w:r>
          </w:p>
        </w:tc>
        <w:tc>
          <w:tcPr>
            <w:tcW w:w="1009"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0,5%</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951"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rPr>
                <w:rFonts w:ascii="Garamond" w:eastAsia="Times New Roman" w:hAnsi="Garamond"/>
                <w:color w:val="000000"/>
                <w:sz w:val="18"/>
                <w:szCs w:val="18"/>
              </w:rPr>
            </w:pPr>
          </w:p>
        </w:tc>
        <w:tc>
          <w:tcPr>
            <w:tcW w:w="241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OS6 - Finiture di opere generali in materiali lignei, plastici, metallici e vetrosi</w:t>
            </w:r>
          </w:p>
        </w:tc>
        <w:tc>
          <w:tcPr>
            <w:tcW w:w="992"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2,1%</w:t>
            </w:r>
          </w:p>
        </w:tc>
        <w:tc>
          <w:tcPr>
            <w:tcW w:w="990"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2,3%</w:t>
            </w:r>
          </w:p>
        </w:tc>
        <w:tc>
          <w:tcPr>
            <w:tcW w:w="995"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0,2%</w:t>
            </w:r>
          </w:p>
        </w:tc>
        <w:tc>
          <w:tcPr>
            <w:tcW w:w="1138"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0,7%</w:t>
            </w:r>
          </w:p>
        </w:tc>
        <w:tc>
          <w:tcPr>
            <w:tcW w:w="1065"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0,8%</w:t>
            </w:r>
          </w:p>
        </w:tc>
        <w:tc>
          <w:tcPr>
            <w:tcW w:w="1009"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0,1%</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951"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rPr>
                <w:rFonts w:ascii="Garamond" w:eastAsia="Times New Roman" w:hAnsi="Garamond"/>
                <w:color w:val="000000"/>
                <w:sz w:val="18"/>
                <w:szCs w:val="18"/>
              </w:rPr>
            </w:pPr>
          </w:p>
        </w:tc>
        <w:tc>
          <w:tcPr>
            <w:tcW w:w="241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OS28 - Impianti termici e di condizionamento</w:t>
            </w:r>
          </w:p>
        </w:tc>
        <w:tc>
          <w:tcPr>
            <w:tcW w:w="992"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2,1%</w:t>
            </w:r>
          </w:p>
        </w:tc>
        <w:tc>
          <w:tcPr>
            <w:tcW w:w="990"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2,1%</w:t>
            </w:r>
          </w:p>
        </w:tc>
        <w:tc>
          <w:tcPr>
            <w:tcW w:w="995"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0,0%</w:t>
            </w:r>
          </w:p>
        </w:tc>
        <w:tc>
          <w:tcPr>
            <w:tcW w:w="1138"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0,8%</w:t>
            </w:r>
          </w:p>
        </w:tc>
        <w:tc>
          <w:tcPr>
            <w:tcW w:w="1065"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0,8%</w:t>
            </w:r>
          </w:p>
        </w:tc>
        <w:tc>
          <w:tcPr>
            <w:tcW w:w="1009"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0,0%</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951"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rPr>
                <w:rFonts w:ascii="Garamond" w:eastAsia="Times New Roman" w:hAnsi="Garamond"/>
                <w:color w:val="000000"/>
                <w:sz w:val="18"/>
                <w:szCs w:val="18"/>
              </w:rPr>
            </w:pPr>
          </w:p>
        </w:tc>
        <w:tc>
          <w:tcPr>
            <w:tcW w:w="241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OS24 - Verde e arredo urbano</w:t>
            </w:r>
          </w:p>
        </w:tc>
        <w:tc>
          <w:tcPr>
            <w:tcW w:w="992"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1,6%</w:t>
            </w:r>
          </w:p>
        </w:tc>
        <w:tc>
          <w:tcPr>
            <w:tcW w:w="990"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1,8%</w:t>
            </w:r>
          </w:p>
        </w:tc>
        <w:tc>
          <w:tcPr>
            <w:tcW w:w="995"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0,2%</w:t>
            </w:r>
          </w:p>
        </w:tc>
        <w:tc>
          <w:tcPr>
            <w:tcW w:w="1138"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0,6%</w:t>
            </w:r>
          </w:p>
        </w:tc>
        <w:tc>
          <w:tcPr>
            <w:tcW w:w="1065"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0,7%</w:t>
            </w:r>
          </w:p>
        </w:tc>
        <w:tc>
          <w:tcPr>
            <w:tcW w:w="1009"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0,1%</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951"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rPr>
                <w:rFonts w:ascii="Garamond" w:eastAsia="Times New Roman" w:hAnsi="Garamond"/>
                <w:color w:val="000000"/>
                <w:sz w:val="18"/>
                <w:szCs w:val="18"/>
              </w:rPr>
            </w:pPr>
          </w:p>
        </w:tc>
        <w:tc>
          <w:tcPr>
            <w:tcW w:w="241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OS21 - Opere strutturali speciali</w:t>
            </w:r>
          </w:p>
        </w:tc>
        <w:tc>
          <w:tcPr>
            <w:tcW w:w="992"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1,6%</w:t>
            </w:r>
          </w:p>
        </w:tc>
        <w:tc>
          <w:tcPr>
            <w:tcW w:w="990"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1,7%</w:t>
            </w:r>
          </w:p>
        </w:tc>
        <w:tc>
          <w:tcPr>
            <w:tcW w:w="995"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0,1%</w:t>
            </w:r>
          </w:p>
        </w:tc>
        <w:tc>
          <w:tcPr>
            <w:tcW w:w="1138"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0,7%</w:t>
            </w:r>
          </w:p>
        </w:tc>
        <w:tc>
          <w:tcPr>
            <w:tcW w:w="1065"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1,1%</w:t>
            </w:r>
          </w:p>
        </w:tc>
        <w:tc>
          <w:tcPr>
            <w:tcW w:w="1009"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0,4%</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951"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rPr>
                <w:rFonts w:ascii="Garamond" w:eastAsia="Times New Roman" w:hAnsi="Garamond"/>
                <w:color w:val="000000"/>
                <w:sz w:val="18"/>
                <w:szCs w:val="18"/>
              </w:rPr>
            </w:pPr>
          </w:p>
        </w:tc>
        <w:tc>
          <w:tcPr>
            <w:tcW w:w="241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000000"/>
                <w:sz w:val="18"/>
                <w:szCs w:val="18"/>
              </w:rPr>
            </w:pPr>
            <w:r w:rsidRPr="00BD36D2">
              <w:rPr>
                <w:rFonts w:ascii="Garamond" w:eastAsia="Times New Roman" w:hAnsi="Garamond"/>
                <w:b/>
                <w:color w:val="000000"/>
                <w:sz w:val="18"/>
                <w:szCs w:val="18"/>
              </w:rPr>
              <w:t>TOT OS</w:t>
            </w:r>
          </w:p>
        </w:tc>
        <w:tc>
          <w:tcPr>
            <w:tcW w:w="992"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000000"/>
                <w:sz w:val="18"/>
                <w:szCs w:val="18"/>
              </w:rPr>
            </w:pPr>
            <w:r w:rsidRPr="00BD36D2">
              <w:rPr>
                <w:rFonts w:ascii="Garamond" w:eastAsia="Times New Roman" w:hAnsi="Garamond"/>
                <w:b/>
                <w:color w:val="000000"/>
                <w:sz w:val="18"/>
                <w:szCs w:val="18"/>
              </w:rPr>
              <w:t>10,0%</w:t>
            </w:r>
          </w:p>
        </w:tc>
        <w:tc>
          <w:tcPr>
            <w:tcW w:w="990"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000000"/>
                <w:sz w:val="18"/>
                <w:szCs w:val="18"/>
              </w:rPr>
            </w:pPr>
            <w:r w:rsidRPr="00BD36D2">
              <w:rPr>
                <w:rFonts w:ascii="Garamond" w:eastAsia="Times New Roman" w:hAnsi="Garamond"/>
                <w:b/>
                <w:color w:val="000000"/>
                <w:sz w:val="18"/>
                <w:szCs w:val="18"/>
              </w:rPr>
              <w:t>11,0%</w:t>
            </w:r>
          </w:p>
        </w:tc>
        <w:tc>
          <w:tcPr>
            <w:tcW w:w="995"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000000"/>
                <w:sz w:val="18"/>
                <w:szCs w:val="18"/>
              </w:rPr>
            </w:pPr>
            <w:r w:rsidRPr="00BD36D2">
              <w:rPr>
                <w:rFonts w:ascii="Garamond" w:eastAsia="Times New Roman" w:hAnsi="Garamond"/>
                <w:b/>
                <w:color w:val="000000"/>
                <w:sz w:val="18"/>
                <w:szCs w:val="18"/>
              </w:rPr>
              <w:t>1,0%</w:t>
            </w:r>
          </w:p>
        </w:tc>
        <w:tc>
          <w:tcPr>
            <w:tcW w:w="1138"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000000"/>
                <w:sz w:val="18"/>
                <w:szCs w:val="18"/>
              </w:rPr>
            </w:pPr>
            <w:r w:rsidRPr="00BD36D2">
              <w:rPr>
                <w:rFonts w:ascii="Garamond" w:eastAsia="Times New Roman" w:hAnsi="Garamond"/>
                <w:b/>
                <w:color w:val="000000"/>
                <w:sz w:val="18"/>
                <w:szCs w:val="18"/>
              </w:rPr>
              <w:t>4,0%</w:t>
            </w:r>
          </w:p>
        </w:tc>
        <w:tc>
          <w:tcPr>
            <w:tcW w:w="1065"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000000"/>
                <w:sz w:val="18"/>
                <w:szCs w:val="18"/>
              </w:rPr>
            </w:pPr>
            <w:r w:rsidRPr="00BD36D2">
              <w:rPr>
                <w:rFonts w:ascii="Garamond" w:eastAsia="Times New Roman" w:hAnsi="Garamond"/>
                <w:b/>
                <w:color w:val="000000"/>
                <w:sz w:val="18"/>
                <w:szCs w:val="18"/>
              </w:rPr>
              <w:t>5,0%</w:t>
            </w:r>
          </w:p>
        </w:tc>
        <w:tc>
          <w:tcPr>
            <w:tcW w:w="1009" w:type="dxa"/>
            <w:tcBorders>
              <w:top w:val="single" w:sz="8" w:space="0" w:color="7BA0CD"/>
              <w:left w:val="single" w:sz="8" w:space="0" w:color="7BA0CD"/>
              <w:bottom w:val="single" w:sz="8" w:space="0" w:color="7BA0CD"/>
              <w:right w:val="single" w:sz="8" w:space="0" w:color="7BA0CD"/>
            </w:tcBorders>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000000"/>
                <w:sz w:val="18"/>
                <w:szCs w:val="18"/>
              </w:rPr>
            </w:pPr>
            <w:r w:rsidRPr="00BD36D2">
              <w:rPr>
                <w:rFonts w:ascii="Garamond" w:eastAsia="Times New Roman" w:hAnsi="Garamond"/>
                <w:b/>
                <w:color w:val="000000"/>
                <w:sz w:val="18"/>
                <w:szCs w:val="18"/>
              </w:rPr>
              <w:t>1,0%</w:t>
            </w:r>
          </w:p>
        </w:tc>
      </w:tr>
    </w:tbl>
    <w:p w:rsidR="00BD36D2" w:rsidRPr="00BD36D2" w:rsidRDefault="00BD36D2" w:rsidP="00BD36D2">
      <w:pPr>
        <w:spacing w:after="240" w:line="360" w:lineRule="auto"/>
        <w:jc w:val="both"/>
        <w:rPr>
          <w:rFonts w:ascii="Garamond" w:eastAsia="Times New Roman" w:hAnsi="Garamond" w:cs="Times New Roman"/>
          <w:sz w:val="24"/>
          <w:szCs w:val="24"/>
          <w:lang w:eastAsia="it-IT"/>
        </w:rPr>
      </w:pPr>
    </w:p>
    <w:p w:rsidR="00BD36D2" w:rsidRPr="001E3A34" w:rsidRDefault="00BD36D2" w:rsidP="00BD36D2">
      <w:pPr>
        <w:spacing w:after="240" w:line="360" w:lineRule="auto"/>
        <w:jc w:val="both"/>
        <w:rPr>
          <w:rFonts w:ascii="Times New Roman" w:eastAsia="Times New Roman" w:hAnsi="Times New Roman" w:cs="Times New Roman"/>
          <w:sz w:val="24"/>
          <w:szCs w:val="24"/>
          <w:lang w:eastAsia="it-IT"/>
        </w:rPr>
      </w:pPr>
      <w:r w:rsidRPr="001E3A34">
        <w:rPr>
          <w:rFonts w:ascii="Times New Roman" w:eastAsia="Times New Roman" w:hAnsi="Times New Roman" w:cs="Times New Roman"/>
          <w:sz w:val="24"/>
          <w:szCs w:val="24"/>
          <w:lang w:eastAsia="it-IT"/>
        </w:rPr>
        <w:t xml:space="preserve">Adottando la classificazione del </w:t>
      </w:r>
      <w:r w:rsidRPr="001E3A34">
        <w:rPr>
          <w:rFonts w:ascii="Times New Roman" w:eastAsia="Times New Roman" w:hAnsi="Times New Roman" w:cs="Times New Roman"/>
          <w:i/>
          <w:sz w:val="24"/>
          <w:szCs w:val="24"/>
          <w:lang w:eastAsia="it-IT"/>
        </w:rPr>
        <w:t xml:space="preserve">common </w:t>
      </w:r>
      <w:proofErr w:type="spellStart"/>
      <w:r w:rsidRPr="001E3A34">
        <w:rPr>
          <w:rFonts w:ascii="Times New Roman" w:eastAsia="Times New Roman" w:hAnsi="Times New Roman" w:cs="Times New Roman"/>
          <w:i/>
          <w:sz w:val="24"/>
          <w:szCs w:val="24"/>
          <w:lang w:eastAsia="it-IT"/>
        </w:rPr>
        <w:t>procurement</w:t>
      </w:r>
      <w:proofErr w:type="spellEnd"/>
      <w:r w:rsidRPr="001E3A34">
        <w:rPr>
          <w:rFonts w:ascii="Times New Roman" w:eastAsia="Times New Roman" w:hAnsi="Times New Roman" w:cs="Times New Roman"/>
          <w:i/>
          <w:sz w:val="24"/>
          <w:szCs w:val="24"/>
          <w:lang w:eastAsia="it-IT"/>
        </w:rPr>
        <w:t xml:space="preserve"> </w:t>
      </w:r>
      <w:proofErr w:type="spellStart"/>
      <w:r w:rsidRPr="001E3A34">
        <w:rPr>
          <w:rFonts w:ascii="Times New Roman" w:eastAsia="Times New Roman" w:hAnsi="Times New Roman" w:cs="Times New Roman"/>
          <w:i/>
          <w:sz w:val="24"/>
          <w:szCs w:val="24"/>
          <w:lang w:eastAsia="it-IT"/>
        </w:rPr>
        <w:t>vocabulary</w:t>
      </w:r>
      <w:proofErr w:type="spellEnd"/>
      <w:r w:rsidRPr="001E3A34">
        <w:rPr>
          <w:rFonts w:ascii="Times New Roman" w:eastAsia="Times New Roman" w:hAnsi="Times New Roman" w:cs="Times New Roman"/>
          <w:sz w:val="24"/>
          <w:szCs w:val="24"/>
          <w:lang w:eastAsia="it-IT"/>
        </w:rPr>
        <w:t xml:space="preserve"> (</w:t>
      </w:r>
      <w:r w:rsidRPr="001E3A34">
        <w:rPr>
          <w:rFonts w:ascii="Times New Roman" w:eastAsia="Times New Roman" w:hAnsi="Times New Roman" w:cs="Times New Roman"/>
          <w:i/>
          <w:sz w:val="24"/>
          <w:szCs w:val="24"/>
          <w:lang w:eastAsia="it-IT"/>
        </w:rPr>
        <w:t>CPV)</w:t>
      </w:r>
      <w:r w:rsidRPr="001E3A34">
        <w:rPr>
          <w:rFonts w:ascii="Times New Roman" w:eastAsia="Times New Roman" w:hAnsi="Times New Roman" w:cs="Times New Roman"/>
          <w:sz w:val="24"/>
          <w:szCs w:val="24"/>
          <w:lang w:eastAsia="it-IT"/>
        </w:rPr>
        <w:t xml:space="preserve">, nella figura 3 viene fornito un dettaglio delle prime 10 tipologie di </w:t>
      </w:r>
      <w:r w:rsidRPr="00B83CB0">
        <w:rPr>
          <w:rFonts w:ascii="Times New Roman" w:eastAsia="Times New Roman" w:hAnsi="Times New Roman" w:cs="Times New Roman"/>
          <w:b/>
          <w:sz w:val="24"/>
          <w:szCs w:val="24"/>
          <w:lang w:eastAsia="it-IT"/>
        </w:rPr>
        <w:t>forniture</w:t>
      </w:r>
      <w:r w:rsidRPr="001E3A34">
        <w:rPr>
          <w:rFonts w:ascii="Times New Roman" w:eastAsia="Times New Roman" w:hAnsi="Times New Roman" w:cs="Times New Roman"/>
          <w:sz w:val="24"/>
          <w:szCs w:val="24"/>
          <w:lang w:eastAsia="it-IT"/>
        </w:rPr>
        <w:t xml:space="preserve"> che a livello di importo hanno avuto maggiore impatto nell’anno 2017. Tali valori sono messi a confronto con i relativi importi del 2016. Come per gli anni precedenti, anche per il 2017, le tipologie di forniture che vengono più acquisite sono, in particolare, i prodotti farmaceutici, le apparecchiature mediche e l’erogazione di energia elettrica, veicoli a motore.</w:t>
      </w:r>
    </w:p>
    <w:p w:rsidR="00BD36D2" w:rsidRPr="00BD36D2" w:rsidRDefault="00BD36D2" w:rsidP="00BD36D2">
      <w:pPr>
        <w:spacing w:after="0" w:line="240" w:lineRule="auto"/>
        <w:jc w:val="center"/>
        <w:rPr>
          <w:rFonts w:ascii="Garamond" w:eastAsia="Calibri" w:hAnsi="Garamond" w:cs="Times New Roman"/>
          <w:b/>
          <w:lang w:eastAsia="it-IT"/>
        </w:rPr>
      </w:pPr>
      <w:r w:rsidRPr="00BD36D2">
        <w:rPr>
          <w:rFonts w:ascii="Garamond" w:eastAsia="Calibri" w:hAnsi="Garamond" w:cs="Times New Roman"/>
          <w:b/>
          <w:lang w:eastAsia="it-IT"/>
        </w:rPr>
        <w:t>Figura 3 Analisi comparata per categoria di forniture a maggiore impatto nel 2017</w:t>
      </w:r>
    </w:p>
    <w:p w:rsidR="00BD36D2" w:rsidRPr="00BD36D2" w:rsidRDefault="00BD36D2" w:rsidP="00BD36D2">
      <w:pPr>
        <w:spacing w:after="0" w:line="240" w:lineRule="auto"/>
        <w:jc w:val="center"/>
        <w:rPr>
          <w:rFonts w:ascii="Garamond" w:eastAsia="Calibri" w:hAnsi="Garamond" w:cs="Times New Roman"/>
          <w:b/>
          <w:lang w:eastAsia="it-IT"/>
        </w:rPr>
      </w:pPr>
    </w:p>
    <w:p w:rsidR="00BD36D2" w:rsidRPr="00BD36D2" w:rsidRDefault="00BD36D2" w:rsidP="00BD36D2">
      <w:pPr>
        <w:spacing w:after="0" w:line="240" w:lineRule="auto"/>
        <w:jc w:val="center"/>
        <w:rPr>
          <w:rFonts w:ascii="Garamond" w:eastAsia="Calibri" w:hAnsi="Garamond" w:cs="Times New Roman"/>
          <w:sz w:val="24"/>
          <w:szCs w:val="24"/>
          <w:lang w:eastAsia="it-IT"/>
        </w:rPr>
      </w:pPr>
      <w:r w:rsidRPr="00BD36D2">
        <w:rPr>
          <w:rFonts w:ascii="Garamond" w:eastAsia="Calibri" w:hAnsi="Garamond" w:cs="Times New Roman"/>
          <w:sz w:val="24"/>
          <w:szCs w:val="24"/>
          <w:lang w:eastAsia="it-IT"/>
        </w:rPr>
        <w:t xml:space="preserve"> </w:t>
      </w:r>
      <w:r w:rsidRPr="00BD36D2">
        <w:rPr>
          <w:rFonts w:ascii="Times New Roman" w:eastAsia="Times New Roman" w:hAnsi="Times New Roman" w:cs="Times New Roman"/>
          <w:noProof/>
          <w:sz w:val="24"/>
          <w:szCs w:val="24"/>
          <w:lang w:eastAsia="it-IT"/>
        </w:rPr>
        <w:drawing>
          <wp:inline distT="0" distB="0" distL="0" distR="0" wp14:anchorId="60582D32" wp14:editId="31CAC8E8">
            <wp:extent cx="5502303" cy="3053301"/>
            <wp:effectExtent l="0" t="0" r="22225" b="13970"/>
            <wp:docPr id="30" name="Gra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7729F" w:rsidRDefault="00C7729F">
      <w:pPr>
        <w:rPr>
          <w:rFonts w:ascii="Garamond" w:eastAsia="Times New Roman" w:hAnsi="Garamond" w:cs="Times New Roman"/>
          <w:sz w:val="24"/>
          <w:szCs w:val="24"/>
          <w:lang w:eastAsia="it-IT"/>
        </w:rPr>
      </w:pPr>
      <w:r>
        <w:rPr>
          <w:rFonts w:ascii="Garamond" w:eastAsia="Times New Roman" w:hAnsi="Garamond" w:cs="Times New Roman"/>
          <w:sz w:val="24"/>
          <w:szCs w:val="24"/>
          <w:lang w:eastAsia="it-IT"/>
        </w:rPr>
        <w:br w:type="page"/>
      </w:r>
    </w:p>
    <w:p w:rsidR="00BD36D2" w:rsidRPr="001E3A34" w:rsidRDefault="00BD36D2" w:rsidP="00BD36D2">
      <w:pPr>
        <w:spacing w:after="0" w:line="360" w:lineRule="auto"/>
        <w:jc w:val="both"/>
        <w:rPr>
          <w:rFonts w:ascii="Times New Roman" w:eastAsia="Times New Roman" w:hAnsi="Times New Roman" w:cs="Times New Roman"/>
          <w:sz w:val="24"/>
          <w:szCs w:val="24"/>
          <w:lang w:eastAsia="it-IT"/>
        </w:rPr>
      </w:pPr>
      <w:r w:rsidRPr="001E3A34">
        <w:rPr>
          <w:rFonts w:ascii="Times New Roman" w:eastAsia="Times New Roman" w:hAnsi="Times New Roman" w:cs="Times New Roman"/>
          <w:sz w:val="24"/>
          <w:szCs w:val="24"/>
          <w:lang w:eastAsia="it-IT"/>
        </w:rPr>
        <w:lastRenderedPageBreak/>
        <w:t xml:space="preserve">Nella figura 4 viene, altresì, fornito un dettaglio delle prime 10 tipologie di </w:t>
      </w:r>
      <w:r w:rsidRPr="00C7729F">
        <w:rPr>
          <w:rFonts w:ascii="Times New Roman" w:eastAsia="Times New Roman" w:hAnsi="Times New Roman" w:cs="Times New Roman"/>
          <w:b/>
          <w:sz w:val="24"/>
          <w:szCs w:val="24"/>
          <w:lang w:eastAsia="it-IT"/>
        </w:rPr>
        <w:t>servizi</w:t>
      </w:r>
      <w:r w:rsidRPr="001E3A34">
        <w:rPr>
          <w:rFonts w:ascii="Times New Roman" w:eastAsia="Times New Roman" w:hAnsi="Times New Roman" w:cs="Times New Roman"/>
          <w:sz w:val="24"/>
          <w:szCs w:val="24"/>
          <w:lang w:eastAsia="it-IT"/>
        </w:rPr>
        <w:t xml:space="preserve"> (CPV) che, a livello di importo, hanno avuto maggiore impatto nell’anno 2017. Analogamente con quanto fatto per il settore delle forniture, tali valori sono stati messi a confronto con i relativi valori di cui al precedente anno. Come per gli anni precedenti, anche per il 2017, i servizi per cui si spende di più sono quelli relativi ai rifiuti urbani, assistenza sociale, trasporto terrestre, consulenza ICT, pulizia, mensa e ristorazione.</w:t>
      </w:r>
    </w:p>
    <w:p w:rsidR="00BD36D2" w:rsidRPr="00BD36D2" w:rsidRDefault="00BD36D2" w:rsidP="00BD36D2">
      <w:pPr>
        <w:spacing w:after="0" w:line="360" w:lineRule="auto"/>
        <w:jc w:val="both"/>
        <w:rPr>
          <w:rFonts w:ascii="Garamond" w:eastAsia="Times New Roman" w:hAnsi="Garamond" w:cs="Times New Roman"/>
          <w:sz w:val="24"/>
          <w:szCs w:val="24"/>
          <w:lang w:eastAsia="it-IT"/>
        </w:rPr>
      </w:pPr>
    </w:p>
    <w:p w:rsidR="00BD36D2" w:rsidRPr="00BD36D2" w:rsidRDefault="00BD36D2" w:rsidP="00BD36D2">
      <w:pPr>
        <w:spacing w:after="0" w:line="240" w:lineRule="auto"/>
        <w:jc w:val="center"/>
        <w:rPr>
          <w:rFonts w:ascii="Times New Roman" w:eastAsia="Times New Roman" w:hAnsi="Times New Roman" w:cs="Times New Roman"/>
          <w:b/>
          <w:noProof/>
          <w:lang w:eastAsia="it-IT"/>
        </w:rPr>
      </w:pPr>
      <w:r w:rsidRPr="00BD36D2">
        <w:rPr>
          <w:rFonts w:ascii="Garamond" w:eastAsia="Calibri" w:hAnsi="Garamond" w:cs="Times New Roman"/>
          <w:b/>
          <w:lang w:eastAsia="it-IT"/>
        </w:rPr>
        <w:t xml:space="preserve">Figura 4 Analisi comparata suddivisa per categoria di servizi a maggiore impatto nel 2017 </w:t>
      </w:r>
    </w:p>
    <w:p w:rsidR="00BD36D2" w:rsidRPr="00BD36D2" w:rsidRDefault="00BD36D2" w:rsidP="00BD36D2">
      <w:pPr>
        <w:spacing w:after="60" w:line="360" w:lineRule="auto"/>
        <w:jc w:val="center"/>
        <w:rPr>
          <w:rFonts w:ascii="Garamond" w:eastAsia="Times New Roman" w:hAnsi="Garamond" w:cs="Times New Roman"/>
          <w:i/>
          <w:sz w:val="20"/>
          <w:szCs w:val="20"/>
          <w:lang w:eastAsia="it-IT"/>
        </w:rPr>
      </w:pPr>
      <w:r w:rsidRPr="00BD36D2">
        <w:rPr>
          <w:rFonts w:ascii="Times New Roman" w:eastAsia="Times New Roman" w:hAnsi="Times New Roman" w:cs="Times New Roman"/>
          <w:noProof/>
          <w:sz w:val="24"/>
          <w:szCs w:val="24"/>
          <w:lang w:eastAsia="it-IT"/>
        </w:rPr>
        <w:drawing>
          <wp:inline distT="0" distB="0" distL="0" distR="0" wp14:anchorId="4B8A3BC8" wp14:editId="112436C9">
            <wp:extent cx="5819775" cy="2453640"/>
            <wp:effectExtent l="0" t="0" r="9525" b="3810"/>
            <wp:docPr id="31" name="Gra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D36D2" w:rsidRPr="00BD36D2" w:rsidRDefault="00BD36D2" w:rsidP="00BD36D2">
      <w:pPr>
        <w:tabs>
          <w:tab w:val="left" w:pos="6804"/>
        </w:tabs>
        <w:spacing w:after="0" w:line="360" w:lineRule="auto"/>
        <w:jc w:val="both"/>
        <w:rPr>
          <w:rFonts w:ascii="Garamond" w:eastAsia="Calibri" w:hAnsi="Garamond" w:cs="Times New Roman"/>
          <w:sz w:val="24"/>
          <w:szCs w:val="24"/>
          <w:lang w:eastAsia="it-IT"/>
        </w:rPr>
      </w:pPr>
    </w:p>
    <w:p w:rsidR="00BD36D2" w:rsidRPr="001E3A34" w:rsidRDefault="00BD36D2" w:rsidP="00BD36D2">
      <w:pPr>
        <w:tabs>
          <w:tab w:val="left" w:pos="6804"/>
        </w:tabs>
        <w:spacing w:after="0" w:line="360" w:lineRule="auto"/>
        <w:jc w:val="both"/>
        <w:rPr>
          <w:rFonts w:ascii="Times New Roman" w:eastAsia="Calibri" w:hAnsi="Times New Roman" w:cs="Times New Roman"/>
          <w:sz w:val="24"/>
          <w:szCs w:val="24"/>
          <w:lang w:eastAsia="it-IT"/>
        </w:rPr>
      </w:pPr>
      <w:r w:rsidRPr="001E3A34">
        <w:rPr>
          <w:rFonts w:ascii="Times New Roman" w:eastAsia="Calibri" w:hAnsi="Times New Roman" w:cs="Times New Roman"/>
          <w:sz w:val="24"/>
          <w:szCs w:val="24"/>
          <w:lang w:eastAsia="it-IT"/>
        </w:rPr>
        <w:t>Dalla tabella 2 si evince che nel quadro complessivo pesano più, come sempre, i settori ordinari, i quali assorbono l’83,7% del numero delle procedure, e circa il 75% dell’importo complessivo della domanda.</w:t>
      </w:r>
    </w:p>
    <w:p w:rsidR="00BD36D2" w:rsidRPr="00BD36D2" w:rsidRDefault="00BD36D2" w:rsidP="00BD36D2">
      <w:pPr>
        <w:spacing w:after="0" w:line="360" w:lineRule="auto"/>
        <w:jc w:val="center"/>
        <w:rPr>
          <w:rFonts w:ascii="Garamond" w:eastAsia="Calibri" w:hAnsi="Garamond" w:cs="Times New Roman"/>
          <w:b/>
          <w:sz w:val="24"/>
          <w:szCs w:val="24"/>
          <w:lang w:eastAsia="it-IT"/>
        </w:rPr>
      </w:pPr>
    </w:p>
    <w:p w:rsidR="00BD36D2" w:rsidRPr="00BD36D2" w:rsidRDefault="00BD36D2" w:rsidP="00BD36D2">
      <w:pPr>
        <w:spacing w:after="0" w:line="240" w:lineRule="auto"/>
        <w:jc w:val="center"/>
        <w:rPr>
          <w:rFonts w:ascii="Garamond" w:eastAsia="Calibri" w:hAnsi="Garamond" w:cs="Times New Roman"/>
          <w:b/>
          <w:lang w:eastAsia="it-IT"/>
        </w:rPr>
      </w:pPr>
      <w:r w:rsidRPr="00BD36D2">
        <w:rPr>
          <w:rFonts w:ascii="Garamond" w:eastAsia="Calibri" w:hAnsi="Garamond" w:cs="Times New Roman"/>
          <w:b/>
          <w:lang w:eastAsia="it-IT"/>
        </w:rPr>
        <w:t>Tabella 2 Distribuzione delle procedure di affidamento, di importo uguale o superiore di €40.000, suddivise per tipologia di settore e di contratto (2017)</w:t>
      </w:r>
    </w:p>
    <w:tbl>
      <w:tblPr>
        <w:tblW w:w="9300" w:type="dxa"/>
        <w:jc w:val="cente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352"/>
        <w:gridCol w:w="2031"/>
        <w:gridCol w:w="992"/>
        <w:gridCol w:w="992"/>
        <w:gridCol w:w="2098"/>
        <w:gridCol w:w="1163"/>
        <w:gridCol w:w="1672"/>
      </w:tblGrid>
      <w:tr w:rsidR="00BD36D2" w:rsidRPr="00BD36D2" w:rsidTr="00BD36D2">
        <w:trPr>
          <w:trHeight w:val="447"/>
          <w:jc w:val="center"/>
        </w:trPr>
        <w:tc>
          <w:tcPr>
            <w:tcW w:w="352" w:type="dxa"/>
            <w:vMerge w:val="restart"/>
            <w:tcBorders>
              <w:top w:val="single" w:sz="8" w:space="0" w:color="7BA0CD"/>
              <w:left w:val="single" w:sz="8" w:space="0" w:color="7BA0CD"/>
              <w:bottom w:val="single" w:sz="8" w:space="0" w:color="7BA0CD"/>
              <w:right w:val="single" w:sz="8" w:space="0" w:color="7BA0CD"/>
            </w:tcBorders>
            <w:shd w:val="clear" w:color="auto" w:fill="365F91"/>
            <w:textDirection w:val="btLr"/>
            <w:vAlign w:val="center"/>
            <w:hideMark/>
          </w:tcPr>
          <w:p w:rsidR="00BD36D2" w:rsidRPr="00BD36D2" w:rsidRDefault="00BD36D2" w:rsidP="00BD36D2">
            <w:pPr>
              <w:spacing w:after="0" w:line="360" w:lineRule="auto"/>
              <w:ind w:left="113" w:right="113"/>
              <w:jc w:val="center"/>
              <w:rPr>
                <w:rFonts w:ascii="Garamond" w:eastAsia="Calibri" w:hAnsi="Garamond" w:cs="Times New Roman"/>
                <w:b/>
                <w:bCs/>
                <w:color w:val="FFFFFF"/>
                <w:sz w:val="20"/>
                <w:szCs w:val="20"/>
                <w:lang w:eastAsia="it-IT"/>
              </w:rPr>
            </w:pPr>
            <w:r w:rsidRPr="00BD36D2">
              <w:rPr>
                <w:rFonts w:ascii="Garamond" w:eastAsia="Times New Roman" w:hAnsi="Garamond" w:cs="Times New Roman"/>
                <w:b/>
                <w:bCs/>
                <w:color w:val="FFFFFF"/>
                <w:sz w:val="20"/>
                <w:szCs w:val="20"/>
                <w:lang w:eastAsia="it-IT"/>
              </w:rPr>
              <w:t>Settore</w:t>
            </w:r>
          </w:p>
        </w:tc>
        <w:tc>
          <w:tcPr>
            <w:tcW w:w="2031" w:type="dxa"/>
            <w:vMerge w:val="restart"/>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after="0" w:line="360" w:lineRule="auto"/>
              <w:jc w:val="center"/>
              <w:rPr>
                <w:rFonts w:ascii="Garamond" w:eastAsia="Calibri" w:hAnsi="Garamond" w:cs="Times New Roman"/>
                <w:b/>
                <w:bCs/>
                <w:color w:val="FFFFFF"/>
                <w:sz w:val="20"/>
                <w:szCs w:val="20"/>
                <w:lang w:eastAsia="it-IT"/>
              </w:rPr>
            </w:pPr>
            <w:r w:rsidRPr="00BD36D2">
              <w:rPr>
                <w:rFonts w:ascii="Garamond" w:eastAsia="Times New Roman" w:hAnsi="Garamond" w:cs="Times New Roman"/>
                <w:b/>
                <w:bCs/>
                <w:color w:val="FFFFFF"/>
                <w:sz w:val="20"/>
                <w:szCs w:val="20"/>
                <w:lang w:eastAsia="it-IT"/>
              </w:rPr>
              <w:t>Tipologia di servizio</w:t>
            </w:r>
          </w:p>
        </w:tc>
        <w:tc>
          <w:tcPr>
            <w:tcW w:w="1984" w:type="dxa"/>
            <w:gridSpan w:val="2"/>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after="0" w:line="360" w:lineRule="auto"/>
              <w:jc w:val="center"/>
              <w:rPr>
                <w:rFonts w:ascii="Garamond" w:eastAsia="Times New Roman" w:hAnsi="Garamond" w:cs="Times New Roman"/>
                <w:b/>
                <w:color w:val="FFFFFF"/>
                <w:sz w:val="20"/>
                <w:szCs w:val="20"/>
                <w:lang w:eastAsia="it-IT"/>
              </w:rPr>
            </w:pPr>
            <w:r w:rsidRPr="00BD36D2">
              <w:rPr>
                <w:rFonts w:ascii="Garamond" w:eastAsia="Times New Roman" w:hAnsi="Garamond" w:cs="Times New Roman"/>
                <w:b/>
                <w:color w:val="FFFFFF"/>
                <w:sz w:val="20"/>
                <w:szCs w:val="20"/>
                <w:lang w:eastAsia="it-IT"/>
              </w:rPr>
              <w:t>Totale CIG perfezionati</w:t>
            </w:r>
          </w:p>
        </w:tc>
        <w:tc>
          <w:tcPr>
            <w:tcW w:w="3261" w:type="dxa"/>
            <w:gridSpan w:val="2"/>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after="0" w:line="360" w:lineRule="auto"/>
              <w:jc w:val="center"/>
              <w:rPr>
                <w:rFonts w:ascii="Garamond" w:eastAsia="Times New Roman" w:hAnsi="Garamond" w:cs="Times New Roman"/>
                <w:b/>
                <w:color w:val="FFFFFF"/>
                <w:sz w:val="20"/>
                <w:szCs w:val="20"/>
                <w:lang w:eastAsia="it-IT"/>
              </w:rPr>
            </w:pPr>
            <w:r w:rsidRPr="00BD36D2">
              <w:rPr>
                <w:rFonts w:ascii="Garamond" w:eastAsia="Times New Roman" w:hAnsi="Garamond" w:cs="Times New Roman"/>
                <w:b/>
                <w:color w:val="FFFFFF"/>
                <w:sz w:val="20"/>
                <w:szCs w:val="20"/>
                <w:lang w:eastAsia="it-IT"/>
              </w:rPr>
              <w:t>Importo complessivo</w:t>
            </w:r>
          </w:p>
        </w:tc>
        <w:tc>
          <w:tcPr>
            <w:tcW w:w="1672" w:type="dxa"/>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after="0" w:line="360" w:lineRule="auto"/>
              <w:jc w:val="center"/>
              <w:rPr>
                <w:rFonts w:ascii="Garamond" w:eastAsia="Times New Roman" w:hAnsi="Garamond" w:cs="Times New Roman"/>
                <w:b/>
                <w:color w:val="FFFFFF"/>
                <w:sz w:val="20"/>
                <w:szCs w:val="20"/>
                <w:lang w:eastAsia="it-IT"/>
              </w:rPr>
            </w:pPr>
            <w:r w:rsidRPr="00BD36D2">
              <w:rPr>
                <w:rFonts w:ascii="Garamond" w:eastAsia="Times New Roman" w:hAnsi="Garamond" w:cs="Times New Roman"/>
                <w:b/>
                <w:color w:val="FFFFFF"/>
                <w:sz w:val="20"/>
                <w:szCs w:val="20"/>
                <w:lang w:eastAsia="it-IT"/>
              </w:rPr>
              <w:t>Importo medio</w:t>
            </w:r>
          </w:p>
        </w:tc>
      </w:tr>
      <w:tr w:rsidR="00BD36D2" w:rsidRPr="00BD36D2" w:rsidTr="00BD36D2">
        <w:trPr>
          <w:cantSplit/>
          <w:trHeight w:val="447"/>
          <w:jc w:val="center"/>
        </w:trPr>
        <w:tc>
          <w:tcPr>
            <w:tcW w:w="2383"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after="0" w:line="360" w:lineRule="auto"/>
              <w:rPr>
                <w:rFonts w:ascii="Garamond" w:eastAsia="Calibri" w:hAnsi="Garamond" w:cs="Times New Roman"/>
                <w:b/>
                <w:bCs/>
                <w:color w:val="FFFFFF"/>
                <w:sz w:val="20"/>
                <w:szCs w:val="20"/>
                <w:lang w:eastAsia="it-IT"/>
              </w:rPr>
            </w:pPr>
          </w:p>
        </w:tc>
        <w:tc>
          <w:tcPr>
            <w:tcW w:w="2031"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after="0" w:line="360" w:lineRule="auto"/>
              <w:rPr>
                <w:rFonts w:ascii="Garamond" w:eastAsia="Calibri" w:hAnsi="Garamond" w:cs="Times New Roman"/>
                <w:b/>
                <w:bCs/>
                <w:color w:val="FFFFFF"/>
                <w:sz w:val="20"/>
                <w:szCs w:val="20"/>
                <w:lang w:eastAsia="it-IT"/>
              </w:rPr>
            </w:pPr>
          </w:p>
        </w:tc>
        <w:tc>
          <w:tcPr>
            <w:tcW w:w="992" w:type="dxa"/>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after="0" w:line="360" w:lineRule="auto"/>
              <w:jc w:val="center"/>
              <w:rPr>
                <w:rFonts w:ascii="Garamond" w:eastAsia="Times New Roman" w:hAnsi="Garamond" w:cs="Times New Roman"/>
                <w:b/>
                <w:bCs/>
                <w:color w:val="FFFFFF"/>
                <w:sz w:val="20"/>
                <w:szCs w:val="20"/>
                <w:lang w:eastAsia="it-IT"/>
              </w:rPr>
            </w:pPr>
            <w:r w:rsidRPr="00BD36D2">
              <w:rPr>
                <w:rFonts w:ascii="Garamond" w:eastAsia="Times New Roman" w:hAnsi="Garamond" w:cs="Times New Roman"/>
                <w:b/>
                <w:bCs/>
                <w:color w:val="FFFFFF"/>
                <w:sz w:val="20"/>
                <w:szCs w:val="20"/>
                <w:lang w:eastAsia="it-IT"/>
              </w:rPr>
              <w:t>2017</w:t>
            </w:r>
          </w:p>
        </w:tc>
        <w:tc>
          <w:tcPr>
            <w:tcW w:w="992" w:type="dxa"/>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after="0" w:line="360" w:lineRule="auto"/>
              <w:jc w:val="center"/>
              <w:rPr>
                <w:rFonts w:ascii="Garamond" w:eastAsia="Times New Roman" w:hAnsi="Garamond" w:cs="Times New Roman"/>
                <w:b/>
                <w:bCs/>
                <w:color w:val="FFFFFF"/>
                <w:sz w:val="20"/>
                <w:szCs w:val="20"/>
                <w:lang w:eastAsia="it-IT"/>
              </w:rPr>
            </w:pPr>
            <w:r w:rsidRPr="00BD36D2">
              <w:rPr>
                <w:rFonts w:ascii="Garamond" w:eastAsia="Times New Roman" w:hAnsi="Garamond" w:cs="Times New Roman"/>
                <w:b/>
                <w:bCs/>
                <w:color w:val="FFFFFF"/>
                <w:sz w:val="20"/>
                <w:szCs w:val="20"/>
                <w:lang w:eastAsia="it-IT"/>
              </w:rPr>
              <w:t xml:space="preserve">% CIG </w:t>
            </w:r>
          </w:p>
        </w:tc>
        <w:tc>
          <w:tcPr>
            <w:tcW w:w="2098" w:type="dxa"/>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after="0" w:line="360" w:lineRule="auto"/>
              <w:jc w:val="center"/>
              <w:rPr>
                <w:rFonts w:ascii="Garamond" w:eastAsia="Times New Roman" w:hAnsi="Garamond" w:cs="Times New Roman"/>
                <w:b/>
                <w:bCs/>
                <w:color w:val="FFFFFF"/>
                <w:sz w:val="20"/>
                <w:szCs w:val="20"/>
                <w:lang w:eastAsia="it-IT"/>
              </w:rPr>
            </w:pPr>
            <w:r w:rsidRPr="00BD36D2">
              <w:rPr>
                <w:rFonts w:ascii="Garamond" w:eastAsia="Times New Roman" w:hAnsi="Garamond" w:cs="Times New Roman"/>
                <w:b/>
                <w:bCs/>
                <w:color w:val="FFFFFF"/>
                <w:sz w:val="20"/>
                <w:szCs w:val="20"/>
                <w:lang w:eastAsia="it-IT"/>
              </w:rPr>
              <w:t xml:space="preserve">2017 </w:t>
            </w:r>
            <w:r w:rsidRPr="00BD36D2">
              <w:rPr>
                <w:rFonts w:ascii="Garamond" w:eastAsia="Times New Roman" w:hAnsi="Garamond" w:cs="Times New Roman"/>
                <w:b/>
                <w:bCs/>
                <w:color w:val="FFFFFF"/>
                <w:sz w:val="20"/>
                <w:szCs w:val="20"/>
                <w:lang w:eastAsia="it-IT"/>
              </w:rPr>
              <w:br/>
              <w:t>(valore in euro)</w:t>
            </w:r>
          </w:p>
        </w:tc>
        <w:tc>
          <w:tcPr>
            <w:tcW w:w="1163" w:type="dxa"/>
            <w:tcBorders>
              <w:top w:val="single" w:sz="8" w:space="0" w:color="7BA0CD"/>
              <w:left w:val="single" w:sz="8" w:space="0" w:color="7BA0CD"/>
              <w:bottom w:val="single" w:sz="8" w:space="0" w:color="7BA0CD"/>
              <w:right w:val="single" w:sz="8" w:space="0" w:color="7BA0CD"/>
            </w:tcBorders>
            <w:shd w:val="clear" w:color="auto" w:fill="365F91"/>
            <w:hideMark/>
          </w:tcPr>
          <w:p w:rsidR="00BD36D2" w:rsidRPr="00BD36D2" w:rsidRDefault="00BD36D2" w:rsidP="00BD36D2">
            <w:pPr>
              <w:spacing w:after="0" w:line="360" w:lineRule="auto"/>
              <w:jc w:val="center"/>
              <w:rPr>
                <w:rFonts w:ascii="Garamond" w:eastAsia="Times New Roman" w:hAnsi="Garamond" w:cs="Times New Roman"/>
                <w:b/>
                <w:bCs/>
                <w:color w:val="FFFFFF"/>
                <w:sz w:val="20"/>
                <w:szCs w:val="20"/>
                <w:lang w:eastAsia="it-IT"/>
              </w:rPr>
            </w:pPr>
            <w:r w:rsidRPr="00BD36D2">
              <w:rPr>
                <w:rFonts w:ascii="Garamond" w:eastAsia="Times New Roman" w:hAnsi="Garamond" w:cs="Times New Roman"/>
                <w:b/>
                <w:bCs/>
                <w:color w:val="FFFFFF"/>
                <w:sz w:val="20"/>
                <w:szCs w:val="20"/>
                <w:lang w:eastAsia="it-IT"/>
              </w:rPr>
              <w:t>% Importo</w:t>
            </w:r>
          </w:p>
        </w:tc>
        <w:tc>
          <w:tcPr>
            <w:tcW w:w="1672" w:type="dxa"/>
            <w:tcBorders>
              <w:top w:val="single" w:sz="8" w:space="0" w:color="7BA0CD"/>
              <w:left w:val="single" w:sz="8" w:space="0" w:color="7BA0CD"/>
              <w:bottom w:val="single" w:sz="8" w:space="0" w:color="7BA0CD"/>
              <w:right w:val="single" w:sz="8" w:space="0" w:color="7BA0CD"/>
            </w:tcBorders>
            <w:shd w:val="clear" w:color="auto" w:fill="365F91"/>
            <w:hideMark/>
          </w:tcPr>
          <w:p w:rsidR="00BD36D2" w:rsidRPr="00BD36D2" w:rsidRDefault="00BD36D2" w:rsidP="00BD36D2">
            <w:pPr>
              <w:spacing w:after="0" w:line="360" w:lineRule="auto"/>
              <w:jc w:val="center"/>
              <w:rPr>
                <w:rFonts w:ascii="Garamond" w:eastAsia="Times New Roman" w:hAnsi="Garamond" w:cs="Times New Roman"/>
                <w:b/>
                <w:bCs/>
                <w:color w:val="FFFFFF"/>
                <w:sz w:val="20"/>
                <w:szCs w:val="20"/>
                <w:lang w:eastAsia="it-IT"/>
              </w:rPr>
            </w:pPr>
            <w:r w:rsidRPr="00BD36D2">
              <w:rPr>
                <w:rFonts w:ascii="Garamond" w:eastAsia="Times New Roman" w:hAnsi="Garamond" w:cs="Times New Roman"/>
                <w:b/>
                <w:bCs/>
                <w:color w:val="FFFFFF"/>
                <w:sz w:val="20"/>
                <w:szCs w:val="20"/>
                <w:lang w:eastAsia="it-IT"/>
              </w:rPr>
              <w:t>(valore in euro)</w:t>
            </w:r>
          </w:p>
        </w:tc>
      </w:tr>
      <w:tr w:rsidR="00BD36D2" w:rsidRPr="00BD36D2" w:rsidTr="00BD36D2">
        <w:trPr>
          <w:trHeight w:val="309"/>
          <w:jc w:val="center"/>
        </w:trPr>
        <w:tc>
          <w:tcPr>
            <w:tcW w:w="352" w:type="dxa"/>
            <w:vMerge w:val="restart"/>
            <w:tcBorders>
              <w:top w:val="single" w:sz="8" w:space="0" w:color="7BA0CD"/>
              <w:left w:val="single" w:sz="8" w:space="0" w:color="7BA0CD"/>
              <w:bottom w:val="single" w:sz="8" w:space="0" w:color="7BA0CD"/>
              <w:right w:val="single" w:sz="8" w:space="0" w:color="7BA0CD"/>
            </w:tcBorders>
            <w:shd w:val="clear" w:color="auto" w:fill="DBE5F1" w:themeFill="accent1" w:themeFillTint="33"/>
            <w:textDirection w:val="btLr"/>
            <w:vAlign w:val="center"/>
            <w:hideMark/>
          </w:tcPr>
          <w:p w:rsidR="00BD36D2" w:rsidRPr="00BD36D2" w:rsidRDefault="00BD36D2" w:rsidP="00BD36D2">
            <w:pPr>
              <w:spacing w:after="0" w:line="360" w:lineRule="auto"/>
              <w:ind w:left="113" w:right="-74"/>
              <w:jc w:val="center"/>
              <w:rPr>
                <w:rFonts w:ascii="Garamond" w:eastAsia="Times New Roman" w:hAnsi="Garamond" w:cs="Times New Roman"/>
                <w:b/>
                <w:bCs/>
                <w:sz w:val="20"/>
                <w:szCs w:val="20"/>
                <w:lang w:eastAsia="it-IT"/>
              </w:rPr>
            </w:pPr>
            <w:r w:rsidRPr="00BD36D2">
              <w:rPr>
                <w:rFonts w:ascii="Garamond" w:eastAsia="Times New Roman" w:hAnsi="Garamond" w:cs="Times New Roman"/>
                <w:b/>
                <w:bCs/>
                <w:sz w:val="20"/>
                <w:szCs w:val="20"/>
                <w:lang w:eastAsia="it-IT"/>
              </w:rPr>
              <w:t>Ordinario</w:t>
            </w:r>
          </w:p>
        </w:tc>
        <w:tc>
          <w:tcPr>
            <w:tcW w:w="2031"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hideMark/>
          </w:tcPr>
          <w:p w:rsidR="00BD36D2" w:rsidRPr="00BD36D2" w:rsidRDefault="00BD36D2" w:rsidP="00BD36D2">
            <w:pPr>
              <w:spacing w:after="0" w:line="360" w:lineRule="auto"/>
              <w:rPr>
                <w:rFonts w:ascii="Garamond" w:eastAsia="Times New Roman" w:hAnsi="Garamond" w:cs="Times New Roman"/>
                <w:color w:val="000000"/>
                <w:sz w:val="20"/>
                <w:szCs w:val="20"/>
                <w:lang w:eastAsia="it-IT"/>
              </w:rPr>
            </w:pPr>
            <w:r w:rsidRPr="00BD36D2">
              <w:rPr>
                <w:rFonts w:ascii="Garamond" w:eastAsia="Times New Roman" w:hAnsi="Garamond" w:cs="Times New Roman"/>
                <w:color w:val="000000"/>
                <w:sz w:val="20"/>
                <w:szCs w:val="20"/>
                <w:lang w:eastAsia="it-IT"/>
              </w:rPr>
              <w:t>Forniture</w:t>
            </w:r>
          </w:p>
        </w:tc>
        <w:tc>
          <w:tcPr>
            <w:tcW w:w="992"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vAlign w:val="center"/>
            <w:hideMark/>
          </w:tcPr>
          <w:p w:rsidR="00BD36D2" w:rsidRPr="00BD36D2" w:rsidRDefault="00BD36D2" w:rsidP="00BD36D2">
            <w:pPr>
              <w:spacing w:after="0" w:line="360" w:lineRule="auto"/>
              <w:jc w:val="center"/>
              <w:rPr>
                <w:rFonts w:ascii="Garamond" w:eastAsia="Times New Roman" w:hAnsi="Garamond" w:cs="Times New Roman"/>
                <w:color w:val="000000"/>
                <w:sz w:val="20"/>
                <w:szCs w:val="20"/>
                <w:lang w:eastAsia="it-IT"/>
              </w:rPr>
            </w:pPr>
            <w:r w:rsidRPr="00BD36D2">
              <w:rPr>
                <w:rFonts w:ascii="Garamond" w:eastAsia="Times New Roman" w:hAnsi="Garamond" w:cs="Times New Roman"/>
                <w:color w:val="000000"/>
                <w:sz w:val="20"/>
                <w:szCs w:val="20"/>
                <w:lang w:eastAsia="it-IT"/>
              </w:rPr>
              <w:t>40.007</w:t>
            </w:r>
          </w:p>
        </w:tc>
        <w:tc>
          <w:tcPr>
            <w:tcW w:w="992"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vAlign w:val="center"/>
            <w:hideMark/>
          </w:tcPr>
          <w:p w:rsidR="00BD36D2" w:rsidRPr="00BD36D2" w:rsidRDefault="00BD36D2" w:rsidP="00BD36D2">
            <w:pPr>
              <w:spacing w:after="0" w:line="360" w:lineRule="auto"/>
              <w:jc w:val="center"/>
              <w:rPr>
                <w:rFonts w:ascii="Garamond" w:eastAsia="Times New Roman" w:hAnsi="Garamond" w:cs="Times New Roman"/>
                <w:color w:val="000000"/>
                <w:sz w:val="20"/>
                <w:szCs w:val="20"/>
                <w:lang w:eastAsia="it-IT"/>
              </w:rPr>
            </w:pPr>
            <w:r w:rsidRPr="00BD36D2">
              <w:rPr>
                <w:rFonts w:ascii="Garamond" w:eastAsia="Times New Roman" w:hAnsi="Garamond" w:cs="Times New Roman"/>
                <w:color w:val="000000"/>
                <w:sz w:val="20"/>
                <w:szCs w:val="20"/>
                <w:lang w:eastAsia="it-IT"/>
              </w:rPr>
              <w:t>29,2%</w:t>
            </w:r>
          </w:p>
        </w:tc>
        <w:tc>
          <w:tcPr>
            <w:tcW w:w="2098"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vAlign w:val="center"/>
            <w:hideMark/>
          </w:tcPr>
          <w:p w:rsidR="00BD36D2" w:rsidRPr="00BD36D2" w:rsidRDefault="00BD36D2" w:rsidP="00BD36D2">
            <w:pPr>
              <w:spacing w:after="0" w:line="360" w:lineRule="auto"/>
              <w:jc w:val="center"/>
              <w:rPr>
                <w:rFonts w:ascii="Garamond" w:eastAsia="Times New Roman" w:hAnsi="Garamond" w:cs="Times New Roman"/>
                <w:color w:val="000000"/>
                <w:sz w:val="20"/>
                <w:szCs w:val="20"/>
                <w:lang w:eastAsia="it-IT"/>
              </w:rPr>
            </w:pPr>
            <w:r w:rsidRPr="00BD36D2">
              <w:rPr>
                <w:rFonts w:ascii="Garamond" w:eastAsia="Times New Roman" w:hAnsi="Garamond" w:cs="Times New Roman"/>
                <w:color w:val="000000"/>
                <w:sz w:val="20"/>
                <w:szCs w:val="20"/>
                <w:lang w:eastAsia="it-IT"/>
              </w:rPr>
              <w:t>44.104.292.841</w:t>
            </w:r>
          </w:p>
        </w:tc>
        <w:tc>
          <w:tcPr>
            <w:tcW w:w="1163"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vAlign w:val="center"/>
            <w:hideMark/>
          </w:tcPr>
          <w:p w:rsidR="00BD36D2" w:rsidRPr="00BD36D2" w:rsidRDefault="00BD36D2" w:rsidP="00BD36D2">
            <w:pPr>
              <w:spacing w:after="0" w:line="360" w:lineRule="auto"/>
              <w:jc w:val="center"/>
              <w:rPr>
                <w:rFonts w:ascii="Garamond" w:eastAsia="Times New Roman" w:hAnsi="Garamond" w:cs="Times New Roman"/>
                <w:color w:val="000000"/>
                <w:sz w:val="20"/>
                <w:szCs w:val="20"/>
                <w:lang w:eastAsia="it-IT"/>
              </w:rPr>
            </w:pPr>
            <w:r w:rsidRPr="00BD36D2">
              <w:rPr>
                <w:rFonts w:ascii="Garamond" w:eastAsia="Times New Roman" w:hAnsi="Garamond" w:cs="Times New Roman"/>
                <w:color w:val="000000"/>
                <w:sz w:val="20"/>
                <w:szCs w:val="20"/>
                <w:lang w:eastAsia="it-IT"/>
              </w:rPr>
              <w:t>31,7%</w:t>
            </w:r>
          </w:p>
        </w:tc>
        <w:tc>
          <w:tcPr>
            <w:tcW w:w="1672"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vAlign w:val="center"/>
            <w:hideMark/>
          </w:tcPr>
          <w:p w:rsidR="00BD36D2" w:rsidRPr="00BD36D2" w:rsidRDefault="00BD36D2" w:rsidP="00BD36D2">
            <w:pPr>
              <w:spacing w:after="0" w:line="360" w:lineRule="auto"/>
              <w:jc w:val="center"/>
              <w:rPr>
                <w:rFonts w:ascii="Garamond" w:eastAsia="Times New Roman" w:hAnsi="Garamond" w:cs="Times New Roman"/>
                <w:color w:val="000000"/>
                <w:sz w:val="20"/>
                <w:szCs w:val="20"/>
                <w:lang w:eastAsia="it-IT"/>
              </w:rPr>
            </w:pPr>
            <w:r w:rsidRPr="00BD36D2">
              <w:rPr>
                <w:rFonts w:ascii="Garamond" w:eastAsia="Times New Roman" w:hAnsi="Garamond" w:cs="Times New Roman"/>
                <w:color w:val="000000"/>
                <w:sz w:val="20"/>
                <w:szCs w:val="20"/>
                <w:lang w:eastAsia="it-IT"/>
              </w:rPr>
              <w:t>1.102.414</w:t>
            </w:r>
          </w:p>
        </w:tc>
      </w:tr>
      <w:tr w:rsidR="00BD36D2" w:rsidRPr="00BD36D2" w:rsidTr="00BD36D2">
        <w:trPr>
          <w:trHeight w:val="295"/>
          <w:jc w:val="center"/>
        </w:trPr>
        <w:tc>
          <w:tcPr>
            <w:tcW w:w="2383"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after="0" w:line="360" w:lineRule="auto"/>
              <w:rPr>
                <w:rFonts w:ascii="Garamond" w:eastAsia="Times New Roman" w:hAnsi="Garamond" w:cs="Times New Roman"/>
                <w:b/>
                <w:bCs/>
                <w:sz w:val="20"/>
                <w:szCs w:val="20"/>
                <w:lang w:eastAsia="it-IT"/>
              </w:rPr>
            </w:pPr>
          </w:p>
        </w:tc>
        <w:tc>
          <w:tcPr>
            <w:tcW w:w="2031"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hideMark/>
          </w:tcPr>
          <w:p w:rsidR="00BD36D2" w:rsidRPr="00BD36D2" w:rsidRDefault="00BD36D2" w:rsidP="00BD36D2">
            <w:pPr>
              <w:spacing w:after="0" w:line="360" w:lineRule="auto"/>
              <w:rPr>
                <w:rFonts w:ascii="Garamond" w:eastAsia="Times New Roman" w:hAnsi="Garamond" w:cs="Times New Roman"/>
                <w:color w:val="000000"/>
                <w:sz w:val="20"/>
                <w:szCs w:val="20"/>
                <w:lang w:eastAsia="it-IT"/>
              </w:rPr>
            </w:pPr>
            <w:r w:rsidRPr="00BD36D2">
              <w:rPr>
                <w:rFonts w:ascii="Garamond" w:eastAsia="Times New Roman" w:hAnsi="Garamond" w:cs="Times New Roman"/>
                <w:color w:val="000000"/>
                <w:sz w:val="20"/>
                <w:szCs w:val="20"/>
                <w:lang w:eastAsia="it-IT"/>
              </w:rPr>
              <w:t>Lavori</w:t>
            </w:r>
          </w:p>
        </w:tc>
        <w:tc>
          <w:tcPr>
            <w:tcW w:w="992"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vAlign w:val="center"/>
            <w:hideMark/>
          </w:tcPr>
          <w:p w:rsidR="00BD36D2" w:rsidRPr="00BD36D2" w:rsidRDefault="00BD36D2" w:rsidP="00BD36D2">
            <w:pPr>
              <w:spacing w:after="0" w:line="360" w:lineRule="auto"/>
              <w:jc w:val="center"/>
              <w:rPr>
                <w:rFonts w:ascii="Garamond" w:eastAsia="Times New Roman" w:hAnsi="Garamond" w:cs="Times New Roman"/>
                <w:color w:val="000000"/>
                <w:sz w:val="20"/>
                <w:szCs w:val="20"/>
                <w:lang w:eastAsia="it-IT"/>
              </w:rPr>
            </w:pPr>
            <w:r w:rsidRPr="00BD36D2">
              <w:rPr>
                <w:rFonts w:ascii="Garamond" w:eastAsia="Times New Roman" w:hAnsi="Garamond" w:cs="Times New Roman"/>
                <w:color w:val="000000"/>
                <w:sz w:val="20"/>
                <w:szCs w:val="20"/>
                <w:lang w:eastAsia="it-IT"/>
              </w:rPr>
              <w:t>28.845</w:t>
            </w:r>
          </w:p>
        </w:tc>
        <w:tc>
          <w:tcPr>
            <w:tcW w:w="992"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vAlign w:val="center"/>
            <w:hideMark/>
          </w:tcPr>
          <w:p w:rsidR="00BD36D2" w:rsidRPr="00BD36D2" w:rsidRDefault="00BD36D2" w:rsidP="00BD36D2">
            <w:pPr>
              <w:spacing w:after="0" w:line="360" w:lineRule="auto"/>
              <w:jc w:val="center"/>
              <w:rPr>
                <w:rFonts w:ascii="Garamond" w:eastAsia="Times New Roman" w:hAnsi="Garamond" w:cs="Times New Roman"/>
                <w:color w:val="000000"/>
                <w:sz w:val="20"/>
                <w:szCs w:val="20"/>
                <w:lang w:eastAsia="it-IT"/>
              </w:rPr>
            </w:pPr>
            <w:r w:rsidRPr="00BD36D2">
              <w:rPr>
                <w:rFonts w:ascii="Garamond" w:eastAsia="Times New Roman" w:hAnsi="Garamond" w:cs="Times New Roman"/>
                <w:color w:val="000000"/>
                <w:sz w:val="20"/>
                <w:szCs w:val="20"/>
                <w:lang w:eastAsia="it-IT"/>
              </w:rPr>
              <w:t>21,0%</w:t>
            </w:r>
          </w:p>
        </w:tc>
        <w:tc>
          <w:tcPr>
            <w:tcW w:w="2098"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vAlign w:val="center"/>
            <w:hideMark/>
          </w:tcPr>
          <w:p w:rsidR="00BD36D2" w:rsidRPr="00BD36D2" w:rsidRDefault="00BD36D2" w:rsidP="00BD36D2">
            <w:pPr>
              <w:spacing w:after="0" w:line="360" w:lineRule="auto"/>
              <w:jc w:val="center"/>
              <w:rPr>
                <w:rFonts w:ascii="Garamond" w:eastAsia="Times New Roman" w:hAnsi="Garamond" w:cs="Times New Roman"/>
                <w:color w:val="000000"/>
                <w:sz w:val="20"/>
                <w:szCs w:val="20"/>
                <w:lang w:eastAsia="it-IT"/>
              </w:rPr>
            </w:pPr>
            <w:r w:rsidRPr="00BD36D2">
              <w:rPr>
                <w:rFonts w:ascii="Garamond" w:eastAsia="Times New Roman" w:hAnsi="Garamond" w:cs="Times New Roman"/>
                <w:color w:val="000000"/>
                <w:sz w:val="20"/>
                <w:szCs w:val="20"/>
                <w:lang w:eastAsia="it-IT"/>
              </w:rPr>
              <w:t>13.702.224.765</w:t>
            </w:r>
          </w:p>
        </w:tc>
        <w:tc>
          <w:tcPr>
            <w:tcW w:w="1163"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vAlign w:val="center"/>
            <w:hideMark/>
          </w:tcPr>
          <w:p w:rsidR="00BD36D2" w:rsidRPr="00BD36D2" w:rsidRDefault="00BD36D2" w:rsidP="00BD36D2">
            <w:pPr>
              <w:spacing w:after="0" w:line="360" w:lineRule="auto"/>
              <w:jc w:val="center"/>
              <w:rPr>
                <w:rFonts w:ascii="Garamond" w:eastAsia="Times New Roman" w:hAnsi="Garamond" w:cs="Times New Roman"/>
                <w:color w:val="000000"/>
                <w:sz w:val="20"/>
                <w:szCs w:val="20"/>
                <w:lang w:eastAsia="it-IT"/>
              </w:rPr>
            </w:pPr>
            <w:r w:rsidRPr="00BD36D2">
              <w:rPr>
                <w:rFonts w:ascii="Garamond" w:eastAsia="Times New Roman" w:hAnsi="Garamond" w:cs="Times New Roman"/>
                <w:color w:val="000000"/>
                <w:sz w:val="20"/>
                <w:szCs w:val="20"/>
                <w:lang w:eastAsia="it-IT"/>
              </w:rPr>
              <w:t>9,9%</w:t>
            </w:r>
          </w:p>
        </w:tc>
        <w:tc>
          <w:tcPr>
            <w:tcW w:w="1672"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vAlign w:val="center"/>
            <w:hideMark/>
          </w:tcPr>
          <w:p w:rsidR="00BD36D2" w:rsidRPr="00BD36D2" w:rsidRDefault="00BD36D2" w:rsidP="00BD36D2">
            <w:pPr>
              <w:spacing w:after="0" w:line="360" w:lineRule="auto"/>
              <w:jc w:val="center"/>
              <w:rPr>
                <w:rFonts w:ascii="Garamond" w:eastAsia="Times New Roman" w:hAnsi="Garamond" w:cs="Times New Roman"/>
                <w:color w:val="000000"/>
                <w:sz w:val="20"/>
                <w:szCs w:val="20"/>
                <w:lang w:eastAsia="it-IT"/>
              </w:rPr>
            </w:pPr>
            <w:r w:rsidRPr="00BD36D2">
              <w:rPr>
                <w:rFonts w:ascii="Garamond" w:eastAsia="Times New Roman" w:hAnsi="Garamond" w:cs="Times New Roman"/>
                <w:color w:val="000000"/>
                <w:sz w:val="20"/>
                <w:szCs w:val="20"/>
                <w:lang w:eastAsia="it-IT"/>
              </w:rPr>
              <w:t>475.029</w:t>
            </w:r>
          </w:p>
        </w:tc>
      </w:tr>
      <w:tr w:rsidR="00BD36D2" w:rsidRPr="00BD36D2" w:rsidTr="00BD36D2">
        <w:trPr>
          <w:trHeight w:val="278"/>
          <w:jc w:val="center"/>
        </w:trPr>
        <w:tc>
          <w:tcPr>
            <w:tcW w:w="2383"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after="0" w:line="360" w:lineRule="auto"/>
              <w:rPr>
                <w:rFonts w:ascii="Garamond" w:eastAsia="Times New Roman" w:hAnsi="Garamond" w:cs="Times New Roman"/>
                <w:b/>
                <w:bCs/>
                <w:sz w:val="20"/>
                <w:szCs w:val="20"/>
                <w:lang w:eastAsia="it-IT"/>
              </w:rPr>
            </w:pPr>
          </w:p>
        </w:tc>
        <w:tc>
          <w:tcPr>
            <w:tcW w:w="2031"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hideMark/>
          </w:tcPr>
          <w:p w:rsidR="00BD36D2" w:rsidRPr="00BD36D2" w:rsidRDefault="00BD36D2" w:rsidP="00BD36D2">
            <w:pPr>
              <w:spacing w:after="0" w:line="360" w:lineRule="auto"/>
              <w:rPr>
                <w:rFonts w:ascii="Garamond" w:eastAsia="Times New Roman" w:hAnsi="Garamond" w:cs="Times New Roman"/>
                <w:color w:val="000000"/>
                <w:sz w:val="20"/>
                <w:szCs w:val="20"/>
                <w:lang w:eastAsia="it-IT"/>
              </w:rPr>
            </w:pPr>
            <w:r w:rsidRPr="00BD36D2">
              <w:rPr>
                <w:rFonts w:ascii="Garamond" w:eastAsia="Times New Roman" w:hAnsi="Garamond" w:cs="Times New Roman"/>
                <w:color w:val="000000"/>
                <w:sz w:val="20"/>
                <w:szCs w:val="20"/>
                <w:lang w:eastAsia="it-IT"/>
              </w:rPr>
              <w:t>Servizi</w:t>
            </w:r>
          </w:p>
        </w:tc>
        <w:tc>
          <w:tcPr>
            <w:tcW w:w="992"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vAlign w:val="center"/>
            <w:hideMark/>
          </w:tcPr>
          <w:p w:rsidR="00BD36D2" w:rsidRPr="00BD36D2" w:rsidRDefault="00BD36D2" w:rsidP="00BD36D2">
            <w:pPr>
              <w:spacing w:after="0" w:line="360" w:lineRule="auto"/>
              <w:jc w:val="center"/>
              <w:rPr>
                <w:rFonts w:ascii="Garamond" w:eastAsia="Times New Roman" w:hAnsi="Garamond" w:cs="Times New Roman"/>
                <w:color w:val="000000"/>
                <w:sz w:val="20"/>
                <w:szCs w:val="20"/>
                <w:lang w:eastAsia="it-IT"/>
              </w:rPr>
            </w:pPr>
            <w:r w:rsidRPr="00BD36D2">
              <w:rPr>
                <w:rFonts w:ascii="Garamond" w:eastAsia="Times New Roman" w:hAnsi="Garamond" w:cs="Times New Roman"/>
                <w:color w:val="000000"/>
                <w:sz w:val="20"/>
                <w:szCs w:val="20"/>
                <w:lang w:eastAsia="it-IT"/>
              </w:rPr>
              <w:t>46.005</w:t>
            </w:r>
          </w:p>
        </w:tc>
        <w:tc>
          <w:tcPr>
            <w:tcW w:w="992"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vAlign w:val="center"/>
            <w:hideMark/>
          </w:tcPr>
          <w:p w:rsidR="00BD36D2" w:rsidRPr="00BD36D2" w:rsidRDefault="00BD36D2" w:rsidP="00BD36D2">
            <w:pPr>
              <w:spacing w:after="0" w:line="360" w:lineRule="auto"/>
              <w:jc w:val="center"/>
              <w:rPr>
                <w:rFonts w:ascii="Garamond" w:eastAsia="Times New Roman" w:hAnsi="Garamond" w:cs="Times New Roman"/>
                <w:color w:val="000000"/>
                <w:sz w:val="20"/>
                <w:szCs w:val="20"/>
                <w:lang w:eastAsia="it-IT"/>
              </w:rPr>
            </w:pPr>
            <w:r w:rsidRPr="00BD36D2">
              <w:rPr>
                <w:rFonts w:ascii="Garamond" w:eastAsia="Times New Roman" w:hAnsi="Garamond" w:cs="Times New Roman"/>
                <w:color w:val="000000"/>
                <w:sz w:val="20"/>
                <w:szCs w:val="20"/>
                <w:lang w:eastAsia="it-IT"/>
              </w:rPr>
              <w:t>33,5%</w:t>
            </w:r>
          </w:p>
        </w:tc>
        <w:tc>
          <w:tcPr>
            <w:tcW w:w="2098"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vAlign w:val="center"/>
            <w:hideMark/>
          </w:tcPr>
          <w:p w:rsidR="00BD36D2" w:rsidRPr="00BD36D2" w:rsidRDefault="00BD36D2" w:rsidP="00BD36D2">
            <w:pPr>
              <w:spacing w:after="0" w:line="360" w:lineRule="auto"/>
              <w:jc w:val="center"/>
              <w:rPr>
                <w:rFonts w:ascii="Garamond" w:eastAsia="Times New Roman" w:hAnsi="Garamond" w:cs="Times New Roman"/>
                <w:color w:val="000000"/>
                <w:sz w:val="20"/>
                <w:szCs w:val="20"/>
                <w:lang w:eastAsia="it-IT"/>
              </w:rPr>
            </w:pPr>
            <w:r w:rsidRPr="00BD36D2">
              <w:rPr>
                <w:rFonts w:ascii="Garamond" w:eastAsia="Times New Roman" w:hAnsi="Garamond" w:cs="Times New Roman"/>
                <w:color w:val="000000"/>
                <w:sz w:val="20"/>
                <w:szCs w:val="20"/>
                <w:lang w:eastAsia="it-IT"/>
              </w:rPr>
              <w:t>46.436.891.880</w:t>
            </w:r>
          </w:p>
        </w:tc>
        <w:tc>
          <w:tcPr>
            <w:tcW w:w="1163"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vAlign w:val="center"/>
            <w:hideMark/>
          </w:tcPr>
          <w:p w:rsidR="00BD36D2" w:rsidRPr="00BD36D2" w:rsidRDefault="00BD36D2" w:rsidP="00BD36D2">
            <w:pPr>
              <w:spacing w:after="0" w:line="360" w:lineRule="auto"/>
              <w:jc w:val="center"/>
              <w:rPr>
                <w:rFonts w:ascii="Garamond" w:eastAsia="Times New Roman" w:hAnsi="Garamond" w:cs="Times New Roman"/>
                <w:color w:val="000000"/>
                <w:sz w:val="20"/>
                <w:szCs w:val="20"/>
                <w:lang w:eastAsia="it-IT"/>
              </w:rPr>
            </w:pPr>
            <w:r w:rsidRPr="00BD36D2">
              <w:rPr>
                <w:rFonts w:ascii="Garamond" w:eastAsia="Times New Roman" w:hAnsi="Garamond" w:cs="Times New Roman"/>
                <w:color w:val="000000"/>
                <w:sz w:val="20"/>
                <w:szCs w:val="20"/>
                <w:lang w:eastAsia="it-IT"/>
              </w:rPr>
              <w:t>33,4%</w:t>
            </w:r>
          </w:p>
        </w:tc>
        <w:tc>
          <w:tcPr>
            <w:tcW w:w="1672"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vAlign w:val="center"/>
            <w:hideMark/>
          </w:tcPr>
          <w:p w:rsidR="00BD36D2" w:rsidRPr="00BD36D2" w:rsidRDefault="00BD36D2" w:rsidP="00BD36D2">
            <w:pPr>
              <w:spacing w:after="0" w:line="360" w:lineRule="auto"/>
              <w:jc w:val="center"/>
              <w:rPr>
                <w:rFonts w:ascii="Garamond" w:eastAsia="Times New Roman" w:hAnsi="Garamond" w:cs="Times New Roman"/>
                <w:color w:val="000000"/>
                <w:sz w:val="20"/>
                <w:szCs w:val="20"/>
                <w:lang w:eastAsia="it-IT"/>
              </w:rPr>
            </w:pPr>
            <w:r w:rsidRPr="00BD36D2">
              <w:rPr>
                <w:rFonts w:ascii="Garamond" w:eastAsia="Times New Roman" w:hAnsi="Garamond" w:cs="Times New Roman"/>
                <w:color w:val="000000"/>
                <w:sz w:val="20"/>
                <w:szCs w:val="20"/>
                <w:lang w:eastAsia="it-IT"/>
              </w:rPr>
              <w:t>1.009.388</w:t>
            </w:r>
          </w:p>
        </w:tc>
      </w:tr>
      <w:tr w:rsidR="00BD36D2" w:rsidRPr="00BD36D2" w:rsidTr="00BD36D2">
        <w:trPr>
          <w:trHeight w:val="434"/>
          <w:jc w:val="center"/>
        </w:trPr>
        <w:tc>
          <w:tcPr>
            <w:tcW w:w="2383"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after="0" w:line="360" w:lineRule="auto"/>
              <w:rPr>
                <w:rFonts w:ascii="Garamond" w:eastAsia="Times New Roman" w:hAnsi="Garamond" w:cs="Times New Roman"/>
                <w:b/>
                <w:bCs/>
                <w:sz w:val="20"/>
                <w:szCs w:val="20"/>
                <w:lang w:eastAsia="it-IT"/>
              </w:rPr>
            </w:pPr>
          </w:p>
        </w:tc>
        <w:tc>
          <w:tcPr>
            <w:tcW w:w="2031"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vAlign w:val="center"/>
            <w:hideMark/>
          </w:tcPr>
          <w:p w:rsidR="00BD36D2" w:rsidRPr="00BD36D2" w:rsidRDefault="00BD36D2" w:rsidP="00BD36D2">
            <w:pPr>
              <w:spacing w:after="0" w:line="360" w:lineRule="auto"/>
              <w:rPr>
                <w:rFonts w:ascii="Garamond" w:eastAsia="Times New Roman" w:hAnsi="Garamond" w:cs="Times New Roman"/>
                <w:color w:val="000000"/>
                <w:sz w:val="20"/>
                <w:szCs w:val="20"/>
                <w:lang w:eastAsia="it-IT"/>
              </w:rPr>
            </w:pPr>
            <w:r w:rsidRPr="00BD36D2">
              <w:rPr>
                <w:rFonts w:ascii="Garamond" w:eastAsia="Times New Roman" w:hAnsi="Garamond" w:cs="Times New Roman"/>
                <w:b/>
                <w:i/>
                <w:color w:val="000000"/>
                <w:sz w:val="20"/>
                <w:szCs w:val="20"/>
                <w:lang w:eastAsia="it-IT"/>
              </w:rPr>
              <w:t>Totale settore ordinario</w:t>
            </w:r>
          </w:p>
        </w:tc>
        <w:tc>
          <w:tcPr>
            <w:tcW w:w="992"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vAlign w:val="center"/>
            <w:hideMark/>
          </w:tcPr>
          <w:p w:rsidR="00BD36D2" w:rsidRPr="00BD36D2" w:rsidRDefault="00BD36D2" w:rsidP="00BD36D2">
            <w:pPr>
              <w:spacing w:after="0" w:line="360" w:lineRule="auto"/>
              <w:jc w:val="center"/>
              <w:rPr>
                <w:rFonts w:ascii="Garamond" w:eastAsia="Times New Roman" w:hAnsi="Garamond" w:cs="Times New Roman"/>
                <w:b/>
                <w:i/>
                <w:color w:val="000000"/>
                <w:sz w:val="20"/>
                <w:szCs w:val="20"/>
                <w:lang w:eastAsia="it-IT"/>
              </w:rPr>
            </w:pPr>
            <w:r w:rsidRPr="00BD36D2">
              <w:rPr>
                <w:rFonts w:ascii="Garamond" w:eastAsia="Times New Roman" w:hAnsi="Garamond" w:cs="Times New Roman"/>
                <w:b/>
                <w:i/>
                <w:color w:val="000000"/>
                <w:sz w:val="20"/>
                <w:szCs w:val="20"/>
                <w:lang w:eastAsia="it-IT"/>
              </w:rPr>
              <w:t>114.857</w:t>
            </w:r>
          </w:p>
        </w:tc>
        <w:tc>
          <w:tcPr>
            <w:tcW w:w="992"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vAlign w:val="center"/>
            <w:hideMark/>
          </w:tcPr>
          <w:p w:rsidR="00BD36D2" w:rsidRPr="00BD36D2" w:rsidRDefault="00BD36D2" w:rsidP="00BD36D2">
            <w:pPr>
              <w:spacing w:after="0" w:line="360" w:lineRule="auto"/>
              <w:jc w:val="center"/>
              <w:rPr>
                <w:rFonts w:ascii="Garamond" w:eastAsia="Times New Roman" w:hAnsi="Garamond" w:cs="Times New Roman"/>
                <w:b/>
                <w:i/>
                <w:color w:val="000000"/>
                <w:sz w:val="20"/>
                <w:szCs w:val="20"/>
                <w:lang w:eastAsia="it-IT"/>
              </w:rPr>
            </w:pPr>
            <w:r w:rsidRPr="00BD36D2">
              <w:rPr>
                <w:rFonts w:ascii="Garamond" w:eastAsia="Times New Roman" w:hAnsi="Garamond" w:cs="Times New Roman"/>
                <w:b/>
                <w:i/>
                <w:color w:val="000000"/>
                <w:sz w:val="20"/>
                <w:szCs w:val="20"/>
                <w:lang w:eastAsia="it-IT"/>
              </w:rPr>
              <w:t>83,7%</w:t>
            </w:r>
          </w:p>
        </w:tc>
        <w:tc>
          <w:tcPr>
            <w:tcW w:w="2098"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vAlign w:val="center"/>
            <w:hideMark/>
          </w:tcPr>
          <w:p w:rsidR="00BD36D2" w:rsidRPr="00BD36D2" w:rsidRDefault="00BD36D2" w:rsidP="00BD36D2">
            <w:pPr>
              <w:spacing w:after="0" w:line="360" w:lineRule="auto"/>
              <w:jc w:val="center"/>
              <w:rPr>
                <w:rFonts w:ascii="Garamond" w:eastAsia="Times New Roman" w:hAnsi="Garamond" w:cs="Times New Roman"/>
                <w:b/>
                <w:i/>
                <w:color w:val="000000"/>
                <w:sz w:val="20"/>
                <w:szCs w:val="20"/>
                <w:lang w:eastAsia="it-IT"/>
              </w:rPr>
            </w:pPr>
            <w:r w:rsidRPr="00BD36D2">
              <w:rPr>
                <w:rFonts w:ascii="Garamond" w:eastAsia="Times New Roman" w:hAnsi="Garamond" w:cs="Times New Roman"/>
                <w:b/>
                <w:i/>
                <w:color w:val="000000"/>
                <w:sz w:val="20"/>
                <w:szCs w:val="20"/>
                <w:lang w:eastAsia="it-IT"/>
              </w:rPr>
              <w:t>104.243.409.486</w:t>
            </w:r>
          </w:p>
        </w:tc>
        <w:tc>
          <w:tcPr>
            <w:tcW w:w="1163"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vAlign w:val="center"/>
            <w:hideMark/>
          </w:tcPr>
          <w:p w:rsidR="00BD36D2" w:rsidRPr="00BD36D2" w:rsidRDefault="00BD36D2" w:rsidP="00BD36D2">
            <w:pPr>
              <w:spacing w:after="0" w:line="360" w:lineRule="auto"/>
              <w:jc w:val="center"/>
              <w:rPr>
                <w:rFonts w:ascii="Garamond" w:eastAsia="Times New Roman" w:hAnsi="Garamond" w:cs="Times New Roman"/>
                <w:b/>
                <w:i/>
                <w:color w:val="000000"/>
                <w:sz w:val="20"/>
                <w:szCs w:val="20"/>
                <w:lang w:eastAsia="it-IT"/>
              </w:rPr>
            </w:pPr>
            <w:r w:rsidRPr="00BD36D2">
              <w:rPr>
                <w:rFonts w:ascii="Garamond" w:eastAsia="Times New Roman" w:hAnsi="Garamond" w:cs="Times New Roman"/>
                <w:b/>
                <w:i/>
                <w:color w:val="000000"/>
                <w:sz w:val="20"/>
                <w:szCs w:val="20"/>
                <w:lang w:eastAsia="it-IT"/>
              </w:rPr>
              <w:t>75,0%</w:t>
            </w:r>
          </w:p>
        </w:tc>
        <w:tc>
          <w:tcPr>
            <w:tcW w:w="1672"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vAlign w:val="center"/>
            <w:hideMark/>
          </w:tcPr>
          <w:p w:rsidR="00BD36D2" w:rsidRPr="00BD36D2" w:rsidRDefault="00BD36D2" w:rsidP="00BD36D2">
            <w:pPr>
              <w:spacing w:after="0" w:line="360" w:lineRule="auto"/>
              <w:jc w:val="center"/>
              <w:rPr>
                <w:rFonts w:ascii="Garamond" w:eastAsia="Times New Roman" w:hAnsi="Garamond" w:cs="Times New Roman"/>
                <w:b/>
                <w:i/>
                <w:color w:val="000000"/>
                <w:sz w:val="20"/>
                <w:szCs w:val="20"/>
                <w:lang w:eastAsia="it-IT"/>
              </w:rPr>
            </w:pPr>
            <w:r w:rsidRPr="00BD36D2">
              <w:rPr>
                <w:rFonts w:ascii="Garamond" w:eastAsia="Times New Roman" w:hAnsi="Garamond" w:cs="Times New Roman"/>
                <w:b/>
                <w:i/>
                <w:color w:val="000000"/>
                <w:sz w:val="20"/>
                <w:szCs w:val="20"/>
                <w:lang w:eastAsia="it-IT"/>
              </w:rPr>
              <w:t>907.593</w:t>
            </w:r>
          </w:p>
        </w:tc>
      </w:tr>
      <w:tr w:rsidR="00BD36D2" w:rsidRPr="00BD36D2" w:rsidTr="00BD36D2">
        <w:trPr>
          <w:trHeight w:val="359"/>
          <w:jc w:val="center"/>
        </w:trPr>
        <w:tc>
          <w:tcPr>
            <w:tcW w:w="352" w:type="dxa"/>
            <w:vMerge w:val="restart"/>
            <w:tcBorders>
              <w:top w:val="single" w:sz="8" w:space="0" w:color="7BA0CD"/>
              <w:left w:val="single" w:sz="8" w:space="0" w:color="7BA0CD"/>
              <w:bottom w:val="single" w:sz="8" w:space="0" w:color="7BA0CD"/>
              <w:right w:val="single" w:sz="8" w:space="0" w:color="7BA0CD"/>
            </w:tcBorders>
            <w:shd w:val="clear" w:color="auto" w:fill="D3DFEE"/>
            <w:textDirection w:val="btLr"/>
            <w:vAlign w:val="center"/>
            <w:hideMark/>
          </w:tcPr>
          <w:p w:rsidR="00BD36D2" w:rsidRPr="00BD36D2" w:rsidRDefault="00BD36D2" w:rsidP="00BD36D2">
            <w:pPr>
              <w:spacing w:after="0" w:line="360" w:lineRule="auto"/>
              <w:ind w:left="113" w:right="113"/>
              <w:jc w:val="center"/>
              <w:rPr>
                <w:rFonts w:ascii="Garamond" w:eastAsia="Times New Roman" w:hAnsi="Garamond" w:cs="Times New Roman"/>
                <w:b/>
                <w:bCs/>
                <w:sz w:val="20"/>
                <w:szCs w:val="20"/>
                <w:lang w:eastAsia="it-IT"/>
              </w:rPr>
            </w:pPr>
            <w:r w:rsidRPr="00BD36D2">
              <w:rPr>
                <w:rFonts w:ascii="Garamond" w:eastAsia="Times New Roman" w:hAnsi="Garamond" w:cs="Times New Roman"/>
                <w:b/>
                <w:bCs/>
                <w:sz w:val="20"/>
                <w:szCs w:val="20"/>
                <w:lang w:eastAsia="it-IT"/>
              </w:rPr>
              <w:t>Speciale</w:t>
            </w:r>
          </w:p>
        </w:tc>
        <w:tc>
          <w:tcPr>
            <w:tcW w:w="2031"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vAlign w:val="center"/>
            <w:hideMark/>
          </w:tcPr>
          <w:p w:rsidR="00BD36D2" w:rsidRPr="00BD36D2" w:rsidRDefault="00BD36D2" w:rsidP="00BD36D2">
            <w:pPr>
              <w:spacing w:after="0" w:line="360" w:lineRule="auto"/>
              <w:rPr>
                <w:rFonts w:ascii="Garamond" w:eastAsia="Times New Roman" w:hAnsi="Garamond" w:cs="Times New Roman"/>
                <w:color w:val="000000"/>
                <w:sz w:val="20"/>
                <w:szCs w:val="20"/>
                <w:lang w:eastAsia="it-IT"/>
              </w:rPr>
            </w:pPr>
            <w:r w:rsidRPr="00BD36D2">
              <w:rPr>
                <w:rFonts w:ascii="Garamond" w:eastAsia="Times New Roman" w:hAnsi="Garamond" w:cs="Times New Roman"/>
                <w:color w:val="000000"/>
                <w:sz w:val="20"/>
                <w:szCs w:val="20"/>
                <w:lang w:eastAsia="it-IT"/>
              </w:rPr>
              <w:t>Forniture</w:t>
            </w:r>
          </w:p>
        </w:tc>
        <w:tc>
          <w:tcPr>
            <w:tcW w:w="992"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vAlign w:val="center"/>
            <w:hideMark/>
          </w:tcPr>
          <w:p w:rsidR="00BD36D2" w:rsidRPr="00BD36D2" w:rsidRDefault="00BD36D2" w:rsidP="00BD36D2">
            <w:pPr>
              <w:spacing w:after="0" w:line="360" w:lineRule="auto"/>
              <w:jc w:val="center"/>
              <w:rPr>
                <w:rFonts w:ascii="Garamond" w:eastAsia="Times New Roman" w:hAnsi="Garamond" w:cs="Times New Roman"/>
                <w:color w:val="000000"/>
                <w:sz w:val="20"/>
                <w:szCs w:val="20"/>
                <w:lang w:eastAsia="it-IT"/>
              </w:rPr>
            </w:pPr>
            <w:r w:rsidRPr="00BD36D2">
              <w:rPr>
                <w:rFonts w:ascii="Garamond" w:eastAsia="Times New Roman" w:hAnsi="Garamond" w:cs="Times New Roman"/>
                <w:color w:val="000000"/>
                <w:sz w:val="20"/>
                <w:szCs w:val="20"/>
                <w:lang w:eastAsia="it-IT"/>
              </w:rPr>
              <w:t>7.703</w:t>
            </w:r>
          </w:p>
        </w:tc>
        <w:tc>
          <w:tcPr>
            <w:tcW w:w="992"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vAlign w:val="center"/>
            <w:hideMark/>
          </w:tcPr>
          <w:p w:rsidR="00BD36D2" w:rsidRPr="00BD36D2" w:rsidRDefault="00BD36D2" w:rsidP="00BD36D2">
            <w:pPr>
              <w:spacing w:after="0" w:line="360" w:lineRule="auto"/>
              <w:jc w:val="center"/>
              <w:rPr>
                <w:rFonts w:ascii="Garamond" w:eastAsia="Times New Roman" w:hAnsi="Garamond" w:cs="Times New Roman"/>
                <w:color w:val="000000"/>
                <w:sz w:val="20"/>
                <w:szCs w:val="20"/>
                <w:lang w:eastAsia="it-IT"/>
              </w:rPr>
            </w:pPr>
            <w:r w:rsidRPr="00BD36D2">
              <w:rPr>
                <w:rFonts w:ascii="Garamond" w:eastAsia="Times New Roman" w:hAnsi="Garamond" w:cs="Times New Roman"/>
                <w:color w:val="000000"/>
                <w:sz w:val="20"/>
                <w:szCs w:val="20"/>
                <w:lang w:eastAsia="it-IT"/>
              </w:rPr>
              <w:t>5,6%</w:t>
            </w:r>
          </w:p>
        </w:tc>
        <w:tc>
          <w:tcPr>
            <w:tcW w:w="2098"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vAlign w:val="center"/>
            <w:hideMark/>
          </w:tcPr>
          <w:p w:rsidR="00BD36D2" w:rsidRPr="00BD36D2" w:rsidRDefault="00BD36D2" w:rsidP="00BD36D2">
            <w:pPr>
              <w:spacing w:after="0" w:line="360" w:lineRule="auto"/>
              <w:jc w:val="center"/>
              <w:rPr>
                <w:rFonts w:ascii="Garamond" w:eastAsia="Times New Roman" w:hAnsi="Garamond" w:cs="Times New Roman"/>
                <w:color w:val="000000"/>
                <w:sz w:val="20"/>
                <w:szCs w:val="20"/>
                <w:lang w:eastAsia="it-IT"/>
              </w:rPr>
            </w:pPr>
            <w:r w:rsidRPr="00BD36D2">
              <w:rPr>
                <w:rFonts w:ascii="Garamond" w:eastAsia="Times New Roman" w:hAnsi="Garamond" w:cs="Times New Roman"/>
                <w:color w:val="000000"/>
                <w:sz w:val="20"/>
                <w:szCs w:val="20"/>
                <w:lang w:eastAsia="it-IT"/>
              </w:rPr>
              <w:t>12.368.537.476</w:t>
            </w:r>
          </w:p>
        </w:tc>
        <w:tc>
          <w:tcPr>
            <w:tcW w:w="1163"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vAlign w:val="center"/>
            <w:hideMark/>
          </w:tcPr>
          <w:p w:rsidR="00BD36D2" w:rsidRPr="00BD36D2" w:rsidRDefault="00BD36D2" w:rsidP="00BD36D2">
            <w:pPr>
              <w:spacing w:after="0" w:line="360" w:lineRule="auto"/>
              <w:jc w:val="center"/>
              <w:rPr>
                <w:rFonts w:ascii="Garamond" w:eastAsia="Times New Roman" w:hAnsi="Garamond" w:cs="Times New Roman"/>
                <w:color w:val="000000"/>
                <w:sz w:val="20"/>
                <w:szCs w:val="20"/>
                <w:lang w:eastAsia="it-IT"/>
              </w:rPr>
            </w:pPr>
            <w:r w:rsidRPr="00BD36D2">
              <w:rPr>
                <w:rFonts w:ascii="Garamond" w:eastAsia="Times New Roman" w:hAnsi="Garamond" w:cs="Times New Roman"/>
                <w:color w:val="000000"/>
                <w:sz w:val="20"/>
                <w:szCs w:val="20"/>
                <w:lang w:eastAsia="it-IT"/>
              </w:rPr>
              <w:t>8,9%</w:t>
            </w:r>
          </w:p>
        </w:tc>
        <w:tc>
          <w:tcPr>
            <w:tcW w:w="1672"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vAlign w:val="center"/>
            <w:hideMark/>
          </w:tcPr>
          <w:p w:rsidR="00BD36D2" w:rsidRPr="00BD36D2" w:rsidRDefault="00BD36D2" w:rsidP="00BD36D2">
            <w:pPr>
              <w:spacing w:after="0" w:line="360" w:lineRule="auto"/>
              <w:jc w:val="center"/>
              <w:rPr>
                <w:rFonts w:ascii="Garamond" w:eastAsia="Times New Roman" w:hAnsi="Garamond" w:cs="Times New Roman"/>
                <w:color w:val="000000"/>
                <w:sz w:val="20"/>
                <w:szCs w:val="20"/>
                <w:lang w:eastAsia="it-IT"/>
              </w:rPr>
            </w:pPr>
            <w:r w:rsidRPr="00BD36D2">
              <w:rPr>
                <w:rFonts w:ascii="Garamond" w:eastAsia="Times New Roman" w:hAnsi="Garamond" w:cs="Times New Roman"/>
                <w:color w:val="000000"/>
                <w:sz w:val="20"/>
                <w:szCs w:val="20"/>
                <w:lang w:eastAsia="it-IT"/>
              </w:rPr>
              <w:t>1.605.678</w:t>
            </w:r>
          </w:p>
        </w:tc>
      </w:tr>
      <w:tr w:rsidR="00BD36D2" w:rsidRPr="00BD36D2" w:rsidTr="00BD36D2">
        <w:trPr>
          <w:trHeight w:val="359"/>
          <w:jc w:val="center"/>
        </w:trPr>
        <w:tc>
          <w:tcPr>
            <w:tcW w:w="2383"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after="0" w:line="360" w:lineRule="auto"/>
              <w:rPr>
                <w:rFonts w:ascii="Garamond" w:eastAsia="Times New Roman" w:hAnsi="Garamond" w:cs="Times New Roman"/>
                <w:b/>
                <w:bCs/>
                <w:sz w:val="20"/>
                <w:szCs w:val="20"/>
                <w:lang w:eastAsia="it-IT"/>
              </w:rPr>
            </w:pPr>
          </w:p>
        </w:tc>
        <w:tc>
          <w:tcPr>
            <w:tcW w:w="2031"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vAlign w:val="center"/>
            <w:hideMark/>
          </w:tcPr>
          <w:p w:rsidR="00BD36D2" w:rsidRPr="00BD36D2" w:rsidRDefault="00BD36D2" w:rsidP="00BD36D2">
            <w:pPr>
              <w:spacing w:after="0" w:line="360" w:lineRule="auto"/>
              <w:rPr>
                <w:rFonts w:ascii="Garamond" w:eastAsia="Times New Roman" w:hAnsi="Garamond" w:cs="Times New Roman"/>
                <w:color w:val="000000"/>
                <w:sz w:val="20"/>
                <w:szCs w:val="20"/>
                <w:lang w:eastAsia="it-IT"/>
              </w:rPr>
            </w:pPr>
            <w:r w:rsidRPr="00BD36D2">
              <w:rPr>
                <w:rFonts w:ascii="Garamond" w:eastAsia="Times New Roman" w:hAnsi="Garamond" w:cs="Times New Roman"/>
                <w:color w:val="000000"/>
                <w:sz w:val="20"/>
                <w:szCs w:val="20"/>
                <w:lang w:eastAsia="it-IT"/>
              </w:rPr>
              <w:t>Lavori</w:t>
            </w:r>
          </w:p>
        </w:tc>
        <w:tc>
          <w:tcPr>
            <w:tcW w:w="992"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vAlign w:val="center"/>
            <w:hideMark/>
          </w:tcPr>
          <w:p w:rsidR="00BD36D2" w:rsidRPr="00BD36D2" w:rsidRDefault="00BD36D2" w:rsidP="00BD36D2">
            <w:pPr>
              <w:spacing w:after="0" w:line="360" w:lineRule="auto"/>
              <w:jc w:val="center"/>
              <w:rPr>
                <w:rFonts w:ascii="Garamond" w:eastAsia="Times New Roman" w:hAnsi="Garamond" w:cs="Times New Roman"/>
                <w:color w:val="000000"/>
                <w:sz w:val="20"/>
                <w:szCs w:val="20"/>
                <w:lang w:eastAsia="it-IT"/>
              </w:rPr>
            </w:pPr>
            <w:r w:rsidRPr="00BD36D2">
              <w:rPr>
                <w:rFonts w:ascii="Garamond" w:eastAsia="Times New Roman" w:hAnsi="Garamond" w:cs="Times New Roman"/>
                <w:color w:val="000000"/>
                <w:sz w:val="20"/>
                <w:szCs w:val="20"/>
                <w:lang w:eastAsia="it-IT"/>
              </w:rPr>
              <w:t>4.576</w:t>
            </w:r>
          </w:p>
        </w:tc>
        <w:tc>
          <w:tcPr>
            <w:tcW w:w="992"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vAlign w:val="center"/>
            <w:hideMark/>
          </w:tcPr>
          <w:p w:rsidR="00BD36D2" w:rsidRPr="00BD36D2" w:rsidRDefault="00BD36D2" w:rsidP="00BD36D2">
            <w:pPr>
              <w:spacing w:after="0" w:line="360" w:lineRule="auto"/>
              <w:jc w:val="center"/>
              <w:rPr>
                <w:rFonts w:ascii="Garamond" w:eastAsia="Times New Roman" w:hAnsi="Garamond" w:cs="Times New Roman"/>
                <w:color w:val="000000"/>
                <w:sz w:val="20"/>
                <w:szCs w:val="20"/>
                <w:lang w:eastAsia="it-IT"/>
              </w:rPr>
            </w:pPr>
            <w:r w:rsidRPr="00BD36D2">
              <w:rPr>
                <w:rFonts w:ascii="Garamond" w:eastAsia="Times New Roman" w:hAnsi="Garamond" w:cs="Times New Roman"/>
                <w:color w:val="000000"/>
                <w:sz w:val="20"/>
                <w:szCs w:val="20"/>
                <w:lang w:eastAsia="it-IT"/>
              </w:rPr>
              <w:t>3,3%</w:t>
            </w:r>
          </w:p>
        </w:tc>
        <w:tc>
          <w:tcPr>
            <w:tcW w:w="2098"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vAlign w:val="center"/>
            <w:hideMark/>
          </w:tcPr>
          <w:p w:rsidR="00BD36D2" w:rsidRPr="00BD36D2" w:rsidRDefault="00BD36D2" w:rsidP="00BD36D2">
            <w:pPr>
              <w:spacing w:after="0" w:line="360" w:lineRule="auto"/>
              <w:jc w:val="center"/>
              <w:rPr>
                <w:rFonts w:ascii="Garamond" w:eastAsia="Times New Roman" w:hAnsi="Garamond" w:cs="Times New Roman"/>
                <w:color w:val="000000"/>
                <w:sz w:val="20"/>
                <w:szCs w:val="20"/>
                <w:lang w:eastAsia="it-IT"/>
              </w:rPr>
            </w:pPr>
            <w:r w:rsidRPr="00BD36D2">
              <w:rPr>
                <w:rFonts w:ascii="Garamond" w:eastAsia="Times New Roman" w:hAnsi="Garamond" w:cs="Times New Roman"/>
                <w:color w:val="000000"/>
                <w:sz w:val="20"/>
                <w:szCs w:val="20"/>
                <w:lang w:eastAsia="it-IT"/>
              </w:rPr>
              <w:t>9.453.862.416</w:t>
            </w:r>
          </w:p>
        </w:tc>
        <w:tc>
          <w:tcPr>
            <w:tcW w:w="1163"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vAlign w:val="center"/>
            <w:hideMark/>
          </w:tcPr>
          <w:p w:rsidR="00BD36D2" w:rsidRPr="00BD36D2" w:rsidRDefault="00BD36D2" w:rsidP="00BD36D2">
            <w:pPr>
              <w:spacing w:after="0" w:line="360" w:lineRule="auto"/>
              <w:jc w:val="center"/>
              <w:rPr>
                <w:rFonts w:ascii="Garamond" w:eastAsia="Times New Roman" w:hAnsi="Garamond" w:cs="Times New Roman"/>
                <w:color w:val="000000"/>
                <w:sz w:val="20"/>
                <w:szCs w:val="20"/>
                <w:lang w:eastAsia="it-IT"/>
              </w:rPr>
            </w:pPr>
            <w:r w:rsidRPr="00BD36D2">
              <w:rPr>
                <w:rFonts w:ascii="Garamond" w:eastAsia="Times New Roman" w:hAnsi="Garamond" w:cs="Times New Roman"/>
                <w:color w:val="000000"/>
                <w:sz w:val="20"/>
                <w:szCs w:val="20"/>
                <w:lang w:eastAsia="it-IT"/>
              </w:rPr>
              <w:t>6,8%</w:t>
            </w:r>
          </w:p>
        </w:tc>
        <w:tc>
          <w:tcPr>
            <w:tcW w:w="1672"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vAlign w:val="center"/>
            <w:hideMark/>
          </w:tcPr>
          <w:p w:rsidR="00BD36D2" w:rsidRPr="00BD36D2" w:rsidRDefault="00BD36D2" w:rsidP="00BD36D2">
            <w:pPr>
              <w:spacing w:after="0" w:line="360" w:lineRule="auto"/>
              <w:jc w:val="center"/>
              <w:rPr>
                <w:rFonts w:ascii="Garamond" w:eastAsia="Times New Roman" w:hAnsi="Garamond" w:cs="Times New Roman"/>
                <w:color w:val="000000"/>
                <w:sz w:val="20"/>
                <w:szCs w:val="20"/>
                <w:lang w:eastAsia="it-IT"/>
              </w:rPr>
            </w:pPr>
            <w:r w:rsidRPr="00BD36D2">
              <w:rPr>
                <w:rFonts w:ascii="Garamond" w:eastAsia="Times New Roman" w:hAnsi="Garamond" w:cs="Times New Roman"/>
                <w:color w:val="000000"/>
                <w:sz w:val="20"/>
                <w:szCs w:val="20"/>
                <w:lang w:eastAsia="it-IT"/>
              </w:rPr>
              <w:t>2.065.966</w:t>
            </w:r>
          </w:p>
        </w:tc>
      </w:tr>
      <w:tr w:rsidR="00BD36D2" w:rsidRPr="00BD36D2" w:rsidTr="00BD36D2">
        <w:trPr>
          <w:trHeight w:val="359"/>
          <w:jc w:val="center"/>
        </w:trPr>
        <w:tc>
          <w:tcPr>
            <w:tcW w:w="2383"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after="0" w:line="360" w:lineRule="auto"/>
              <w:rPr>
                <w:rFonts w:ascii="Garamond" w:eastAsia="Times New Roman" w:hAnsi="Garamond" w:cs="Times New Roman"/>
                <w:b/>
                <w:bCs/>
                <w:sz w:val="20"/>
                <w:szCs w:val="20"/>
                <w:lang w:eastAsia="it-IT"/>
              </w:rPr>
            </w:pPr>
          </w:p>
        </w:tc>
        <w:tc>
          <w:tcPr>
            <w:tcW w:w="2031"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vAlign w:val="center"/>
            <w:hideMark/>
          </w:tcPr>
          <w:p w:rsidR="00BD36D2" w:rsidRPr="00BD36D2" w:rsidRDefault="00BD36D2" w:rsidP="00BD36D2">
            <w:pPr>
              <w:spacing w:after="0" w:line="360" w:lineRule="auto"/>
              <w:rPr>
                <w:rFonts w:ascii="Garamond" w:eastAsia="Times New Roman" w:hAnsi="Garamond" w:cs="Times New Roman"/>
                <w:color w:val="000000"/>
                <w:sz w:val="20"/>
                <w:szCs w:val="20"/>
                <w:lang w:eastAsia="it-IT"/>
              </w:rPr>
            </w:pPr>
            <w:r w:rsidRPr="00BD36D2">
              <w:rPr>
                <w:rFonts w:ascii="Garamond" w:eastAsia="Times New Roman" w:hAnsi="Garamond" w:cs="Times New Roman"/>
                <w:color w:val="000000"/>
                <w:sz w:val="20"/>
                <w:szCs w:val="20"/>
                <w:lang w:eastAsia="it-IT"/>
              </w:rPr>
              <w:t>Servizi</w:t>
            </w:r>
          </w:p>
        </w:tc>
        <w:tc>
          <w:tcPr>
            <w:tcW w:w="992"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vAlign w:val="center"/>
            <w:hideMark/>
          </w:tcPr>
          <w:p w:rsidR="00BD36D2" w:rsidRPr="00BD36D2" w:rsidRDefault="00BD36D2" w:rsidP="00BD36D2">
            <w:pPr>
              <w:spacing w:after="0" w:line="360" w:lineRule="auto"/>
              <w:jc w:val="center"/>
              <w:rPr>
                <w:rFonts w:ascii="Garamond" w:eastAsia="Times New Roman" w:hAnsi="Garamond" w:cs="Times New Roman"/>
                <w:color w:val="000000"/>
                <w:sz w:val="20"/>
                <w:szCs w:val="20"/>
                <w:lang w:eastAsia="it-IT"/>
              </w:rPr>
            </w:pPr>
            <w:r w:rsidRPr="00BD36D2">
              <w:rPr>
                <w:rFonts w:ascii="Garamond" w:eastAsia="Times New Roman" w:hAnsi="Garamond" w:cs="Times New Roman"/>
                <w:color w:val="000000"/>
                <w:sz w:val="20"/>
                <w:szCs w:val="20"/>
                <w:lang w:eastAsia="it-IT"/>
              </w:rPr>
              <w:t>10.101</w:t>
            </w:r>
          </w:p>
        </w:tc>
        <w:tc>
          <w:tcPr>
            <w:tcW w:w="992"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vAlign w:val="center"/>
            <w:hideMark/>
          </w:tcPr>
          <w:p w:rsidR="00BD36D2" w:rsidRPr="00BD36D2" w:rsidRDefault="00BD36D2" w:rsidP="00BD36D2">
            <w:pPr>
              <w:spacing w:after="0" w:line="360" w:lineRule="auto"/>
              <w:jc w:val="center"/>
              <w:rPr>
                <w:rFonts w:ascii="Garamond" w:eastAsia="Times New Roman" w:hAnsi="Garamond" w:cs="Times New Roman"/>
                <w:color w:val="000000"/>
                <w:sz w:val="20"/>
                <w:szCs w:val="20"/>
                <w:lang w:eastAsia="it-IT"/>
              </w:rPr>
            </w:pPr>
            <w:r w:rsidRPr="00BD36D2">
              <w:rPr>
                <w:rFonts w:ascii="Garamond" w:eastAsia="Times New Roman" w:hAnsi="Garamond" w:cs="Times New Roman"/>
                <w:color w:val="000000"/>
                <w:sz w:val="20"/>
                <w:szCs w:val="20"/>
                <w:lang w:eastAsia="it-IT"/>
              </w:rPr>
              <w:t>7,4%</w:t>
            </w:r>
          </w:p>
        </w:tc>
        <w:tc>
          <w:tcPr>
            <w:tcW w:w="2098"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vAlign w:val="center"/>
            <w:hideMark/>
          </w:tcPr>
          <w:p w:rsidR="00BD36D2" w:rsidRPr="00BD36D2" w:rsidRDefault="00BD36D2" w:rsidP="00BD36D2">
            <w:pPr>
              <w:spacing w:after="0" w:line="360" w:lineRule="auto"/>
              <w:jc w:val="center"/>
              <w:rPr>
                <w:rFonts w:ascii="Garamond" w:eastAsia="Times New Roman" w:hAnsi="Garamond" w:cs="Times New Roman"/>
                <w:color w:val="000000"/>
                <w:sz w:val="20"/>
                <w:szCs w:val="20"/>
                <w:lang w:eastAsia="it-IT"/>
              </w:rPr>
            </w:pPr>
            <w:r w:rsidRPr="00BD36D2">
              <w:rPr>
                <w:rFonts w:ascii="Garamond" w:eastAsia="Times New Roman" w:hAnsi="Garamond" w:cs="Times New Roman"/>
                <w:color w:val="000000"/>
                <w:sz w:val="20"/>
                <w:szCs w:val="20"/>
                <w:lang w:eastAsia="it-IT"/>
              </w:rPr>
              <w:t>12.909.185.054</w:t>
            </w:r>
          </w:p>
        </w:tc>
        <w:tc>
          <w:tcPr>
            <w:tcW w:w="1163"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vAlign w:val="center"/>
            <w:hideMark/>
          </w:tcPr>
          <w:p w:rsidR="00BD36D2" w:rsidRPr="00BD36D2" w:rsidRDefault="00BD36D2" w:rsidP="00BD36D2">
            <w:pPr>
              <w:spacing w:after="0" w:line="360" w:lineRule="auto"/>
              <w:jc w:val="center"/>
              <w:rPr>
                <w:rFonts w:ascii="Garamond" w:eastAsia="Times New Roman" w:hAnsi="Garamond" w:cs="Times New Roman"/>
                <w:color w:val="000000"/>
                <w:sz w:val="20"/>
                <w:szCs w:val="20"/>
                <w:lang w:eastAsia="it-IT"/>
              </w:rPr>
            </w:pPr>
            <w:r w:rsidRPr="00BD36D2">
              <w:rPr>
                <w:rFonts w:ascii="Garamond" w:eastAsia="Times New Roman" w:hAnsi="Garamond" w:cs="Times New Roman"/>
                <w:color w:val="000000"/>
                <w:sz w:val="20"/>
                <w:szCs w:val="20"/>
                <w:lang w:eastAsia="it-IT"/>
              </w:rPr>
              <w:t>9,3%</w:t>
            </w:r>
          </w:p>
        </w:tc>
        <w:tc>
          <w:tcPr>
            <w:tcW w:w="1672"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vAlign w:val="center"/>
            <w:hideMark/>
          </w:tcPr>
          <w:p w:rsidR="00BD36D2" w:rsidRPr="00BD36D2" w:rsidRDefault="00BD36D2" w:rsidP="00BD36D2">
            <w:pPr>
              <w:spacing w:after="0" w:line="360" w:lineRule="auto"/>
              <w:jc w:val="center"/>
              <w:rPr>
                <w:rFonts w:ascii="Garamond" w:eastAsia="Times New Roman" w:hAnsi="Garamond" w:cs="Times New Roman"/>
                <w:color w:val="000000"/>
                <w:sz w:val="20"/>
                <w:szCs w:val="20"/>
                <w:lang w:eastAsia="it-IT"/>
              </w:rPr>
            </w:pPr>
            <w:r w:rsidRPr="00BD36D2">
              <w:rPr>
                <w:rFonts w:ascii="Garamond" w:eastAsia="Times New Roman" w:hAnsi="Garamond" w:cs="Times New Roman"/>
                <w:color w:val="000000"/>
                <w:sz w:val="20"/>
                <w:szCs w:val="20"/>
                <w:lang w:eastAsia="it-IT"/>
              </w:rPr>
              <w:t>1.278.011</w:t>
            </w:r>
          </w:p>
        </w:tc>
      </w:tr>
      <w:tr w:rsidR="00BD36D2" w:rsidRPr="00BD36D2" w:rsidTr="00BD36D2">
        <w:trPr>
          <w:trHeight w:val="359"/>
          <w:jc w:val="center"/>
        </w:trPr>
        <w:tc>
          <w:tcPr>
            <w:tcW w:w="2383"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after="0" w:line="360" w:lineRule="auto"/>
              <w:rPr>
                <w:rFonts w:ascii="Garamond" w:eastAsia="Times New Roman" w:hAnsi="Garamond" w:cs="Times New Roman"/>
                <w:b/>
                <w:bCs/>
                <w:sz w:val="20"/>
                <w:szCs w:val="20"/>
                <w:lang w:eastAsia="it-IT"/>
              </w:rPr>
            </w:pPr>
          </w:p>
        </w:tc>
        <w:tc>
          <w:tcPr>
            <w:tcW w:w="2031"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vAlign w:val="center"/>
            <w:hideMark/>
          </w:tcPr>
          <w:p w:rsidR="00BD36D2" w:rsidRPr="00BD36D2" w:rsidRDefault="00BD36D2" w:rsidP="00BD36D2">
            <w:pPr>
              <w:spacing w:after="0" w:line="360" w:lineRule="auto"/>
              <w:rPr>
                <w:rFonts w:ascii="Garamond" w:eastAsia="Times New Roman" w:hAnsi="Garamond" w:cs="Times New Roman"/>
                <w:color w:val="000000"/>
                <w:sz w:val="20"/>
                <w:szCs w:val="20"/>
                <w:lang w:eastAsia="it-IT"/>
              </w:rPr>
            </w:pPr>
            <w:r w:rsidRPr="00BD36D2">
              <w:rPr>
                <w:rFonts w:ascii="Garamond" w:eastAsia="Times New Roman" w:hAnsi="Garamond" w:cs="Times New Roman"/>
                <w:b/>
                <w:i/>
                <w:color w:val="000000"/>
                <w:sz w:val="20"/>
                <w:szCs w:val="20"/>
                <w:lang w:eastAsia="it-IT"/>
              </w:rPr>
              <w:t>Totale settore speciale</w:t>
            </w:r>
          </w:p>
        </w:tc>
        <w:tc>
          <w:tcPr>
            <w:tcW w:w="992"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vAlign w:val="center"/>
            <w:hideMark/>
          </w:tcPr>
          <w:p w:rsidR="00BD36D2" w:rsidRPr="00BD36D2" w:rsidRDefault="00BD36D2" w:rsidP="00BD36D2">
            <w:pPr>
              <w:spacing w:after="0" w:line="360" w:lineRule="auto"/>
              <w:jc w:val="center"/>
              <w:rPr>
                <w:rFonts w:ascii="Garamond" w:eastAsia="Times New Roman" w:hAnsi="Garamond" w:cs="Times New Roman"/>
                <w:b/>
                <w:i/>
                <w:color w:val="000000"/>
                <w:sz w:val="20"/>
                <w:szCs w:val="20"/>
                <w:lang w:eastAsia="it-IT"/>
              </w:rPr>
            </w:pPr>
            <w:r w:rsidRPr="00BD36D2">
              <w:rPr>
                <w:rFonts w:ascii="Garamond" w:eastAsia="Times New Roman" w:hAnsi="Garamond" w:cs="Times New Roman"/>
                <w:b/>
                <w:i/>
                <w:color w:val="000000"/>
                <w:sz w:val="20"/>
                <w:szCs w:val="20"/>
                <w:lang w:eastAsia="it-IT"/>
              </w:rPr>
              <w:t>22.380</w:t>
            </w:r>
          </w:p>
        </w:tc>
        <w:tc>
          <w:tcPr>
            <w:tcW w:w="992"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vAlign w:val="center"/>
            <w:hideMark/>
          </w:tcPr>
          <w:p w:rsidR="00BD36D2" w:rsidRPr="00BD36D2" w:rsidRDefault="00BD36D2" w:rsidP="00BD36D2">
            <w:pPr>
              <w:spacing w:after="0" w:line="360" w:lineRule="auto"/>
              <w:jc w:val="center"/>
              <w:rPr>
                <w:rFonts w:ascii="Garamond" w:eastAsia="Times New Roman" w:hAnsi="Garamond" w:cs="Times New Roman"/>
                <w:b/>
                <w:i/>
                <w:color w:val="000000"/>
                <w:sz w:val="20"/>
                <w:szCs w:val="20"/>
                <w:lang w:eastAsia="it-IT"/>
              </w:rPr>
            </w:pPr>
            <w:r w:rsidRPr="00BD36D2">
              <w:rPr>
                <w:rFonts w:ascii="Garamond" w:eastAsia="Times New Roman" w:hAnsi="Garamond" w:cs="Times New Roman"/>
                <w:b/>
                <w:i/>
                <w:color w:val="000000"/>
                <w:sz w:val="20"/>
                <w:szCs w:val="20"/>
                <w:lang w:eastAsia="it-IT"/>
              </w:rPr>
              <w:t>16,3%</w:t>
            </w:r>
          </w:p>
        </w:tc>
        <w:tc>
          <w:tcPr>
            <w:tcW w:w="2098"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vAlign w:val="center"/>
            <w:hideMark/>
          </w:tcPr>
          <w:p w:rsidR="00BD36D2" w:rsidRPr="00BD36D2" w:rsidRDefault="00BD36D2" w:rsidP="00BD36D2">
            <w:pPr>
              <w:spacing w:after="0" w:line="360" w:lineRule="auto"/>
              <w:jc w:val="center"/>
              <w:rPr>
                <w:rFonts w:ascii="Garamond" w:eastAsia="Times New Roman" w:hAnsi="Garamond" w:cs="Times New Roman"/>
                <w:b/>
                <w:i/>
                <w:color w:val="000000"/>
                <w:sz w:val="20"/>
                <w:szCs w:val="20"/>
                <w:lang w:eastAsia="it-IT"/>
              </w:rPr>
            </w:pPr>
            <w:r w:rsidRPr="00BD36D2">
              <w:rPr>
                <w:rFonts w:ascii="Garamond" w:eastAsia="Times New Roman" w:hAnsi="Garamond" w:cs="Times New Roman"/>
                <w:b/>
                <w:i/>
                <w:color w:val="000000"/>
                <w:sz w:val="20"/>
                <w:szCs w:val="20"/>
                <w:lang w:eastAsia="it-IT"/>
              </w:rPr>
              <w:t>34.731.584.946</w:t>
            </w:r>
          </w:p>
        </w:tc>
        <w:tc>
          <w:tcPr>
            <w:tcW w:w="1163"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vAlign w:val="center"/>
            <w:hideMark/>
          </w:tcPr>
          <w:p w:rsidR="00BD36D2" w:rsidRPr="00BD36D2" w:rsidRDefault="00BD36D2" w:rsidP="00BD36D2">
            <w:pPr>
              <w:spacing w:after="0" w:line="360" w:lineRule="auto"/>
              <w:jc w:val="center"/>
              <w:rPr>
                <w:rFonts w:ascii="Garamond" w:eastAsia="Times New Roman" w:hAnsi="Garamond" w:cs="Times New Roman"/>
                <w:b/>
                <w:i/>
                <w:color w:val="000000"/>
                <w:sz w:val="20"/>
                <w:szCs w:val="20"/>
                <w:lang w:eastAsia="it-IT"/>
              </w:rPr>
            </w:pPr>
            <w:r w:rsidRPr="00BD36D2">
              <w:rPr>
                <w:rFonts w:ascii="Garamond" w:eastAsia="Times New Roman" w:hAnsi="Garamond" w:cs="Times New Roman"/>
                <w:b/>
                <w:i/>
                <w:color w:val="000000"/>
                <w:sz w:val="20"/>
                <w:szCs w:val="20"/>
                <w:lang w:eastAsia="it-IT"/>
              </w:rPr>
              <w:t>25,0%</w:t>
            </w:r>
          </w:p>
        </w:tc>
        <w:tc>
          <w:tcPr>
            <w:tcW w:w="1672"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vAlign w:val="center"/>
            <w:hideMark/>
          </w:tcPr>
          <w:p w:rsidR="00BD36D2" w:rsidRPr="00BD36D2" w:rsidRDefault="00BD36D2" w:rsidP="00BD36D2">
            <w:pPr>
              <w:spacing w:after="0" w:line="360" w:lineRule="auto"/>
              <w:jc w:val="center"/>
              <w:rPr>
                <w:rFonts w:ascii="Garamond" w:eastAsia="Times New Roman" w:hAnsi="Garamond" w:cs="Times New Roman"/>
                <w:b/>
                <w:i/>
                <w:color w:val="000000"/>
                <w:sz w:val="20"/>
                <w:szCs w:val="20"/>
                <w:lang w:eastAsia="it-IT"/>
              </w:rPr>
            </w:pPr>
            <w:r w:rsidRPr="00BD36D2">
              <w:rPr>
                <w:rFonts w:ascii="Garamond" w:eastAsia="Times New Roman" w:hAnsi="Garamond" w:cs="Times New Roman"/>
                <w:b/>
                <w:i/>
                <w:color w:val="000000"/>
                <w:sz w:val="20"/>
                <w:szCs w:val="20"/>
                <w:lang w:eastAsia="it-IT"/>
              </w:rPr>
              <w:t>1.551.903</w:t>
            </w:r>
          </w:p>
        </w:tc>
      </w:tr>
      <w:tr w:rsidR="00BD36D2" w:rsidRPr="00BD36D2" w:rsidTr="00BD36D2">
        <w:trPr>
          <w:cantSplit/>
          <w:trHeight w:val="419"/>
          <w:jc w:val="center"/>
        </w:trPr>
        <w:tc>
          <w:tcPr>
            <w:tcW w:w="2383" w:type="dxa"/>
            <w:gridSpan w:val="2"/>
            <w:tcBorders>
              <w:top w:val="single" w:sz="8" w:space="0" w:color="7BA0CD"/>
              <w:left w:val="single" w:sz="8" w:space="0" w:color="7BA0CD"/>
              <w:bottom w:val="single" w:sz="8" w:space="0" w:color="7BA0CD"/>
              <w:right w:val="single" w:sz="8" w:space="0" w:color="7BA0CD"/>
            </w:tcBorders>
            <w:shd w:val="clear" w:color="auto" w:fill="DBE5F1" w:themeFill="accent1" w:themeFillTint="33"/>
            <w:vAlign w:val="center"/>
            <w:hideMark/>
          </w:tcPr>
          <w:p w:rsidR="00BD36D2" w:rsidRPr="00BD36D2" w:rsidRDefault="00BD36D2" w:rsidP="00BD36D2">
            <w:pPr>
              <w:spacing w:after="0" w:line="360" w:lineRule="auto"/>
              <w:rPr>
                <w:rFonts w:ascii="Garamond" w:eastAsia="Times New Roman" w:hAnsi="Garamond" w:cs="Times New Roman"/>
                <w:b/>
                <w:sz w:val="20"/>
                <w:szCs w:val="20"/>
                <w:lang w:eastAsia="it-IT"/>
              </w:rPr>
            </w:pPr>
            <w:r w:rsidRPr="00BD36D2">
              <w:rPr>
                <w:rFonts w:ascii="Garamond" w:eastAsia="Times New Roman" w:hAnsi="Garamond" w:cs="Times New Roman"/>
                <w:b/>
                <w:sz w:val="20"/>
                <w:szCs w:val="20"/>
                <w:lang w:eastAsia="it-IT"/>
              </w:rPr>
              <w:t>Totale generale</w:t>
            </w:r>
          </w:p>
        </w:tc>
        <w:tc>
          <w:tcPr>
            <w:tcW w:w="992"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vAlign w:val="center"/>
            <w:hideMark/>
          </w:tcPr>
          <w:p w:rsidR="00BD36D2" w:rsidRPr="00BD36D2" w:rsidRDefault="00BD36D2" w:rsidP="00BD36D2">
            <w:pPr>
              <w:spacing w:after="0" w:line="360" w:lineRule="auto"/>
              <w:jc w:val="center"/>
              <w:rPr>
                <w:rFonts w:ascii="Garamond" w:eastAsia="Times New Roman" w:hAnsi="Garamond" w:cs="Times New Roman"/>
                <w:b/>
                <w:color w:val="000000"/>
                <w:sz w:val="20"/>
                <w:szCs w:val="20"/>
                <w:lang w:eastAsia="it-IT"/>
              </w:rPr>
            </w:pPr>
            <w:r w:rsidRPr="00BD36D2">
              <w:rPr>
                <w:rFonts w:ascii="Garamond" w:eastAsia="Times New Roman" w:hAnsi="Garamond" w:cs="Times New Roman"/>
                <w:b/>
                <w:color w:val="000000"/>
                <w:sz w:val="20"/>
                <w:szCs w:val="20"/>
                <w:lang w:eastAsia="it-IT"/>
              </w:rPr>
              <w:t>137.237</w:t>
            </w:r>
          </w:p>
        </w:tc>
        <w:tc>
          <w:tcPr>
            <w:tcW w:w="992"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vAlign w:val="center"/>
            <w:hideMark/>
          </w:tcPr>
          <w:p w:rsidR="00BD36D2" w:rsidRPr="00BD36D2" w:rsidRDefault="00BD36D2" w:rsidP="00BD36D2">
            <w:pPr>
              <w:spacing w:after="0" w:line="360" w:lineRule="auto"/>
              <w:jc w:val="center"/>
              <w:rPr>
                <w:rFonts w:ascii="Garamond" w:eastAsia="Times New Roman" w:hAnsi="Garamond" w:cs="Times New Roman"/>
                <w:b/>
                <w:color w:val="000000"/>
                <w:sz w:val="20"/>
                <w:szCs w:val="20"/>
                <w:lang w:eastAsia="it-IT"/>
              </w:rPr>
            </w:pPr>
            <w:r w:rsidRPr="00BD36D2">
              <w:rPr>
                <w:rFonts w:ascii="Garamond" w:eastAsia="Times New Roman" w:hAnsi="Garamond" w:cs="Times New Roman"/>
                <w:b/>
                <w:color w:val="000000"/>
                <w:sz w:val="20"/>
                <w:szCs w:val="20"/>
                <w:lang w:eastAsia="it-IT"/>
              </w:rPr>
              <w:t>100,0%</w:t>
            </w:r>
          </w:p>
        </w:tc>
        <w:tc>
          <w:tcPr>
            <w:tcW w:w="2098"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vAlign w:val="center"/>
            <w:hideMark/>
          </w:tcPr>
          <w:p w:rsidR="00BD36D2" w:rsidRPr="00BD36D2" w:rsidRDefault="00BD36D2" w:rsidP="00BD36D2">
            <w:pPr>
              <w:spacing w:after="0" w:line="360" w:lineRule="auto"/>
              <w:jc w:val="center"/>
              <w:rPr>
                <w:rFonts w:ascii="Garamond" w:eastAsia="Times New Roman" w:hAnsi="Garamond" w:cs="Times New Roman"/>
                <w:b/>
                <w:color w:val="000000"/>
                <w:sz w:val="20"/>
                <w:szCs w:val="20"/>
                <w:lang w:eastAsia="it-IT"/>
              </w:rPr>
            </w:pPr>
            <w:r w:rsidRPr="00BD36D2">
              <w:rPr>
                <w:rFonts w:ascii="Garamond" w:eastAsia="Times New Roman" w:hAnsi="Garamond" w:cs="Times New Roman"/>
                <w:b/>
                <w:color w:val="000000"/>
                <w:sz w:val="20"/>
                <w:szCs w:val="20"/>
                <w:lang w:eastAsia="it-IT"/>
              </w:rPr>
              <w:t>138.974.994.432</w:t>
            </w:r>
          </w:p>
        </w:tc>
        <w:tc>
          <w:tcPr>
            <w:tcW w:w="1163"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vAlign w:val="center"/>
            <w:hideMark/>
          </w:tcPr>
          <w:p w:rsidR="00BD36D2" w:rsidRPr="00BD36D2" w:rsidRDefault="00BD36D2" w:rsidP="00BD36D2">
            <w:pPr>
              <w:spacing w:after="0" w:line="360" w:lineRule="auto"/>
              <w:jc w:val="center"/>
              <w:rPr>
                <w:rFonts w:ascii="Garamond" w:eastAsia="Times New Roman" w:hAnsi="Garamond" w:cs="Times New Roman"/>
                <w:b/>
                <w:sz w:val="20"/>
                <w:szCs w:val="20"/>
                <w:lang w:eastAsia="it-IT"/>
              </w:rPr>
            </w:pPr>
            <w:r w:rsidRPr="00BD36D2">
              <w:rPr>
                <w:rFonts w:ascii="Garamond" w:eastAsia="Times New Roman" w:hAnsi="Garamond" w:cs="Times New Roman"/>
                <w:b/>
                <w:color w:val="000000"/>
                <w:sz w:val="20"/>
                <w:szCs w:val="20"/>
                <w:lang w:eastAsia="it-IT"/>
              </w:rPr>
              <w:t>100,0%</w:t>
            </w:r>
          </w:p>
        </w:tc>
        <w:tc>
          <w:tcPr>
            <w:tcW w:w="1672"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vAlign w:val="center"/>
            <w:hideMark/>
          </w:tcPr>
          <w:p w:rsidR="00BD36D2" w:rsidRPr="00BD36D2" w:rsidRDefault="00BD36D2" w:rsidP="00BD36D2">
            <w:pPr>
              <w:spacing w:after="0" w:line="360" w:lineRule="auto"/>
              <w:jc w:val="center"/>
              <w:rPr>
                <w:rFonts w:ascii="Garamond" w:eastAsia="Times New Roman" w:hAnsi="Garamond" w:cs="Times New Roman"/>
                <w:b/>
                <w:sz w:val="20"/>
                <w:szCs w:val="20"/>
                <w:lang w:eastAsia="it-IT"/>
              </w:rPr>
            </w:pPr>
            <w:r w:rsidRPr="00BD36D2">
              <w:rPr>
                <w:rFonts w:ascii="Garamond" w:eastAsia="Times New Roman" w:hAnsi="Garamond" w:cs="Times New Roman"/>
                <w:b/>
                <w:sz w:val="20"/>
                <w:szCs w:val="20"/>
                <w:lang w:eastAsia="it-IT"/>
              </w:rPr>
              <w:t>1.012.664</w:t>
            </w:r>
          </w:p>
        </w:tc>
      </w:tr>
    </w:tbl>
    <w:p w:rsidR="00BD36D2" w:rsidRPr="00BD36D2" w:rsidRDefault="00BD36D2" w:rsidP="00BD36D2">
      <w:pPr>
        <w:spacing w:after="120" w:line="360" w:lineRule="auto"/>
        <w:jc w:val="both"/>
        <w:rPr>
          <w:rFonts w:ascii="Garamond" w:eastAsia="Calibri" w:hAnsi="Garamond" w:cs="Times New Roman"/>
          <w:sz w:val="24"/>
          <w:szCs w:val="24"/>
          <w:lang w:eastAsia="it-IT"/>
        </w:rPr>
      </w:pPr>
    </w:p>
    <w:p w:rsidR="00BD36D2" w:rsidRPr="001E3A34" w:rsidRDefault="00BD36D2" w:rsidP="00BD36D2">
      <w:pPr>
        <w:spacing w:after="120" w:line="360" w:lineRule="auto"/>
        <w:jc w:val="both"/>
        <w:rPr>
          <w:rFonts w:ascii="Times New Roman" w:eastAsia="Calibri" w:hAnsi="Times New Roman" w:cs="Times New Roman"/>
          <w:sz w:val="24"/>
          <w:szCs w:val="24"/>
          <w:lang w:eastAsia="it-IT"/>
        </w:rPr>
      </w:pPr>
      <w:r w:rsidRPr="001E3A34">
        <w:rPr>
          <w:rFonts w:ascii="Times New Roman" w:eastAsia="Calibri" w:hAnsi="Times New Roman" w:cs="Times New Roman"/>
          <w:sz w:val="24"/>
          <w:szCs w:val="24"/>
          <w:lang w:eastAsia="it-IT"/>
        </w:rPr>
        <w:t xml:space="preserve">La tabella 3 evidenzia che l’aumento della domanda rispetto al 2016 ha riguardato tutte le fasce di importo sia per i settori ordinari sia per quelli speciali, con un aumento cospicuo soprattutto per gli appalti superiori ai 25 milioni che nel settore ordinario aumentano, rispetto al precedente anno, del 45,8% e nei settori speciali di ben il 56%. </w:t>
      </w:r>
    </w:p>
    <w:p w:rsidR="00BD36D2" w:rsidRPr="00BD36D2" w:rsidRDefault="00BD36D2" w:rsidP="00BD36D2">
      <w:pPr>
        <w:spacing w:after="0" w:line="360" w:lineRule="auto"/>
        <w:jc w:val="center"/>
        <w:rPr>
          <w:rFonts w:ascii="Garamond" w:eastAsia="Calibri" w:hAnsi="Garamond" w:cs="Times New Roman"/>
          <w:b/>
          <w:sz w:val="24"/>
          <w:szCs w:val="24"/>
          <w:lang w:eastAsia="it-IT"/>
        </w:rPr>
      </w:pPr>
    </w:p>
    <w:p w:rsidR="00BD36D2" w:rsidRPr="00BD36D2" w:rsidRDefault="00BD36D2" w:rsidP="00BD36D2">
      <w:pPr>
        <w:spacing w:after="0" w:line="360" w:lineRule="auto"/>
        <w:jc w:val="center"/>
        <w:rPr>
          <w:rFonts w:ascii="Garamond" w:eastAsia="Calibri" w:hAnsi="Garamond" w:cs="Times New Roman"/>
          <w:b/>
          <w:lang w:eastAsia="it-IT"/>
        </w:rPr>
      </w:pPr>
      <w:r w:rsidRPr="00BD36D2">
        <w:rPr>
          <w:rFonts w:ascii="Garamond" w:eastAsia="Calibri" w:hAnsi="Garamond" w:cs="Times New Roman"/>
          <w:b/>
          <w:lang w:eastAsia="it-IT"/>
        </w:rPr>
        <w:t>Tabella 3 Distribuzione delle procedure di affidamento, di importo uguale o superiore di €40.000, per classi di importo e tipologia di settore (2016-2017)</w:t>
      </w:r>
    </w:p>
    <w:tbl>
      <w:tblPr>
        <w:tblStyle w:val="Grigliamedia1-Colore11"/>
        <w:tblW w:w="0" w:type="auto"/>
        <w:jc w:val="center"/>
        <w:tblLayout w:type="fixed"/>
        <w:tblLook w:val="04A0" w:firstRow="1" w:lastRow="0" w:firstColumn="1" w:lastColumn="0" w:noHBand="0" w:noVBand="1"/>
      </w:tblPr>
      <w:tblGrid>
        <w:gridCol w:w="420"/>
        <w:gridCol w:w="2268"/>
        <w:gridCol w:w="993"/>
        <w:gridCol w:w="850"/>
        <w:gridCol w:w="851"/>
        <w:gridCol w:w="1559"/>
        <w:gridCol w:w="1559"/>
        <w:gridCol w:w="843"/>
      </w:tblGrid>
      <w:tr w:rsidR="00BD36D2" w:rsidRPr="00BD36D2" w:rsidTr="00BD36D2">
        <w:trPr>
          <w:cnfStyle w:val="100000000000" w:firstRow="1" w:lastRow="0" w:firstColumn="0" w:lastColumn="0" w:oddVBand="0" w:evenVBand="0" w:oddHBand="0" w:evenHBand="0" w:firstRowFirstColumn="0" w:firstRowLastColumn="0" w:lastRowFirstColumn="0" w:lastRowLastColumn="0"/>
          <w:cantSplit/>
          <w:trHeight w:val="406"/>
          <w:jc w:val="center"/>
        </w:trPr>
        <w:tc>
          <w:tcPr>
            <w:cnfStyle w:val="001000000000" w:firstRow="0" w:lastRow="0" w:firstColumn="1" w:lastColumn="0" w:oddVBand="0" w:evenVBand="0" w:oddHBand="0" w:evenHBand="0" w:firstRowFirstColumn="0" w:firstRowLastColumn="0" w:lastRowFirstColumn="0" w:lastRowLastColumn="0"/>
            <w:tcW w:w="420" w:type="dxa"/>
            <w:vMerge w:val="restart"/>
            <w:tcBorders>
              <w:top w:val="single" w:sz="8" w:space="0" w:color="7BA0CD"/>
              <w:left w:val="single" w:sz="8" w:space="0" w:color="7BA0CD"/>
              <w:bottom w:val="single" w:sz="8" w:space="0" w:color="7BA0CD"/>
              <w:right w:val="single" w:sz="8" w:space="0" w:color="7BA0CD"/>
            </w:tcBorders>
            <w:shd w:val="clear" w:color="auto" w:fill="365F91"/>
            <w:textDirection w:val="btLr"/>
            <w:vAlign w:val="center"/>
            <w:hideMark/>
          </w:tcPr>
          <w:p w:rsidR="00BD36D2" w:rsidRPr="00BD36D2" w:rsidRDefault="00BD36D2" w:rsidP="00BD36D2">
            <w:pPr>
              <w:spacing w:before="60" w:after="60" w:line="360" w:lineRule="auto"/>
              <w:ind w:left="113" w:right="113"/>
              <w:jc w:val="center"/>
              <w:rPr>
                <w:rFonts w:ascii="Garamond" w:eastAsia="Times New Roman" w:hAnsi="Garamond"/>
                <w:color w:val="FFFFFF"/>
              </w:rPr>
            </w:pPr>
            <w:r w:rsidRPr="00BD36D2">
              <w:rPr>
                <w:rFonts w:ascii="Garamond" w:eastAsia="Times New Roman" w:hAnsi="Garamond"/>
                <w:color w:val="FFFFFF"/>
              </w:rPr>
              <w:t>Settore</w:t>
            </w:r>
          </w:p>
        </w:tc>
        <w:tc>
          <w:tcPr>
            <w:tcW w:w="2268" w:type="dxa"/>
            <w:vMerge w:val="restart"/>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before="60" w:after="60" w:line="360"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olor w:val="FFFFFF"/>
              </w:rPr>
            </w:pPr>
            <w:r w:rsidRPr="00BD36D2">
              <w:rPr>
                <w:rFonts w:ascii="Garamond" w:eastAsia="Times New Roman" w:hAnsi="Garamond"/>
                <w:color w:val="FFFFFF"/>
              </w:rPr>
              <w:t>Fascia di importo</w:t>
            </w:r>
          </w:p>
        </w:tc>
        <w:tc>
          <w:tcPr>
            <w:tcW w:w="2694" w:type="dxa"/>
            <w:gridSpan w:val="3"/>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line="360"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olor w:val="FFFFFF"/>
              </w:rPr>
            </w:pPr>
            <w:r w:rsidRPr="00BD36D2">
              <w:rPr>
                <w:rFonts w:ascii="Garamond" w:eastAsia="Times New Roman" w:hAnsi="Garamond"/>
                <w:color w:val="FFFFFF"/>
              </w:rPr>
              <w:t>Totale CIG perfezionati</w:t>
            </w:r>
          </w:p>
        </w:tc>
        <w:tc>
          <w:tcPr>
            <w:tcW w:w="3961" w:type="dxa"/>
            <w:gridSpan w:val="3"/>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line="360"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olor w:val="FFFFFF"/>
              </w:rPr>
            </w:pPr>
            <w:r w:rsidRPr="00BD36D2">
              <w:rPr>
                <w:rFonts w:ascii="Garamond" w:eastAsia="Times New Roman" w:hAnsi="Garamond"/>
                <w:color w:val="FFFFFF"/>
              </w:rPr>
              <w:t>Importo complessivo</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cantSplit/>
          <w:trHeight w:val="411"/>
          <w:jc w:val="center"/>
        </w:trPr>
        <w:tc>
          <w:tcPr>
            <w:cnfStyle w:val="001000000000" w:firstRow="0" w:lastRow="0" w:firstColumn="1" w:lastColumn="0" w:oddVBand="0" w:evenVBand="0" w:oddHBand="0" w:evenHBand="0" w:firstRowFirstColumn="0" w:firstRowLastColumn="0" w:lastRowFirstColumn="0" w:lastRowLastColumn="0"/>
            <w:tcW w:w="2688"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FFFFFF"/>
              </w:rPr>
            </w:pPr>
          </w:p>
        </w:tc>
        <w:tc>
          <w:tcPr>
            <w:tcW w:w="2268"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FFFFFF"/>
              </w:rPr>
            </w:pPr>
          </w:p>
        </w:tc>
        <w:tc>
          <w:tcPr>
            <w:tcW w:w="993" w:type="dxa"/>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bCs/>
                <w:color w:val="FFFFFF"/>
              </w:rPr>
            </w:pPr>
            <w:r w:rsidRPr="00BD36D2">
              <w:rPr>
                <w:rFonts w:ascii="Garamond" w:eastAsia="Times New Roman" w:hAnsi="Garamond"/>
                <w:b/>
                <w:bCs/>
                <w:color w:val="FFFFFF"/>
              </w:rPr>
              <w:t>2016</w:t>
            </w:r>
          </w:p>
        </w:tc>
        <w:tc>
          <w:tcPr>
            <w:tcW w:w="850" w:type="dxa"/>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bCs/>
                <w:color w:val="FFFFFF"/>
              </w:rPr>
            </w:pPr>
            <w:r w:rsidRPr="00BD36D2">
              <w:rPr>
                <w:rFonts w:ascii="Garamond" w:eastAsia="Times New Roman" w:hAnsi="Garamond"/>
                <w:b/>
                <w:bCs/>
                <w:color w:val="FFFFFF"/>
              </w:rPr>
              <w:t>2017</w:t>
            </w:r>
          </w:p>
        </w:tc>
        <w:tc>
          <w:tcPr>
            <w:tcW w:w="851" w:type="dxa"/>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FFFFFF"/>
              </w:rPr>
            </w:pPr>
            <w:r w:rsidRPr="00BD36D2">
              <w:rPr>
                <w:rFonts w:ascii="Garamond" w:eastAsia="Times New Roman" w:hAnsi="Garamond"/>
                <w:b/>
                <w:color w:val="FFFFFF"/>
              </w:rPr>
              <w:t>Δ</w:t>
            </w:r>
          </w:p>
        </w:tc>
        <w:tc>
          <w:tcPr>
            <w:tcW w:w="1559" w:type="dxa"/>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FFFFFF"/>
              </w:rPr>
            </w:pPr>
            <w:r w:rsidRPr="00BD36D2">
              <w:rPr>
                <w:rFonts w:ascii="Garamond" w:eastAsia="Times New Roman" w:hAnsi="Garamond"/>
                <w:b/>
                <w:color w:val="FFFFFF"/>
              </w:rPr>
              <w:t>2016</w:t>
            </w:r>
          </w:p>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FFFFFF"/>
              </w:rPr>
            </w:pPr>
            <w:r w:rsidRPr="00BD36D2">
              <w:rPr>
                <w:rFonts w:ascii="Garamond" w:eastAsia="Times New Roman" w:hAnsi="Garamond"/>
                <w:b/>
                <w:color w:val="FFFFFF"/>
              </w:rPr>
              <w:t>(valore in euro)</w:t>
            </w:r>
          </w:p>
        </w:tc>
        <w:tc>
          <w:tcPr>
            <w:tcW w:w="1559" w:type="dxa"/>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FFFFFF"/>
              </w:rPr>
            </w:pPr>
            <w:r w:rsidRPr="00BD36D2">
              <w:rPr>
                <w:rFonts w:ascii="Garamond" w:eastAsia="Times New Roman" w:hAnsi="Garamond"/>
                <w:b/>
                <w:color w:val="FFFFFF"/>
              </w:rPr>
              <w:t>2017</w:t>
            </w:r>
          </w:p>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FFFFFF"/>
              </w:rPr>
            </w:pPr>
            <w:r w:rsidRPr="00BD36D2">
              <w:rPr>
                <w:rFonts w:ascii="Garamond" w:eastAsia="Times New Roman" w:hAnsi="Garamond"/>
                <w:b/>
                <w:color w:val="FFFFFF"/>
              </w:rPr>
              <w:t>(valore in euro)</w:t>
            </w:r>
          </w:p>
        </w:tc>
        <w:tc>
          <w:tcPr>
            <w:tcW w:w="843" w:type="dxa"/>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bCs/>
                <w:color w:val="FFFFFF"/>
              </w:rPr>
            </w:pPr>
            <w:r w:rsidRPr="00BD36D2">
              <w:rPr>
                <w:rFonts w:ascii="Garamond" w:eastAsia="Times New Roman" w:hAnsi="Garamond"/>
                <w:b/>
                <w:color w:val="FFFFFF"/>
              </w:rPr>
              <w:t>Δ</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420" w:type="dxa"/>
            <w:vMerge w:val="restart"/>
            <w:tcBorders>
              <w:top w:val="single" w:sz="8" w:space="0" w:color="7BA0CD"/>
              <w:left w:val="single" w:sz="8" w:space="0" w:color="7BA0CD"/>
              <w:bottom w:val="single" w:sz="8" w:space="0" w:color="7BA0CD"/>
              <w:right w:val="single" w:sz="8" w:space="0" w:color="7BA0CD"/>
            </w:tcBorders>
            <w:textDirection w:val="btLr"/>
            <w:vAlign w:val="center"/>
            <w:hideMark/>
          </w:tcPr>
          <w:p w:rsidR="00BD36D2" w:rsidRPr="00BD36D2" w:rsidRDefault="00BD36D2" w:rsidP="00BD36D2">
            <w:pPr>
              <w:spacing w:line="360" w:lineRule="auto"/>
              <w:ind w:left="113" w:right="113"/>
              <w:jc w:val="center"/>
              <w:rPr>
                <w:rFonts w:ascii="Garamond" w:eastAsia="Times New Roman" w:hAnsi="Garamond"/>
                <w:color w:val="000000"/>
              </w:rPr>
            </w:pPr>
            <w:r w:rsidRPr="00BD36D2">
              <w:rPr>
                <w:rFonts w:ascii="Garamond" w:eastAsia="Times New Roman" w:hAnsi="Garamond"/>
                <w:color w:val="000000"/>
              </w:rPr>
              <w:t>Ordinario</w:t>
            </w:r>
          </w:p>
        </w:tc>
        <w:tc>
          <w:tcPr>
            <w:tcW w:w="2268"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 € 40.000 &lt; € 150.000</w:t>
            </w:r>
          </w:p>
        </w:tc>
        <w:tc>
          <w:tcPr>
            <w:tcW w:w="99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56.892</w:t>
            </w:r>
          </w:p>
        </w:tc>
        <w:tc>
          <w:tcPr>
            <w:tcW w:w="85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63.266</w:t>
            </w:r>
          </w:p>
        </w:tc>
        <w:tc>
          <w:tcPr>
            <w:tcW w:w="85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11,2%</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4.736.636.586</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5.324.217.595</w:t>
            </w:r>
          </w:p>
        </w:tc>
        <w:tc>
          <w:tcPr>
            <w:tcW w:w="84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12,4%</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688"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rPr>
            </w:pPr>
          </w:p>
        </w:tc>
        <w:tc>
          <w:tcPr>
            <w:tcW w:w="2268"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 € 150.000  &lt; € 1.000.000</w:t>
            </w:r>
          </w:p>
        </w:tc>
        <w:tc>
          <w:tcPr>
            <w:tcW w:w="99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33.390</w:t>
            </w:r>
          </w:p>
        </w:tc>
        <w:tc>
          <w:tcPr>
            <w:tcW w:w="85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40.697</w:t>
            </w:r>
          </w:p>
        </w:tc>
        <w:tc>
          <w:tcPr>
            <w:tcW w:w="85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21,9%</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11.596.392.089</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14.568.581.683</w:t>
            </w:r>
          </w:p>
        </w:tc>
        <w:tc>
          <w:tcPr>
            <w:tcW w:w="84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25,6%</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2688"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rPr>
            </w:pPr>
          </w:p>
        </w:tc>
        <w:tc>
          <w:tcPr>
            <w:tcW w:w="2268"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 € 1.000.000 &lt;€ 5.000.000</w:t>
            </w:r>
          </w:p>
        </w:tc>
        <w:tc>
          <w:tcPr>
            <w:tcW w:w="99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6.105</w:t>
            </w:r>
          </w:p>
        </w:tc>
        <w:tc>
          <w:tcPr>
            <w:tcW w:w="85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7.975</w:t>
            </w:r>
          </w:p>
        </w:tc>
        <w:tc>
          <w:tcPr>
            <w:tcW w:w="85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30,6%</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13.060.593.946</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17.109.723.440</w:t>
            </w:r>
          </w:p>
        </w:tc>
        <w:tc>
          <w:tcPr>
            <w:tcW w:w="84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31,0%</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688"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rPr>
            </w:pPr>
          </w:p>
        </w:tc>
        <w:tc>
          <w:tcPr>
            <w:tcW w:w="2268"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 € 5.000.000 &lt; € 25.000.000</w:t>
            </w:r>
          </w:p>
        </w:tc>
        <w:tc>
          <w:tcPr>
            <w:tcW w:w="99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1.729</w:t>
            </w:r>
          </w:p>
        </w:tc>
        <w:tc>
          <w:tcPr>
            <w:tcW w:w="85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2.336</w:t>
            </w:r>
          </w:p>
        </w:tc>
        <w:tc>
          <w:tcPr>
            <w:tcW w:w="85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35,1%</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17.657.059.397</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24.151.760.433</w:t>
            </w:r>
          </w:p>
        </w:tc>
        <w:tc>
          <w:tcPr>
            <w:tcW w:w="84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36,8%</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2688"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rPr>
            </w:pPr>
          </w:p>
        </w:tc>
        <w:tc>
          <w:tcPr>
            <w:tcW w:w="2268"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 € 25.000.000</w:t>
            </w:r>
          </w:p>
        </w:tc>
        <w:tc>
          <w:tcPr>
            <w:tcW w:w="99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401</w:t>
            </w:r>
          </w:p>
        </w:tc>
        <w:tc>
          <w:tcPr>
            <w:tcW w:w="85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583</w:t>
            </w:r>
          </w:p>
        </w:tc>
        <w:tc>
          <w:tcPr>
            <w:tcW w:w="85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45,4%</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29.557.408.067</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43.089.126.335</w:t>
            </w:r>
          </w:p>
        </w:tc>
        <w:tc>
          <w:tcPr>
            <w:tcW w:w="84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45,8%</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688"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rPr>
            </w:pPr>
          </w:p>
        </w:tc>
        <w:tc>
          <w:tcPr>
            <w:tcW w:w="2268"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rPr>
            </w:pPr>
            <w:r w:rsidRPr="00BD36D2">
              <w:rPr>
                <w:rFonts w:ascii="Garamond" w:eastAsia="Times New Roman" w:hAnsi="Garamond"/>
                <w:b/>
                <w:i/>
                <w:color w:val="000000"/>
              </w:rPr>
              <w:t>Totale settore ordinario</w:t>
            </w:r>
          </w:p>
        </w:tc>
        <w:tc>
          <w:tcPr>
            <w:tcW w:w="99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rPr>
            </w:pPr>
            <w:r w:rsidRPr="00BD36D2">
              <w:rPr>
                <w:rFonts w:ascii="Garamond" w:eastAsia="Times New Roman" w:hAnsi="Garamond"/>
                <w:b/>
                <w:i/>
                <w:color w:val="000000"/>
              </w:rPr>
              <w:t>98.517</w:t>
            </w:r>
          </w:p>
        </w:tc>
        <w:tc>
          <w:tcPr>
            <w:tcW w:w="85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rPr>
            </w:pPr>
            <w:r w:rsidRPr="00BD36D2">
              <w:rPr>
                <w:rFonts w:ascii="Garamond" w:eastAsia="Times New Roman" w:hAnsi="Garamond"/>
                <w:b/>
                <w:i/>
                <w:color w:val="000000"/>
              </w:rPr>
              <w:t>114.857</w:t>
            </w:r>
          </w:p>
        </w:tc>
        <w:tc>
          <w:tcPr>
            <w:tcW w:w="85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rPr>
            </w:pPr>
            <w:r w:rsidRPr="00BD36D2">
              <w:rPr>
                <w:rFonts w:ascii="Garamond" w:eastAsia="Times New Roman" w:hAnsi="Garamond"/>
                <w:b/>
                <w:i/>
                <w:color w:val="000000"/>
              </w:rPr>
              <w:t>16,6%</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rPr>
            </w:pPr>
            <w:r w:rsidRPr="00BD36D2">
              <w:rPr>
                <w:rFonts w:ascii="Garamond" w:eastAsia="Times New Roman" w:hAnsi="Garamond"/>
                <w:b/>
                <w:i/>
                <w:color w:val="000000"/>
              </w:rPr>
              <w:t>76.608.090.084</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rPr>
            </w:pPr>
            <w:r w:rsidRPr="00BD36D2">
              <w:rPr>
                <w:rFonts w:ascii="Garamond" w:eastAsia="Times New Roman" w:hAnsi="Garamond"/>
                <w:b/>
                <w:i/>
                <w:color w:val="000000"/>
              </w:rPr>
              <w:t>104.243.409.486</w:t>
            </w:r>
          </w:p>
        </w:tc>
        <w:tc>
          <w:tcPr>
            <w:tcW w:w="84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rPr>
            </w:pPr>
            <w:r w:rsidRPr="00BD36D2">
              <w:rPr>
                <w:rFonts w:ascii="Garamond" w:eastAsia="Times New Roman" w:hAnsi="Garamond"/>
                <w:b/>
                <w:i/>
                <w:color w:val="000000"/>
              </w:rPr>
              <w:t>36,1%</w:t>
            </w:r>
          </w:p>
        </w:tc>
      </w:tr>
      <w:tr w:rsidR="00BD36D2" w:rsidRPr="00BD36D2" w:rsidTr="00BD36D2">
        <w:trPr>
          <w:cantSplit/>
          <w:trHeight w:val="378"/>
          <w:jc w:val="center"/>
        </w:trPr>
        <w:tc>
          <w:tcPr>
            <w:cnfStyle w:val="001000000000" w:firstRow="0" w:lastRow="0" w:firstColumn="1" w:lastColumn="0" w:oddVBand="0" w:evenVBand="0" w:oddHBand="0" w:evenHBand="0" w:firstRowFirstColumn="0" w:firstRowLastColumn="0" w:lastRowFirstColumn="0" w:lastRowLastColumn="0"/>
            <w:tcW w:w="420" w:type="dxa"/>
            <w:vMerge w:val="restart"/>
            <w:tcBorders>
              <w:top w:val="single" w:sz="8" w:space="0" w:color="7BA0CD"/>
              <w:left w:val="single" w:sz="8" w:space="0" w:color="7BA0CD"/>
              <w:bottom w:val="single" w:sz="8" w:space="0" w:color="7BA0CD"/>
              <w:right w:val="single" w:sz="8" w:space="0" w:color="7BA0CD"/>
            </w:tcBorders>
            <w:textDirection w:val="btLr"/>
            <w:vAlign w:val="center"/>
            <w:hideMark/>
          </w:tcPr>
          <w:p w:rsidR="00BD36D2" w:rsidRPr="00BD36D2" w:rsidRDefault="00BD36D2" w:rsidP="00BD36D2">
            <w:pPr>
              <w:spacing w:line="360" w:lineRule="auto"/>
              <w:ind w:left="113" w:right="113"/>
              <w:jc w:val="center"/>
              <w:rPr>
                <w:rFonts w:ascii="Garamond" w:eastAsia="Times New Roman" w:hAnsi="Garamond"/>
                <w:color w:val="000000"/>
              </w:rPr>
            </w:pPr>
            <w:r w:rsidRPr="00BD36D2">
              <w:rPr>
                <w:rFonts w:ascii="Garamond" w:eastAsia="Times New Roman" w:hAnsi="Garamond"/>
                <w:color w:val="000000"/>
              </w:rPr>
              <w:t>Speciale</w:t>
            </w:r>
          </w:p>
        </w:tc>
        <w:tc>
          <w:tcPr>
            <w:tcW w:w="2268"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 € 40.000 &lt; € 150.000</w:t>
            </w:r>
          </w:p>
        </w:tc>
        <w:tc>
          <w:tcPr>
            <w:tcW w:w="99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10.410</w:t>
            </w:r>
          </w:p>
        </w:tc>
        <w:tc>
          <w:tcPr>
            <w:tcW w:w="85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10.800</w:t>
            </w:r>
          </w:p>
        </w:tc>
        <w:tc>
          <w:tcPr>
            <w:tcW w:w="85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3,7%</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845.883.592</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890.057.275</w:t>
            </w:r>
          </w:p>
        </w:tc>
        <w:tc>
          <w:tcPr>
            <w:tcW w:w="84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5,2%</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688"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rPr>
            </w:pPr>
          </w:p>
        </w:tc>
        <w:tc>
          <w:tcPr>
            <w:tcW w:w="2268"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 € 150.000  &lt; € 1.000.000</w:t>
            </w:r>
          </w:p>
        </w:tc>
        <w:tc>
          <w:tcPr>
            <w:tcW w:w="99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7.487</w:t>
            </w:r>
          </w:p>
        </w:tc>
        <w:tc>
          <w:tcPr>
            <w:tcW w:w="85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8.477</w:t>
            </w:r>
          </w:p>
        </w:tc>
        <w:tc>
          <w:tcPr>
            <w:tcW w:w="85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13,2%</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2.680.797.758</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3.157.311.489</w:t>
            </w:r>
          </w:p>
        </w:tc>
        <w:tc>
          <w:tcPr>
            <w:tcW w:w="84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17,8%</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2688"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rPr>
            </w:pPr>
          </w:p>
        </w:tc>
        <w:tc>
          <w:tcPr>
            <w:tcW w:w="2268"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 € 1.000.000 &lt;€ 5.000.000</w:t>
            </w:r>
          </w:p>
        </w:tc>
        <w:tc>
          <w:tcPr>
            <w:tcW w:w="99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1.855</w:t>
            </w:r>
          </w:p>
        </w:tc>
        <w:tc>
          <w:tcPr>
            <w:tcW w:w="85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2.241</w:t>
            </w:r>
          </w:p>
        </w:tc>
        <w:tc>
          <w:tcPr>
            <w:tcW w:w="85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20,8%</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4.122.150.147</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4.948.664.543</w:t>
            </w:r>
          </w:p>
        </w:tc>
        <w:tc>
          <w:tcPr>
            <w:tcW w:w="84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20,1%</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688"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rPr>
            </w:pPr>
          </w:p>
        </w:tc>
        <w:tc>
          <w:tcPr>
            <w:tcW w:w="2268"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 € 5.000.000 &lt; € 25.000.000</w:t>
            </w:r>
          </w:p>
        </w:tc>
        <w:tc>
          <w:tcPr>
            <w:tcW w:w="99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582</w:t>
            </w:r>
          </w:p>
        </w:tc>
        <w:tc>
          <w:tcPr>
            <w:tcW w:w="85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697</w:t>
            </w:r>
          </w:p>
        </w:tc>
        <w:tc>
          <w:tcPr>
            <w:tcW w:w="85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19,8%</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6.000.371.175</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7.346.181.223</w:t>
            </w:r>
          </w:p>
        </w:tc>
        <w:tc>
          <w:tcPr>
            <w:tcW w:w="84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22,4%</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2688"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rPr>
            </w:pPr>
          </w:p>
        </w:tc>
        <w:tc>
          <w:tcPr>
            <w:tcW w:w="2268"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 € 25.000.000</w:t>
            </w:r>
          </w:p>
        </w:tc>
        <w:tc>
          <w:tcPr>
            <w:tcW w:w="99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138</w:t>
            </w:r>
          </w:p>
        </w:tc>
        <w:tc>
          <w:tcPr>
            <w:tcW w:w="85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165</w:t>
            </w:r>
          </w:p>
        </w:tc>
        <w:tc>
          <w:tcPr>
            <w:tcW w:w="85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19,6%</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11.785.539.939</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18.389.370.417</w:t>
            </w:r>
          </w:p>
        </w:tc>
        <w:tc>
          <w:tcPr>
            <w:tcW w:w="84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56,0%</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688"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rPr>
            </w:pPr>
          </w:p>
        </w:tc>
        <w:tc>
          <w:tcPr>
            <w:tcW w:w="2268"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i/>
                <w:color w:val="000000"/>
              </w:rPr>
            </w:pPr>
            <w:r w:rsidRPr="00BD36D2">
              <w:rPr>
                <w:rFonts w:ascii="Garamond" w:eastAsia="Times New Roman" w:hAnsi="Garamond"/>
                <w:b/>
                <w:i/>
                <w:color w:val="000000"/>
              </w:rPr>
              <w:t>Totale settore speciale</w:t>
            </w:r>
          </w:p>
        </w:tc>
        <w:tc>
          <w:tcPr>
            <w:tcW w:w="99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rPr>
            </w:pPr>
            <w:r w:rsidRPr="00BD36D2">
              <w:rPr>
                <w:rFonts w:ascii="Garamond" w:eastAsia="Times New Roman" w:hAnsi="Garamond"/>
                <w:b/>
                <w:i/>
                <w:color w:val="000000"/>
              </w:rPr>
              <w:t>20.472</w:t>
            </w:r>
          </w:p>
        </w:tc>
        <w:tc>
          <w:tcPr>
            <w:tcW w:w="85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rPr>
            </w:pPr>
            <w:r w:rsidRPr="00BD36D2">
              <w:rPr>
                <w:rFonts w:ascii="Garamond" w:eastAsia="Times New Roman" w:hAnsi="Garamond"/>
                <w:b/>
                <w:i/>
                <w:color w:val="000000"/>
              </w:rPr>
              <w:t>22.380</w:t>
            </w:r>
          </w:p>
        </w:tc>
        <w:tc>
          <w:tcPr>
            <w:tcW w:w="85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rPr>
            </w:pPr>
            <w:r w:rsidRPr="00BD36D2">
              <w:rPr>
                <w:rFonts w:ascii="Garamond" w:eastAsia="Times New Roman" w:hAnsi="Garamond"/>
                <w:b/>
                <w:i/>
                <w:color w:val="000000"/>
              </w:rPr>
              <w:t>9,3%</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rPr>
            </w:pPr>
            <w:r w:rsidRPr="00BD36D2">
              <w:rPr>
                <w:rFonts w:ascii="Garamond" w:eastAsia="Times New Roman" w:hAnsi="Garamond"/>
                <w:b/>
                <w:i/>
                <w:color w:val="000000"/>
              </w:rPr>
              <w:t>25.434.742.610</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rPr>
            </w:pPr>
            <w:r w:rsidRPr="00BD36D2">
              <w:rPr>
                <w:rFonts w:ascii="Garamond" w:eastAsia="Times New Roman" w:hAnsi="Garamond"/>
                <w:b/>
                <w:i/>
                <w:color w:val="000000"/>
              </w:rPr>
              <w:t>34.731.584.946</w:t>
            </w:r>
          </w:p>
        </w:tc>
        <w:tc>
          <w:tcPr>
            <w:tcW w:w="84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rPr>
            </w:pPr>
            <w:r w:rsidRPr="00BD36D2">
              <w:rPr>
                <w:rFonts w:ascii="Garamond" w:eastAsia="Times New Roman" w:hAnsi="Garamond"/>
                <w:b/>
                <w:i/>
                <w:color w:val="000000"/>
              </w:rPr>
              <w:t>36,6%</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2688" w:type="dxa"/>
            <w:gridSpan w:val="2"/>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right"/>
              <w:rPr>
                <w:rFonts w:ascii="Garamond" w:eastAsia="Times New Roman" w:hAnsi="Garamond"/>
              </w:rPr>
            </w:pPr>
            <w:r w:rsidRPr="00BD36D2">
              <w:rPr>
                <w:rFonts w:ascii="Garamond" w:eastAsia="Times New Roman" w:hAnsi="Garamond"/>
              </w:rPr>
              <w:t>Totale generale</w:t>
            </w:r>
          </w:p>
        </w:tc>
        <w:tc>
          <w:tcPr>
            <w:tcW w:w="99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color w:val="000000"/>
              </w:rPr>
            </w:pPr>
            <w:r w:rsidRPr="00BD36D2">
              <w:rPr>
                <w:rFonts w:ascii="Garamond" w:eastAsia="Times New Roman" w:hAnsi="Garamond"/>
                <w:b/>
                <w:color w:val="000000"/>
              </w:rPr>
              <w:t>118.989</w:t>
            </w:r>
          </w:p>
        </w:tc>
        <w:tc>
          <w:tcPr>
            <w:tcW w:w="85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color w:val="000000"/>
              </w:rPr>
            </w:pPr>
            <w:r w:rsidRPr="00BD36D2">
              <w:rPr>
                <w:rFonts w:ascii="Garamond" w:eastAsia="Times New Roman" w:hAnsi="Garamond"/>
                <w:b/>
                <w:color w:val="000000"/>
              </w:rPr>
              <w:t>137.237</w:t>
            </w:r>
          </w:p>
        </w:tc>
        <w:tc>
          <w:tcPr>
            <w:tcW w:w="85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color w:val="000000"/>
              </w:rPr>
            </w:pPr>
            <w:r w:rsidRPr="00BD36D2">
              <w:rPr>
                <w:rFonts w:ascii="Garamond" w:eastAsia="Times New Roman" w:hAnsi="Garamond"/>
                <w:b/>
                <w:color w:val="000000"/>
              </w:rPr>
              <w:t>15,3%</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color w:val="000000"/>
              </w:rPr>
            </w:pPr>
            <w:r w:rsidRPr="00BD36D2">
              <w:rPr>
                <w:rFonts w:ascii="Garamond" w:eastAsia="Times New Roman" w:hAnsi="Garamond"/>
                <w:b/>
                <w:color w:val="000000"/>
              </w:rPr>
              <w:t>102.042.832.694</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color w:val="000000"/>
              </w:rPr>
            </w:pPr>
            <w:r w:rsidRPr="00BD36D2">
              <w:rPr>
                <w:rFonts w:ascii="Garamond" w:eastAsia="Times New Roman" w:hAnsi="Garamond"/>
                <w:b/>
                <w:color w:val="000000"/>
              </w:rPr>
              <w:t>138.974.994.432</w:t>
            </w:r>
          </w:p>
        </w:tc>
        <w:tc>
          <w:tcPr>
            <w:tcW w:w="84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color w:val="000000"/>
              </w:rPr>
            </w:pPr>
            <w:r w:rsidRPr="00BD36D2">
              <w:rPr>
                <w:rFonts w:ascii="Garamond" w:eastAsia="Times New Roman" w:hAnsi="Garamond"/>
                <w:b/>
                <w:color w:val="000000"/>
              </w:rPr>
              <w:t>36,2%</w:t>
            </w:r>
          </w:p>
        </w:tc>
      </w:tr>
    </w:tbl>
    <w:p w:rsidR="00BD36D2" w:rsidRPr="00BD36D2" w:rsidRDefault="00BD36D2" w:rsidP="00BD36D2">
      <w:pPr>
        <w:spacing w:after="120" w:line="360" w:lineRule="auto"/>
        <w:jc w:val="both"/>
        <w:rPr>
          <w:rFonts w:ascii="Garamond" w:eastAsia="Calibri" w:hAnsi="Garamond" w:cs="Times New Roman"/>
          <w:sz w:val="24"/>
          <w:szCs w:val="24"/>
          <w:lang w:eastAsia="it-IT"/>
        </w:rPr>
      </w:pPr>
    </w:p>
    <w:p w:rsidR="00BD36D2" w:rsidRPr="001E3A34" w:rsidRDefault="00BD36D2" w:rsidP="00387085">
      <w:pPr>
        <w:spacing w:after="0" w:line="360" w:lineRule="auto"/>
        <w:jc w:val="both"/>
        <w:rPr>
          <w:rFonts w:ascii="Times New Roman" w:eastAsia="Calibri" w:hAnsi="Times New Roman" w:cs="Times New Roman"/>
          <w:sz w:val="24"/>
          <w:szCs w:val="24"/>
          <w:lang w:eastAsia="it-IT"/>
        </w:rPr>
      </w:pPr>
      <w:r w:rsidRPr="001E3A34">
        <w:rPr>
          <w:rFonts w:ascii="Times New Roman" w:eastAsia="Calibri" w:hAnsi="Times New Roman" w:cs="Times New Roman"/>
          <w:sz w:val="24"/>
          <w:szCs w:val="24"/>
          <w:lang w:eastAsia="it-IT"/>
        </w:rPr>
        <w:lastRenderedPageBreak/>
        <w:t>La tabella 4 mostra, invece, la distribuzione delle classi d’importo per tipologia di contratto. Il maggiore aumento lo si è avuto nel settore delle forniture relativamente agli appalti di grandi dimensioni in cui, per la fascia di importo ≥ € 25.000.000 si registra un +105%; mentre nella stessa fascia di importo il settore lavori ha subito, invece, una leggera contrazione pari a circa il 6%.</w:t>
      </w:r>
    </w:p>
    <w:p w:rsidR="00BD36D2" w:rsidRPr="00335BED" w:rsidRDefault="00BD36D2" w:rsidP="00BD36D2">
      <w:pPr>
        <w:spacing w:after="120" w:line="360" w:lineRule="auto"/>
        <w:jc w:val="both"/>
        <w:rPr>
          <w:rFonts w:ascii="Garamond" w:eastAsia="Times New Roman" w:hAnsi="Garamond" w:cs="Times New Roman"/>
          <w:i/>
          <w:sz w:val="20"/>
          <w:szCs w:val="20"/>
          <w:lang w:eastAsia="it-IT"/>
        </w:rPr>
      </w:pPr>
    </w:p>
    <w:p w:rsidR="00BD36D2" w:rsidRPr="00BD36D2" w:rsidRDefault="00BD36D2" w:rsidP="00BD36D2">
      <w:pPr>
        <w:spacing w:after="0" w:line="240" w:lineRule="auto"/>
        <w:jc w:val="center"/>
        <w:rPr>
          <w:rFonts w:ascii="Garamond" w:eastAsia="Calibri" w:hAnsi="Garamond" w:cs="Times New Roman"/>
          <w:b/>
          <w:lang w:eastAsia="it-IT"/>
        </w:rPr>
      </w:pPr>
      <w:r w:rsidRPr="00BD36D2">
        <w:rPr>
          <w:rFonts w:ascii="Garamond" w:eastAsia="Calibri" w:hAnsi="Garamond" w:cs="Times New Roman"/>
          <w:b/>
          <w:lang w:eastAsia="it-IT"/>
        </w:rPr>
        <w:t>Tabella 4 Distribuzione delle procedure di affidamento, di importo uguale o superiore di € 40.000,  per classi di importo e tipologia di contratto (2016-2017)</w:t>
      </w:r>
    </w:p>
    <w:tbl>
      <w:tblPr>
        <w:tblStyle w:val="Grigliamedia1-Colore11"/>
        <w:tblW w:w="9532" w:type="dxa"/>
        <w:jc w:val="center"/>
        <w:tblLayout w:type="fixed"/>
        <w:tblLook w:val="04A0" w:firstRow="1" w:lastRow="0" w:firstColumn="1" w:lastColumn="0" w:noHBand="0" w:noVBand="1"/>
      </w:tblPr>
      <w:tblGrid>
        <w:gridCol w:w="422"/>
        <w:gridCol w:w="2467"/>
        <w:gridCol w:w="864"/>
        <w:gridCol w:w="922"/>
        <w:gridCol w:w="850"/>
        <w:gridCol w:w="1560"/>
        <w:gridCol w:w="1559"/>
        <w:gridCol w:w="888"/>
      </w:tblGrid>
      <w:tr w:rsidR="00BD36D2" w:rsidRPr="00BD36D2" w:rsidTr="00BD36D2">
        <w:trPr>
          <w:cnfStyle w:val="100000000000" w:firstRow="1" w:lastRow="0" w:firstColumn="0" w:lastColumn="0" w:oddVBand="0" w:evenVBand="0" w:oddHBand="0" w:evenHBand="0" w:firstRowFirstColumn="0" w:firstRowLastColumn="0" w:lastRowFirstColumn="0" w:lastRowLastColumn="0"/>
          <w:cantSplit/>
          <w:trHeight w:val="545"/>
          <w:jc w:val="center"/>
        </w:trPr>
        <w:tc>
          <w:tcPr>
            <w:cnfStyle w:val="001000000000" w:firstRow="0" w:lastRow="0" w:firstColumn="1" w:lastColumn="0" w:oddVBand="0" w:evenVBand="0" w:oddHBand="0" w:evenHBand="0" w:firstRowFirstColumn="0" w:firstRowLastColumn="0" w:lastRowFirstColumn="0" w:lastRowLastColumn="0"/>
            <w:tcW w:w="422" w:type="dxa"/>
            <w:vMerge w:val="restart"/>
            <w:tcBorders>
              <w:top w:val="single" w:sz="8" w:space="0" w:color="7BA0CD"/>
              <w:left w:val="single" w:sz="8" w:space="0" w:color="7BA0CD"/>
              <w:bottom w:val="single" w:sz="8" w:space="0" w:color="7BA0CD"/>
              <w:right w:val="single" w:sz="8" w:space="0" w:color="7BA0CD"/>
            </w:tcBorders>
            <w:shd w:val="clear" w:color="auto" w:fill="365F91"/>
            <w:textDirection w:val="btLr"/>
            <w:vAlign w:val="center"/>
            <w:hideMark/>
          </w:tcPr>
          <w:p w:rsidR="00BD36D2" w:rsidRPr="00BD36D2" w:rsidRDefault="00BD36D2" w:rsidP="00BD36D2">
            <w:pPr>
              <w:ind w:left="113" w:right="113"/>
              <w:jc w:val="center"/>
              <w:rPr>
                <w:rFonts w:ascii="Garamond" w:eastAsia="Times New Roman" w:hAnsi="Garamond"/>
                <w:color w:val="FFFFFF"/>
              </w:rPr>
            </w:pPr>
            <w:r w:rsidRPr="00BD36D2">
              <w:rPr>
                <w:rFonts w:ascii="Garamond" w:eastAsia="Times New Roman" w:hAnsi="Garamond"/>
                <w:color w:val="FFFFFF"/>
              </w:rPr>
              <w:t>Contratto</w:t>
            </w:r>
          </w:p>
        </w:tc>
        <w:tc>
          <w:tcPr>
            <w:tcW w:w="2467" w:type="dxa"/>
            <w:vMerge w:val="restart"/>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olor w:val="FFFFFF"/>
              </w:rPr>
            </w:pPr>
            <w:r w:rsidRPr="00BD36D2">
              <w:rPr>
                <w:rFonts w:ascii="Garamond" w:eastAsia="Times New Roman" w:hAnsi="Garamond"/>
                <w:color w:val="FFFFFF"/>
              </w:rPr>
              <w:t>Fascia di importo</w:t>
            </w:r>
          </w:p>
        </w:tc>
        <w:tc>
          <w:tcPr>
            <w:tcW w:w="2636" w:type="dxa"/>
            <w:gridSpan w:val="3"/>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olor w:val="FFFFFF"/>
              </w:rPr>
            </w:pPr>
            <w:r w:rsidRPr="00BD36D2">
              <w:rPr>
                <w:rFonts w:ascii="Garamond" w:eastAsia="Times New Roman" w:hAnsi="Garamond"/>
                <w:color w:val="FFFFFF"/>
              </w:rPr>
              <w:t>Totale CIG perfezionati</w:t>
            </w:r>
          </w:p>
        </w:tc>
        <w:tc>
          <w:tcPr>
            <w:tcW w:w="4007" w:type="dxa"/>
            <w:gridSpan w:val="3"/>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olor w:val="FFFFFF"/>
              </w:rPr>
            </w:pPr>
            <w:r w:rsidRPr="00BD36D2">
              <w:rPr>
                <w:rFonts w:ascii="Garamond" w:eastAsia="Times New Roman" w:hAnsi="Garamond"/>
                <w:color w:val="FFFFFF"/>
              </w:rPr>
              <w:t>Importo complessivo</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cantSplit/>
          <w:trHeight w:val="545"/>
          <w:jc w:val="center"/>
        </w:trPr>
        <w:tc>
          <w:tcPr>
            <w:cnfStyle w:val="001000000000" w:firstRow="0" w:lastRow="0" w:firstColumn="1" w:lastColumn="0" w:oddVBand="0" w:evenVBand="0" w:oddHBand="0" w:evenHBand="0" w:firstRowFirstColumn="0" w:firstRowLastColumn="0" w:lastRowFirstColumn="0" w:lastRowLastColumn="0"/>
            <w:tcW w:w="422"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FFFFFF"/>
              </w:rPr>
            </w:pPr>
          </w:p>
        </w:tc>
        <w:tc>
          <w:tcPr>
            <w:tcW w:w="2467"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FFFFFF"/>
              </w:rPr>
            </w:pPr>
          </w:p>
        </w:tc>
        <w:tc>
          <w:tcPr>
            <w:tcW w:w="864" w:type="dxa"/>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bCs/>
                <w:color w:val="FFFFFF"/>
              </w:rPr>
            </w:pPr>
            <w:r w:rsidRPr="00BD36D2">
              <w:rPr>
                <w:rFonts w:ascii="Garamond" w:eastAsia="Times New Roman" w:hAnsi="Garamond"/>
                <w:b/>
                <w:bCs/>
                <w:color w:val="FFFFFF"/>
              </w:rPr>
              <w:t>2016</w:t>
            </w:r>
          </w:p>
        </w:tc>
        <w:tc>
          <w:tcPr>
            <w:tcW w:w="922" w:type="dxa"/>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bCs/>
                <w:color w:val="FFFFFF"/>
              </w:rPr>
            </w:pPr>
            <w:r w:rsidRPr="00BD36D2">
              <w:rPr>
                <w:rFonts w:ascii="Garamond" w:eastAsia="Times New Roman" w:hAnsi="Garamond"/>
                <w:b/>
                <w:bCs/>
                <w:color w:val="FFFFFF"/>
              </w:rPr>
              <w:t>2017</w:t>
            </w:r>
          </w:p>
        </w:tc>
        <w:tc>
          <w:tcPr>
            <w:tcW w:w="850" w:type="dxa"/>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FFFFFF"/>
              </w:rPr>
            </w:pPr>
            <w:r w:rsidRPr="00BD36D2">
              <w:rPr>
                <w:rFonts w:ascii="Garamond" w:eastAsia="Times New Roman" w:hAnsi="Garamond"/>
                <w:b/>
                <w:color w:val="FFFFFF"/>
              </w:rPr>
              <w:t xml:space="preserve">Δ </w:t>
            </w:r>
          </w:p>
        </w:tc>
        <w:tc>
          <w:tcPr>
            <w:tcW w:w="1560" w:type="dxa"/>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FFFFFF"/>
              </w:rPr>
            </w:pPr>
            <w:r w:rsidRPr="00BD36D2">
              <w:rPr>
                <w:rFonts w:ascii="Garamond" w:eastAsia="Times New Roman" w:hAnsi="Garamond"/>
                <w:b/>
                <w:color w:val="FFFFFF"/>
              </w:rPr>
              <w:t xml:space="preserve">2016 </w:t>
            </w:r>
          </w:p>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FFFFFF"/>
              </w:rPr>
            </w:pPr>
            <w:r w:rsidRPr="00BD36D2">
              <w:rPr>
                <w:rFonts w:ascii="Garamond" w:eastAsia="Times New Roman" w:hAnsi="Garamond"/>
                <w:b/>
                <w:color w:val="FFFFFF"/>
              </w:rPr>
              <w:t>(valore in euro)</w:t>
            </w:r>
          </w:p>
        </w:tc>
        <w:tc>
          <w:tcPr>
            <w:tcW w:w="1559" w:type="dxa"/>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FFFFFF"/>
              </w:rPr>
            </w:pPr>
            <w:r w:rsidRPr="00BD36D2">
              <w:rPr>
                <w:rFonts w:ascii="Garamond" w:eastAsia="Times New Roman" w:hAnsi="Garamond"/>
                <w:b/>
                <w:color w:val="FFFFFF"/>
              </w:rPr>
              <w:t xml:space="preserve">2017 </w:t>
            </w:r>
          </w:p>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FFFFFF"/>
              </w:rPr>
            </w:pPr>
            <w:r w:rsidRPr="00BD36D2">
              <w:rPr>
                <w:rFonts w:ascii="Garamond" w:eastAsia="Times New Roman" w:hAnsi="Garamond"/>
                <w:b/>
                <w:color w:val="FFFFFF"/>
              </w:rPr>
              <w:t>(valore in euro)</w:t>
            </w:r>
          </w:p>
        </w:tc>
        <w:tc>
          <w:tcPr>
            <w:tcW w:w="888" w:type="dxa"/>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bCs/>
                <w:color w:val="FFFFFF"/>
              </w:rPr>
            </w:pPr>
            <w:r w:rsidRPr="00BD36D2">
              <w:rPr>
                <w:rFonts w:ascii="Garamond" w:eastAsia="Times New Roman" w:hAnsi="Garamond"/>
                <w:b/>
                <w:color w:val="FFFFFF"/>
              </w:rPr>
              <w:t>Δ</w:t>
            </w:r>
          </w:p>
        </w:tc>
      </w:tr>
      <w:tr w:rsidR="00BD36D2" w:rsidRPr="00BD36D2" w:rsidTr="00BD36D2">
        <w:trPr>
          <w:trHeight w:val="274"/>
          <w:jc w:val="center"/>
        </w:trPr>
        <w:tc>
          <w:tcPr>
            <w:cnfStyle w:val="001000000000" w:firstRow="0" w:lastRow="0" w:firstColumn="1" w:lastColumn="0" w:oddVBand="0" w:evenVBand="0" w:oddHBand="0" w:evenHBand="0" w:firstRowFirstColumn="0" w:firstRowLastColumn="0" w:lastRowFirstColumn="0" w:lastRowLastColumn="0"/>
            <w:tcW w:w="422" w:type="dxa"/>
            <w:vMerge w:val="restart"/>
            <w:tcBorders>
              <w:top w:val="single" w:sz="8" w:space="0" w:color="7BA0CD"/>
              <w:left w:val="single" w:sz="8" w:space="0" w:color="7BA0CD"/>
              <w:bottom w:val="single" w:sz="8" w:space="0" w:color="7BA0CD"/>
              <w:right w:val="single" w:sz="8" w:space="0" w:color="7BA0CD"/>
            </w:tcBorders>
            <w:textDirection w:val="btLr"/>
            <w:vAlign w:val="center"/>
            <w:hideMark/>
          </w:tcPr>
          <w:p w:rsidR="00BD36D2" w:rsidRPr="00BD36D2" w:rsidRDefault="00BD36D2" w:rsidP="00BD36D2">
            <w:pPr>
              <w:spacing w:line="360" w:lineRule="auto"/>
              <w:ind w:left="113" w:right="113"/>
              <w:jc w:val="center"/>
              <w:rPr>
                <w:rFonts w:ascii="Garamond" w:eastAsia="Times New Roman" w:hAnsi="Garamond"/>
                <w:color w:val="000000"/>
              </w:rPr>
            </w:pPr>
            <w:r w:rsidRPr="00BD36D2">
              <w:rPr>
                <w:rFonts w:ascii="Garamond" w:eastAsia="Times New Roman" w:hAnsi="Garamond"/>
                <w:color w:val="000000"/>
              </w:rPr>
              <w:t>Forniture</w:t>
            </w:r>
          </w:p>
        </w:tc>
        <w:tc>
          <w:tcPr>
            <w:tcW w:w="2467"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 € 40.000 &lt; € 150.000</w:t>
            </w:r>
          </w:p>
        </w:tc>
        <w:tc>
          <w:tcPr>
            <w:tcW w:w="864"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22.371</w:t>
            </w:r>
          </w:p>
        </w:tc>
        <w:tc>
          <w:tcPr>
            <w:tcW w:w="92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26.278</w:t>
            </w:r>
          </w:p>
        </w:tc>
        <w:tc>
          <w:tcPr>
            <w:tcW w:w="85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17,5%</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1.821.824.238</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2.150.370.525</w:t>
            </w:r>
          </w:p>
        </w:tc>
        <w:tc>
          <w:tcPr>
            <w:tcW w:w="888"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18,0%</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422"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rPr>
            </w:pPr>
          </w:p>
        </w:tc>
        <w:tc>
          <w:tcPr>
            <w:tcW w:w="2467"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 € 150.000  &lt; € 1.000.000</w:t>
            </w:r>
          </w:p>
        </w:tc>
        <w:tc>
          <w:tcPr>
            <w:tcW w:w="864"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12.578</w:t>
            </w:r>
          </w:p>
        </w:tc>
        <w:tc>
          <w:tcPr>
            <w:tcW w:w="92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15.929</w:t>
            </w:r>
          </w:p>
        </w:tc>
        <w:tc>
          <w:tcPr>
            <w:tcW w:w="85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26,6%</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4.365.077.710</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5.572.008.631</w:t>
            </w:r>
          </w:p>
        </w:tc>
        <w:tc>
          <w:tcPr>
            <w:tcW w:w="888"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27,6%</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422"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rPr>
            </w:pPr>
          </w:p>
        </w:tc>
        <w:tc>
          <w:tcPr>
            <w:tcW w:w="2467"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 € 1.000.000 &lt;€ 5.000.000</w:t>
            </w:r>
          </w:p>
        </w:tc>
        <w:tc>
          <w:tcPr>
            <w:tcW w:w="864"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2.768</w:t>
            </w:r>
          </w:p>
        </w:tc>
        <w:tc>
          <w:tcPr>
            <w:tcW w:w="92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3.902</w:t>
            </w:r>
          </w:p>
        </w:tc>
        <w:tc>
          <w:tcPr>
            <w:tcW w:w="85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41,0%</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5.900.505.847</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8.333.061.783</w:t>
            </w:r>
          </w:p>
        </w:tc>
        <w:tc>
          <w:tcPr>
            <w:tcW w:w="888"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41,2%</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422"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rPr>
            </w:pPr>
          </w:p>
        </w:tc>
        <w:tc>
          <w:tcPr>
            <w:tcW w:w="2467"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 € 5.000.000 &lt; € 5.000.000</w:t>
            </w:r>
          </w:p>
        </w:tc>
        <w:tc>
          <w:tcPr>
            <w:tcW w:w="864"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873</w:t>
            </w:r>
          </w:p>
        </w:tc>
        <w:tc>
          <w:tcPr>
            <w:tcW w:w="92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1.260</w:t>
            </w:r>
          </w:p>
        </w:tc>
        <w:tc>
          <w:tcPr>
            <w:tcW w:w="85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44,3%</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9.011.270.580</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13.089.610.156</w:t>
            </w:r>
          </w:p>
        </w:tc>
        <w:tc>
          <w:tcPr>
            <w:tcW w:w="888"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45,3%</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422"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rPr>
            </w:pPr>
          </w:p>
        </w:tc>
        <w:tc>
          <w:tcPr>
            <w:tcW w:w="2467"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 € 25.000.000</w:t>
            </w:r>
          </w:p>
        </w:tc>
        <w:tc>
          <w:tcPr>
            <w:tcW w:w="864"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210</w:t>
            </w:r>
          </w:p>
        </w:tc>
        <w:tc>
          <w:tcPr>
            <w:tcW w:w="92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341</w:t>
            </w:r>
          </w:p>
        </w:tc>
        <w:tc>
          <w:tcPr>
            <w:tcW w:w="85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62,4%</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13.333.573.549</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27.327.779.222</w:t>
            </w:r>
          </w:p>
        </w:tc>
        <w:tc>
          <w:tcPr>
            <w:tcW w:w="888"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105,0%</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422"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rPr>
            </w:pPr>
          </w:p>
        </w:tc>
        <w:tc>
          <w:tcPr>
            <w:tcW w:w="2467"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rPr>
            </w:pPr>
            <w:r w:rsidRPr="00BD36D2">
              <w:rPr>
                <w:rFonts w:ascii="Garamond" w:eastAsia="Times New Roman" w:hAnsi="Garamond"/>
                <w:b/>
                <w:i/>
                <w:color w:val="000000"/>
              </w:rPr>
              <w:t>Totale Forniture</w:t>
            </w:r>
          </w:p>
        </w:tc>
        <w:tc>
          <w:tcPr>
            <w:tcW w:w="864"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rPr>
            </w:pPr>
            <w:r w:rsidRPr="00BD36D2">
              <w:rPr>
                <w:rFonts w:ascii="Garamond" w:eastAsia="Times New Roman" w:hAnsi="Garamond"/>
                <w:b/>
                <w:i/>
                <w:color w:val="000000"/>
              </w:rPr>
              <w:t>38.800</w:t>
            </w:r>
          </w:p>
        </w:tc>
        <w:tc>
          <w:tcPr>
            <w:tcW w:w="92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rPr>
            </w:pPr>
            <w:r w:rsidRPr="00BD36D2">
              <w:rPr>
                <w:rFonts w:ascii="Garamond" w:eastAsia="Times New Roman" w:hAnsi="Garamond"/>
                <w:b/>
                <w:i/>
                <w:color w:val="000000"/>
              </w:rPr>
              <w:t>47.710</w:t>
            </w:r>
          </w:p>
        </w:tc>
        <w:tc>
          <w:tcPr>
            <w:tcW w:w="85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rPr>
            </w:pPr>
            <w:r w:rsidRPr="00BD36D2">
              <w:rPr>
                <w:rFonts w:ascii="Garamond" w:eastAsia="Times New Roman" w:hAnsi="Garamond"/>
                <w:b/>
                <w:i/>
                <w:color w:val="000000"/>
              </w:rPr>
              <w:t>23,0%</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rPr>
            </w:pPr>
            <w:r w:rsidRPr="00BD36D2">
              <w:rPr>
                <w:rFonts w:ascii="Garamond" w:eastAsia="Times New Roman" w:hAnsi="Garamond"/>
                <w:b/>
                <w:i/>
                <w:color w:val="000000"/>
              </w:rPr>
              <w:t>34.432.251.924</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rPr>
            </w:pPr>
            <w:r w:rsidRPr="00BD36D2">
              <w:rPr>
                <w:rFonts w:ascii="Garamond" w:eastAsia="Times New Roman" w:hAnsi="Garamond"/>
                <w:b/>
                <w:i/>
                <w:color w:val="000000"/>
              </w:rPr>
              <w:t>56.472.830.317</w:t>
            </w:r>
          </w:p>
        </w:tc>
        <w:tc>
          <w:tcPr>
            <w:tcW w:w="888"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rPr>
            </w:pPr>
            <w:r w:rsidRPr="00BD36D2">
              <w:rPr>
                <w:rFonts w:ascii="Garamond" w:eastAsia="Times New Roman" w:hAnsi="Garamond"/>
                <w:b/>
                <w:i/>
                <w:color w:val="000000"/>
              </w:rPr>
              <w:t>64,0%</w:t>
            </w:r>
          </w:p>
        </w:tc>
      </w:tr>
      <w:tr w:rsidR="00BD36D2" w:rsidRPr="00BD36D2" w:rsidTr="00BD36D2">
        <w:trPr>
          <w:cantSplit/>
          <w:trHeight w:val="378"/>
          <w:jc w:val="center"/>
        </w:trPr>
        <w:tc>
          <w:tcPr>
            <w:cnfStyle w:val="001000000000" w:firstRow="0" w:lastRow="0" w:firstColumn="1" w:lastColumn="0" w:oddVBand="0" w:evenVBand="0" w:oddHBand="0" w:evenHBand="0" w:firstRowFirstColumn="0" w:firstRowLastColumn="0" w:lastRowFirstColumn="0" w:lastRowLastColumn="0"/>
            <w:tcW w:w="422" w:type="dxa"/>
            <w:vMerge w:val="restart"/>
            <w:tcBorders>
              <w:top w:val="single" w:sz="8" w:space="0" w:color="7BA0CD"/>
              <w:left w:val="single" w:sz="8" w:space="0" w:color="7BA0CD"/>
              <w:bottom w:val="single" w:sz="8" w:space="0" w:color="7BA0CD"/>
              <w:right w:val="single" w:sz="8" w:space="0" w:color="7BA0CD"/>
            </w:tcBorders>
            <w:textDirection w:val="btLr"/>
            <w:vAlign w:val="center"/>
            <w:hideMark/>
          </w:tcPr>
          <w:p w:rsidR="00BD36D2" w:rsidRPr="00BD36D2" w:rsidRDefault="00BD36D2" w:rsidP="00BD36D2">
            <w:pPr>
              <w:spacing w:line="360" w:lineRule="auto"/>
              <w:ind w:left="113" w:right="113"/>
              <w:jc w:val="center"/>
              <w:rPr>
                <w:rFonts w:ascii="Garamond" w:eastAsia="Times New Roman" w:hAnsi="Garamond"/>
                <w:color w:val="000000"/>
              </w:rPr>
            </w:pPr>
            <w:r w:rsidRPr="00BD36D2">
              <w:rPr>
                <w:rFonts w:ascii="Garamond" w:eastAsia="Times New Roman" w:hAnsi="Garamond"/>
                <w:color w:val="000000"/>
              </w:rPr>
              <w:t>Lavori</w:t>
            </w:r>
          </w:p>
        </w:tc>
        <w:tc>
          <w:tcPr>
            <w:tcW w:w="2467"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 € 40.000 &lt; € 150.000</w:t>
            </w:r>
          </w:p>
        </w:tc>
        <w:tc>
          <w:tcPr>
            <w:tcW w:w="864"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16.443</w:t>
            </w:r>
          </w:p>
        </w:tc>
        <w:tc>
          <w:tcPr>
            <w:tcW w:w="92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17.333</w:t>
            </w:r>
          </w:p>
        </w:tc>
        <w:tc>
          <w:tcPr>
            <w:tcW w:w="85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5,4%</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1.443.350.069</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1.545.204.442</w:t>
            </w:r>
          </w:p>
        </w:tc>
        <w:tc>
          <w:tcPr>
            <w:tcW w:w="888"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7,1%</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422"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rPr>
            </w:pPr>
          </w:p>
        </w:tc>
        <w:tc>
          <w:tcPr>
            <w:tcW w:w="2467"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 € 150.000  &lt; € 1.000.000</w:t>
            </w:r>
          </w:p>
        </w:tc>
        <w:tc>
          <w:tcPr>
            <w:tcW w:w="864"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11.687</w:t>
            </w:r>
          </w:p>
        </w:tc>
        <w:tc>
          <w:tcPr>
            <w:tcW w:w="92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13.565</w:t>
            </w:r>
          </w:p>
        </w:tc>
        <w:tc>
          <w:tcPr>
            <w:tcW w:w="85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16,1%</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4.331.292.619</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5.370.405.017</w:t>
            </w:r>
          </w:p>
        </w:tc>
        <w:tc>
          <w:tcPr>
            <w:tcW w:w="888"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24,0%</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422"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rPr>
            </w:pPr>
          </w:p>
        </w:tc>
        <w:tc>
          <w:tcPr>
            <w:tcW w:w="2467"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 € 1.000.000 &lt;€ 5.000.000</w:t>
            </w:r>
          </w:p>
        </w:tc>
        <w:tc>
          <w:tcPr>
            <w:tcW w:w="864"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1.481</w:t>
            </w:r>
          </w:p>
        </w:tc>
        <w:tc>
          <w:tcPr>
            <w:tcW w:w="92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1.975</w:t>
            </w:r>
          </w:p>
        </w:tc>
        <w:tc>
          <w:tcPr>
            <w:tcW w:w="85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33,4%</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3.223.807.008</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4.299.298.924</w:t>
            </w:r>
          </w:p>
        </w:tc>
        <w:tc>
          <w:tcPr>
            <w:tcW w:w="888"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33,4%</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422"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rPr>
            </w:pPr>
          </w:p>
        </w:tc>
        <w:tc>
          <w:tcPr>
            <w:tcW w:w="2467"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 € 5.000.000 &lt; € 25.000.000</w:t>
            </w:r>
          </w:p>
        </w:tc>
        <w:tc>
          <w:tcPr>
            <w:tcW w:w="864"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403</w:t>
            </w:r>
          </w:p>
        </w:tc>
        <w:tc>
          <w:tcPr>
            <w:tcW w:w="92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477</w:t>
            </w:r>
          </w:p>
        </w:tc>
        <w:tc>
          <w:tcPr>
            <w:tcW w:w="85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18,4%</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3.938.444.680</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4.754.713.706</w:t>
            </w:r>
          </w:p>
        </w:tc>
        <w:tc>
          <w:tcPr>
            <w:tcW w:w="888"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20,7%</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422"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rPr>
            </w:pPr>
          </w:p>
        </w:tc>
        <w:tc>
          <w:tcPr>
            <w:tcW w:w="2467"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 € 25.000.000</w:t>
            </w:r>
          </w:p>
        </w:tc>
        <w:tc>
          <w:tcPr>
            <w:tcW w:w="864"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91</w:t>
            </w:r>
          </w:p>
        </w:tc>
        <w:tc>
          <w:tcPr>
            <w:tcW w:w="92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71</w:t>
            </w:r>
          </w:p>
        </w:tc>
        <w:tc>
          <w:tcPr>
            <w:tcW w:w="85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-22,0%</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7.642.272.952</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7.186.465.092</w:t>
            </w:r>
          </w:p>
        </w:tc>
        <w:tc>
          <w:tcPr>
            <w:tcW w:w="888"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-6,0%</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422"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rPr>
            </w:pPr>
          </w:p>
        </w:tc>
        <w:tc>
          <w:tcPr>
            <w:tcW w:w="2467"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rPr>
            </w:pPr>
            <w:r w:rsidRPr="00BD36D2">
              <w:rPr>
                <w:rFonts w:ascii="Garamond" w:eastAsia="Times New Roman" w:hAnsi="Garamond"/>
                <w:b/>
                <w:i/>
                <w:color w:val="000000"/>
              </w:rPr>
              <w:t>Totale Lavori</w:t>
            </w:r>
          </w:p>
        </w:tc>
        <w:tc>
          <w:tcPr>
            <w:tcW w:w="864"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rPr>
            </w:pPr>
            <w:r w:rsidRPr="00BD36D2">
              <w:rPr>
                <w:rFonts w:ascii="Garamond" w:eastAsia="Times New Roman" w:hAnsi="Garamond"/>
                <w:b/>
                <w:i/>
                <w:color w:val="000000"/>
              </w:rPr>
              <w:t>30.105</w:t>
            </w:r>
          </w:p>
        </w:tc>
        <w:tc>
          <w:tcPr>
            <w:tcW w:w="92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rPr>
            </w:pPr>
            <w:r w:rsidRPr="00BD36D2">
              <w:rPr>
                <w:rFonts w:ascii="Garamond" w:eastAsia="Times New Roman" w:hAnsi="Garamond"/>
                <w:b/>
                <w:i/>
                <w:color w:val="000000"/>
              </w:rPr>
              <w:t>33.421</w:t>
            </w:r>
          </w:p>
        </w:tc>
        <w:tc>
          <w:tcPr>
            <w:tcW w:w="85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rPr>
            </w:pPr>
            <w:r w:rsidRPr="00BD36D2">
              <w:rPr>
                <w:rFonts w:ascii="Garamond" w:eastAsia="Times New Roman" w:hAnsi="Garamond"/>
                <w:b/>
                <w:i/>
                <w:color w:val="000000"/>
              </w:rPr>
              <w:t>11,0%</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rPr>
            </w:pPr>
            <w:r w:rsidRPr="00BD36D2">
              <w:rPr>
                <w:rFonts w:ascii="Garamond" w:eastAsia="Times New Roman" w:hAnsi="Garamond"/>
                <w:b/>
                <w:i/>
                <w:color w:val="000000"/>
              </w:rPr>
              <w:t>20.579.167.327</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rPr>
            </w:pPr>
            <w:r w:rsidRPr="00BD36D2">
              <w:rPr>
                <w:rFonts w:ascii="Garamond" w:eastAsia="Times New Roman" w:hAnsi="Garamond"/>
                <w:b/>
                <w:i/>
                <w:color w:val="000000"/>
              </w:rPr>
              <w:t>23.156.087.181</w:t>
            </w:r>
          </w:p>
        </w:tc>
        <w:tc>
          <w:tcPr>
            <w:tcW w:w="888"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rPr>
            </w:pPr>
            <w:r w:rsidRPr="00BD36D2">
              <w:rPr>
                <w:rFonts w:ascii="Garamond" w:eastAsia="Times New Roman" w:hAnsi="Garamond"/>
                <w:b/>
                <w:i/>
                <w:color w:val="000000"/>
              </w:rPr>
              <w:t>12,5%</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422" w:type="dxa"/>
            <w:vMerge w:val="restart"/>
            <w:tcBorders>
              <w:top w:val="single" w:sz="8" w:space="0" w:color="7BA0CD"/>
              <w:left w:val="single" w:sz="8" w:space="0" w:color="7BA0CD"/>
              <w:bottom w:val="single" w:sz="8" w:space="0" w:color="7BA0CD"/>
              <w:right w:val="single" w:sz="8" w:space="0" w:color="7BA0CD"/>
            </w:tcBorders>
            <w:textDirection w:val="btLr"/>
            <w:vAlign w:val="center"/>
            <w:hideMark/>
          </w:tcPr>
          <w:p w:rsidR="00BD36D2" w:rsidRPr="00BD36D2" w:rsidRDefault="00BD36D2" w:rsidP="00BD36D2">
            <w:pPr>
              <w:spacing w:line="360" w:lineRule="auto"/>
              <w:ind w:left="113" w:right="113"/>
              <w:jc w:val="center"/>
              <w:rPr>
                <w:rFonts w:ascii="Garamond" w:eastAsia="Times New Roman" w:hAnsi="Garamond"/>
                <w:color w:val="000000"/>
              </w:rPr>
            </w:pPr>
            <w:r w:rsidRPr="00BD36D2">
              <w:rPr>
                <w:rFonts w:ascii="Garamond" w:eastAsia="Times New Roman" w:hAnsi="Garamond"/>
                <w:color w:val="000000"/>
              </w:rPr>
              <w:t>Servizi</w:t>
            </w:r>
          </w:p>
        </w:tc>
        <w:tc>
          <w:tcPr>
            <w:tcW w:w="2467"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 € 40.000 &lt; € 150.000</w:t>
            </w:r>
          </w:p>
        </w:tc>
        <w:tc>
          <w:tcPr>
            <w:tcW w:w="864"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28.488</w:t>
            </w:r>
          </w:p>
        </w:tc>
        <w:tc>
          <w:tcPr>
            <w:tcW w:w="92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30.455</w:t>
            </w:r>
          </w:p>
        </w:tc>
        <w:tc>
          <w:tcPr>
            <w:tcW w:w="85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6,9%</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2.317.345.871</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2.518.699.902</w:t>
            </w:r>
          </w:p>
        </w:tc>
        <w:tc>
          <w:tcPr>
            <w:tcW w:w="888"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8,7%</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422"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rPr>
            </w:pPr>
          </w:p>
        </w:tc>
        <w:tc>
          <w:tcPr>
            <w:tcW w:w="2467"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 € 150.000  &lt; € 1.000.000</w:t>
            </w:r>
          </w:p>
        </w:tc>
        <w:tc>
          <w:tcPr>
            <w:tcW w:w="864"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16.612</w:t>
            </w:r>
          </w:p>
        </w:tc>
        <w:tc>
          <w:tcPr>
            <w:tcW w:w="92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19.680</w:t>
            </w:r>
          </w:p>
        </w:tc>
        <w:tc>
          <w:tcPr>
            <w:tcW w:w="85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18,5%</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5.580.819.518</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6.783.479.524</w:t>
            </w:r>
          </w:p>
        </w:tc>
        <w:tc>
          <w:tcPr>
            <w:tcW w:w="888"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21,5%</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422"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rPr>
            </w:pPr>
          </w:p>
        </w:tc>
        <w:tc>
          <w:tcPr>
            <w:tcW w:w="2467"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 € 1.000.000 &lt;€ 5.000.000</w:t>
            </w:r>
          </w:p>
        </w:tc>
        <w:tc>
          <w:tcPr>
            <w:tcW w:w="864"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3.711</w:t>
            </w:r>
          </w:p>
        </w:tc>
        <w:tc>
          <w:tcPr>
            <w:tcW w:w="92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4.339</w:t>
            </w:r>
          </w:p>
        </w:tc>
        <w:tc>
          <w:tcPr>
            <w:tcW w:w="85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16,9%</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8.058.431.238</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9.426.027.276</w:t>
            </w:r>
          </w:p>
        </w:tc>
        <w:tc>
          <w:tcPr>
            <w:tcW w:w="888"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17,0%</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422"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rPr>
            </w:pPr>
          </w:p>
        </w:tc>
        <w:tc>
          <w:tcPr>
            <w:tcW w:w="2467"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 € 5.000.000 &lt; €25.000.000</w:t>
            </w:r>
          </w:p>
        </w:tc>
        <w:tc>
          <w:tcPr>
            <w:tcW w:w="864"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1.035</w:t>
            </w:r>
          </w:p>
        </w:tc>
        <w:tc>
          <w:tcPr>
            <w:tcW w:w="92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1.296</w:t>
            </w:r>
          </w:p>
        </w:tc>
        <w:tc>
          <w:tcPr>
            <w:tcW w:w="85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25,2%</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10.707.715.312</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13.653.617.794</w:t>
            </w:r>
          </w:p>
        </w:tc>
        <w:tc>
          <w:tcPr>
            <w:tcW w:w="888"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27,5%</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422"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rPr>
            </w:pPr>
          </w:p>
        </w:tc>
        <w:tc>
          <w:tcPr>
            <w:tcW w:w="2467"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 € 25.000.000</w:t>
            </w:r>
          </w:p>
        </w:tc>
        <w:tc>
          <w:tcPr>
            <w:tcW w:w="864"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238</w:t>
            </w:r>
          </w:p>
        </w:tc>
        <w:tc>
          <w:tcPr>
            <w:tcW w:w="92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336</w:t>
            </w:r>
          </w:p>
        </w:tc>
        <w:tc>
          <w:tcPr>
            <w:tcW w:w="85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41,2%</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20.367.101.505</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26.964.252.438</w:t>
            </w:r>
          </w:p>
        </w:tc>
        <w:tc>
          <w:tcPr>
            <w:tcW w:w="888"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32,4%</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422"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rPr>
            </w:pPr>
          </w:p>
        </w:tc>
        <w:tc>
          <w:tcPr>
            <w:tcW w:w="2467"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rPr>
            </w:pPr>
            <w:r w:rsidRPr="00BD36D2">
              <w:rPr>
                <w:rFonts w:ascii="Garamond" w:eastAsia="Times New Roman" w:hAnsi="Garamond"/>
                <w:b/>
                <w:i/>
                <w:color w:val="000000"/>
              </w:rPr>
              <w:t>Totale Servizi</w:t>
            </w:r>
          </w:p>
        </w:tc>
        <w:tc>
          <w:tcPr>
            <w:tcW w:w="864"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rPr>
            </w:pPr>
            <w:r w:rsidRPr="00BD36D2">
              <w:rPr>
                <w:rFonts w:ascii="Garamond" w:eastAsia="Times New Roman" w:hAnsi="Garamond"/>
                <w:b/>
                <w:i/>
                <w:color w:val="000000"/>
              </w:rPr>
              <w:t>50.084</w:t>
            </w:r>
          </w:p>
        </w:tc>
        <w:tc>
          <w:tcPr>
            <w:tcW w:w="92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rPr>
            </w:pPr>
            <w:r w:rsidRPr="00BD36D2">
              <w:rPr>
                <w:rFonts w:ascii="Garamond" w:eastAsia="Times New Roman" w:hAnsi="Garamond"/>
                <w:b/>
                <w:i/>
                <w:color w:val="000000"/>
              </w:rPr>
              <w:t>56.106</w:t>
            </w:r>
          </w:p>
        </w:tc>
        <w:tc>
          <w:tcPr>
            <w:tcW w:w="85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rPr>
            </w:pPr>
            <w:r w:rsidRPr="00BD36D2">
              <w:rPr>
                <w:rFonts w:ascii="Garamond" w:eastAsia="Times New Roman" w:hAnsi="Garamond"/>
                <w:b/>
                <w:i/>
                <w:color w:val="000000"/>
              </w:rPr>
              <w:t>12,0%</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rPr>
            </w:pPr>
            <w:r w:rsidRPr="00BD36D2">
              <w:rPr>
                <w:rFonts w:ascii="Garamond" w:eastAsia="Times New Roman" w:hAnsi="Garamond"/>
                <w:b/>
                <w:i/>
                <w:color w:val="000000"/>
              </w:rPr>
              <w:t>47.031.413.442</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rPr>
            </w:pPr>
            <w:r w:rsidRPr="00BD36D2">
              <w:rPr>
                <w:rFonts w:ascii="Garamond" w:eastAsia="Times New Roman" w:hAnsi="Garamond"/>
                <w:b/>
                <w:i/>
                <w:color w:val="000000"/>
              </w:rPr>
              <w:t>59.346.076.934</w:t>
            </w:r>
          </w:p>
        </w:tc>
        <w:tc>
          <w:tcPr>
            <w:tcW w:w="888"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rPr>
            </w:pPr>
            <w:r w:rsidRPr="00BD36D2">
              <w:rPr>
                <w:rFonts w:ascii="Garamond" w:eastAsia="Times New Roman" w:hAnsi="Garamond"/>
                <w:b/>
                <w:i/>
                <w:color w:val="000000"/>
              </w:rPr>
              <w:t>26,2%</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2889" w:type="dxa"/>
            <w:gridSpan w:val="2"/>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right"/>
              <w:rPr>
                <w:rFonts w:ascii="Garamond" w:eastAsia="Times New Roman" w:hAnsi="Garamond"/>
              </w:rPr>
            </w:pPr>
            <w:r w:rsidRPr="00BD36D2">
              <w:rPr>
                <w:rFonts w:ascii="Garamond" w:eastAsia="Times New Roman" w:hAnsi="Garamond"/>
              </w:rPr>
              <w:t>Totale generale</w:t>
            </w:r>
          </w:p>
        </w:tc>
        <w:tc>
          <w:tcPr>
            <w:tcW w:w="864"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color w:val="000000"/>
              </w:rPr>
            </w:pPr>
            <w:r w:rsidRPr="00BD36D2">
              <w:rPr>
                <w:rFonts w:ascii="Garamond" w:eastAsia="Times New Roman" w:hAnsi="Garamond"/>
                <w:b/>
                <w:color w:val="000000"/>
              </w:rPr>
              <w:t>118.989</w:t>
            </w:r>
          </w:p>
        </w:tc>
        <w:tc>
          <w:tcPr>
            <w:tcW w:w="92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color w:val="000000"/>
              </w:rPr>
            </w:pPr>
            <w:r w:rsidRPr="00BD36D2">
              <w:rPr>
                <w:rFonts w:ascii="Garamond" w:eastAsia="Times New Roman" w:hAnsi="Garamond"/>
                <w:b/>
                <w:color w:val="000000"/>
              </w:rPr>
              <w:t>137.237</w:t>
            </w:r>
          </w:p>
        </w:tc>
        <w:tc>
          <w:tcPr>
            <w:tcW w:w="85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color w:val="000000"/>
              </w:rPr>
            </w:pPr>
            <w:r w:rsidRPr="00BD36D2">
              <w:rPr>
                <w:rFonts w:ascii="Garamond" w:eastAsia="Times New Roman" w:hAnsi="Garamond"/>
                <w:b/>
                <w:color w:val="000000"/>
              </w:rPr>
              <w:t>15,3%</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color w:val="000000"/>
              </w:rPr>
            </w:pPr>
            <w:r w:rsidRPr="00BD36D2">
              <w:rPr>
                <w:rFonts w:ascii="Garamond" w:eastAsia="Times New Roman" w:hAnsi="Garamond"/>
                <w:b/>
                <w:color w:val="000000"/>
              </w:rPr>
              <w:t>102.042.832.694</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color w:val="000000"/>
              </w:rPr>
            </w:pPr>
            <w:r w:rsidRPr="00BD36D2">
              <w:rPr>
                <w:rFonts w:ascii="Garamond" w:eastAsia="Times New Roman" w:hAnsi="Garamond"/>
                <w:b/>
                <w:color w:val="000000"/>
              </w:rPr>
              <w:t>138.974.994.432</w:t>
            </w:r>
          </w:p>
        </w:tc>
        <w:tc>
          <w:tcPr>
            <w:tcW w:w="888"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color w:val="000000"/>
              </w:rPr>
            </w:pPr>
            <w:r w:rsidRPr="00BD36D2">
              <w:rPr>
                <w:rFonts w:ascii="Garamond" w:eastAsia="Times New Roman" w:hAnsi="Garamond"/>
                <w:b/>
                <w:color w:val="000000"/>
              </w:rPr>
              <w:t>36,2%</w:t>
            </w:r>
          </w:p>
        </w:tc>
      </w:tr>
    </w:tbl>
    <w:p w:rsidR="00BD36D2" w:rsidRPr="00BD36D2" w:rsidRDefault="00BD36D2" w:rsidP="00BD36D2">
      <w:pPr>
        <w:spacing w:after="120" w:line="360" w:lineRule="auto"/>
        <w:jc w:val="both"/>
        <w:rPr>
          <w:rFonts w:ascii="Garamond" w:eastAsia="Times New Roman" w:hAnsi="Garamond" w:cs="Times New Roman"/>
          <w:i/>
          <w:sz w:val="20"/>
          <w:szCs w:val="20"/>
          <w:lang w:eastAsia="it-IT"/>
        </w:rPr>
      </w:pPr>
    </w:p>
    <w:p w:rsidR="00BD36D2" w:rsidRPr="001E3A34" w:rsidRDefault="00BD36D2" w:rsidP="00387085">
      <w:pPr>
        <w:spacing w:after="0" w:line="360" w:lineRule="auto"/>
        <w:jc w:val="both"/>
        <w:rPr>
          <w:rFonts w:ascii="Times New Roman" w:eastAsia="Calibri" w:hAnsi="Times New Roman" w:cs="Times New Roman"/>
          <w:sz w:val="24"/>
          <w:szCs w:val="24"/>
          <w:lang w:eastAsia="it-IT"/>
        </w:rPr>
      </w:pPr>
      <w:r w:rsidRPr="001E3A34">
        <w:rPr>
          <w:rFonts w:ascii="Times New Roman" w:eastAsia="Calibri" w:hAnsi="Times New Roman" w:cs="Times New Roman"/>
          <w:sz w:val="24"/>
          <w:szCs w:val="24"/>
          <w:lang w:eastAsia="it-IT"/>
        </w:rPr>
        <w:t xml:space="preserve">La figura 5 evidenzia come nello stesso quinquennio 2013-2017, l’importo medio dei lotti per tipologia di contratto veda una crescita rilevante dell’importo medio per le forniture che aumenta, rispetto al 2013, del 101% e, rispetto al precedente anno, del 33,4%. Analogamente per l’importo medio dei servizi, che registra un aumento del 52,3% rispetto al 2013 e del 12,6% rispetto all’anno precedente. Tali dati sono sostanzialmente coerenti con le evidenze degli ultimi anni nei quali il </w:t>
      </w:r>
      <w:r w:rsidRPr="001E3A34">
        <w:rPr>
          <w:rFonts w:ascii="Times New Roman" w:eastAsia="Calibri" w:hAnsi="Times New Roman" w:cs="Times New Roman"/>
          <w:sz w:val="24"/>
          <w:szCs w:val="24"/>
          <w:lang w:eastAsia="it-IT"/>
        </w:rPr>
        <w:lastRenderedPageBreak/>
        <w:t>numero delle procedure di affidamento che, ad eccezione dell’anno precedente, è sostanzialmente invariato nel</w:t>
      </w:r>
      <w:r w:rsidRPr="00BD36D2">
        <w:rPr>
          <w:rFonts w:ascii="Garamond" w:eastAsia="Calibri" w:hAnsi="Garamond" w:cs="Times New Roman"/>
          <w:sz w:val="24"/>
          <w:szCs w:val="24"/>
          <w:lang w:eastAsia="it-IT"/>
        </w:rPr>
        <w:t xml:space="preserve"> </w:t>
      </w:r>
      <w:r w:rsidRPr="001E3A34">
        <w:rPr>
          <w:rFonts w:ascii="Times New Roman" w:eastAsia="Calibri" w:hAnsi="Times New Roman" w:cs="Times New Roman"/>
          <w:sz w:val="24"/>
          <w:szCs w:val="24"/>
          <w:lang w:eastAsia="it-IT"/>
        </w:rPr>
        <w:t>quinquennio in esame, è associato a un maggior importo a base di gara per effetto</w:t>
      </w:r>
      <w:r w:rsidRPr="00BD36D2">
        <w:rPr>
          <w:rFonts w:ascii="Garamond" w:eastAsia="Calibri" w:hAnsi="Garamond" w:cs="Times New Roman"/>
          <w:sz w:val="24"/>
          <w:szCs w:val="24"/>
          <w:lang w:eastAsia="it-IT"/>
        </w:rPr>
        <w:t xml:space="preserve"> </w:t>
      </w:r>
      <w:r w:rsidRPr="001E3A34">
        <w:rPr>
          <w:rFonts w:ascii="Times New Roman" w:eastAsia="Calibri" w:hAnsi="Times New Roman" w:cs="Times New Roman"/>
          <w:sz w:val="24"/>
          <w:szCs w:val="24"/>
          <w:lang w:eastAsia="it-IT"/>
        </w:rPr>
        <w:t>soprattutto di appalti banditi da soggetti aggregatori/centrali di committenza o da stazioni appaltanti di grandi dimensioni.</w:t>
      </w:r>
    </w:p>
    <w:p w:rsidR="00BD36D2" w:rsidRPr="00203DB4" w:rsidRDefault="00BD36D2" w:rsidP="00387085">
      <w:pPr>
        <w:spacing w:after="0" w:line="240" w:lineRule="auto"/>
        <w:jc w:val="center"/>
        <w:rPr>
          <w:rFonts w:ascii="Times New Roman" w:eastAsia="Times New Roman" w:hAnsi="Times New Roman" w:cs="Times New Roman"/>
          <w:b/>
          <w:noProof/>
          <w:lang w:eastAsia="it-IT"/>
        </w:rPr>
      </w:pPr>
    </w:p>
    <w:p w:rsidR="00BD36D2" w:rsidRPr="00BD36D2" w:rsidRDefault="00BD36D2" w:rsidP="00BD36D2">
      <w:pPr>
        <w:spacing w:after="0" w:line="240" w:lineRule="auto"/>
        <w:jc w:val="both"/>
        <w:rPr>
          <w:rFonts w:ascii="Garamond" w:eastAsia="Calibri" w:hAnsi="Garamond" w:cs="Times New Roman"/>
          <w:b/>
          <w:lang w:eastAsia="it-IT"/>
        </w:rPr>
      </w:pPr>
      <w:r w:rsidRPr="00BD36D2">
        <w:rPr>
          <w:rFonts w:ascii="Garamond" w:eastAsia="Calibri" w:hAnsi="Garamond" w:cs="Times New Roman"/>
          <w:b/>
          <w:lang w:eastAsia="it-IT"/>
        </w:rPr>
        <w:t xml:space="preserve">Figura 5 Dinamica del numero totale dei lotti e del loro importo medio per tipologia di contratto (procedure di </w:t>
      </w:r>
      <w:r w:rsidRPr="00BD36D2">
        <w:rPr>
          <w:rFonts w:ascii="Garamond" w:eastAsia="Times New Roman" w:hAnsi="Garamond" w:cs="Times New Roman"/>
          <w:b/>
          <w:lang w:eastAsia="it-IT"/>
        </w:rPr>
        <w:t xml:space="preserve">importo uguale o superiore a 40.000 euro, settori ordinario e speciale, </w:t>
      </w:r>
      <w:r w:rsidRPr="00BD36D2">
        <w:rPr>
          <w:rFonts w:ascii="Garamond" w:eastAsia="Calibri" w:hAnsi="Garamond" w:cs="Times New Roman"/>
          <w:b/>
          <w:lang w:eastAsia="it-IT"/>
        </w:rPr>
        <w:t>2013-2017)</w:t>
      </w:r>
    </w:p>
    <w:p w:rsidR="00BD36D2" w:rsidRPr="00BD36D2" w:rsidRDefault="00BD36D2" w:rsidP="00BD36D2">
      <w:pPr>
        <w:spacing w:after="0" w:line="240" w:lineRule="auto"/>
        <w:jc w:val="both"/>
        <w:rPr>
          <w:rFonts w:ascii="Times New Roman" w:eastAsia="Times New Roman" w:hAnsi="Times New Roman" w:cs="Times New Roman"/>
          <w:b/>
          <w:noProof/>
          <w:lang w:eastAsia="it-IT"/>
        </w:rPr>
      </w:pPr>
    </w:p>
    <w:p w:rsidR="00BD36D2" w:rsidRPr="00BD36D2" w:rsidRDefault="00BD36D2" w:rsidP="00BD36D2">
      <w:pPr>
        <w:spacing w:after="0" w:line="360" w:lineRule="auto"/>
        <w:jc w:val="center"/>
        <w:rPr>
          <w:rFonts w:ascii="Times New Roman" w:eastAsia="Times New Roman" w:hAnsi="Times New Roman" w:cs="Times New Roman"/>
          <w:noProof/>
          <w:sz w:val="24"/>
          <w:szCs w:val="24"/>
          <w:lang w:eastAsia="it-IT"/>
        </w:rPr>
      </w:pPr>
      <w:r w:rsidRPr="00BD36D2">
        <w:rPr>
          <w:rFonts w:ascii="Times New Roman" w:eastAsia="Times New Roman" w:hAnsi="Times New Roman" w:cs="Times New Roman"/>
          <w:noProof/>
          <w:sz w:val="24"/>
          <w:szCs w:val="24"/>
          <w:lang w:eastAsia="it-IT"/>
        </w:rPr>
        <w:drawing>
          <wp:inline distT="0" distB="0" distL="0" distR="0" wp14:anchorId="3556694E" wp14:editId="4F129639">
            <wp:extent cx="5562600" cy="2590800"/>
            <wp:effectExtent l="0" t="0" r="19050" b="19050"/>
            <wp:docPr id="32" name="Gra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D36D2" w:rsidRPr="00BD36D2" w:rsidRDefault="00BD36D2" w:rsidP="00401F46">
      <w:pPr>
        <w:spacing w:after="0" w:line="240" w:lineRule="auto"/>
        <w:jc w:val="both"/>
        <w:rPr>
          <w:rFonts w:ascii="Garamond" w:eastAsia="Times New Roman" w:hAnsi="Garamond" w:cs="Times New Roman"/>
          <w:i/>
          <w:sz w:val="20"/>
          <w:szCs w:val="20"/>
          <w:lang w:eastAsia="it-IT"/>
        </w:rPr>
      </w:pPr>
    </w:p>
    <w:p w:rsidR="00203DB4" w:rsidRDefault="00BD36D2" w:rsidP="00401F46">
      <w:pPr>
        <w:spacing w:after="0" w:line="360" w:lineRule="auto"/>
        <w:jc w:val="both"/>
        <w:rPr>
          <w:rFonts w:ascii="Times New Roman" w:eastAsia="Calibri" w:hAnsi="Times New Roman" w:cs="Times New Roman"/>
          <w:sz w:val="24"/>
          <w:szCs w:val="24"/>
          <w:lang w:eastAsia="it-IT"/>
        </w:rPr>
      </w:pPr>
      <w:r w:rsidRPr="001E3A34">
        <w:rPr>
          <w:rFonts w:ascii="Times New Roman" w:eastAsia="Calibri" w:hAnsi="Times New Roman" w:cs="Times New Roman"/>
          <w:sz w:val="24"/>
          <w:szCs w:val="24"/>
          <w:lang w:eastAsia="it-IT"/>
        </w:rPr>
        <w:t>Infine, come si evince dalla figura 6, nel quinquennio in esame continua a essere confermato l’andamento quasi perfettamente parallelo tra la distribuzione del numero di gare rispetto a quella del numero dei lotti, con la conseguenza che il numero medio di lotti associato a ciascuna gara rimane sostanzialmente costante.</w:t>
      </w:r>
    </w:p>
    <w:p w:rsidR="00BD36D2" w:rsidRPr="001E3A34" w:rsidRDefault="00BD36D2" w:rsidP="00203DB4">
      <w:pPr>
        <w:spacing w:after="0" w:line="240" w:lineRule="auto"/>
        <w:jc w:val="both"/>
        <w:rPr>
          <w:rFonts w:ascii="Times New Roman" w:eastAsia="Calibri" w:hAnsi="Times New Roman" w:cs="Times New Roman"/>
          <w:sz w:val="24"/>
          <w:szCs w:val="24"/>
          <w:lang w:eastAsia="it-IT"/>
        </w:rPr>
      </w:pPr>
    </w:p>
    <w:p w:rsidR="00203DB4" w:rsidRDefault="00BD36D2" w:rsidP="00203DB4">
      <w:pPr>
        <w:spacing w:after="0" w:line="240" w:lineRule="auto"/>
        <w:jc w:val="center"/>
        <w:rPr>
          <w:rFonts w:ascii="Garamond" w:eastAsia="Calibri" w:hAnsi="Garamond" w:cs="Times New Roman"/>
          <w:b/>
          <w:lang w:eastAsia="it-IT"/>
        </w:rPr>
      </w:pPr>
      <w:r w:rsidRPr="00BD36D2">
        <w:rPr>
          <w:rFonts w:ascii="Garamond" w:eastAsia="Calibri" w:hAnsi="Garamond" w:cs="Times New Roman"/>
          <w:b/>
          <w:lang w:eastAsia="it-IT"/>
        </w:rPr>
        <w:t>Figura 6 Distribuzione nel quinquennio 2013-2017 del numero delle gare e dei lotti,</w:t>
      </w:r>
    </w:p>
    <w:p w:rsidR="00BD36D2" w:rsidRDefault="00BD36D2" w:rsidP="00203DB4">
      <w:pPr>
        <w:spacing w:after="0" w:line="240" w:lineRule="auto"/>
        <w:jc w:val="center"/>
        <w:rPr>
          <w:rFonts w:ascii="Garamond" w:eastAsia="Times New Roman" w:hAnsi="Garamond" w:cs="Times New Roman"/>
          <w:b/>
          <w:lang w:eastAsia="it-IT"/>
        </w:rPr>
      </w:pPr>
      <w:r w:rsidRPr="00BD36D2">
        <w:rPr>
          <w:rFonts w:ascii="Garamond" w:eastAsia="Calibri" w:hAnsi="Garamond" w:cs="Times New Roman"/>
          <w:b/>
          <w:lang w:eastAsia="it-IT"/>
        </w:rPr>
        <w:t xml:space="preserve">per  procedure di </w:t>
      </w:r>
      <w:r w:rsidRPr="00BD36D2">
        <w:rPr>
          <w:rFonts w:ascii="Garamond" w:eastAsia="Times New Roman" w:hAnsi="Garamond" w:cs="Times New Roman"/>
          <w:b/>
          <w:lang w:eastAsia="it-IT"/>
        </w:rPr>
        <w:t xml:space="preserve">importo uguale o superiore a 40.000 euro </w:t>
      </w:r>
    </w:p>
    <w:p w:rsidR="00203DB4" w:rsidRPr="00BD36D2" w:rsidRDefault="00203DB4" w:rsidP="00203DB4">
      <w:pPr>
        <w:spacing w:after="0" w:line="240" w:lineRule="auto"/>
        <w:jc w:val="center"/>
        <w:rPr>
          <w:rFonts w:ascii="Times New Roman" w:eastAsia="Times New Roman" w:hAnsi="Times New Roman" w:cs="Times New Roman"/>
          <w:b/>
          <w:noProof/>
          <w:lang w:eastAsia="it-IT"/>
        </w:rPr>
      </w:pPr>
    </w:p>
    <w:p w:rsidR="00BD36D2" w:rsidRPr="00BD36D2" w:rsidRDefault="00BD36D2" w:rsidP="00BD36D2">
      <w:pPr>
        <w:spacing w:after="0" w:line="360" w:lineRule="auto"/>
        <w:jc w:val="center"/>
        <w:rPr>
          <w:rFonts w:ascii="Times New Roman" w:eastAsia="Times New Roman" w:hAnsi="Times New Roman" w:cs="Times New Roman"/>
          <w:sz w:val="24"/>
          <w:szCs w:val="24"/>
          <w:lang w:eastAsia="it-IT"/>
        </w:rPr>
      </w:pPr>
      <w:r w:rsidRPr="00BD36D2">
        <w:rPr>
          <w:rFonts w:ascii="Times New Roman" w:eastAsia="Times New Roman" w:hAnsi="Times New Roman" w:cs="Times New Roman"/>
          <w:noProof/>
          <w:sz w:val="24"/>
          <w:szCs w:val="24"/>
          <w:lang w:eastAsia="it-IT"/>
        </w:rPr>
        <w:drawing>
          <wp:inline distT="0" distB="0" distL="0" distR="0" wp14:anchorId="1719EE16" wp14:editId="58CF929D">
            <wp:extent cx="5334000" cy="2714625"/>
            <wp:effectExtent l="0" t="0" r="19050" b="9525"/>
            <wp:docPr id="33" name="Gra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D36D2" w:rsidRPr="00425947" w:rsidRDefault="00BD36D2" w:rsidP="00AA30F5">
      <w:pPr>
        <w:keepNext/>
        <w:keepLines/>
        <w:numPr>
          <w:ilvl w:val="1"/>
          <w:numId w:val="26"/>
        </w:numPr>
        <w:tabs>
          <w:tab w:val="left" w:pos="426"/>
        </w:tabs>
        <w:spacing w:before="200" w:after="0" w:line="240" w:lineRule="auto"/>
        <w:ind w:left="426" w:hanging="426"/>
        <w:contextualSpacing/>
        <w:outlineLvl w:val="2"/>
        <w:rPr>
          <w:rFonts w:ascii="Times New Roman" w:eastAsiaTheme="majorEastAsia" w:hAnsi="Times New Roman" w:cs="Times New Roman"/>
          <w:b/>
          <w:bCs/>
          <w:sz w:val="24"/>
          <w:szCs w:val="24"/>
          <w:lang w:eastAsia="it-IT"/>
        </w:rPr>
      </w:pPr>
      <w:bookmarkStart w:id="13" w:name="_Toc513486424"/>
      <w:bookmarkStart w:id="14" w:name="_Toc515035684"/>
      <w:r w:rsidRPr="00425947">
        <w:rPr>
          <w:rFonts w:ascii="Times New Roman" w:eastAsiaTheme="majorEastAsia" w:hAnsi="Times New Roman" w:cs="Times New Roman"/>
          <w:b/>
          <w:bCs/>
          <w:sz w:val="24"/>
          <w:szCs w:val="24"/>
          <w:lang w:eastAsia="it-IT"/>
        </w:rPr>
        <w:lastRenderedPageBreak/>
        <w:t>La modalità di scelta del contraente</w:t>
      </w:r>
      <w:bookmarkEnd w:id="13"/>
      <w:bookmarkEnd w:id="14"/>
    </w:p>
    <w:p w:rsidR="00BD36D2" w:rsidRPr="001E3A34" w:rsidRDefault="00BD36D2" w:rsidP="00BD36D2">
      <w:pPr>
        <w:spacing w:after="0" w:line="360" w:lineRule="auto"/>
        <w:jc w:val="both"/>
        <w:rPr>
          <w:rFonts w:ascii="Times New Roman" w:eastAsia="Calibri" w:hAnsi="Times New Roman" w:cs="Times New Roman"/>
          <w:sz w:val="24"/>
          <w:szCs w:val="24"/>
          <w:lang w:eastAsia="it-IT"/>
        </w:rPr>
      </w:pPr>
    </w:p>
    <w:p w:rsidR="00BD36D2" w:rsidRPr="001E3A34" w:rsidRDefault="00BD36D2" w:rsidP="00BD36D2">
      <w:pPr>
        <w:spacing w:after="0" w:line="360" w:lineRule="auto"/>
        <w:jc w:val="both"/>
        <w:rPr>
          <w:rFonts w:ascii="Times New Roman" w:eastAsia="Calibri" w:hAnsi="Times New Roman" w:cs="Times New Roman"/>
          <w:sz w:val="24"/>
          <w:szCs w:val="24"/>
          <w:lang w:eastAsia="it-IT"/>
        </w:rPr>
      </w:pPr>
      <w:r w:rsidRPr="001E3A34">
        <w:rPr>
          <w:rFonts w:ascii="Times New Roman" w:eastAsia="Calibri" w:hAnsi="Times New Roman" w:cs="Times New Roman"/>
          <w:sz w:val="24"/>
          <w:szCs w:val="24"/>
          <w:lang w:eastAsia="it-IT"/>
        </w:rPr>
        <w:t xml:space="preserve">Con l’entrata in vigore del Codice si è registrato un forte ricorso al sistema dinamico di acquisizione (SDA). Dall’analisi di cui alle tabelle 5, 6, 7 e 8 si rileva che, in termini di numerosità, con la procedura aperta si sono assegnate nel 2017 circa il 23,5% delle procedure totali, mentre, nel 46% e nel 20,7% dei casi (per un totale di ben il 66,7%), le SA sono ricorse ad una procedura negoziata (con o senza bando) o all’affidamento diretto. </w:t>
      </w:r>
    </w:p>
    <w:p w:rsidR="00BD36D2" w:rsidRPr="001E3A34" w:rsidRDefault="00BD36D2" w:rsidP="00BD36D2">
      <w:pPr>
        <w:spacing w:after="0" w:line="360" w:lineRule="auto"/>
        <w:jc w:val="both"/>
        <w:rPr>
          <w:rFonts w:ascii="Times New Roman" w:eastAsia="Calibri" w:hAnsi="Times New Roman" w:cs="Times New Roman"/>
          <w:sz w:val="24"/>
          <w:szCs w:val="24"/>
          <w:lang w:eastAsia="it-IT"/>
        </w:rPr>
      </w:pPr>
      <w:r w:rsidRPr="001E3A34">
        <w:rPr>
          <w:rFonts w:ascii="Times New Roman" w:eastAsia="Calibri" w:hAnsi="Times New Roman" w:cs="Times New Roman"/>
          <w:sz w:val="24"/>
          <w:szCs w:val="24"/>
          <w:lang w:eastAsia="it-IT"/>
        </w:rPr>
        <w:t xml:space="preserve">Per quanto riguarda gli importi, nel 2017 la procedura aperta si conferma la modalità con cui si affida il maggior importo dei contratti pubblici (circa il 47,2%). Il sistema dinamico di acquisizione, come accennato, è la tipologia di scelta del contraente che nel 2017 in termini percentuali è quella che è aumentata maggiormente. Infatti, per tale modalità di acquisizione, si registra un aumento del 161,6%, rispetto al 2016, probabilmente perché, trattandosi di una modalità di acquisto interamente elettronica, tende sia ridurre i tempi di pubblicazione dei bandi sia a dare maggiore flessibilità alle stazioni appaltanti nel soddisfare le proprie esigenze. </w:t>
      </w:r>
    </w:p>
    <w:p w:rsidR="00BD36D2" w:rsidRPr="001E3A34" w:rsidRDefault="00BD36D2" w:rsidP="00BD36D2">
      <w:pPr>
        <w:spacing w:after="0" w:line="360" w:lineRule="auto"/>
        <w:jc w:val="both"/>
        <w:rPr>
          <w:rFonts w:ascii="Times New Roman" w:eastAsia="Calibri" w:hAnsi="Times New Roman" w:cs="Times New Roman"/>
          <w:sz w:val="24"/>
          <w:szCs w:val="24"/>
          <w:lang w:eastAsia="it-IT"/>
        </w:rPr>
      </w:pPr>
      <w:r w:rsidRPr="001E3A34">
        <w:rPr>
          <w:rFonts w:ascii="Times New Roman" w:eastAsia="Calibri" w:hAnsi="Times New Roman" w:cs="Times New Roman"/>
          <w:sz w:val="24"/>
          <w:szCs w:val="24"/>
          <w:lang w:eastAsia="it-IT"/>
        </w:rPr>
        <w:t>Nel dettaglio, le tabelle 5, 6 e 7 riportano un’analisi comparata suddivisa per tipo di settore (ordinari e speciali) e per tipologia di contratto (lavori, servizi e forniture).</w:t>
      </w:r>
    </w:p>
    <w:p w:rsidR="00BD36D2" w:rsidRPr="00BD36D2" w:rsidRDefault="00BD36D2" w:rsidP="00BD36D2">
      <w:pPr>
        <w:spacing w:after="0" w:line="360" w:lineRule="auto"/>
        <w:jc w:val="both"/>
        <w:rPr>
          <w:rFonts w:ascii="Garamond" w:eastAsia="Calibri" w:hAnsi="Garamond" w:cs="Times New Roman"/>
          <w:sz w:val="24"/>
          <w:szCs w:val="24"/>
          <w:lang w:eastAsia="it-IT"/>
        </w:rPr>
      </w:pPr>
    </w:p>
    <w:p w:rsidR="00BD36D2" w:rsidRPr="00BD36D2" w:rsidRDefault="00BD36D2" w:rsidP="00BD36D2">
      <w:pPr>
        <w:tabs>
          <w:tab w:val="left" w:pos="567"/>
        </w:tabs>
        <w:spacing w:after="0" w:line="240" w:lineRule="auto"/>
        <w:jc w:val="center"/>
        <w:rPr>
          <w:rFonts w:ascii="Garamond" w:eastAsia="Calibri" w:hAnsi="Garamond" w:cs="Times New Roman"/>
          <w:b/>
          <w:lang w:eastAsia="it-IT"/>
        </w:rPr>
      </w:pPr>
      <w:r w:rsidRPr="00BD36D2">
        <w:rPr>
          <w:rFonts w:ascii="Garamond" w:eastAsia="Calibri" w:hAnsi="Garamond" w:cs="Times New Roman"/>
          <w:b/>
          <w:lang w:eastAsia="it-IT"/>
        </w:rPr>
        <w:t>Tabella 5 Distribuzione delle procedure di affidamento, di importo uguale o superiore di €40.000, per modalità di scelta del contraente (2017)</w:t>
      </w:r>
    </w:p>
    <w:p w:rsidR="00BD36D2" w:rsidRPr="00BD36D2" w:rsidRDefault="00BD36D2" w:rsidP="00BD36D2">
      <w:pPr>
        <w:tabs>
          <w:tab w:val="left" w:pos="567"/>
        </w:tabs>
        <w:spacing w:after="0" w:line="240" w:lineRule="auto"/>
        <w:jc w:val="center"/>
        <w:rPr>
          <w:rFonts w:ascii="Garamond" w:eastAsia="Calibri" w:hAnsi="Garamond" w:cs="Times New Roman"/>
          <w:b/>
          <w:lang w:eastAsia="it-IT"/>
        </w:rPr>
      </w:pPr>
    </w:p>
    <w:tbl>
      <w:tblPr>
        <w:tblW w:w="9345" w:type="dxa"/>
        <w:jc w:val="cente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2408"/>
        <w:gridCol w:w="1132"/>
        <w:gridCol w:w="1134"/>
        <w:gridCol w:w="1693"/>
        <w:gridCol w:w="1134"/>
        <w:gridCol w:w="1844"/>
      </w:tblGrid>
      <w:tr w:rsidR="00BD36D2" w:rsidRPr="00BD36D2" w:rsidTr="00BD36D2">
        <w:trPr>
          <w:trHeight w:val="346"/>
          <w:jc w:val="center"/>
        </w:trPr>
        <w:tc>
          <w:tcPr>
            <w:tcW w:w="2406" w:type="dxa"/>
            <w:vMerge w:val="restart"/>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after="0" w:line="360" w:lineRule="auto"/>
              <w:jc w:val="center"/>
              <w:rPr>
                <w:rFonts w:ascii="Garamond" w:eastAsia="Calibri" w:hAnsi="Garamond" w:cs="Times New Roman"/>
                <w:b/>
                <w:bCs/>
                <w:color w:val="FFFFFF"/>
                <w:sz w:val="20"/>
                <w:szCs w:val="20"/>
                <w:lang w:eastAsia="it-IT"/>
              </w:rPr>
            </w:pPr>
            <w:r w:rsidRPr="00BD36D2">
              <w:rPr>
                <w:rFonts w:ascii="Garamond" w:eastAsia="Times New Roman" w:hAnsi="Garamond" w:cs="Times New Roman"/>
                <w:b/>
                <w:bCs/>
                <w:color w:val="FFFFFF"/>
                <w:sz w:val="20"/>
                <w:szCs w:val="20"/>
                <w:lang w:eastAsia="it-IT"/>
              </w:rPr>
              <w:t>Modalità di scelta del contraente</w:t>
            </w:r>
          </w:p>
        </w:tc>
        <w:tc>
          <w:tcPr>
            <w:tcW w:w="2266" w:type="dxa"/>
            <w:gridSpan w:val="2"/>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after="0" w:line="360" w:lineRule="auto"/>
              <w:jc w:val="center"/>
              <w:rPr>
                <w:rFonts w:ascii="Garamond" w:eastAsia="Times New Roman" w:hAnsi="Garamond" w:cs="Times New Roman"/>
                <w:b/>
                <w:color w:val="FFFFFF"/>
                <w:sz w:val="20"/>
                <w:szCs w:val="20"/>
                <w:lang w:eastAsia="it-IT"/>
              </w:rPr>
            </w:pPr>
            <w:r w:rsidRPr="00BD36D2">
              <w:rPr>
                <w:rFonts w:ascii="Garamond" w:eastAsia="Times New Roman" w:hAnsi="Garamond" w:cs="Times New Roman"/>
                <w:b/>
                <w:color w:val="FFFFFF"/>
                <w:sz w:val="20"/>
                <w:szCs w:val="20"/>
                <w:lang w:eastAsia="it-IT"/>
              </w:rPr>
              <w:t>Totale CIG perfezionati</w:t>
            </w:r>
          </w:p>
        </w:tc>
        <w:tc>
          <w:tcPr>
            <w:tcW w:w="2826" w:type="dxa"/>
            <w:gridSpan w:val="2"/>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after="0" w:line="360" w:lineRule="auto"/>
              <w:jc w:val="center"/>
              <w:rPr>
                <w:rFonts w:ascii="Garamond" w:eastAsia="Times New Roman" w:hAnsi="Garamond" w:cs="Times New Roman"/>
                <w:b/>
                <w:color w:val="FFFFFF"/>
                <w:sz w:val="20"/>
                <w:szCs w:val="20"/>
                <w:lang w:eastAsia="it-IT"/>
              </w:rPr>
            </w:pPr>
            <w:r w:rsidRPr="00BD36D2">
              <w:rPr>
                <w:rFonts w:ascii="Garamond" w:eastAsia="Times New Roman" w:hAnsi="Garamond" w:cs="Times New Roman"/>
                <w:b/>
                <w:color w:val="FFFFFF"/>
                <w:sz w:val="20"/>
                <w:szCs w:val="20"/>
                <w:lang w:eastAsia="it-IT"/>
              </w:rPr>
              <w:t>Importo complessivo</w:t>
            </w:r>
          </w:p>
        </w:tc>
        <w:tc>
          <w:tcPr>
            <w:tcW w:w="1843" w:type="dxa"/>
            <w:vMerge w:val="restart"/>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after="0" w:line="360" w:lineRule="auto"/>
              <w:jc w:val="center"/>
              <w:rPr>
                <w:rFonts w:ascii="Garamond" w:eastAsia="Times New Roman" w:hAnsi="Garamond" w:cs="Times New Roman"/>
                <w:b/>
                <w:color w:val="FFFFFF"/>
                <w:sz w:val="20"/>
                <w:szCs w:val="20"/>
                <w:lang w:eastAsia="it-IT"/>
              </w:rPr>
            </w:pPr>
            <w:r w:rsidRPr="00BD36D2">
              <w:rPr>
                <w:rFonts w:ascii="Garamond" w:eastAsia="Times New Roman" w:hAnsi="Garamond" w:cs="Times New Roman"/>
                <w:b/>
                <w:color w:val="FFFFFF"/>
                <w:sz w:val="20"/>
                <w:szCs w:val="20"/>
                <w:lang w:eastAsia="it-IT"/>
              </w:rPr>
              <w:t>Importo medio</w:t>
            </w:r>
          </w:p>
          <w:p w:rsidR="00BD36D2" w:rsidRPr="00BD36D2" w:rsidRDefault="00BD36D2" w:rsidP="00BD36D2">
            <w:pPr>
              <w:spacing w:after="0" w:line="360" w:lineRule="auto"/>
              <w:jc w:val="center"/>
              <w:rPr>
                <w:rFonts w:ascii="Garamond" w:eastAsia="Times New Roman" w:hAnsi="Garamond" w:cs="Times New Roman"/>
                <w:b/>
                <w:color w:val="FFFFFF"/>
                <w:sz w:val="20"/>
                <w:szCs w:val="20"/>
                <w:lang w:eastAsia="it-IT"/>
              </w:rPr>
            </w:pPr>
            <w:r w:rsidRPr="00BD36D2">
              <w:rPr>
                <w:rFonts w:ascii="Garamond" w:eastAsia="Times New Roman" w:hAnsi="Garamond" w:cs="Times New Roman"/>
                <w:b/>
                <w:bCs/>
                <w:color w:val="FFFFFF"/>
                <w:sz w:val="20"/>
                <w:szCs w:val="20"/>
                <w:lang w:eastAsia="it-IT"/>
              </w:rPr>
              <w:t>(valore in euro)</w:t>
            </w:r>
          </w:p>
        </w:tc>
      </w:tr>
      <w:tr w:rsidR="00BD36D2" w:rsidRPr="00BD36D2" w:rsidTr="00BD36D2">
        <w:trPr>
          <w:cantSplit/>
          <w:trHeight w:val="447"/>
          <w:jc w:val="center"/>
        </w:trPr>
        <w:tc>
          <w:tcPr>
            <w:tcW w:w="2406"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after="0" w:line="360" w:lineRule="auto"/>
              <w:rPr>
                <w:rFonts w:ascii="Garamond" w:eastAsia="Calibri" w:hAnsi="Garamond" w:cs="Times New Roman"/>
                <w:b/>
                <w:bCs/>
                <w:color w:val="FFFFFF"/>
                <w:sz w:val="20"/>
                <w:szCs w:val="20"/>
                <w:lang w:eastAsia="it-IT"/>
              </w:rPr>
            </w:pPr>
          </w:p>
        </w:tc>
        <w:tc>
          <w:tcPr>
            <w:tcW w:w="1132" w:type="dxa"/>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after="0" w:line="360" w:lineRule="auto"/>
              <w:jc w:val="center"/>
              <w:rPr>
                <w:rFonts w:ascii="Garamond" w:eastAsia="Times New Roman" w:hAnsi="Garamond" w:cs="Times New Roman"/>
                <w:b/>
                <w:bCs/>
                <w:color w:val="FFFFFF"/>
                <w:sz w:val="20"/>
                <w:szCs w:val="20"/>
                <w:lang w:eastAsia="it-IT"/>
              </w:rPr>
            </w:pPr>
            <w:r w:rsidRPr="00BD36D2">
              <w:rPr>
                <w:rFonts w:ascii="Garamond" w:eastAsia="Times New Roman" w:hAnsi="Garamond" w:cs="Times New Roman"/>
                <w:b/>
                <w:bCs/>
                <w:color w:val="FFFFFF"/>
                <w:sz w:val="20"/>
                <w:szCs w:val="20"/>
                <w:lang w:eastAsia="it-IT"/>
              </w:rPr>
              <w:t>2017</w:t>
            </w:r>
          </w:p>
        </w:tc>
        <w:tc>
          <w:tcPr>
            <w:tcW w:w="1134" w:type="dxa"/>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after="0" w:line="360" w:lineRule="auto"/>
              <w:jc w:val="center"/>
              <w:rPr>
                <w:rFonts w:ascii="Garamond" w:eastAsia="Times New Roman" w:hAnsi="Garamond" w:cs="Times New Roman"/>
                <w:b/>
                <w:bCs/>
                <w:color w:val="FFFFFF"/>
                <w:sz w:val="20"/>
                <w:szCs w:val="20"/>
                <w:lang w:eastAsia="it-IT"/>
              </w:rPr>
            </w:pPr>
            <w:r w:rsidRPr="00BD36D2">
              <w:rPr>
                <w:rFonts w:ascii="Garamond" w:eastAsia="Times New Roman" w:hAnsi="Garamond" w:cs="Times New Roman"/>
                <w:b/>
                <w:bCs/>
                <w:color w:val="FFFFFF"/>
                <w:sz w:val="20"/>
                <w:szCs w:val="20"/>
                <w:lang w:eastAsia="it-IT"/>
              </w:rPr>
              <w:t xml:space="preserve">% CIG </w:t>
            </w:r>
          </w:p>
        </w:tc>
        <w:tc>
          <w:tcPr>
            <w:tcW w:w="1692" w:type="dxa"/>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after="0" w:line="360" w:lineRule="auto"/>
              <w:jc w:val="center"/>
              <w:rPr>
                <w:rFonts w:ascii="Garamond" w:eastAsia="Times New Roman" w:hAnsi="Garamond" w:cs="Times New Roman"/>
                <w:b/>
                <w:bCs/>
                <w:color w:val="FFFFFF"/>
                <w:sz w:val="20"/>
                <w:szCs w:val="20"/>
                <w:lang w:eastAsia="it-IT"/>
              </w:rPr>
            </w:pPr>
            <w:r w:rsidRPr="00BD36D2">
              <w:rPr>
                <w:rFonts w:ascii="Garamond" w:eastAsia="Times New Roman" w:hAnsi="Garamond" w:cs="Times New Roman"/>
                <w:b/>
                <w:bCs/>
                <w:color w:val="FFFFFF"/>
                <w:sz w:val="20"/>
                <w:szCs w:val="20"/>
                <w:lang w:eastAsia="it-IT"/>
              </w:rPr>
              <w:t xml:space="preserve">2017 </w:t>
            </w:r>
            <w:r w:rsidRPr="00BD36D2">
              <w:rPr>
                <w:rFonts w:ascii="Garamond" w:eastAsia="Times New Roman" w:hAnsi="Garamond" w:cs="Times New Roman"/>
                <w:b/>
                <w:bCs/>
                <w:color w:val="FFFFFF"/>
                <w:sz w:val="20"/>
                <w:szCs w:val="20"/>
                <w:lang w:eastAsia="it-IT"/>
              </w:rPr>
              <w:br/>
              <w:t>(valore in euro)</w:t>
            </w:r>
          </w:p>
        </w:tc>
        <w:tc>
          <w:tcPr>
            <w:tcW w:w="1134" w:type="dxa"/>
            <w:tcBorders>
              <w:top w:val="single" w:sz="8" w:space="0" w:color="7BA0CD"/>
              <w:left w:val="single" w:sz="8" w:space="0" w:color="7BA0CD"/>
              <w:bottom w:val="single" w:sz="8" w:space="0" w:color="7BA0CD"/>
              <w:right w:val="single" w:sz="8" w:space="0" w:color="7BA0CD"/>
            </w:tcBorders>
            <w:shd w:val="clear" w:color="auto" w:fill="365F91"/>
            <w:hideMark/>
          </w:tcPr>
          <w:p w:rsidR="00BD36D2" w:rsidRPr="00BD36D2" w:rsidRDefault="00BD36D2" w:rsidP="00BD36D2">
            <w:pPr>
              <w:spacing w:after="0" w:line="360" w:lineRule="auto"/>
              <w:jc w:val="center"/>
              <w:rPr>
                <w:rFonts w:ascii="Garamond" w:eastAsia="Times New Roman" w:hAnsi="Garamond" w:cs="Times New Roman"/>
                <w:b/>
                <w:bCs/>
                <w:color w:val="FFFFFF"/>
                <w:sz w:val="20"/>
                <w:szCs w:val="20"/>
                <w:lang w:eastAsia="it-IT"/>
              </w:rPr>
            </w:pPr>
            <w:r w:rsidRPr="00BD36D2">
              <w:rPr>
                <w:rFonts w:ascii="Garamond" w:eastAsia="Times New Roman" w:hAnsi="Garamond" w:cs="Times New Roman"/>
                <w:b/>
                <w:bCs/>
                <w:color w:val="FFFFFF"/>
                <w:sz w:val="20"/>
                <w:szCs w:val="20"/>
                <w:lang w:eastAsia="it-IT"/>
              </w:rPr>
              <w:t>% Importo</w:t>
            </w:r>
          </w:p>
        </w:tc>
        <w:tc>
          <w:tcPr>
            <w:tcW w:w="1843"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after="0" w:line="360" w:lineRule="auto"/>
              <w:rPr>
                <w:rFonts w:ascii="Garamond" w:eastAsia="Times New Roman" w:hAnsi="Garamond" w:cs="Times New Roman"/>
                <w:b/>
                <w:color w:val="FFFFFF"/>
                <w:sz w:val="20"/>
                <w:szCs w:val="20"/>
                <w:lang w:eastAsia="it-IT"/>
              </w:rPr>
            </w:pPr>
          </w:p>
        </w:tc>
      </w:tr>
      <w:tr w:rsidR="00BD36D2" w:rsidRPr="00BD36D2" w:rsidTr="00BD36D2">
        <w:trPr>
          <w:trHeight w:val="309"/>
          <w:jc w:val="center"/>
        </w:trPr>
        <w:tc>
          <w:tcPr>
            <w:tcW w:w="2406"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hideMark/>
          </w:tcPr>
          <w:p w:rsidR="00BD36D2" w:rsidRPr="00BD36D2" w:rsidRDefault="00BD36D2" w:rsidP="00BD36D2">
            <w:pPr>
              <w:spacing w:after="0" w:line="360" w:lineRule="auto"/>
              <w:rPr>
                <w:rFonts w:ascii="Garamond" w:eastAsia="Times New Roman" w:hAnsi="Garamond" w:cs="Times New Roman"/>
                <w:color w:val="000000"/>
                <w:sz w:val="18"/>
                <w:szCs w:val="18"/>
                <w:lang w:eastAsia="it-IT"/>
              </w:rPr>
            </w:pPr>
            <w:r w:rsidRPr="00BD36D2">
              <w:rPr>
                <w:rFonts w:ascii="Garamond" w:eastAsia="Times New Roman" w:hAnsi="Garamond" w:cs="Times New Roman"/>
                <w:color w:val="000000"/>
                <w:sz w:val="18"/>
                <w:szCs w:val="18"/>
                <w:lang w:eastAsia="it-IT"/>
              </w:rPr>
              <w:t>Procedura aperta</w:t>
            </w:r>
          </w:p>
        </w:tc>
        <w:tc>
          <w:tcPr>
            <w:tcW w:w="1132"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hideMark/>
          </w:tcPr>
          <w:p w:rsidR="00BD36D2" w:rsidRPr="00BD36D2" w:rsidRDefault="00BD36D2" w:rsidP="00BD36D2">
            <w:pPr>
              <w:spacing w:after="0" w:line="360" w:lineRule="auto"/>
              <w:jc w:val="center"/>
              <w:rPr>
                <w:rFonts w:ascii="Garamond" w:eastAsia="Times New Roman" w:hAnsi="Garamond" w:cs="Times New Roman"/>
                <w:color w:val="000000"/>
                <w:sz w:val="18"/>
                <w:szCs w:val="18"/>
                <w:lang w:eastAsia="it-IT"/>
              </w:rPr>
            </w:pPr>
            <w:r w:rsidRPr="00BD36D2">
              <w:rPr>
                <w:rFonts w:ascii="Garamond" w:eastAsia="Times New Roman" w:hAnsi="Garamond" w:cs="Times New Roman"/>
                <w:color w:val="000000"/>
                <w:sz w:val="18"/>
                <w:szCs w:val="18"/>
                <w:lang w:eastAsia="it-IT"/>
              </w:rPr>
              <w:t>32.276</w:t>
            </w:r>
          </w:p>
        </w:tc>
        <w:tc>
          <w:tcPr>
            <w:tcW w:w="1134"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hideMark/>
          </w:tcPr>
          <w:p w:rsidR="00BD36D2" w:rsidRPr="00BD36D2" w:rsidRDefault="00BD36D2" w:rsidP="00BD36D2">
            <w:pPr>
              <w:spacing w:after="0" w:line="360" w:lineRule="auto"/>
              <w:jc w:val="center"/>
              <w:rPr>
                <w:rFonts w:ascii="Garamond" w:eastAsia="Times New Roman" w:hAnsi="Garamond" w:cs="Times New Roman"/>
                <w:color w:val="000000"/>
                <w:sz w:val="18"/>
                <w:szCs w:val="18"/>
                <w:lang w:eastAsia="it-IT"/>
              </w:rPr>
            </w:pPr>
            <w:r w:rsidRPr="00BD36D2">
              <w:rPr>
                <w:rFonts w:ascii="Garamond" w:eastAsia="Times New Roman" w:hAnsi="Garamond" w:cs="Times New Roman"/>
                <w:color w:val="000000"/>
                <w:sz w:val="18"/>
                <w:szCs w:val="18"/>
                <w:lang w:eastAsia="it-IT"/>
              </w:rPr>
              <w:t>23,5%</w:t>
            </w:r>
          </w:p>
        </w:tc>
        <w:tc>
          <w:tcPr>
            <w:tcW w:w="1692"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hideMark/>
          </w:tcPr>
          <w:p w:rsidR="00BD36D2" w:rsidRPr="00BD36D2" w:rsidRDefault="00BD36D2" w:rsidP="00BD36D2">
            <w:pPr>
              <w:spacing w:after="0" w:line="360" w:lineRule="auto"/>
              <w:jc w:val="center"/>
              <w:rPr>
                <w:rFonts w:ascii="Garamond" w:eastAsia="Times New Roman" w:hAnsi="Garamond" w:cs="Times New Roman"/>
                <w:color w:val="000000"/>
                <w:sz w:val="18"/>
                <w:szCs w:val="18"/>
                <w:lang w:eastAsia="it-IT"/>
              </w:rPr>
            </w:pPr>
            <w:r w:rsidRPr="00BD36D2">
              <w:rPr>
                <w:rFonts w:ascii="Garamond" w:eastAsia="Times New Roman" w:hAnsi="Garamond" w:cs="Times New Roman"/>
                <w:color w:val="000000"/>
                <w:sz w:val="18"/>
                <w:szCs w:val="18"/>
                <w:lang w:eastAsia="it-IT"/>
              </w:rPr>
              <w:t>65.650.231.721</w:t>
            </w:r>
          </w:p>
        </w:tc>
        <w:tc>
          <w:tcPr>
            <w:tcW w:w="1134"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hideMark/>
          </w:tcPr>
          <w:p w:rsidR="00BD36D2" w:rsidRPr="00BD36D2" w:rsidRDefault="00BD36D2" w:rsidP="00BD36D2">
            <w:pPr>
              <w:spacing w:after="0" w:line="360" w:lineRule="auto"/>
              <w:jc w:val="center"/>
              <w:rPr>
                <w:rFonts w:ascii="Garamond" w:eastAsia="Times New Roman" w:hAnsi="Garamond" w:cs="Times New Roman"/>
                <w:color w:val="000000"/>
                <w:sz w:val="18"/>
                <w:szCs w:val="18"/>
                <w:lang w:eastAsia="it-IT"/>
              </w:rPr>
            </w:pPr>
            <w:r w:rsidRPr="00BD36D2">
              <w:rPr>
                <w:rFonts w:ascii="Garamond" w:eastAsia="Times New Roman" w:hAnsi="Garamond" w:cs="Times New Roman"/>
                <w:color w:val="000000"/>
                <w:sz w:val="18"/>
                <w:szCs w:val="18"/>
                <w:lang w:eastAsia="it-IT"/>
              </w:rPr>
              <w:t>47,2%</w:t>
            </w:r>
          </w:p>
        </w:tc>
        <w:tc>
          <w:tcPr>
            <w:tcW w:w="1843"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hideMark/>
          </w:tcPr>
          <w:p w:rsidR="00BD36D2" w:rsidRPr="00BD36D2" w:rsidRDefault="00BD36D2" w:rsidP="00BD36D2">
            <w:pPr>
              <w:spacing w:after="0" w:line="360" w:lineRule="auto"/>
              <w:jc w:val="center"/>
              <w:rPr>
                <w:rFonts w:ascii="Garamond" w:eastAsia="Times New Roman" w:hAnsi="Garamond" w:cs="Times New Roman"/>
                <w:color w:val="000000"/>
                <w:sz w:val="18"/>
                <w:szCs w:val="18"/>
                <w:lang w:eastAsia="it-IT"/>
              </w:rPr>
            </w:pPr>
            <w:r w:rsidRPr="00BD36D2">
              <w:rPr>
                <w:rFonts w:ascii="Garamond" w:eastAsia="Times New Roman" w:hAnsi="Garamond" w:cs="Times New Roman"/>
                <w:color w:val="000000"/>
                <w:sz w:val="18"/>
                <w:szCs w:val="18"/>
                <w:lang w:eastAsia="it-IT"/>
              </w:rPr>
              <w:t>2.034.026</w:t>
            </w:r>
          </w:p>
        </w:tc>
      </w:tr>
      <w:tr w:rsidR="00BD36D2" w:rsidRPr="00BD36D2" w:rsidTr="00BD36D2">
        <w:trPr>
          <w:trHeight w:val="295"/>
          <w:jc w:val="center"/>
        </w:trPr>
        <w:tc>
          <w:tcPr>
            <w:tcW w:w="2406"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hideMark/>
          </w:tcPr>
          <w:p w:rsidR="00BD36D2" w:rsidRPr="00BD36D2" w:rsidRDefault="00BD36D2" w:rsidP="00BD36D2">
            <w:pPr>
              <w:spacing w:after="0" w:line="360" w:lineRule="auto"/>
              <w:rPr>
                <w:rFonts w:ascii="Garamond" w:eastAsia="Times New Roman" w:hAnsi="Garamond" w:cs="Times New Roman"/>
                <w:color w:val="000000"/>
                <w:sz w:val="18"/>
                <w:szCs w:val="18"/>
                <w:lang w:eastAsia="it-IT"/>
              </w:rPr>
            </w:pPr>
            <w:r w:rsidRPr="00BD36D2">
              <w:rPr>
                <w:rFonts w:ascii="Garamond" w:eastAsia="Times New Roman" w:hAnsi="Garamond" w:cs="Times New Roman"/>
                <w:color w:val="000000"/>
                <w:sz w:val="18"/>
                <w:szCs w:val="18"/>
                <w:lang w:eastAsia="it-IT"/>
              </w:rPr>
              <w:t>Procedura ristretta</w:t>
            </w:r>
          </w:p>
        </w:tc>
        <w:tc>
          <w:tcPr>
            <w:tcW w:w="1132"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hideMark/>
          </w:tcPr>
          <w:p w:rsidR="00BD36D2" w:rsidRPr="00BD36D2" w:rsidRDefault="00BD36D2" w:rsidP="00BD36D2">
            <w:pPr>
              <w:spacing w:after="0" w:line="360" w:lineRule="auto"/>
              <w:jc w:val="center"/>
              <w:rPr>
                <w:rFonts w:ascii="Garamond" w:eastAsia="Times New Roman" w:hAnsi="Garamond" w:cs="Times New Roman"/>
                <w:color w:val="000000"/>
                <w:sz w:val="18"/>
                <w:szCs w:val="18"/>
                <w:lang w:eastAsia="it-IT"/>
              </w:rPr>
            </w:pPr>
            <w:r w:rsidRPr="00BD36D2">
              <w:rPr>
                <w:rFonts w:ascii="Garamond" w:eastAsia="Times New Roman" w:hAnsi="Garamond" w:cs="Times New Roman"/>
                <w:color w:val="000000"/>
                <w:sz w:val="18"/>
                <w:szCs w:val="18"/>
                <w:lang w:eastAsia="it-IT"/>
              </w:rPr>
              <w:t>2.702</w:t>
            </w:r>
          </w:p>
        </w:tc>
        <w:tc>
          <w:tcPr>
            <w:tcW w:w="1134"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hideMark/>
          </w:tcPr>
          <w:p w:rsidR="00BD36D2" w:rsidRPr="00BD36D2" w:rsidRDefault="00BD36D2" w:rsidP="00BD36D2">
            <w:pPr>
              <w:spacing w:after="0" w:line="360" w:lineRule="auto"/>
              <w:jc w:val="center"/>
              <w:rPr>
                <w:rFonts w:ascii="Garamond" w:eastAsia="Times New Roman" w:hAnsi="Garamond" w:cs="Times New Roman"/>
                <w:color w:val="000000"/>
                <w:sz w:val="18"/>
                <w:szCs w:val="18"/>
                <w:lang w:eastAsia="it-IT"/>
              </w:rPr>
            </w:pPr>
            <w:r w:rsidRPr="00BD36D2">
              <w:rPr>
                <w:rFonts w:ascii="Garamond" w:eastAsia="Times New Roman" w:hAnsi="Garamond" w:cs="Times New Roman"/>
                <w:color w:val="000000"/>
                <w:sz w:val="18"/>
                <w:szCs w:val="18"/>
                <w:lang w:eastAsia="it-IT"/>
              </w:rPr>
              <w:t>2,0%</w:t>
            </w:r>
          </w:p>
        </w:tc>
        <w:tc>
          <w:tcPr>
            <w:tcW w:w="1692"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hideMark/>
          </w:tcPr>
          <w:p w:rsidR="00BD36D2" w:rsidRPr="00BD36D2" w:rsidRDefault="00BD36D2" w:rsidP="00BD36D2">
            <w:pPr>
              <w:spacing w:after="0" w:line="360" w:lineRule="auto"/>
              <w:jc w:val="center"/>
              <w:rPr>
                <w:rFonts w:ascii="Garamond" w:eastAsia="Times New Roman" w:hAnsi="Garamond" w:cs="Times New Roman"/>
                <w:color w:val="000000"/>
                <w:sz w:val="18"/>
                <w:szCs w:val="18"/>
                <w:lang w:eastAsia="it-IT"/>
              </w:rPr>
            </w:pPr>
            <w:r w:rsidRPr="00BD36D2">
              <w:rPr>
                <w:rFonts w:ascii="Garamond" w:eastAsia="Times New Roman" w:hAnsi="Garamond" w:cs="Times New Roman"/>
                <w:color w:val="000000"/>
                <w:sz w:val="18"/>
                <w:szCs w:val="18"/>
                <w:lang w:eastAsia="it-IT"/>
              </w:rPr>
              <w:t>11.283.049.345</w:t>
            </w:r>
          </w:p>
        </w:tc>
        <w:tc>
          <w:tcPr>
            <w:tcW w:w="1134"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hideMark/>
          </w:tcPr>
          <w:p w:rsidR="00BD36D2" w:rsidRPr="00BD36D2" w:rsidRDefault="00BD36D2" w:rsidP="00BD36D2">
            <w:pPr>
              <w:spacing w:after="0" w:line="360" w:lineRule="auto"/>
              <w:jc w:val="center"/>
              <w:rPr>
                <w:rFonts w:ascii="Garamond" w:eastAsia="Times New Roman" w:hAnsi="Garamond" w:cs="Times New Roman"/>
                <w:color w:val="000000"/>
                <w:sz w:val="18"/>
                <w:szCs w:val="18"/>
                <w:lang w:eastAsia="it-IT"/>
              </w:rPr>
            </w:pPr>
            <w:r w:rsidRPr="00BD36D2">
              <w:rPr>
                <w:rFonts w:ascii="Garamond" w:eastAsia="Times New Roman" w:hAnsi="Garamond" w:cs="Times New Roman"/>
                <w:color w:val="000000"/>
                <w:sz w:val="18"/>
                <w:szCs w:val="18"/>
                <w:lang w:eastAsia="it-IT"/>
              </w:rPr>
              <w:t>8,1%</w:t>
            </w:r>
          </w:p>
        </w:tc>
        <w:tc>
          <w:tcPr>
            <w:tcW w:w="1843"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hideMark/>
          </w:tcPr>
          <w:p w:rsidR="00BD36D2" w:rsidRPr="00BD36D2" w:rsidRDefault="00BD36D2" w:rsidP="00BD36D2">
            <w:pPr>
              <w:spacing w:after="0" w:line="360" w:lineRule="auto"/>
              <w:jc w:val="center"/>
              <w:rPr>
                <w:rFonts w:ascii="Garamond" w:eastAsia="Times New Roman" w:hAnsi="Garamond" w:cs="Times New Roman"/>
                <w:color w:val="000000"/>
                <w:sz w:val="18"/>
                <w:szCs w:val="18"/>
                <w:lang w:eastAsia="it-IT"/>
              </w:rPr>
            </w:pPr>
            <w:r w:rsidRPr="00BD36D2">
              <w:rPr>
                <w:rFonts w:ascii="Garamond" w:eastAsia="Times New Roman" w:hAnsi="Garamond" w:cs="Times New Roman"/>
                <w:color w:val="000000"/>
                <w:sz w:val="18"/>
                <w:szCs w:val="18"/>
                <w:lang w:eastAsia="it-IT"/>
              </w:rPr>
              <w:t>4.175.814</w:t>
            </w:r>
          </w:p>
        </w:tc>
      </w:tr>
      <w:tr w:rsidR="00BD36D2" w:rsidRPr="00BD36D2" w:rsidTr="00BD36D2">
        <w:trPr>
          <w:trHeight w:val="278"/>
          <w:jc w:val="center"/>
        </w:trPr>
        <w:tc>
          <w:tcPr>
            <w:tcW w:w="2406"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hideMark/>
          </w:tcPr>
          <w:p w:rsidR="00BD36D2" w:rsidRPr="00BD36D2" w:rsidRDefault="00BD36D2" w:rsidP="00BD36D2">
            <w:pPr>
              <w:spacing w:after="0" w:line="360" w:lineRule="auto"/>
              <w:rPr>
                <w:rFonts w:ascii="Garamond" w:eastAsia="Times New Roman" w:hAnsi="Garamond" w:cs="Times New Roman"/>
                <w:color w:val="000000"/>
                <w:sz w:val="18"/>
                <w:szCs w:val="18"/>
                <w:lang w:eastAsia="it-IT"/>
              </w:rPr>
            </w:pPr>
            <w:r w:rsidRPr="00BD36D2">
              <w:rPr>
                <w:rFonts w:ascii="Garamond" w:eastAsia="Times New Roman" w:hAnsi="Garamond" w:cs="Times New Roman"/>
                <w:color w:val="000000"/>
                <w:sz w:val="18"/>
                <w:szCs w:val="18"/>
                <w:lang w:eastAsia="it-IT"/>
              </w:rPr>
              <w:t>Sistema dinamico di acquisizione</w:t>
            </w:r>
          </w:p>
        </w:tc>
        <w:tc>
          <w:tcPr>
            <w:tcW w:w="1132"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hideMark/>
          </w:tcPr>
          <w:p w:rsidR="00BD36D2" w:rsidRPr="00BD36D2" w:rsidRDefault="00BD36D2" w:rsidP="00BD36D2">
            <w:pPr>
              <w:spacing w:after="0" w:line="360" w:lineRule="auto"/>
              <w:jc w:val="center"/>
              <w:rPr>
                <w:rFonts w:ascii="Garamond" w:eastAsia="Times New Roman" w:hAnsi="Garamond" w:cs="Times New Roman"/>
                <w:color w:val="000000"/>
                <w:sz w:val="18"/>
                <w:szCs w:val="18"/>
                <w:lang w:eastAsia="it-IT"/>
              </w:rPr>
            </w:pPr>
            <w:r w:rsidRPr="00BD36D2">
              <w:rPr>
                <w:rFonts w:ascii="Garamond" w:eastAsia="Times New Roman" w:hAnsi="Garamond" w:cs="Times New Roman"/>
                <w:color w:val="000000"/>
                <w:sz w:val="18"/>
                <w:szCs w:val="18"/>
                <w:lang w:eastAsia="it-IT"/>
              </w:rPr>
              <w:t>3.934</w:t>
            </w:r>
          </w:p>
        </w:tc>
        <w:tc>
          <w:tcPr>
            <w:tcW w:w="1134"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hideMark/>
          </w:tcPr>
          <w:p w:rsidR="00BD36D2" w:rsidRPr="00BD36D2" w:rsidRDefault="00BD36D2" w:rsidP="00BD36D2">
            <w:pPr>
              <w:spacing w:after="0" w:line="360" w:lineRule="auto"/>
              <w:jc w:val="center"/>
              <w:rPr>
                <w:rFonts w:ascii="Garamond" w:eastAsia="Times New Roman" w:hAnsi="Garamond" w:cs="Times New Roman"/>
                <w:color w:val="000000"/>
                <w:sz w:val="18"/>
                <w:szCs w:val="18"/>
                <w:lang w:eastAsia="it-IT"/>
              </w:rPr>
            </w:pPr>
            <w:r w:rsidRPr="00BD36D2">
              <w:rPr>
                <w:rFonts w:ascii="Garamond" w:eastAsia="Times New Roman" w:hAnsi="Garamond" w:cs="Times New Roman"/>
                <w:color w:val="000000"/>
                <w:sz w:val="18"/>
                <w:szCs w:val="18"/>
                <w:lang w:eastAsia="it-IT"/>
              </w:rPr>
              <w:t>2,9%</w:t>
            </w:r>
          </w:p>
        </w:tc>
        <w:tc>
          <w:tcPr>
            <w:tcW w:w="1692"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hideMark/>
          </w:tcPr>
          <w:p w:rsidR="00BD36D2" w:rsidRPr="00BD36D2" w:rsidRDefault="00BD36D2" w:rsidP="00BD36D2">
            <w:pPr>
              <w:spacing w:after="0" w:line="360" w:lineRule="auto"/>
              <w:jc w:val="center"/>
              <w:rPr>
                <w:rFonts w:ascii="Garamond" w:eastAsia="Times New Roman" w:hAnsi="Garamond" w:cs="Times New Roman"/>
                <w:color w:val="000000"/>
                <w:sz w:val="18"/>
                <w:szCs w:val="18"/>
                <w:lang w:eastAsia="it-IT"/>
              </w:rPr>
            </w:pPr>
            <w:r w:rsidRPr="00BD36D2">
              <w:rPr>
                <w:rFonts w:ascii="Garamond" w:eastAsia="Times New Roman" w:hAnsi="Garamond" w:cs="Times New Roman"/>
                <w:color w:val="000000"/>
                <w:sz w:val="18"/>
                <w:szCs w:val="18"/>
                <w:lang w:eastAsia="it-IT"/>
              </w:rPr>
              <w:t>9.101.127.309</w:t>
            </w:r>
          </w:p>
        </w:tc>
        <w:tc>
          <w:tcPr>
            <w:tcW w:w="1134"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hideMark/>
          </w:tcPr>
          <w:p w:rsidR="00BD36D2" w:rsidRPr="00BD36D2" w:rsidRDefault="00BD36D2" w:rsidP="00BD36D2">
            <w:pPr>
              <w:spacing w:after="0" w:line="360" w:lineRule="auto"/>
              <w:jc w:val="center"/>
              <w:rPr>
                <w:rFonts w:ascii="Garamond" w:eastAsia="Times New Roman" w:hAnsi="Garamond" w:cs="Times New Roman"/>
                <w:color w:val="000000"/>
                <w:sz w:val="18"/>
                <w:szCs w:val="18"/>
                <w:lang w:eastAsia="it-IT"/>
              </w:rPr>
            </w:pPr>
            <w:r w:rsidRPr="00BD36D2">
              <w:rPr>
                <w:rFonts w:ascii="Garamond" w:eastAsia="Times New Roman" w:hAnsi="Garamond" w:cs="Times New Roman"/>
                <w:color w:val="000000"/>
                <w:sz w:val="18"/>
                <w:szCs w:val="18"/>
                <w:lang w:eastAsia="it-IT"/>
              </w:rPr>
              <w:t>6,6%</w:t>
            </w:r>
          </w:p>
        </w:tc>
        <w:tc>
          <w:tcPr>
            <w:tcW w:w="1843"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hideMark/>
          </w:tcPr>
          <w:p w:rsidR="00BD36D2" w:rsidRPr="00BD36D2" w:rsidRDefault="00BD36D2" w:rsidP="00BD36D2">
            <w:pPr>
              <w:spacing w:after="0" w:line="360" w:lineRule="auto"/>
              <w:jc w:val="center"/>
              <w:rPr>
                <w:rFonts w:ascii="Garamond" w:eastAsia="Times New Roman" w:hAnsi="Garamond" w:cs="Times New Roman"/>
                <w:color w:val="000000"/>
                <w:sz w:val="18"/>
                <w:szCs w:val="18"/>
                <w:lang w:eastAsia="it-IT"/>
              </w:rPr>
            </w:pPr>
            <w:r w:rsidRPr="00BD36D2">
              <w:rPr>
                <w:rFonts w:ascii="Garamond" w:eastAsia="Times New Roman" w:hAnsi="Garamond" w:cs="Times New Roman"/>
                <w:color w:val="000000"/>
                <w:sz w:val="18"/>
                <w:szCs w:val="18"/>
                <w:lang w:eastAsia="it-IT"/>
              </w:rPr>
              <w:t>2.313.454</w:t>
            </w:r>
          </w:p>
        </w:tc>
      </w:tr>
      <w:tr w:rsidR="00BD36D2" w:rsidRPr="00BD36D2" w:rsidTr="00BD36D2">
        <w:trPr>
          <w:trHeight w:val="434"/>
          <w:jc w:val="center"/>
        </w:trPr>
        <w:tc>
          <w:tcPr>
            <w:tcW w:w="2406"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hideMark/>
          </w:tcPr>
          <w:p w:rsidR="00BD36D2" w:rsidRPr="00BD36D2" w:rsidRDefault="00BD36D2" w:rsidP="00BD36D2">
            <w:pPr>
              <w:spacing w:after="0" w:line="360" w:lineRule="auto"/>
              <w:rPr>
                <w:rFonts w:ascii="Garamond" w:eastAsia="Times New Roman" w:hAnsi="Garamond" w:cs="Times New Roman"/>
                <w:color w:val="000000"/>
                <w:sz w:val="18"/>
                <w:szCs w:val="18"/>
                <w:lang w:eastAsia="it-IT"/>
              </w:rPr>
            </w:pPr>
            <w:r w:rsidRPr="00BD36D2">
              <w:rPr>
                <w:rFonts w:ascii="Garamond" w:eastAsia="Times New Roman" w:hAnsi="Garamond" w:cs="Times New Roman"/>
                <w:color w:val="000000"/>
                <w:sz w:val="18"/>
                <w:szCs w:val="18"/>
                <w:lang w:eastAsia="it-IT"/>
              </w:rPr>
              <w:t>Procedura negoziata previa pubblicazione del bando</w:t>
            </w:r>
          </w:p>
        </w:tc>
        <w:tc>
          <w:tcPr>
            <w:tcW w:w="1132"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hideMark/>
          </w:tcPr>
          <w:p w:rsidR="00BD36D2" w:rsidRPr="00BD36D2" w:rsidRDefault="00BD36D2" w:rsidP="00BD36D2">
            <w:pPr>
              <w:spacing w:after="0" w:line="360" w:lineRule="auto"/>
              <w:jc w:val="center"/>
              <w:rPr>
                <w:rFonts w:ascii="Garamond" w:eastAsia="Times New Roman" w:hAnsi="Garamond" w:cs="Times New Roman"/>
                <w:color w:val="000000"/>
                <w:sz w:val="18"/>
                <w:szCs w:val="18"/>
                <w:lang w:eastAsia="it-IT"/>
              </w:rPr>
            </w:pPr>
            <w:r w:rsidRPr="00BD36D2">
              <w:rPr>
                <w:rFonts w:ascii="Garamond" w:eastAsia="Times New Roman" w:hAnsi="Garamond" w:cs="Times New Roman"/>
                <w:color w:val="000000"/>
                <w:sz w:val="18"/>
                <w:szCs w:val="18"/>
                <w:lang w:eastAsia="it-IT"/>
              </w:rPr>
              <w:t>7.724</w:t>
            </w:r>
          </w:p>
        </w:tc>
        <w:tc>
          <w:tcPr>
            <w:tcW w:w="1134"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hideMark/>
          </w:tcPr>
          <w:p w:rsidR="00BD36D2" w:rsidRPr="00BD36D2" w:rsidRDefault="00BD36D2" w:rsidP="00BD36D2">
            <w:pPr>
              <w:spacing w:after="0" w:line="360" w:lineRule="auto"/>
              <w:jc w:val="center"/>
              <w:rPr>
                <w:rFonts w:ascii="Garamond" w:eastAsia="Times New Roman" w:hAnsi="Garamond" w:cs="Times New Roman"/>
                <w:color w:val="000000"/>
                <w:sz w:val="18"/>
                <w:szCs w:val="18"/>
                <w:lang w:eastAsia="it-IT"/>
              </w:rPr>
            </w:pPr>
            <w:r w:rsidRPr="00BD36D2">
              <w:rPr>
                <w:rFonts w:ascii="Garamond" w:eastAsia="Times New Roman" w:hAnsi="Garamond" w:cs="Times New Roman"/>
                <w:color w:val="000000"/>
                <w:sz w:val="18"/>
                <w:szCs w:val="18"/>
                <w:lang w:eastAsia="it-IT"/>
              </w:rPr>
              <w:t>5,6%</w:t>
            </w:r>
          </w:p>
        </w:tc>
        <w:tc>
          <w:tcPr>
            <w:tcW w:w="1692"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hideMark/>
          </w:tcPr>
          <w:p w:rsidR="00BD36D2" w:rsidRPr="00BD36D2" w:rsidRDefault="00BD36D2" w:rsidP="00BD36D2">
            <w:pPr>
              <w:spacing w:after="0" w:line="360" w:lineRule="auto"/>
              <w:jc w:val="center"/>
              <w:rPr>
                <w:rFonts w:ascii="Garamond" w:eastAsia="Times New Roman" w:hAnsi="Garamond" w:cs="Times New Roman"/>
                <w:color w:val="000000"/>
                <w:sz w:val="18"/>
                <w:szCs w:val="18"/>
                <w:lang w:eastAsia="it-IT"/>
              </w:rPr>
            </w:pPr>
            <w:r w:rsidRPr="00BD36D2">
              <w:rPr>
                <w:rFonts w:ascii="Garamond" w:eastAsia="Times New Roman" w:hAnsi="Garamond" w:cs="Times New Roman"/>
                <w:color w:val="000000"/>
                <w:sz w:val="18"/>
                <w:szCs w:val="18"/>
                <w:lang w:eastAsia="it-IT"/>
              </w:rPr>
              <w:t>11.881.933.432</w:t>
            </w:r>
          </w:p>
        </w:tc>
        <w:tc>
          <w:tcPr>
            <w:tcW w:w="1134"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hideMark/>
          </w:tcPr>
          <w:p w:rsidR="00BD36D2" w:rsidRPr="00BD36D2" w:rsidRDefault="00BD36D2" w:rsidP="00BD36D2">
            <w:pPr>
              <w:spacing w:after="0" w:line="360" w:lineRule="auto"/>
              <w:jc w:val="center"/>
              <w:rPr>
                <w:rFonts w:ascii="Garamond" w:eastAsia="Times New Roman" w:hAnsi="Garamond" w:cs="Times New Roman"/>
                <w:color w:val="000000"/>
                <w:sz w:val="18"/>
                <w:szCs w:val="18"/>
                <w:lang w:eastAsia="it-IT"/>
              </w:rPr>
            </w:pPr>
            <w:r w:rsidRPr="00BD36D2">
              <w:rPr>
                <w:rFonts w:ascii="Garamond" w:eastAsia="Times New Roman" w:hAnsi="Garamond" w:cs="Times New Roman"/>
                <w:color w:val="000000"/>
                <w:sz w:val="18"/>
                <w:szCs w:val="18"/>
                <w:lang w:eastAsia="it-IT"/>
              </w:rPr>
              <w:t>8,5%</w:t>
            </w:r>
          </w:p>
        </w:tc>
        <w:tc>
          <w:tcPr>
            <w:tcW w:w="1843"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hideMark/>
          </w:tcPr>
          <w:p w:rsidR="00BD36D2" w:rsidRPr="00BD36D2" w:rsidRDefault="00BD36D2" w:rsidP="00BD36D2">
            <w:pPr>
              <w:spacing w:after="0" w:line="360" w:lineRule="auto"/>
              <w:jc w:val="center"/>
              <w:rPr>
                <w:rFonts w:ascii="Garamond" w:eastAsia="Times New Roman" w:hAnsi="Garamond" w:cs="Times New Roman"/>
                <w:color w:val="000000"/>
                <w:sz w:val="18"/>
                <w:szCs w:val="18"/>
                <w:lang w:eastAsia="it-IT"/>
              </w:rPr>
            </w:pPr>
            <w:r w:rsidRPr="00BD36D2">
              <w:rPr>
                <w:rFonts w:ascii="Garamond" w:eastAsia="Times New Roman" w:hAnsi="Garamond" w:cs="Times New Roman"/>
                <w:color w:val="000000"/>
                <w:sz w:val="18"/>
                <w:szCs w:val="18"/>
                <w:lang w:eastAsia="it-IT"/>
              </w:rPr>
              <w:t>1.538.313</w:t>
            </w:r>
          </w:p>
        </w:tc>
      </w:tr>
      <w:tr w:rsidR="00BD36D2" w:rsidRPr="00BD36D2" w:rsidTr="00BD36D2">
        <w:trPr>
          <w:trHeight w:val="359"/>
          <w:jc w:val="center"/>
        </w:trPr>
        <w:tc>
          <w:tcPr>
            <w:tcW w:w="2406"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hideMark/>
          </w:tcPr>
          <w:p w:rsidR="00BD36D2" w:rsidRPr="00BD36D2" w:rsidRDefault="00BD36D2" w:rsidP="00BD36D2">
            <w:pPr>
              <w:spacing w:after="0" w:line="360" w:lineRule="auto"/>
              <w:rPr>
                <w:rFonts w:ascii="Garamond" w:eastAsia="Times New Roman" w:hAnsi="Garamond" w:cs="Times New Roman"/>
                <w:color w:val="000000"/>
                <w:sz w:val="18"/>
                <w:szCs w:val="18"/>
                <w:lang w:eastAsia="it-IT"/>
              </w:rPr>
            </w:pPr>
            <w:r w:rsidRPr="00BD36D2">
              <w:rPr>
                <w:rFonts w:ascii="Garamond" w:eastAsia="Times New Roman" w:hAnsi="Garamond" w:cs="Times New Roman"/>
                <w:color w:val="000000"/>
                <w:sz w:val="18"/>
                <w:szCs w:val="18"/>
                <w:lang w:eastAsia="it-IT"/>
              </w:rPr>
              <w:t>Procedura negoziata senza previa pubblicazione del bando</w:t>
            </w:r>
          </w:p>
        </w:tc>
        <w:tc>
          <w:tcPr>
            <w:tcW w:w="1132"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hideMark/>
          </w:tcPr>
          <w:p w:rsidR="00BD36D2" w:rsidRPr="00BD36D2" w:rsidRDefault="00BD36D2" w:rsidP="00BD36D2">
            <w:pPr>
              <w:spacing w:after="0" w:line="360" w:lineRule="auto"/>
              <w:jc w:val="center"/>
              <w:rPr>
                <w:rFonts w:ascii="Garamond" w:eastAsia="Times New Roman" w:hAnsi="Garamond" w:cs="Times New Roman"/>
                <w:color w:val="000000"/>
                <w:sz w:val="18"/>
                <w:szCs w:val="18"/>
                <w:lang w:eastAsia="it-IT"/>
              </w:rPr>
            </w:pPr>
            <w:r w:rsidRPr="00BD36D2">
              <w:rPr>
                <w:rFonts w:ascii="Garamond" w:eastAsia="Times New Roman" w:hAnsi="Garamond" w:cs="Times New Roman"/>
                <w:color w:val="000000"/>
                <w:sz w:val="18"/>
                <w:szCs w:val="18"/>
                <w:lang w:eastAsia="it-IT"/>
              </w:rPr>
              <w:t>55.441</w:t>
            </w:r>
          </w:p>
        </w:tc>
        <w:tc>
          <w:tcPr>
            <w:tcW w:w="1134"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hideMark/>
          </w:tcPr>
          <w:p w:rsidR="00BD36D2" w:rsidRPr="00BD36D2" w:rsidRDefault="00BD36D2" w:rsidP="00BD36D2">
            <w:pPr>
              <w:spacing w:after="0" w:line="360" w:lineRule="auto"/>
              <w:jc w:val="center"/>
              <w:rPr>
                <w:rFonts w:ascii="Garamond" w:eastAsia="Times New Roman" w:hAnsi="Garamond" w:cs="Times New Roman"/>
                <w:color w:val="000000"/>
                <w:sz w:val="18"/>
                <w:szCs w:val="18"/>
                <w:lang w:eastAsia="it-IT"/>
              </w:rPr>
            </w:pPr>
            <w:r w:rsidRPr="00BD36D2">
              <w:rPr>
                <w:rFonts w:ascii="Garamond" w:eastAsia="Times New Roman" w:hAnsi="Garamond" w:cs="Times New Roman"/>
                <w:color w:val="000000"/>
                <w:sz w:val="18"/>
                <w:szCs w:val="18"/>
                <w:lang w:eastAsia="it-IT"/>
              </w:rPr>
              <w:t>40,4%</w:t>
            </w:r>
          </w:p>
        </w:tc>
        <w:tc>
          <w:tcPr>
            <w:tcW w:w="1692"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hideMark/>
          </w:tcPr>
          <w:p w:rsidR="00BD36D2" w:rsidRPr="00BD36D2" w:rsidRDefault="00BD36D2" w:rsidP="00BD36D2">
            <w:pPr>
              <w:spacing w:after="0" w:line="360" w:lineRule="auto"/>
              <w:jc w:val="center"/>
              <w:rPr>
                <w:rFonts w:ascii="Garamond" w:eastAsia="Times New Roman" w:hAnsi="Garamond" w:cs="Times New Roman"/>
                <w:color w:val="000000"/>
                <w:sz w:val="18"/>
                <w:szCs w:val="18"/>
                <w:lang w:eastAsia="it-IT"/>
              </w:rPr>
            </w:pPr>
            <w:r w:rsidRPr="00BD36D2">
              <w:rPr>
                <w:rFonts w:ascii="Garamond" w:eastAsia="Times New Roman" w:hAnsi="Garamond" w:cs="Times New Roman"/>
                <w:color w:val="000000"/>
                <w:sz w:val="18"/>
                <w:szCs w:val="18"/>
                <w:lang w:eastAsia="it-IT"/>
              </w:rPr>
              <w:t>32.062.610.599</w:t>
            </w:r>
          </w:p>
        </w:tc>
        <w:tc>
          <w:tcPr>
            <w:tcW w:w="1134"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hideMark/>
          </w:tcPr>
          <w:p w:rsidR="00BD36D2" w:rsidRPr="00BD36D2" w:rsidRDefault="00BD36D2" w:rsidP="00BD36D2">
            <w:pPr>
              <w:spacing w:after="0" w:line="360" w:lineRule="auto"/>
              <w:jc w:val="center"/>
              <w:rPr>
                <w:rFonts w:ascii="Garamond" w:eastAsia="Times New Roman" w:hAnsi="Garamond" w:cs="Times New Roman"/>
                <w:color w:val="000000"/>
                <w:sz w:val="18"/>
                <w:szCs w:val="18"/>
                <w:lang w:eastAsia="it-IT"/>
              </w:rPr>
            </w:pPr>
            <w:r w:rsidRPr="00BD36D2">
              <w:rPr>
                <w:rFonts w:ascii="Garamond" w:eastAsia="Times New Roman" w:hAnsi="Garamond" w:cs="Times New Roman"/>
                <w:color w:val="000000"/>
                <w:sz w:val="18"/>
                <w:szCs w:val="18"/>
                <w:lang w:eastAsia="it-IT"/>
              </w:rPr>
              <w:t>23,1%</w:t>
            </w:r>
          </w:p>
        </w:tc>
        <w:tc>
          <w:tcPr>
            <w:tcW w:w="1843"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hideMark/>
          </w:tcPr>
          <w:p w:rsidR="00BD36D2" w:rsidRPr="00BD36D2" w:rsidRDefault="00BD36D2" w:rsidP="00BD36D2">
            <w:pPr>
              <w:spacing w:after="0" w:line="360" w:lineRule="auto"/>
              <w:jc w:val="center"/>
              <w:rPr>
                <w:rFonts w:ascii="Garamond" w:eastAsia="Times New Roman" w:hAnsi="Garamond" w:cs="Times New Roman"/>
                <w:color w:val="000000"/>
                <w:sz w:val="18"/>
                <w:szCs w:val="18"/>
                <w:lang w:eastAsia="it-IT"/>
              </w:rPr>
            </w:pPr>
            <w:r w:rsidRPr="00BD36D2">
              <w:rPr>
                <w:rFonts w:ascii="Garamond" w:eastAsia="Times New Roman" w:hAnsi="Garamond" w:cs="Times New Roman"/>
                <w:color w:val="000000"/>
                <w:sz w:val="18"/>
                <w:szCs w:val="18"/>
                <w:lang w:eastAsia="it-IT"/>
              </w:rPr>
              <w:t>578.319</w:t>
            </w:r>
          </w:p>
        </w:tc>
      </w:tr>
      <w:tr w:rsidR="00BD36D2" w:rsidRPr="00BD36D2" w:rsidTr="00BD36D2">
        <w:trPr>
          <w:trHeight w:val="359"/>
          <w:jc w:val="center"/>
        </w:trPr>
        <w:tc>
          <w:tcPr>
            <w:tcW w:w="2406"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hideMark/>
          </w:tcPr>
          <w:p w:rsidR="00BD36D2" w:rsidRPr="00BD36D2" w:rsidRDefault="00BD36D2" w:rsidP="00BD36D2">
            <w:pPr>
              <w:spacing w:after="0" w:line="360" w:lineRule="auto"/>
              <w:rPr>
                <w:rFonts w:ascii="Garamond" w:eastAsia="Times New Roman" w:hAnsi="Garamond" w:cs="Times New Roman"/>
                <w:color w:val="000000"/>
                <w:sz w:val="18"/>
                <w:szCs w:val="18"/>
                <w:lang w:eastAsia="it-IT"/>
              </w:rPr>
            </w:pPr>
            <w:r w:rsidRPr="00BD36D2">
              <w:rPr>
                <w:rFonts w:ascii="Garamond" w:eastAsia="Times New Roman" w:hAnsi="Garamond" w:cs="Times New Roman"/>
                <w:color w:val="000000"/>
                <w:sz w:val="18"/>
                <w:szCs w:val="18"/>
                <w:lang w:eastAsia="it-IT"/>
              </w:rPr>
              <w:t>Affidamento diretto</w:t>
            </w:r>
          </w:p>
        </w:tc>
        <w:tc>
          <w:tcPr>
            <w:tcW w:w="1132"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hideMark/>
          </w:tcPr>
          <w:p w:rsidR="00BD36D2" w:rsidRPr="00BD36D2" w:rsidRDefault="00BD36D2" w:rsidP="00BD36D2">
            <w:pPr>
              <w:spacing w:after="0" w:line="360" w:lineRule="auto"/>
              <w:jc w:val="center"/>
              <w:rPr>
                <w:rFonts w:ascii="Garamond" w:eastAsia="Times New Roman" w:hAnsi="Garamond" w:cs="Times New Roman"/>
                <w:color w:val="000000"/>
                <w:sz w:val="18"/>
                <w:szCs w:val="18"/>
                <w:lang w:eastAsia="it-IT"/>
              </w:rPr>
            </w:pPr>
            <w:r w:rsidRPr="00BD36D2">
              <w:rPr>
                <w:rFonts w:ascii="Garamond" w:eastAsia="Times New Roman" w:hAnsi="Garamond" w:cs="Times New Roman"/>
                <w:color w:val="000000"/>
                <w:sz w:val="18"/>
                <w:szCs w:val="18"/>
                <w:lang w:eastAsia="it-IT"/>
              </w:rPr>
              <w:t>28.409</w:t>
            </w:r>
          </w:p>
        </w:tc>
        <w:tc>
          <w:tcPr>
            <w:tcW w:w="1134"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hideMark/>
          </w:tcPr>
          <w:p w:rsidR="00BD36D2" w:rsidRPr="00BD36D2" w:rsidRDefault="00BD36D2" w:rsidP="00BD36D2">
            <w:pPr>
              <w:spacing w:after="0" w:line="360" w:lineRule="auto"/>
              <w:jc w:val="center"/>
              <w:rPr>
                <w:rFonts w:ascii="Garamond" w:eastAsia="Times New Roman" w:hAnsi="Garamond" w:cs="Times New Roman"/>
                <w:color w:val="000000"/>
                <w:sz w:val="18"/>
                <w:szCs w:val="18"/>
                <w:lang w:eastAsia="it-IT"/>
              </w:rPr>
            </w:pPr>
            <w:r w:rsidRPr="00BD36D2">
              <w:rPr>
                <w:rFonts w:ascii="Garamond" w:eastAsia="Times New Roman" w:hAnsi="Garamond" w:cs="Times New Roman"/>
                <w:color w:val="000000"/>
                <w:sz w:val="18"/>
                <w:szCs w:val="18"/>
                <w:lang w:eastAsia="it-IT"/>
              </w:rPr>
              <w:t>20,7%</w:t>
            </w:r>
          </w:p>
        </w:tc>
        <w:tc>
          <w:tcPr>
            <w:tcW w:w="1692"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hideMark/>
          </w:tcPr>
          <w:p w:rsidR="00BD36D2" w:rsidRPr="00BD36D2" w:rsidRDefault="00BD36D2" w:rsidP="00BD36D2">
            <w:pPr>
              <w:spacing w:after="0" w:line="360" w:lineRule="auto"/>
              <w:jc w:val="center"/>
              <w:rPr>
                <w:rFonts w:ascii="Garamond" w:eastAsia="Times New Roman" w:hAnsi="Garamond" w:cs="Times New Roman"/>
                <w:color w:val="000000"/>
                <w:sz w:val="18"/>
                <w:szCs w:val="18"/>
                <w:lang w:eastAsia="it-IT"/>
              </w:rPr>
            </w:pPr>
            <w:r w:rsidRPr="00BD36D2">
              <w:rPr>
                <w:rFonts w:ascii="Garamond" w:eastAsia="Times New Roman" w:hAnsi="Garamond" w:cs="Times New Roman"/>
                <w:color w:val="000000"/>
                <w:sz w:val="18"/>
                <w:szCs w:val="18"/>
                <w:lang w:eastAsia="it-IT"/>
              </w:rPr>
              <w:t>5.949.906.392</w:t>
            </w:r>
          </w:p>
        </w:tc>
        <w:tc>
          <w:tcPr>
            <w:tcW w:w="1134"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hideMark/>
          </w:tcPr>
          <w:p w:rsidR="00BD36D2" w:rsidRPr="00BD36D2" w:rsidRDefault="00BD36D2" w:rsidP="00BD36D2">
            <w:pPr>
              <w:spacing w:after="0" w:line="360" w:lineRule="auto"/>
              <w:jc w:val="center"/>
              <w:rPr>
                <w:rFonts w:ascii="Garamond" w:eastAsia="Times New Roman" w:hAnsi="Garamond" w:cs="Times New Roman"/>
                <w:color w:val="000000"/>
                <w:sz w:val="18"/>
                <w:szCs w:val="18"/>
                <w:lang w:eastAsia="it-IT"/>
              </w:rPr>
            </w:pPr>
            <w:r w:rsidRPr="00BD36D2">
              <w:rPr>
                <w:rFonts w:ascii="Garamond" w:eastAsia="Times New Roman" w:hAnsi="Garamond" w:cs="Times New Roman"/>
                <w:color w:val="000000"/>
                <w:sz w:val="18"/>
                <w:szCs w:val="18"/>
                <w:lang w:eastAsia="it-IT"/>
              </w:rPr>
              <w:t>4,3%</w:t>
            </w:r>
          </w:p>
        </w:tc>
        <w:tc>
          <w:tcPr>
            <w:tcW w:w="1843"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hideMark/>
          </w:tcPr>
          <w:p w:rsidR="00BD36D2" w:rsidRPr="00BD36D2" w:rsidRDefault="00BD36D2" w:rsidP="00BD36D2">
            <w:pPr>
              <w:spacing w:after="0" w:line="360" w:lineRule="auto"/>
              <w:jc w:val="center"/>
              <w:rPr>
                <w:rFonts w:ascii="Garamond" w:eastAsia="Times New Roman" w:hAnsi="Garamond" w:cs="Times New Roman"/>
                <w:color w:val="000000"/>
                <w:sz w:val="18"/>
                <w:szCs w:val="18"/>
                <w:lang w:eastAsia="it-IT"/>
              </w:rPr>
            </w:pPr>
            <w:r w:rsidRPr="00BD36D2">
              <w:rPr>
                <w:rFonts w:ascii="Garamond" w:eastAsia="Times New Roman" w:hAnsi="Garamond" w:cs="Times New Roman"/>
                <w:color w:val="000000"/>
                <w:sz w:val="18"/>
                <w:szCs w:val="18"/>
                <w:lang w:eastAsia="it-IT"/>
              </w:rPr>
              <w:t>209.437</w:t>
            </w:r>
          </w:p>
        </w:tc>
      </w:tr>
      <w:tr w:rsidR="00BD36D2" w:rsidRPr="00BD36D2" w:rsidTr="00BD36D2">
        <w:trPr>
          <w:trHeight w:val="359"/>
          <w:jc w:val="center"/>
        </w:trPr>
        <w:tc>
          <w:tcPr>
            <w:tcW w:w="2406"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hideMark/>
          </w:tcPr>
          <w:p w:rsidR="00BD36D2" w:rsidRPr="00BD36D2" w:rsidRDefault="00BD36D2" w:rsidP="00BD36D2">
            <w:pPr>
              <w:spacing w:after="0" w:line="360" w:lineRule="auto"/>
              <w:rPr>
                <w:rFonts w:ascii="Garamond" w:eastAsia="Times New Roman" w:hAnsi="Garamond" w:cs="Times New Roman"/>
                <w:color w:val="000000"/>
                <w:sz w:val="18"/>
                <w:szCs w:val="18"/>
                <w:lang w:eastAsia="it-IT"/>
              </w:rPr>
            </w:pPr>
            <w:r w:rsidRPr="00BD36D2">
              <w:rPr>
                <w:rFonts w:ascii="Garamond" w:eastAsia="Times New Roman" w:hAnsi="Garamond" w:cs="Times New Roman"/>
                <w:color w:val="000000"/>
                <w:sz w:val="18"/>
                <w:szCs w:val="18"/>
                <w:lang w:eastAsia="it-IT"/>
              </w:rPr>
              <w:t>Altro</w:t>
            </w:r>
          </w:p>
        </w:tc>
        <w:tc>
          <w:tcPr>
            <w:tcW w:w="1132"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hideMark/>
          </w:tcPr>
          <w:p w:rsidR="00BD36D2" w:rsidRPr="00BD36D2" w:rsidRDefault="00BD36D2" w:rsidP="00BD36D2">
            <w:pPr>
              <w:spacing w:after="0" w:line="360" w:lineRule="auto"/>
              <w:jc w:val="center"/>
              <w:rPr>
                <w:rFonts w:ascii="Garamond" w:eastAsia="Times New Roman" w:hAnsi="Garamond" w:cs="Times New Roman"/>
                <w:color w:val="000000"/>
                <w:sz w:val="18"/>
                <w:szCs w:val="18"/>
                <w:lang w:eastAsia="it-IT"/>
              </w:rPr>
            </w:pPr>
            <w:r w:rsidRPr="00BD36D2">
              <w:rPr>
                <w:rFonts w:ascii="Garamond" w:eastAsia="Times New Roman" w:hAnsi="Garamond" w:cs="Times New Roman"/>
                <w:color w:val="000000"/>
                <w:sz w:val="18"/>
                <w:szCs w:val="18"/>
                <w:lang w:eastAsia="it-IT"/>
              </w:rPr>
              <w:t>6.751</w:t>
            </w:r>
          </w:p>
        </w:tc>
        <w:tc>
          <w:tcPr>
            <w:tcW w:w="1134"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hideMark/>
          </w:tcPr>
          <w:p w:rsidR="00BD36D2" w:rsidRPr="00BD36D2" w:rsidRDefault="00BD36D2" w:rsidP="00BD36D2">
            <w:pPr>
              <w:spacing w:after="0" w:line="360" w:lineRule="auto"/>
              <w:jc w:val="center"/>
              <w:rPr>
                <w:rFonts w:ascii="Garamond" w:eastAsia="Times New Roman" w:hAnsi="Garamond" w:cs="Times New Roman"/>
                <w:color w:val="000000"/>
                <w:sz w:val="18"/>
                <w:szCs w:val="18"/>
                <w:lang w:eastAsia="it-IT"/>
              </w:rPr>
            </w:pPr>
            <w:r w:rsidRPr="00BD36D2">
              <w:rPr>
                <w:rFonts w:ascii="Garamond" w:eastAsia="Times New Roman" w:hAnsi="Garamond" w:cs="Times New Roman"/>
                <w:color w:val="000000"/>
                <w:sz w:val="18"/>
                <w:szCs w:val="18"/>
                <w:lang w:eastAsia="it-IT"/>
              </w:rPr>
              <w:t>4,9%</w:t>
            </w:r>
          </w:p>
        </w:tc>
        <w:tc>
          <w:tcPr>
            <w:tcW w:w="1692"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hideMark/>
          </w:tcPr>
          <w:p w:rsidR="00BD36D2" w:rsidRPr="00BD36D2" w:rsidRDefault="00BD36D2" w:rsidP="00BD36D2">
            <w:pPr>
              <w:spacing w:after="0" w:line="360" w:lineRule="auto"/>
              <w:jc w:val="center"/>
              <w:rPr>
                <w:rFonts w:ascii="Garamond" w:eastAsia="Times New Roman" w:hAnsi="Garamond" w:cs="Times New Roman"/>
                <w:color w:val="000000"/>
                <w:sz w:val="18"/>
                <w:szCs w:val="18"/>
                <w:lang w:eastAsia="it-IT"/>
              </w:rPr>
            </w:pPr>
            <w:r w:rsidRPr="00BD36D2">
              <w:rPr>
                <w:rFonts w:ascii="Garamond" w:eastAsia="Times New Roman" w:hAnsi="Garamond" w:cs="Times New Roman"/>
                <w:color w:val="000000"/>
                <w:sz w:val="18"/>
                <w:szCs w:val="18"/>
                <w:lang w:eastAsia="it-IT"/>
              </w:rPr>
              <w:t>3.046.135.635</w:t>
            </w:r>
          </w:p>
        </w:tc>
        <w:tc>
          <w:tcPr>
            <w:tcW w:w="1134"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hideMark/>
          </w:tcPr>
          <w:p w:rsidR="00BD36D2" w:rsidRPr="00BD36D2" w:rsidRDefault="00BD36D2" w:rsidP="00BD36D2">
            <w:pPr>
              <w:spacing w:after="0" w:line="360" w:lineRule="auto"/>
              <w:jc w:val="center"/>
              <w:rPr>
                <w:rFonts w:ascii="Garamond" w:eastAsia="Times New Roman" w:hAnsi="Garamond" w:cs="Times New Roman"/>
                <w:color w:val="000000"/>
                <w:sz w:val="18"/>
                <w:szCs w:val="18"/>
                <w:lang w:eastAsia="it-IT"/>
              </w:rPr>
            </w:pPr>
            <w:r w:rsidRPr="00BD36D2">
              <w:rPr>
                <w:rFonts w:ascii="Garamond" w:eastAsia="Times New Roman" w:hAnsi="Garamond" w:cs="Times New Roman"/>
                <w:color w:val="000000"/>
                <w:sz w:val="18"/>
                <w:szCs w:val="18"/>
                <w:lang w:eastAsia="it-IT"/>
              </w:rPr>
              <w:t>2,2%</w:t>
            </w:r>
          </w:p>
        </w:tc>
        <w:tc>
          <w:tcPr>
            <w:tcW w:w="1843" w:type="dxa"/>
            <w:tcBorders>
              <w:top w:val="single" w:sz="8" w:space="0" w:color="7BA0CD"/>
              <w:left w:val="single" w:sz="8" w:space="0" w:color="7BA0CD"/>
              <w:bottom w:val="single" w:sz="8" w:space="0" w:color="7BA0CD"/>
              <w:right w:val="single" w:sz="8" w:space="0" w:color="7BA0CD"/>
            </w:tcBorders>
            <w:shd w:val="clear" w:color="auto" w:fill="DBE5F1" w:themeFill="accent1" w:themeFillTint="33"/>
            <w:hideMark/>
          </w:tcPr>
          <w:p w:rsidR="00BD36D2" w:rsidRPr="00BD36D2" w:rsidRDefault="00BD36D2" w:rsidP="00BD36D2">
            <w:pPr>
              <w:spacing w:after="0" w:line="360" w:lineRule="auto"/>
              <w:jc w:val="center"/>
              <w:rPr>
                <w:rFonts w:ascii="Garamond" w:eastAsia="Times New Roman" w:hAnsi="Garamond" w:cs="Times New Roman"/>
                <w:color w:val="000000"/>
                <w:sz w:val="18"/>
                <w:szCs w:val="18"/>
                <w:lang w:eastAsia="it-IT"/>
              </w:rPr>
            </w:pPr>
            <w:r w:rsidRPr="00BD36D2">
              <w:rPr>
                <w:rFonts w:ascii="Garamond" w:eastAsia="Times New Roman" w:hAnsi="Garamond" w:cs="Times New Roman"/>
                <w:color w:val="000000"/>
                <w:sz w:val="18"/>
                <w:szCs w:val="18"/>
                <w:lang w:eastAsia="it-IT"/>
              </w:rPr>
              <w:t>451.213</w:t>
            </w:r>
          </w:p>
        </w:tc>
      </w:tr>
      <w:tr w:rsidR="00BD36D2" w:rsidRPr="00BD36D2" w:rsidTr="00BD36D2">
        <w:trPr>
          <w:trHeight w:val="359"/>
          <w:jc w:val="center"/>
        </w:trPr>
        <w:tc>
          <w:tcPr>
            <w:tcW w:w="2406"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hideMark/>
          </w:tcPr>
          <w:p w:rsidR="00BD36D2" w:rsidRPr="00BD36D2" w:rsidRDefault="00BD36D2" w:rsidP="00BD36D2">
            <w:pPr>
              <w:spacing w:after="0" w:line="360" w:lineRule="auto"/>
              <w:jc w:val="center"/>
              <w:rPr>
                <w:rFonts w:ascii="Garamond" w:eastAsia="Times New Roman" w:hAnsi="Garamond" w:cs="Times New Roman"/>
                <w:b/>
                <w:color w:val="000000"/>
                <w:sz w:val="20"/>
                <w:szCs w:val="18"/>
                <w:lang w:eastAsia="it-IT"/>
              </w:rPr>
            </w:pPr>
            <w:r w:rsidRPr="00BD36D2">
              <w:rPr>
                <w:rFonts w:ascii="Garamond" w:eastAsia="Times New Roman" w:hAnsi="Garamond" w:cs="Times New Roman"/>
                <w:b/>
                <w:color w:val="000000"/>
                <w:sz w:val="20"/>
                <w:szCs w:val="18"/>
                <w:lang w:eastAsia="it-IT"/>
              </w:rPr>
              <w:t>Totale complessivo</w:t>
            </w:r>
          </w:p>
        </w:tc>
        <w:tc>
          <w:tcPr>
            <w:tcW w:w="1132"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hideMark/>
          </w:tcPr>
          <w:p w:rsidR="00BD36D2" w:rsidRPr="00BD36D2" w:rsidRDefault="00BD36D2" w:rsidP="00BD36D2">
            <w:pPr>
              <w:spacing w:after="0" w:line="360" w:lineRule="auto"/>
              <w:jc w:val="center"/>
              <w:rPr>
                <w:rFonts w:ascii="Garamond" w:eastAsia="Times New Roman" w:hAnsi="Garamond" w:cs="Times New Roman"/>
                <w:b/>
                <w:color w:val="000000"/>
                <w:sz w:val="20"/>
                <w:szCs w:val="18"/>
                <w:lang w:eastAsia="it-IT"/>
              </w:rPr>
            </w:pPr>
            <w:r w:rsidRPr="00BD36D2">
              <w:rPr>
                <w:rFonts w:ascii="Garamond" w:eastAsia="Times New Roman" w:hAnsi="Garamond" w:cs="Times New Roman"/>
                <w:b/>
                <w:color w:val="000000"/>
                <w:sz w:val="20"/>
                <w:szCs w:val="18"/>
                <w:lang w:eastAsia="it-IT"/>
              </w:rPr>
              <w:t>137.237</w:t>
            </w:r>
          </w:p>
        </w:tc>
        <w:tc>
          <w:tcPr>
            <w:tcW w:w="1134"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hideMark/>
          </w:tcPr>
          <w:p w:rsidR="00BD36D2" w:rsidRPr="00BD36D2" w:rsidRDefault="00BD36D2" w:rsidP="00BD36D2">
            <w:pPr>
              <w:spacing w:after="0" w:line="360" w:lineRule="auto"/>
              <w:jc w:val="center"/>
              <w:rPr>
                <w:rFonts w:ascii="Garamond" w:eastAsia="Times New Roman" w:hAnsi="Garamond" w:cs="Times New Roman"/>
                <w:b/>
                <w:color w:val="000000"/>
                <w:sz w:val="20"/>
                <w:szCs w:val="18"/>
                <w:lang w:eastAsia="it-IT"/>
              </w:rPr>
            </w:pPr>
            <w:r w:rsidRPr="00BD36D2">
              <w:rPr>
                <w:rFonts w:ascii="Garamond" w:eastAsia="Times New Roman" w:hAnsi="Garamond" w:cs="Times New Roman"/>
                <w:b/>
                <w:color w:val="000000"/>
                <w:sz w:val="20"/>
                <w:szCs w:val="18"/>
                <w:lang w:eastAsia="it-IT"/>
              </w:rPr>
              <w:fldChar w:fldCharType="begin"/>
            </w:r>
            <w:r w:rsidRPr="00BD36D2">
              <w:rPr>
                <w:rFonts w:ascii="Garamond" w:eastAsia="Times New Roman" w:hAnsi="Garamond" w:cs="Times New Roman"/>
                <w:b/>
                <w:color w:val="000000"/>
                <w:sz w:val="20"/>
                <w:szCs w:val="18"/>
                <w:lang w:eastAsia="it-IT"/>
              </w:rPr>
              <w:instrText xml:space="preserve"> =SUM(ABOVE)*100 \# "0,00%" </w:instrText>
            </w:r>
            <w:r w:rsidRPr="00BD36D2">
              <w:rPr>
                <w:rFonts w:ascii="Garamond" w:eastAsia="Times New Roman" w:hAnsi="Garamond" w:cs="Times New Roman"/>
                <w:b/>
                <w:color w:val="000000"/>
                <w:sz w:val="20"/>
                <w:szCs w:val="18"/>
                <w:lang w:eastAsia="it-IT"/>
              </w:rPr>
              <w:fldChar w:fldCharType="separate"/>
            </w:r>
            <w:r w:rsidRPr="00BD36D2">
              <w:rPr>
                <w:rFonts w:ascii="Garamond" w:eastAsia="Times New Roman" w:hAnsi="Garamond" w:cs="Times New Roman"/>
                <w:b/>
                <w:noProof/>
                <w:color w:val="000000"/>
                <w:sz w:val="20"/>
                <w:szCs w:val="18"/>
                <w:lang w:eastAsia="it-IT"/>
              </w:rPr>
              <w:t>100,0%</w:t>
            </w:r>
            <w:r w:rsidRPr="00BD36D2">
              <w:rPr>
                <w:rFonts w:ascii="Garamond" w:eastAsia="Times New Roman" w:hAnsi="Garamond" w:cs="Times New Roman"/>
                <w:b/>
                <w:color w:val="000000"/>
                <w:sz w:val="20"/>
                <w:szCs w:val="18"/>
                <w:lang w:eastAsia="it-IT"/>
              </w:rPr>
              <w:fldChar w:fldCharType="end"/>
            </w:r>
          </w:p>
        </w:tc>
        <w:tc>
          <w:tcPr>
            <w:tcW w:w="1692"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hideMark/>
          </w:tcPr>
          <w:p w:rsidR="00BD36D2" w:rsidRPr="00BD36D2" w:rsidRDefault="00BD36D2" w:rsidP="00BD36D2">
            <w:pPr>
              <w:spacing w:after="0" w:line="360" w:lineRule="auto"/>
              <w:jc w:val="center"/>
              <w:rPr>
                <w:rFonts w:ascii="Garamond" w:eastAsia="Times New Roman" w:hAnsi="Garamond" w:cs="Times New Roman"/>
                <w:b/>
                <w:color w:val="000000"/>
                <w:sz w:val="20"/>
                <w:szCs w:val="18"/>
                <w:lang w:eastAsia="it-IT"/>
              </w:rPr>
            </w:pPr>
            <w:r w:rsidRPr="00BD36D2">
              <w:rPr>
                <w:rFonts w:ascii="Garamond" w:eastAsia="Times New Roman" w:hAnsi="Garamond" w:cs="Times New Roman"/>
                <w:b/>
                <w:color w:val="000000"/>
                <w:sz w:val="20"/>
                <w:szCs w:val="18"/>
                <w:lang w:eastAsia="it-IT"/>
              </w:rPr>
              <w:t>138.974.994.432</w:t>
            </w:r>
          </w:p>
        </w:tc>
        <w:tc>
          <w:tcPr>
            <w:tcW w:w="1134"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hideMark/>
          </w:tcPr>
          <w:p w:rsidR="00BD36D2" w:rsidRPr="00BD36D2" w:rsidRDefault="00BD36D2" w:rsidP="00BD36D2">
            <w:pPr>
              <w:spacing w:after="0" w:line="360" w:lineRule="auto"/>
              <w:jc w:val="center"/>
              <w:rPr>
                <w:rFonts w:ascii="Garamond" w:eastAsia="Times New Roman" w:hAnsi="Garamond" w:cs="Times New Roman"/>
                <w:b/>
                <w:color w:val="000000"/>
                <w:sz w:val="20"/>
                <w:szCs w:val="18"/>
                <w:lang w:eastAsia="it-IT"/>
              </w:rPr>
            </w:pPr>
            <w:r w:rsidRPr="00BD36D2">
              <w:rPr>
                <w:rFonts w:ascii="Garamond" w:eastAsia="Times New Roman" w:hAnsi="Garamond" w:cs="Times New Roman"/>
                <w:b/>
                <w:color w:val="000000"/>
                <w:sz w:val="20"/>
                <w:szCs w:val="18"/>
                <w:lang w:eastAsia="it-IT"/>
              </w:rPr>
              <w:fldChar w:fldCharType="begin"/>
            </w:r>
            <w:r w:rsidRPr="00BD36D2">
              <w:rPr>
                <w:rFonts w:ascii="Garamond" w:eastAsia="Times New Roman" w:hAnsi="Garamond" w:cs="Times New Roman"/>
                <w:b/>
                <w:color w:val="000000"/>
                <w:sz w:val="20"/>
                <w:szCs w:val="18"/>
                <w:lang w:eastAsia="it-IT"/>
              </w:rPr>
              <w:instrText xml:space="preserve"> =SUM(ABOVE)*100 \# "0,00%" </w:instrText>
            </w:r>
            <w:r w:rsidRPr="00BD36D2">
              <w:rPr>
                <w:rFonts w:ascii="Garamond" w:eastAsia="Times New Roman" w:hAnsi="Garamond" w:cs="Times New Roman"/>
                <w:b/>
                <w:color w:val="000000"/>
                <w:sz w:val="20"/>
                <w:szCs w:val="18"/>
                <w:lang w:eastAsia="it-IT"/>
              </w:rPr>
              <w:fldChar w:fldCharType="separate"/>
            </w:r>
            <w:r w:rsidRPr="00BD36D2">
              <w:rPr>
                <w:rFonts w:ascii="Garamond" w:eastAsia="Times New Roman" w:hAnsi="Garamond" w:cs="Times New Roman"/>
                <w:b/>
                <w:noProof/>
                <w:color w:val="000000"/>
                <w:sz w:val="20"/>
                <w:szCs w:val="18"/>
                <w:lang w:eastAsia="it-IT"/>
              </w:rPr>
              <w:t>100,0%</w:t>
            </w:r>
            <w:r w:rsidRPr="00BD36D2">
              <w:rPr>
                <w:rFonts w:ascii="Garamond" w:eastAsia="Times New Roman" w:hAnsi="Garamond" w:cs="Times New Roman"/>
                <w:b/>
                <w:color w:val="000000"/>
                <w:sz w:val="20"/>
                <w:szCs w:val="18"/>
                <w:lang w:eastAsia="it-IT"/>
              </w:rPr>
              <w:fldChar w:fldCharType="end"/>
            </w:r>
          </w:p>
        </w:tc>
        <w:tc>
          <w:tcPr>
            <w:tcW w:w="1843" w:type="dxa"/>
            <w:tcBorders>
              <w:top w:val="single" w:sz="8" w:space="0" w:color="7BA0CD"/>
              <w:left w:val="single" w:sz="8" w:space="0" w:color="7BA0CD"/>
              <w:bottom w:val="single" w:sz="8" w:space="0" w:color="7BA0CD"/>
              <w:right w:val="single" w:sz="8" w:space="0" w:color="7BA0CD"/>
            </w:tcBorders>
            <w:shd w:val="clear" w:color="auto" w:fill="B8CCE4" w:themeFill="accent1" w:themeFillTint="66"/>
            <w:hideMark/>
          </w:tcPr>
          <w:p w:rsidR="00BD36D2" w:rsidRPr="00BD36D2" w:rsidRDefault="00BD36D2" w:rsidP="00BD36D2">
            <w:pPr>
              <w:spacing w:after="0" w:line="360" w:lineRule="auto"/>
              <w:jc w:val="center"/>
              <w:rPr>
                <w:rFonts w:ascii="Garamond" w:eastAsia="Times New Roman" w:hAnsi="Garamond" w:cs="Times New Roman"/>
                <w:b/>
                <w:color w:val="000000"/>
                <w:sz w:val="20"/>
                <w:szCs w:val="18"/>
                <w:lang w:eastAsia="it-IT"/>
              </w:rPr>
            </w:pPr>
            <w:r w:rsidRPr="00BD36D2">
              <w:rPr>
                <w:rFonts w:ascii="Garamond" w:eastAsia="Times New Roman" w:hAnsi="Garamond" w:cs="Times New Roman"/>
                <w:b/>
                <w:color w:val="000000"/>
                <w:sz w:val="20"/>
                <w:szCs w:val="18"/>
                <w:lang w:eastAsia="it-IT"/>
              </w:rPr>
              <w:t>1.012.664</w:t>
            </w:r>
          </w:p>
        </w:tc>
      </w:tr>
    </w:tbl>
    <w:p w:rsidR="00CE6542" w:rsidRDefault="00CE6542" w:rsidP="00BD36D2">
      <w:pPr>
        <w:spacing w:after="60" w:line="360" w:lineRule="auto"/>
        <w:jc w:val="center"/>
        <w:rPr>
          <w:rFonts w:ascii="Garamond" w:eastAsia="Calibri" w:hAnsi="Garamond" w:cs="Times New Roman"/>
          <w:b/>
          <w:sz w:val="24"/>
          <w:szCs w:val="24"/>
          <w:lang w:eastAsia="it-IT"/>
        </w:rPr>
      </w:pPr>
    </w:p>
    <w:p w:rsidR="00CE6542" w:rsidRDefault="00CE6542">
      <w:pPr>
        <w:rPr>
          <w:rFonts w:ascii="Garamond" w:eastAsia="Calibri" w:hAnsi="Garamond" w:cs="Times New Roman"/>
          <w:b/>
          <w:sz w:val="24"/>
          <w:szCs w:val="24"/>
          <w:lang w:eastAsia="it-IT"/>
        </w:rPr>
      </w:pPr>
      <w:r>
        <w:rPr>
          <w:rFonts w:ascii="Garamond" w:eastAsia="Calibri" w:hAnsi="Garamond" w:cs="Times New Roman"/>
          <w:b/>
          <w:sz w:val="24"/>
          <w:szCs w:val="24"/>
          <w:lang w:eastAsia="it-IT"/>
        </w:rPr>
        <w:br w:type="page"/>
      </w:r>
    </w:p>
    <w:p w:rsidR="00CE6542" w:rsidRDefault="00CE6542" w:rsidP="00BD36D2">
      <w:pPr>
        <w:spacing w:after="60" w:line="360" w:lineRule="auto"/>
        <w:jc w:val="center"/>
        <w:rPr>
          <w:rFonts w:ascii="Garamond" w:eastAsia="Calibri" w:hAnsi="Garamond" w:cs="Times New Roman"/>
          <w:b/>
          <w:sz w:val="24"/>
          <w:szCs w:val="24"/>
          <w:lang w:eastAsia="it-IT"/>
        </w:rPr>
      </w:pPr>
    </w:p>
    <w:p w:rsidR="00CE6542" w:rsidRDefault="00CE6542" w:rsidP="00BD36D2">
      <w:pPr>
        <w:spacing w:after="60" w:line="360" w:lineRule="auto"/>
        <w:jc w:val="center"/>
        <w:rPr>
          <w:rFonts w:ascii="Garamond" w:eastAsia="Calibri" w:hAnsi="Garamond" w:cs="Times New Roman"/>
          <w:b/>
          <w:sz w:val="24"/>
          <w:szCs w:val="24"/>
          <w:lang w:eastAsia="it-IT"/>
        </w:rPr>
      </w:pPr>
    </w:p>
    <w:p w:rsidR="00CE6542" w:rsidRPr="00BD36D2" w:rsidRDefault="00CE6542" w:rsidP="00BD36D2">
      <w:pPr>
        <w:spacing w:after="60" w:line="360" w:lineRule="auto"/>
        <w:jc w:val="center"/>
        <w:rPr>
          <w:rFonts w:ascii="Garamond" w:eastAsia="Calibri" w:hAnsi="Garamond" w:cs="Times New Roman"/>
          <w:b/>
          <w:sz w:val="24"/>
          <w:szCs w:val="24"/>
          <w:lang w:eastAsia="it-IT"/>
        </w:rPr>
      </w:pPr>
    </w:p>
    <w:p w:rsidR="00BD36D2" w:rsidRPr="00BD36D2" w:rsidRDefault="00BD36D2" w:rsidP="00BD36D2">
      <w:pPr>
        <w:spacing w:after="0" w:line="240" w:lineRule="auto"/>
        <w:jc w:val="center"/>
        <w:rPr>
          <w:rFonts w:ascii="Garamond" w:eastAsia="Calibri" w:hAnsi="Garamond" w:cs="Times New Roman"/>
          <w:b/>
          <w:lang w:eastAsia="it-IT"/>
        </w:rPr>
      </w:pPr>
      <w:r w:rsidRPr="00BD36D2">
        <w:rPr>
          <w:rFonts w:ascii="Garamond" w:eastAsia="Calibri" w:hAnsi="Garamond" w:cs="Times New Roman"/>
          <w:b/>
          <w:lang w:eastAsia="it-IT"/>
        </w:rPr>
        <w:t>Tabella 6 Distribuzione delle procedure di affidamento, di importo uguale o superiore di € 40.000, per modalità di scelta del contraente (2016-2017)</w:t>
      </w:r>
    </w:p>
    <w:tbl>
      <w:tblPr>
        <w:tblStyle w:val="Grigliamedia1-Colore11"/>
        <w:tblW w:w="0" w:type="auto"/>
        <w:jc w:val="center"/>
        <w:tblLayout w:type="fixed"/>
        <w:tblLook w:val="04A0" w:firstRow="1" w:lastRow="0" w:firstColumn="1" w:lastColumn="0" w:noHBand="0" w:noVBand="1"/>
      </w:tblPr>
      <w:tblGrid>
        <w:gridCol w:w="2678"/>
        <w:gridCol w:w="921"/>
        <w:gridCol w:w="922"/>
        <w:gridCol w:w="850"/>
        <w:gridCol w:w="1486"/>
        <w:gridCol w:w="1491"/>
        <w:gridCol w:w="953"/>
      </w:tblGrid>
      <w:tr w:rsidR="00BD36D2" w:rsidRPr="00BD36D2" w:rsidTr="00BD36D2">
        <w:trPr>
          <w:cnfStyle w:val="100000000000" w:firstRow="1" w:lastRow="0" w:firstColumn="0" w:lastColumn="0" w:oddVBand="0" w:evenVBand="0" w:oddHBand="0" w:evenHBand="0" w:firstRowFirstColumn="0" w:firstRowLastColumn="0" w:lastRowFirstColumn="0" w:lastRowLastColumn="0"/>
          <w:cantSplit/>
          <w:trHeight w:val="425"/>
          <w:jc w:val="center"/>
        </w:trPr>
        <w:tc>
          <w:tcPr>
            <w:cnfStyle w:val="001000000000" w:firstRow="0" w:lastRow="0" w:firstColumn="1" w:lastColumn="0" w:oddVBand="0" w:evenVBand="0" w:oddHBand="0" w:evenHBand="0" w:firstRowFirstColumn="0" w:firstRowLastColumn="0" w:lastRowFirstColumn="0" w:lastRowLastColumn="0"/>
            <w:tcW w:w="2678" w:type="dxa"/>
            <w:vMerge w:val="restart"/>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line="360" w:lineRule="auto"/>
              <w:jc w:val="center"/>
              <w:rPr>
                <w:rFonts w:ascii="Garamond" w:eastAsia="Times New Roman" w:hAnsi="Garamond"/>
                <w:color w:val="FFFFFF"/>
              </w:rPr>
            </w:pPr>
            <w:r w:rsidRPr="00BD36D2">
              <w:rPr>
                <w:rFonts w:ascii="Garamond" w:eastAsia="Times New Roman" w:hAnsi="Garamond"/>
                <w:color w:val="FFFFFF"/>
              </w:rPr>
              <w:t>Modalità di scelta del contraente</w:t>
            </w:r>
          </w:p>
        </w:tc>
        <w:tc>
          <w:tcPr>
            <w:tcW w:w="2693" w:type="dxa"/>
            <w:gridSpan w:val="3"/>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line="360"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olor w:val="FFFFFF"/>
              </w:rPr>
            </w:pPr>
            <w:r w:rsidRPr="00BD36D2">
              <w:rPr>
                <w:rFonts w:ascii="Garamond" w:eastAsia="Times New Roman" w:hAnsi="Garamond"/>
                <w:color w:val="FFFFFF"/>
              </w:rPr>
              <w:t>Totale CIG perfezionati</w:t>
            </w:r>
          </w:p>
        </w:tc>
        <w:tc>
          <w:tcPr>
            <w:tcW w:w="3930" w:type="dxa"/>
            <w:gridSpan w:val="3"/>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line="360"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olor w:val="FFFFFF"/>
              </w:rPr>
            </w:pPr>
            <w:r w:rsidRPr="00BD36D2">
              <w:rPr>
                <w:rFonts w:ascii="Garamond" w:eastAsia="Times New Roman" w:hAnsi="Garamond"/>
                <w:color w:val="FFFFFF"/>
              </w:rPr>
              <w:t>Importo complessivo</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cantSplit/>
          <w:trHeight w:val="545"/>
          <w:jc w:val="center"/>
        </w:trPr>
        <w:tc>
          <w:tcPr>
            <w:cnfStyle w:val="001000000000" w:firstRow="0" w:lastRow="0" w:firstColumn="1" w:lastColumn="0" w:oddVBand="0" w:evenVBand="0" w:oddHBand="0" w:evenHBand="0" w:firstRowFirstColumn="0" w:firstRowLastColumn="0" w:lastRowFirstColumn="0" w:lastRowLastColumn="0"/>
            <w:tcW w:w="2678"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FFFFFF"/>
              </w:rPr>
            </w:pPr>
          </w:p>
        </w:tc>
        <w:tc>
          <w:tcPr>
            <w:tcW w:w="921" w:type="dxa"/>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bCs/>
                <w:color w:val="FFFFFF"/>
              </w:rPr>
            </w:pPr>
            <w:r w:rsidRPr="00BD36D2">
              <w:rPr>
                <w:rFonts w:ascii="Garamond" w:eastAsia="Times New Roman" w:hAnsi="Garamond"/>
                <w:b/>
                <w:bCs/>
                <w:color w:val="FFFFFF"/>
              </w:rPr>
              <w:t>2016</w:t>
            </w:r>
          </w:p>
        </w:tc>
        <w:tc>
          <w:tcPr>
            <w:tcW w:w="922" w:type="dxa"/>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bCs/>
                <w:color w:val="FFFFFF"/>
              </w:rPr>
            </w:pPr>
            <w:r w:rsidRPr="00BD36D2">
              <w:rPr>
                <w:rFonts w:ascii="Garamond" w:eastAsia="Times New Roman" w:hAnsi="Garamond"/>
                <w:b/>
                <w:bCs/>
                <w:color w:val="FFFFFF"/>
              </w:rPr>
              <w:t>2017</w:t>
            </w:r>
          </w:p>
        </w:tc>
        <w:tc>
          <w:tcPr>
            <w:tcW w:w="850" w:type="dxa"/>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bCs/>
                <w:color w:val="FFFFFF"/>
              </w:rPr>
            </w:pPr>
            <w:r w:rsidRPr="00BD36D2">
              <w:rPr>
                <w:rFonts w:ascii="Garamond" w:eastAsia="Times New Roman" w:hAnsi="Garamond"/>
                <w:b/>
                <w:color w:val="FFFFFF"/>
              </w:rPr>
              <w:t>Δ</w:t>
            </w:r>
          </w:p>
        </w:tc>
        <w:tc>
          <w:tcPr>
            <w:tcW w:w="1486" w:type="dxa"/>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FFFFFF"/>
              </w:rPr>
            </w:pPr>
            <w:r w:rsidRPr="00BD36D2">
              <w:rPr>
                <w:rFonts w:ascii="Garamond" w:eastAsia="Times New Roman" w:hAnsi="Garamond"/>
                <w:b/>
                <w:color w:val="FFFFFF"/>
              </w:rPr>
              <w:t xml:space="preserve">2016 </w:t>
            </w:r>
          </w:p>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FFFFFF"/>
              </w:rPr>
            </w:pPr>
            <w:r w:rsidRPr="00BD36D2">
              <w:rPr>
                <w:rFonts w:ascii="Garamond" w:eastAsia="Times New Roman" w:hAnsi="Garamond"/>
                <w:b/>
                <w:color w:val="FFFFFF"/>
              </w:rPr>
              <w:t>(valore in euro)</w:t>
            </w:r>
          </w:p>
        </w:tc>
        <w:tc>
          <w:tcPr>
            <w:tcW w:w="1491" w:type="dxa"/>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FFFFFF"/>
              </w:rPr>
            </w:pPr>
            <w:r w:rsidRPr="00BD36D2">
              <w:rPr>
                <w:rFonts w:ascii="Garamond" w:eastAsia="Times New Roman" w:hAnsi="Garamond"/>
                <w:b/>
                <w:color w:val="FFFFFF"/>
              </w:rPr>
              <w:t xml:space="preserve">2017 </w:t>
            </w:r>
          </w:p>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FFFFFF"/>
              </w:rPr>
            </w:pPr>
            <w:r w:rsidRPr="00BD36D2">
              <w:rPr>
                <w:rFonts w:ascii="Garamond" w:eastAsia="Times New Roman" w:hAnsi="Garamond"/>
                <w:b/>
                <w:color w:val="FFFFFF"/>
              </w:rPr>
              <w:t>(valore in euro)</w:t>
            </w:r>
          </w:p>
        </w:tc>
        <w:tc>
          <w:tcPr>
            <w:tcW w:w="953" w:type="dxa"/>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bCs/>
                <w:color w:val="FFFFFF"/>
              </w:rPr>
            </w:pPr>
            <w:r w:rsidRPr="00BD36D2">
              <w:rPr>
                <w:rFonts w:ascii="Garamond" w:eastAsia="Times New Roman" w:hAnsi="Garamond"/>
                <w:b/>
                <w:color w:val="FFFFFF"/>
              </w:rPr>
              <w:t xml:space="preserve">Δ </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2678"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rPr>
            </w:pPr>
            <w:r w:rsidRPr="00BD36D2">
              <w:rPr>
                <w:rFonts w:ascii="Garamond" w:eastAsia="Times New Roman" w:hAnsi="Garamond"/>
                <w:color w:val="000000"/>
              </w:rPr>
              <w:t>Procedura aperta</w:t>
            </w:r>
          </w:p>
        </w:tc>
        <w:tc>
          <w:tcPr>
            <w:tcW w:w="92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24.341</w:t>
            </w:r>
          </w:p>
        </w:tc>
        <w:tc>
          <w:tcPr>
            <w:tcW w:w="92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32.276</w:t>
            </w:r>
          </w:p>
        </w:tc>
        <w:tc>
          <w:tcPr>
            <w:tcW w:w="85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32,6%</w:t>
            </w:r>
          </w:p>
        </w:tc>
        <w:tc>
          <w:tcPr>
            <w:tcW w:w="1486"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46.380.310.615</w:t>
            </w:r>
          </w:p>
        </w:tc>
        <w:tc>
          <w:tcPr>
            <w:tcW w:w="149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65.650.231.721</w:t>
            </w:r>
          </w:p>
        </w:tc>
        <w:tc>
          <w:tcPr>
            <w:tcW w:w="95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41,5%</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678"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rPr>
            </w:pPr>
            <w:r w:rsidRPr="00BD36D2">
              <w:rPr>
                <w:rFonts w:ascii="Garamond" w:eastAsia="Times New Roman" w:hAnsi="Garamond"/>
                <w:color w:val="000000"/>
              </w:rPr>
              <w:t>Procedura ristretta</w:t>
            </w:r>
          </w:p>
        </w:tc>
        <w:tc>
          <w:tcPr>
            <w:tcW w:w="92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3.193</w:t>
            </w:r>
          </w:p>
        </w:tc>
        <w:tc>
          <w:tcPr>
            <w:tcW w:w="92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2.702</w:t>
            </w:r>
          </w:p>
        </w:tc>
        <w:tc>
          <w:tcPr>
            <w:tcW w:w="85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-15,4%</w:t>
            </w:r>
          </w:p>
        </w:tc>
        <w:tc>
          <w:tcPr>
            <w:tcW w:w="1486"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14.554.426.120</w:t>
            </w:r>
          </w:p>
        </w:tc>
        <w:tc>
          <w:tcPr>
            <w:tcW w:w="149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11.283.049.345</w:t>
            </w:r>
          </w:p>
        </w:tc>
        <w:tc>
          <w:tcPr>
            <w:tcW w:w="95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-22,5%</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2678"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rPr>
            </w:pPr>
            <w:r w:rsidRPr="00BD36D2">
              <w:rPr>
                <w:rFonts w:ascii="Garamond" w:eastAsia="Times New Roman" w:hAnsi="Garamond"/>
                <w:color w:val="000000"/>
              </w:rPr>
              <w:t>Sistema dinamico di acquisizione</w:t>
            </w:r>
          </w:p>
        </w:tc>
        <w:tc>
          <w:tcPr>
            <w:tcW w:w="92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1.579</w:t>
            </w:r>
          </w:p>
        </w:tc>
        <w:tc>
          <w:tcPr>
            <w:tcW w:w="92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3.934</w:t>
            </w:r>
          </w:p>
        </w:tc>
        <w:tc>
          <w:tcPr>
            <w:tcW w:w="85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149,1%</w:t>
            </w:r>
          </w:p>
        </w:tc>
        <w:tc>
          <w:tcPr>
            <w:tcW w:w="1486"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3.478.910.094</w:t>
            </w:r>
          </w:p>
        </w:tc>
        <w:tc>
          <w:tcPr>
            <w:tcW w:w="149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9.101.127.309</w:t>
            </w:r>
          </w:p>
        </w:tc>
        <w:tc>
          <w:tcPr>
            <w:tcW w:w="95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161,6%</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678"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rPr>
            </w:pPr>
            <w:r w:rsidRPr="00BD36D2">
              <w:rPr>
                <w:rFonts w:ascii="Garamond" w:eastAsia="Times New Roman" w:hAnsi="Garamond"/>
                <w:color w:val="000000"/>
              </w:rPr>
              <w:t>Procedura negoziata previa pubblicazione del bando</w:t>
            </w:r>
          </w:p>
        </w:tc>
        <w:tc>
          <w:tcPr>
            <w:tcW w:w="92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5.936</w:t>
            </w:r>
          </w:p>
        </w:tc>
        <w:tc>
          <w:tcPr>
            <w:tcW w:w="92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7.724</w:t>
            </w:r>
          </w:p>
        </w:tc>
        <w:tc>
          <w:tcPr>
            <w:tcW w:w="85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30,1%</w:t>
            </w:r>
          </w:p>
        </w:tc>
        <w:tc>
          <w:tcPr>
            <w:tcW w:w="1486"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8.111.053.727</w:t>
            </w:r>
          </w:p>
        </w:tc>
        <w:tc>
          <w:tcPr>
            <w:tcW w:w="149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11.881.933.432</w:t>
            </w:r>
          </w:p>
        </w:tc>
        <w:tc>
          <w:tcPr>
            <w:tcW w:w="95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46,5%</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2678"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rPr>
            </w:pPr>
            <w:r w:rsidRPr="00BD36D2">
              <w:rPr>
                <w:rFonts w:ascii="Garamond" w:eastAsia="Times New Roman" w:hAnsi="Garamond"/>
                <w:color w:val="000000"/>
              </w:rPr>
              <w:t>Procedura negoziata senza previa pubblicazione del bando</w:t>
            </w:r>
          </w:p>
        </w:tc>
        <w:tc>
          <w:tcPr>
            <w:tcW w:w="92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46.007</w:t>
            </w:r>
          </w:p>
        </w:tc>
        <w:tc>
          <w:tcPr>
            <w:tcW w:w="92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55.441</w:t>
            </w:r>
          </w:p>
        </w:tc>
        <w:tc>
          <w:tcPr>
            <w:tcW w:w="85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20,5%</w:t>
            </w:r>
          </w:p>
        </w:tc>
        <w:tc>
          <w:tcPr>
            <w:tcW w:w="1486"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21.912.060.305</w:t>
            </w:r>
          </w:p>
        </w:tc>
        <w:tc>
          <w:tcPr>
            <w:tcW w:w="149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32.062.610.599</w:t>
            </w:r>
          </w:p>
        </w:tc>
        <w:tc>
          <w:tcPr>
            <w:tcW w:w="95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46,3%</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678"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rPr>
            </w:pPr>
            <w:r w:rsidRPr="00BD36D2">
              <w:rPr>
                <w:rFonts w:ascii="Garamond" w:eastAsia="Times New Roman" w:hAnsi="Garamond"/>
                <w:color w:val="000000"/>
              </w:rPr>
              <w:t>Affidamenti diretti</w:t>
            </w:r>
          </w:p>
        </w:tc>
        <w:tc>
          <w:tcPr>
            <w:tcW w:w="92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31.386</w:t>
            </w:r>
          </w:p>
        </w:tc>
        <w:tc>
          <w:tcPr>
            <w:tcW w:w="92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28.409</w:t>
            </w:r>
          </w:p>
        </w:tc>
        <w:tc>
          <w:tcPr>
            <w:tcW w:w="85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-9,5%</w:t>
            </w:r>
          </w:p>
        </w:tc>
        <w:tc>
          <w:tcPr>
            <w:tcW w:w="1486"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5.418.937.633</w:t>
            </w:r>
          </w:p>
        </w:tc>
        <w:tc>
          <w:tcPr>
            <w:tcW w:w="149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5.949.906.392</w:t>
            </w:r>
          </w:p>
        </w:tc>
        <w:tc>
          <w:tcPr>
            <w:tcW w:w="95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9,8%</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2678"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rPr>
            </w:pPr>
            <w:r w:rsidRPr="00BD36D2">
              <w:rPr>
                <w:rFonts w:ascii="Garamond" w:eastAsia="Times New Roman" w:hAnsi="Garamond"/>
                <w:color w:val="000000"/>
              </w:rPr>
              <w:t xml:space="preserve">Altro </w:t>
            </w:r>
          </w:p>
        </w:tc>
        <w:tc>
          <w:tcPr>
            <w:tcW w:w="92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6.547</w:t>
            </w:r>
          </w:p>
        </w:tc>
        <w:tc>
          <w:tcPr>
            <w:tcW w:w="92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6.751</w:t>
            </w:r>
          </w:p>
        </w:tc>
        <w:tc>
          <w:tcPr>
            <w:tcW w:w="85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3,1%</w:t>
            </w:r>
          </w:p>
        </w:tc>
        <w:tc>
          <w:tcPr>
            <w:tcW w:w="1486"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2.187.134.199</w:t>
            </w:r>
          </w:p>
        </w:tc>
        <w:tc>
          <w:tcPr>
            <w:tcW w:w="149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3.046.135.635</w:t>
            </w:r>
          </w:p>
        </w:tc>
        <w:tc>
          <w:tcPr>
            <w:tcW w:w="95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rPr>
            </w:pPr>
            <w:r w:rsidRPr="00BD36D2">
              <w:rPr>
                <w:rFonts w:ascii="Garamond" w:eastAsia="Times New Roman" w:hAnsi="Garamond"/>
                <w:color w:val="000000"/>
              </w:rPr>
              <w:t>39,3%</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678"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rPr>
            </w:pPr>
            <w:r w:rsidRPr="00BD36D2">
              <w:rPr>
                <w:rFonts w:ascii="Garamond" w:eastAsia="Times New Roman" w:hAnsi="Garamond"/>
              </w:rPr>
              <w:t>Totale generale</w:t>
            </w:r>
          </w:p>
        </w:tc>
        <w:tc>
          <w:tcPr>
            <w:tcW w:w="92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000000"/>
              </w:rPr>
            </w:pPr>
            <w:r w:rsidRPr="00BD36D2">
              <w:rPr>
                <w:rFonts w:ascii="Garamond" w:eastAsia="Times New Roman" w:hAnsi="Garamond"/>
                <w:b/>
                <w:color w:val="000000"/>
              </w:rPr>
              <w:t>118.989</w:t>
            </w:r>
          </w:p>
        </w:tc>
        <w:tc>
          <w:tcPr>
            <w:tcW w:w="92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000000"/>
              </w:rPr>
            </w:pPr>
            <w:r w:rsidRPr="00BD36D2">
              <w:rPr>
                <w:rFonts w:ascii="Garamond" w:eastAsia="Times New Roman" w:hAnsi="Garamond"/>
                <w:b/>
                <w:color w:val="000000"/>
              </w:rPr>
              <w:t>137.237</w:t>
            </w:r>
          </w:p>
        </w:tc>
        <w:tc>
          <w:tcPr>
            <w:tcW w:w="85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000000"/>
              </w:rPr>
            </w:pPr>
            <w:r w:rsidRPr="00BD36D2">
              <w:rPr>
                <w:rFonts w:ascii="Garamond" w:eastAsia="Times New Roman" w:hAnsi="Garamond"/>
                <w:b/>
                <w:color w:val="000000"/>
              </w:rPr>
              <w:t>15,3%</w:t>
            </w:r>
          </w:p>
        </w:tc>
        <w:tc>
          <w:tcPr>
            <w:tcW w:w="1486"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000000"/>
              </w:rPr>
            </w:pPr>
            <w:r w:rsidRPr="00BD36D2">
              <w:rPr>
                <w:rFonts w:ascii="Garamond" w:eastAsia="Times New Roman" w:hAnsi="Garamond"/>
                <w:b/>
                <w:color w:val="000000"/>
              </w:rPr>
              <w:t>102.042.832.694</w:t>
            </w:r>
          </w:p>
        </w:tc>
        <w:tc>
          <w:tcPr>
            <w:tcW w:w="149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000000"/>
              </w:rPr>
            </w:pPr>
            <w:r w:rsidRPr="00BD36D2">
              <w:rPr>
                <w:rFonts w:ascii="Garamond" w:eastAsia="Times New Roman" w:hAnsi="Garamond"/>
                <w:b/>
                <w:color w:val="000000"/>
              </w:rPr>
              <w:t>138.974.994.432</w:t>
            </w:r>
          </w:p>
        </w:tc>
        <w:tc>
          <w:tcPr>
            <w:tcW w:w="95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000000"/>
              </w:rPr>
            </w:pPr>
            <w:r w:rsidRPr="00BD36D2">
              <w:rPr>
                <w:rFonts w:ascii="Garamond" w:eastAsia="Times New Roman" w:hAnsi="Garamond"/>
                <w:b/>
                <w:color w:val="000000"/>
              </w:rPr>
              <w:t>36,2%</w:t>
            </w:r>
          </w:p>
        </w:tc>
      </w:tr>
    </w:tbl>
    <w:p w:rsidR="00CE6542" w:rsidRDefault="00CE6542" w:rsidP="00BD36D2">
      <w:pPr>
        <w:spacing w:after="60" w:line="360" w:lineRule="auto"/>
        <w:jc w:val="center"/>
        <w:rPr>
          <w:rFonts w:ascii="Garamond" w:eastAsia="Calibri" w:hAnsi="Garamond" w:cs="Times New Roman"/>
          <w:b/>
          <w:sz w:val="24"/>
          <w:szCs w:val="24"/>
          <w:lang w:eastAsia="it-IT"/>
        </w:rPr>
      </w:pPr>
    </w:p>
    <w:p w:rsidR="00CE6542" w:rsidRDefault="00CE6542">
      <w:pPr>
        <w:rPr>
          <w:rFonts w:ascii="Garamond" w:eastAsia="Calibri" w:hAnsi="Garamond" w:cs="Times New Roman"/>
          <w:b/>
          <w:sz w:val="24"/>
          <w:szCs w:val="24"/>
          <w:lang w:eastAsia="it-IT"/>
        </w:rPr>
      </w:pPr>
      <w:r>
        <w:rPr>
          <w:rFonts w:ascii="Garamond" w:eastAsia="Calibri" w:hAnsi="Garamond" w:cs="Times New Roman"/>
          <w:b/>
          <w:sz w:val="24"/>
          <w:szCs w:val="24"/>
          <w:lang w:eastAsia="it-IT"/>
        </w:rPr>
        <w:br w:type="page"/>
      </w:r>
    </w:p>
    <w:p w:rsidR="00BD36D2" w:rsidRDefault="00BD36D2" w:rsidP="00BD36D2">
      <w:pPr>
        <w:spacing w:after="60" w:line="360" w:lineRule="auto"/>
        <w:jc w:val="center"/>
        <w:rPr>
          <w:rFonts w:ascii="Garamond" w:eastAsia="Calibri" w:hAnsi="Garamond" w:cs="Times New Roman"/>
          <w:b/>
          <w:sz w:val="24"/>
          <w:szCs w:val="24"/>
          <w:lang w:eastAsia="it-IT"/>
        </w:rPr>
      </w:pPr>
    </w:p>
    <w:p w:rsidR="00CE6542" w:rsidRPr="00BD36D2" w:rsidRDefault="00CE6542" w:rsidP="00BD36D2">
      <w:pPr>
        <w:spacing w:after="60" w:line="360" w:lineRule="auto"/>
        <w:jc w:val="center"/>
        <w:rPr>
          <w:rFonts w:ascii="Garamond" w:eastAsia="Calibri" w:hAnsi="Garamond" w:cs="Times New Roman"/>
          <w:b/>
          <w:sz w:val="24"/>
          <w:szCs w:val="24"/>
          <w:lang w:eastAsia="it-IT"/>
        </w:rPr>
      </w:pPr>
    </w:p>
    <w:p w:rsidR="00BD36D2" w:rsidRPr="00BD36D2" w:rsidRDefault="00BD36D2" w:rsidP="00BD36D2">
      <w:pPr>
        <w:spacing w:after="0" w:line="240" w:lineRule="auto"/>
        <w:rPr>
          <w:rFonts w:ascii="Garamond" w:eastAsia="Calibri" w:hAnsi="Garamond" w:cs="Times New Roman"/>
          <w:b/>
          <w:lang w:eastAsia="it-IT"/>
        </w:rPr>
      </w:pPr>
    </w:p>
    <w:p w:rsidR="00BD36D2" w:rsidRPr="00BD36D2" w:rsidRDefault="00BD36D2" w:rsidP="00BD36D2">
      <w:pPr>
        <w:spacing w:after="0" w:line="240" w:lineRule="auto"/>
        <w:jc w:val="center"/>
        <w:rPr>
          <w:rFonts w:ascii="Garamond" w:eastAsia="Calibri" w:hAnsi="Garamond" w:cs="Times New Roman"/>
          <w:b/>
          <w:lang w:eastAsia="it-IT"/>
        </w:rPr>
      </w:pPr>
      <w:r w:rsidRPr="00BD36D2">
        <w:rPr>
          <w:rFonts w:ascii="Garamond" w:eastAsia="Calibri" w:hAnsi="Garamond" w:cs="Times New Roman"/>
          <w:b/>
          <w:lang w:eastAsia="it-IT"/>
        </w:rPr>
        <w:t>Tabella 7 Distribuzione delle procedure di affidamento, di importo uguale o superiore di € 40.000, per modalità di scelta del contraente e tipo di settore (2016-2017)</w:t>
      </w:r>
    </w:p>
    <w:tbl>
      <w:tblPr>
        <w:tblStyle w:val="Grigliamedia1-Colore11"/>
        <w:tblW w:w="9359" w:type="dxa"/>
        <w:jc w:val="center"/>
        <w:tblLayout w:type="fixed"/>
        <w:tblLook w:val="04A0" w:firstRow="1" w:lastRow="0" w:firstColumn="1" w:lastColumn="0" w:noHBand="0" w:noVBand="1"/>
      </w:tblPr>
      <w:tblGrid>
        <w:gridCol w:w="236"/>
        <w:gridCol w:w="2036"/>
        <w:gridCol w:w="992"/>
        <w:gridCol w:w="992"/>
        <w:gridCol w:w="851"/>
        <w:gridCol w:w="1701"/>
        <w:gridCol w:w="1649"/>
        <w:gridCol w:w="902"/>
      </w:tblGrid>
      <w:tr w:rsidR="00BD36D2" w:rsidRPr="00BD36D2" w:rsidTr="00BD36D2">
        <w:trPr>
          <w:cnfStyle w:val="100000000000" w:firstRow="1" w:lastRow="0" w:firstColumn="0" w:lastColumn="0" w:oddVBand="0" w:evenVBand="0" w:oddHBand="0" w:evenHBand="0" w:firstRowFirstColumn="0" w:firstRowLastColumn="0" w:lastRowFirstColumn="0" w:lastRowLastColumn="0"/>
          <w:cantSplit/>
          <w:trHeight w:val="360"/>
          <w:jc w:val="center"/>
        </w:trPr>
        <w:tc>
          <w:tcPr>
            <w:cnfStyle w:val="001000000000" w:firstRow="0" w:lastRow="0" w:firstColumn="1" w:lastColumn="0" w:oddVBand="0" w:evenVBand="0" w:oddHBand="0" w:evenHBand="0" w:firstRowFirstColumn="0" w:firstRowLastColumn="0" w:lastRowFirstColumn="0" w:lastRowLastColumn="0"/>
            <w:tcW w:w="236" w:type="dxa"/>
            <w:vMerge w:val="restart"/>
            <w:tcBorders>
              <w:top w:val="single" w:sz="8" w:space="0" w:color="7BA0CD"/>
              <w:left w:val="single" w:sz="8" w:space="0" w:color="7BA0CD"/>
              <w:bottom w:val="single" w:sz="8" w:space="0" w:color="7BA0CD"/>
              <w:right w:val="single" w:sz="8" w:space="0" w:color="7BA0CD"/>
            </w:tcBorders>
            <w:shd w:val="clear" w:color="auto" w:fill="365F91"/>
            <w:textDirection w:val="btLr"/>
            <w:vAlign w:val="center"/>
            <w:hideMark/>
          </w:tcPr>
          <w:p w:rsidR="00BD36D2" w:rsidRPr="00BD36D2" w:rsidRDefault="00BD36D2" w:rsidP="00BD36D2">
            <w:pPr>
              <w:ind w:left="113" w:right="113"/>
              <w:jc w:val="center"/>
              <w:rPr>
                <w:rFonts w:ascii="Garamond" w:eastAsia="Times New Roman" w:hAnsi="Garamond"/>
                <w:color w:val="FFFFFF"/>
                <w:sz w:val="18"/>
                <w:szCs w:val="18"/>
              </w:rPr>
            </w:pPr>
            <w:r w:rsidRPr="00BD36D2">
              <w:rPr>
                <w:rFonts w:ascii="Garamond" w:eastAsia="Times New Roman" w:hAnsi="Garamond"/>
                <w:color w:val="FFFFFF"/>
                <w:sz w:val="18"/>
                <w:szCs w:val="18"/>
              </w:rPr>
              <w:t>Settore</w:t>
            </w:r>
          </w:p>
        </w:tc>
        <w:tc>
          <w:tcPr>
            <w:tcW w:w="2036" w:type="dxa"/>
            <w:vMerge w:val="restart"/>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olor w:val="FFFFFF"/>
                <w:sz w:val="18"/>
                <w:szCs w:val="18"/>
              </w:rPr>
            </w:pPr>
            <w:r w:rsidRPr="00BD36D2">
              <w:rPr>
                <w:rFonts w:ascii="Garamond" w:eastAsia="Times New Roman" w:hAnsi="Garamond"/>
                <w:color w:val="FFFFFF"/>
                <w:sz w:val="18"/>
                <w:szCs w:val="18"/>
              </w:rPr>
              <w:t>Modalità di scelta del contraente</w:t>
            </w:r>
          </w:p>
        </w:tc>
        <w:tc>
          <w:tcPr>
            <w:tcW w:w="2835" w:type="dxa"/>
            <w:gridSpan w:val="3"/>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olor w:val="FFFFFF"/>
                <w:sz w:val="18"/>
                <w:szCs w:val="18"/>
              </w:rPr>
            </w:pPr>
            <w:r w:rsidRPr="00BD36D2">
              <w:rPr>
                <w:rFonts w:ascii="Garamond" w:eastAsia="Times New Roman" w:hAnsi="Garamond"/>
                <w:color w:val="FFFFFF"/>
                <w:sz w:val="18"/>
                <w:szCs w:val="18"/>
              </w:rPr>
              <w:t>Totale CIG perfezionati</w:t>
            </w:r>
          </w:p>
        </w:tc>
        <w:tc>
          <w:tcPr>
            <w:tcW w:w="4252" w:type="dxa"/>
            <w:gridSpan w:val="3"/>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olor w:val="FFFFFF"/>
                <w:sz w:val="18"/>
                <w:szCs w:val="18"/>
              </w:rPr>
            </w:pPr>
            <w:r w:rsidRPr="00BD36D2">
              <w:rPr>
                <w:rFonts w:ascii="Garamond" w:eastAsia="Times New Roman" w:hAnsi="Garamond"/>
                <w:color w:val="FFFFFF"/>
                <w:sz w:val="18"/>
                <w:szCs w:val="18"/>
              </w:rPr>
              <w:t>Importo complessivo</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cantSplit/>
          <w:trHeight w:val="545"/>
          <w:jc w:val="center"/>
        </w:trPr>
        <w:tc>
          <w:tcPr>
            <w:cnfStyle w:val="001000000000" w:firstRow="0" w:lastRow="0" w:firstColumn="1" w:lastColumn="0" w:oddVBand="0" w:evenVBand="0" w:oddHBand="0" w:evenHBand="0" w:firstRowFirstColumn="0" w:firstRowLastColumn="0" w:lastRowFirstColumn="0" w:lastRowLastColumn="0"/>
            <w:tcW w:w="236"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rPr>
                <w:rFonts w:ascii="Garamond" w:eastAsia="Times New Roman" w:hAnsi="Garamond"/>
                <w:color w:val="FFFFFF"/>
                <w:sz w:val="18"/>
                <w:szCs w:val="18"/>
              </w:rPr>
            </w:pPr>
          </w:p>
        </w:tc>
        <w:tc>
          <w:tcPr>
            <w:tcW w:w="2036"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FFFFFF"/>
                <w:sz w:val="18"/>
                <w:szCs w:val="18"/>
              </w:rPr>
            </w:pPr>
          </w:p>
        </w:tc>
        <w:tc>
          <w:tcPr>
            <w:tcW w:w="992" w:type="dxa"/>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bCs/>
                <w:color w:val="FFFFFF"/>
                <w:sz w:val="18"/>
                <w:szCs w:val="18"/>
              </w:rPr>
            </w:pPr>
            <w:r w:rsidRPr="00BD36D2">
              <w:rPr>
                <w:rFonts w:ascii="Garamond" w:eastAsia="Times New Roman" w:hAnsi="Garamond"/>
                <w:b/>
                <w:bCs/>
                <w:color w:val="FFFFFF"/>
                <w:sz w:val="18"/>
                <w:szCs w:val="18"/>
              </w:rPr>
              <w:t>2016</w:t>
            </w:r>
          </w:p>
        </w:tc>
        <w:tc>
          <w:tcPr>
            <w:tcW w:w="992" w:type="dxa"/>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bCs/>
                <w:color w:val="FFFFFF"/>
                <w:sz w:val="18"/>
                <w:szCs w:val="18"/>
              </w:rPr>
            </w:pPr>
            <w:r w:rsidRPr="00BD36D2">
              <w:rPr>
                <w:rFonts w:ascii="Garamond" w:eastAsia="Times New Roman" w:hAnsi="Garamond"/>
                <w:b/>
                <w:bCs/>
                <w:color w:val="FFFFFF"/>
                <w:sz w:val="18"/>
                <w:szCs w:val="18"/>
              </w:rPr>
              <w:t>2017</w:t>
            </w:r>
          </w:p>
        </w:tc>
        <w:tc>
          <w:tcPr>
            <w:tcW w:w="851" w:type="dxa"/>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bCs/>
                <w:color w:val="FFFFFF"/>
                <w:sz w:val="18"/>
                <w:szCs w:val="18"/>
              </w:rPr>
            </w:pPr>
            <w:r w:rsidRPr="00BD36D2">
              <w:rPr>
                <w:rFonts w:ascii="Garamond" w:eastAsia="Times New Roman" w:hAnsi="Garamond"/>
                <w:b/>
                <w:color w:val="FFFFFF"/>
                <w:sz w:val="18"/>
                <w:szCs w:val="18"/>
              </w:rPr>
              <w:t>Δ</w:t>
            </w:r>
          </w:p>
        </w:tc>
        <w:tc>
          <w:tcPr>
            <w:tcW w:w="1701" w:type="dxa"/>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FFFFFF"/>
                <w:sz w:val="18"/>
                <w:szCs w:val="18"/>
              </w:rPr>
            </w:pPr>
            <w:r w:rsidRPr="00BD36D2">
              <w:rPr>
                <w:rFonts w:ascii="Garamond" w:eastAsia="Times New Roman" w:hAnsi="Garamond"/>
                <w:b/>
                <w:color w:val="FFFFFF"/>
                <w:sz w:val="18"/>
                <w:szCs w:val="18"/>
              </w:rPr>
              <w:t xml:space="preserve">2016 </w:t>
            </w:r>
          </w:p>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FFFFFF"/>
                <w:sz w:val="18"/>
                <w:szCs w:val="18"/>
              </w:rPr>
            </w:pPr>
            <w:r w:rsidRPr="00BD36D2">
              <w:rPr>
                <w:rFonts w:ascii="Garamond" w:eastAsia="Times New Roman" w:hAnsi="Garamond"/>
                <w:b/>
                <w:color w:val="FFFFFF"/>
                <w:sz w:val="18"/>
                <w:szCs w:val="18"/>
              </w:rPr>
              <w:t>(valore in euro)</w:t>
            </w:r>
          </w:p>
        </w:tc>
        <w:tc>
          <w:tcPr>
            <w:tcW w:w="1649" w:type="dxa"/>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FFFFFF"/>
                <w:sz w:val="18"/>
                <w:szCs w:val="18"/>
              </w:rPr>
            </w:pPr>
            <w:r w:rsidRPr="00BD36D2">
              <w:rPr>
                <w:rFonts w:ascii="Garamond" w:eastAsia="Times New Roman" w:hAnsi="Garamond"/>
                <w:b/>
                <w:color w:val="FFFFFF"/>
                <w:sz w:val="18"/>
                <w:szCs w:val="18"/>
              </w:rPr>
              <w:t xml:space="preserve">2017 </w:t>
            </w:r>
          </w:p>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FFFFFF"/>
                <w:sz w:val="18"/>
                <w:szCs w:val="18"/>
              </w:rPr>
            </w:pPr>
            <w:r w:rsidRPr="00BD36D2">
              <w:rPr>
                <w:rFonts w:ascii="Garamond" w:eastAsia="Times New Roman" w:hAnsi="Garamond"/>
                <w:b/>
                <w:color w:val="FFFFFF"/>
                <w:sz w:val="18"/>
                <w:szCs w:val="18"/>
              </w:rPr>
              <w:t>(valore in euro)</w:t>
            </w:r>
          </w:p>
        </w:tc>
        <w:tc>
          <w:tcPr>
            <w:tcW w:w="902" w:type="dxa"/>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bCs/>
                <w:color w:val="FFFFFF"/>
                <w:sz w:val="18"/>
                <w:szCs w:val="18"/>
              </w:rPr>
            </w:pPr>
            <w:r w:rsidRPr="00BD36D2">
              <w:rPr>
                <w:rFonts w:ascii="Garamond" w:eastAsia="Times New Roman" w:hAnsi="Garamond"/>
                <w:b/>
                <w:color w:val="FFFFFF"/>
                <w:sz w:val="18"/>
                <w:szCs w:val="18"/>
              </w:rPr>
              <w:t xml:space="preserve">Δ </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236" w:type="dxa"/>
            <w:vMerge w:val="restart"/>
            <w:tcBorders>
              <w:top w:val="single" w:sz="8" w:space="0" w:color="7BA0CD"/>
              <w:left w:val="single" w:sz="8" w:space="0" w:color="7BA0CD"/>
              <w:bottom w:val="single" w:sz="8" w:space="0" w:color="7BA0CD"/>
              <w:right w:val="single" w:sz="8" w:space="0" w:color="7BA0CD"/>
            </w:tcBorders>
            <w:textDirection w:val="btLr"/>
            <w:vAlign w:val="center"/>
            <w:hideMark/>
          </w:tcPr>
          <w:p w:rsidR="00BD36D2" w:rsidRPr="00BD36D2" w:rsidRDefault="00BD36D2" w:rsidP="00BD36D2">
            <w:pPr>
              <w:ind w:left="113" w:right="113"/>
              <w:jc w:val="center"/>
              <w:rPr>
                <w:rFonts w:ascii="Garamond" w:eastAsia="Times New Roman" w:hAnsi="Garamond"/>
                <w:color w:val="000000"/>
                <w:sz w:val="18"/>
                <w:szCs w:val="18"/>
              </w:rPr>
            </w:pPr>
            <w:r w:rsidRPr="00BD36D2">
              <w:rPr>
                <w:rFonts w:ascii="Garamond" w:eastAsia="Times New Roman" w:hAnsi="Garamond"/>
                <w:color w:val="000000"/>
                <w:sz w:val="18"/>
                <w:szCs w:val="18"/>
              </w:rPr>
              <w:t>Ordinario</w:t>
            </w:r>
          </w:p>
        </w:tc>
        <w:tc>
          <w:tcPr>
            <w:tcW w:w="2036"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Procedura aperta</w:t>
            </w:r>
          </w:p>
        </w:tc>
        <w:tc>
          <w:tcPr>
            <w:tcW w:w="99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22.204</w:t>
            </w:r>
          </w:p>
        </w:tc>
        <w:tc>
          <w:tcPr>
            <w:tcW w:w="99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29.478</w:t>
            </w:r>
          </w:p>
        </w:tc>
        <w:tc>
          <w:tcPr>
            <w:tcW w:w="85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32,8%</w:t>
            </w:r>
          </w:p>
        </w:tc>
        <w:tc>
          <w:tcPr>
            <w:tcW w:w="170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39.432.334.803</w:t>
            </w:r>
          </w:p>
        </w:tc>
        <w:tc>
          <w:tcPr>
            <w:tcW w:w="164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58.941.405.164</w:t>
            </w:r>
          </w:p>
        </w:tc>
        <w:tc>
          <w:tcPr>
            <w:tcW w:w="90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49,5%</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36"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rPr>
                <w:rFonts w:ascii="Garamond" w:eastAsia="Times New Roman" w:hAnsi="Garamond"/>
                <w:color w:val="000000"/>
                <w:sz w:val="18"/>
                <w:szCs w:val="18"/>
              </w:rPr>
            </w:pPr>
          </w:p>
        </w:tc>
        <w:tc>
          <w:tcPr>
            <w:tcW w:w="2036"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Procedura ristretta</w:t>
            </w:r>
          </w:p>
        </w:tc>
        <w:tc>
          <w:tcPr>
            <w:tcW w:w="99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2.598</w:t>
            </w:r>
          </w:p>
        </w:tc>
        <w:tc>
          <w:tcPr>
            <w:tcW w:w="99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1.974</w:t>
            </w:r>
          </w:p>
        </w:tc>
        <w:tc>
          <w:tcPr>
            <w:tcW w:w="85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-24,0%</w:t>
            </w:r>
          </w:p>
        </w:tc>
        <w:tc>
          <w:tcPr>
            <w:tcW w:w="170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11.956.403.294</w:t>
            </w:r>
          </w:p>
        </w:tc>
        <w:tc>
          <w:tcPr>
            <w:tcW w:w="164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3.959.379.602</w:t>
            </w:r>
          </w:p>
        </w:tc>
        <w:tc>
          <w:tcPr>
            <w:tcW w:w="90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-66,9%</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236"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rPr>
                <w:rFonts w:ascii="Garamond" w:eastAsia="Times New Roman" w:hAnsi="Garamond"/>
                <w:color w:val="000000"/>
                <w:sz w:val="18"/>
                <w:szCs w:val="18"/>
              </w:rPr>
            </w:pPr>
          </w:p>
        </w:tc>
        <w:tc>
          <w:tcPr>
            <w:tcW w:w="2036"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Sistema dinamico di acquisizione</w:t>
            </w:r>
          </w:p>
        </w:tc>
        <w:tc>
          <w:tcPr>
            <w:tcW w:w="99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1.559</w:t>
            </w:r>
          </w:p>
        </w:tc>
        <w:tc>
          <w:tcPr>
            <w:tcW w:w="99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3.887</w:t>
            </w:r>
          </w:p>
        </w:tc>
        <w:tc>
          <w:tcPr>
            <w:tcW w:w="85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149,3%</w:t>
            </w:r>
          </w:p>
        </w:tc>
        <w:tc>
          <w:tcPr>
            <w:tcW w:w="170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3.454.365.754</w:t>
            </w:r>
          </w:p>
        </w:tc>
        <w:tc>
          <w:tcPr>
            <w:tcW w:w="164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9.053.588.334</w:t>
            </w:r>
          </w:p>
        </w:tc>
        <w:tc>
          <w:tcPr>
            <w:tcW w:w="90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162,1%</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36"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rPr>
                <w:rFonts w:ascii="Garamond" w:eastAsia="Times New Roman" w:hAnsi="Garamond"/>
                <w:color w:val="000000"/>
                <w:sz w:val="18"/>
                <w:szCs w:val="18"/>
              </w:rPr>
            </w:pPr>
          </w:p>
        </w:tc>
        <w:tc>
          <w:tcPr>
            <w:tcW w:w="2036"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Procedura negoziata previa pubblicazione del bando</w:t>
            </w:r>
          </w:p>
        </w:tc>
        <w:tc>
          <w:tcPr>
            <w:tcW w:w="99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4.645</w:t>
            </w:r>
          </w:p>
        </w:tc>
        <w:tc>
          <w:tcPr>
            <w:tcW w:w="99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6.082</w:t>
            </w:r>
          </w:p>
        </w:tc>
        <w:tc>
          <w:tcPr>
            <w:tcW w:w="85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30,9%</w:t>
            </w:r>
          </w:p>
        </w:tc>
        <w:tc>
          <w:tcPr>
            <w:tcW w:w="170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2.305.728.471</w:t>
            </w:r>
          </w:p>
        </w:tc>
        <w:tc>
          <w:tcPr>
            <w:tcW w:w="164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1.329.842.050</w:t>
            </w:r>
          </w:p>
        </w:tc>
        <w:tc>
          <w:tcPr>
            <w:tcW w:w="90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-42,3%</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236"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rPr>
                <w:rFonts w:ascii="Garamond" w:eastAsia="Times New Roman" w:hAnsi="Garamond"/>
                <w:color w:val="000000"/>
                <w:sz w:val="18"/>
                <w:szCs w:val="18"/>
              </w:rPr>
            </w:pPr>
          </w:p>
        </w:tc>
        <w:tc>
          <w:tcPr>
            <w:tcW w:w="2036"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Procedura negoziata senza previa pubblicazione del bando</w:t>
            </w:r>
          </w:p>
        </w:tc>
        <w:tc>
          <w:tcPr>
            <w:tcW w:w="99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39.779</w:t>
            </w:r>
          </w:p>
        </w:tc>
        <w:tc>
          <w:tcPr>
            <w:tcW w:w="99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47.894</w:t>
            </w:r>
          </w:p>
        </w:tc>
        <w:tc>
          <w:tcPr>
            <w:tcW w:w="85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20,4%</w:t>
            </w:r>
          </w:p>
        </w:tc>
        <w:tc>
          <w:tcPr>
            <w:tcW w:w="170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14.914.312.831</w:t>
            </w:r>
          </w:p>
        </w:tc>
        <w:tc>
          <w:tcPr>
            <w:tcW w:w="164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25.726.497.095</w:t>
            </w:r>
          </w:p>
        </w:tc>
        <w:tc>
          <w:tcPr>
            <w:tcW w:w="90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72,5%</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36"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rPr>
                <w:rFonts w:ascii="Garamond" w:eastAsia="Times New Roman" w:hAnsi="Garamond"/>
                <w:color w:val="000000"/>
                <w:sz w:val="18"/>
                <w:szCs w:val="18"/>
              </w:rPr>
            </w:pPr>
          </w:p>
        </w:tc>
        <w:tc>
          <w:tcPr>
            <w:tcW w:w="2036"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Affidamenti diretti</w:t>
            </w:r>
          </w:p>
        </w:tc>
        <w:tc>
          <w:tcPr>
            <w:tcW w:w="99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27.590</w:t>
            </w:r>
          </w:p>
        </w:tc>
        <w:tc>
          <w:tcPr>
            <w:tcW w:w="99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25.369</w:t>
            </w:r>
          </w:p>
        </w:tc>
        <w:tc>
          <w:tcPr>
            <w:tcW w:w="85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-8,1%</w:t>
            </w:r>
          </w:p>
        </w:tc>
        <w:tc>
          <w:tcPr>
            <w:tcW w:w="170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4.420.274.199</w:t>
            </w:r>
          </w:p>
        </w:tc>
        <w:tc>
          <w:tcPr>
            <w:tcW w:w="164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5.089.027.470</w:t>
            </w:r>
          </w:p>
        </w:tc>
        <w:tc>
          <w:tcPr>
            <w:tcW w:w="90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15,1%</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236"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rPr>
                <w:rFonts w:ascii="Garamond" w:eastAsia="Times New Roman" w:hAnsi="Garamond"/>
                <w:color w:val="000000"/>
                <w:sz w:val="18"/>
                <w:szCs w:val="18"/>
              </w:rPr>
            </w:pPr>
          </w:p>
        </w:tc>
        <w:tc>
          <w:tcPr>
            <w:tcW w:w="2036"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 xml:space="preserve">Altro </w:t>
            </w:r>
          </w:p>
        </w:tc>
        <w:tc>
          <w:tcPr>
            <w:tcW w:w="99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142</w:t>
            </w:r>
          </w:p>
        </w:tc>
        <w:tc>
          <w:tcPr>
            <w:tcW w:w="99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173</w:t>
            </w:r>
          </w:p>
        </w:tc>
        <w:tc>
          <w:tcPr>
            <w:tcW w:w="85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21,8%</w:t>
            </w:r>
          </w:p>
        </w:tc>
        <w:tc>
          <w:tcPr>
            <w:tcW w:w="170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124.670.731</w:t>
            </w:r>
          </w:p>
        </w:tc>
        <w:tc>
          <w:tcPr>
            <w:tcW w:w="164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143.669.770</w:t>
            </w:r>
          </w:p>
        </w:tc>
        <w:tc>
          <w:tcPr>
            <w:tcW w:w="90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15,2%</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36"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rPr>
                <w:rFonts w:ascii="Garamond" w:eastAsia="Times New Roman" w:hAnsi="Garamond"/>
                <w:color w:val="000000"/>
                <w:sz w:val="18"/>
                <w:szCs w:val="18"/>
              </w:rPr>
            </w:pPr>
          </w:p>
        </w:tc>
        <w:tc>
          <w:tcPr>
            <w:tcW w:w="2036"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sz w:val="18"/>
                <w:szCs w:val="18"/>
              </w:rPr>
            </w:pPr>
            <w:r w:rsidRPr="00BD36D2">
              <w:rPr>
                <w:rFonts w:ascii="Garamond" w:eastAsia="Times New Roman" w:hAnsi="Garamond"/>
                <w:b/>
                <w:i/>
                <w:color w:val="000000"/>
                <w:sz w:val="18"/>
                <w:szCs w:val="18"/>
              </w:rPr>
              <w:t>Totale settore ordinario</w:t>
            </w:r>
          </w:p>
        </w:tc>
        <w:tc>
          <w:tcPr>
            <w:tcW w:w="99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sz w:val="18"/>
                <w:szCs w:val="18"/>
              </w:rPr>
            </w:pPr>
            <w:r w:rsidRPr="00BD36D2">
              <w:rPr>
                <w:rFonts w:ascii="Garamond" w:eastAsia="Times New Roman" w:hAnsi="Garamond"/>
                <w:b/>
                <w:i/>
                <w:color w:val="000000"/>
                <w:sz w:val="18"/>
                <w:szCs w:val="18"/>
              </w:rPr>
              <w:t>98.517</w:t>
            </w:r>
          </w:p>
        </w:tc>
        <w:tc>
          <w:tcPr>
            <w:tcW w:w="99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sz w:val="18"/>
                <w:szCs w:val="18"/>
              </w:rPr>
            </w:pPr>
            <w:r w:rsidRPr="00BD36D2">
              <w:rPr>
                <w:rFonts w:ascii="Garamond" w:eastAsia="Times New Roman" w:hAnsi="Garamond"/>
                <w:b/>
                <w:i/>
                <w:color w:val="000000"/>
                <w:sz w:val="18"/>
                <w:szCs w:val="18"/>
              </w:rPr>
              <w:t>114.857</w:t>
            </w:r>
          </w:p>
        </w:tc>
        <w:tc>
          <w:tcPr>
            <w:tcW w:w="85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sz w:val="18"/>
                <w:szCs w:val="18"/>
              </w:rPr>
            </w:pPr>
            <w:r w:rsidRPr="00BD36D2">
              <w:rPr>
                <w:rFonts w:ascii="Garamond" w:eastAsia="Times New Roman" w:hAnsi="Garamond"/>
                <w:b/>
                <w:i/>
                <w:color w:val="000000"/>
                <w:sz w:val="18"/>
                <w:szCs w:val="18"/>
              </w:rPr>
              <w:t>16,6%</w:t>
            </w:r>
          </w:p>
        </w:tc>
        <w:tc>
          <w:tcPr>
            <w:tcW w:w="170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sz w:val="18"/>
                <w:szCs w:val="18"/>
              </w:rPr>
            </w:pPr>
            <w:r w:rsidRPr="00BD36D2">
              <w:rPr>
                <w:rFonts w:ascii="Garamond" w:eastAsia="Times New Roman" w:hAnsi="Garamond"/>
                <w:b/>
                <w:i/>
                <w:color w:val="000000"/>
                <w:sz w:val="18"/>
                <w:szCs w:val="18"/>
              </w:rPr>
              <w:t>76.608.090.084</w:t>
            </w:r>
          </w:p>
        </w:tc>
        <w:tc>
          <w:tcPr>
            <w:tcW w:w="164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sz w:val="18"/>
                <w:szCs w:val="18"/>
              </w:rPr>
            </w:pPr>
            <w:r w:rsidRPr="00BD36D2">
              <w:rPr>
                <w:rFonts w:ascii="Garamond" w:eastAsia="Times New Roman" w:hAnsi="Garamond"/>
                <w:b/>
                <w:i/>
                <w:color w:val="000000"/>
                <w:sz w:val="18"/>
                <w:szCs w:val="18"/>
              </w:rPr>
              <w:t>104.243.409.486</w:t>
            </w:r>
          </w:p>
        </w:tc>
        <w:tc>
          <w:tcPr>
            <w:tcW w:w="90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sz w:val="18"/>
                <w:szCs w:val="18"/>
              </w:rPr>
            </w:pPr>
            <w:r w:rsidRPr="00BD36D2">
              <w:rPr>
                <w:rFonts w:ascii="Garamond" w:eastAsia="Times New Roman" w:hAnsi="Garamond"/>
                <w:b/>
                <w:i/>
                <w:color w:val="000000"/>
                <w:sz w:val="18"/>
                <w:szCs w:val="18"/>
              </w:rPr>
              <w:t>36,1%</w:t>
            </w:r>
          </w:p>
        </w:tc>
      </w:tr>
      <w:tr w:rsidR="00BD36D2" w:rsidRPr="00BD36D2" w:rsidTr="00BD36D2">
        <w:trPr>
          <w:cantSplit/>
          <w:trHeight w:val="378"/>
          <w:jc w:val="center"/>
        </w:trPr>
        <w:tc>
          <w:tcPr>
            <w:cnfStyle w:val="001000000000" w:firstRow="0" w:lastRow="0" w:firstColumn="1" w:lastColumn="0" w:oddVBand="0" w:evenVBand="0" w:oddHBand="0" w:evenHBand="0" w:firstRowFirstColumn="0" w:firstRowLastColumn="0" w:lastRowFirstColumn="0" w:lastRowLastColumn="0"/>
            <w:tcW w:w="236" w:type="dxa"/>
            <w:vMerge w:val="restart"/>
            <w:tcBorders>
              <w:top w:val="single" w:sz="8" w:space="0" w:color="7BA0CD"/>
              <w:left w:val="single" w:sz="8" w:space="0" w:color="7BA0CD"/>
              <w:bottom w:val="single" w:sz="8" w:space="0" w:color="7BA0CD"/>
              <w:right w:val="single" w:sz="8" w:space="0" w:color="7BA0CD"/>
            </w:tcBorders>
            <w:shd w:val="clear" w:color="auto" w:fill="DBE5F1" w:themeFill="accent1" w:themeFillTint="33"/>
            <w:textDirection w:val="btLr"/>
            <w:vAlign w:val="center"/>
            <w:hideMark/>
          </w:tcPr>
          <w:p w:rsidR="00BD36D2" w:rsidRPr="00BD36D2" w:rsidRDefault="00BD36D2" w:rsidP="00BD36D2">
            <w:pPr>
              <w:ind w:left="113" w:right="113"/>
              <w:jc w:val="center"/>
              <w:rPr>
                <w:rFonts w:ascii="Garamond" w:eastAsia="Times New Roman" w:hAnsi="Garamond"/>
                <w:color w:val="000000"/>
                <w:sz w:val="18"/>
                <w:szCs w:val="18"/>
              </w:rPr>
            </w:pPr>
            <w:r w:rsidRPr="00BD36D2">
              <w:rPr>
                <w:rFonts w:ascii="Garamond" w:eastAsia="Times New Roman" w:hAnsi="Garamond"/>
                <w:color w:val="000000"/>
                <w:sz w:val="18"/>
                <w:szCs w:val="18"/>
              </w:rPr>
              <w:t>Speciale</w:t>
            </w:r>
          </w:p>
        </w:tc>
        <w:tc>
          <w:tcPr>
            <w:tcW w:w="2036"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Procedura aperta</w:t>
            </w:r>
          </w:p>
        </w:tc>
        <w:tc>
          <w:tcPr>
            <w:tcW w:w="99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2.137</w:t>
            </w:r>
          </w:p>
        </w:tc>
        <w:tc>
          <w:tcPr>
            <w:tcW w:w="99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2.798</w:t>
            </w:r>
          </w:p>
        </w:tc>
        <w:tc>
          <w:tcPr>
            <w:tcW w:w="85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30,9%</w:t>
            </w:r>
          </w:p>
        </w:tc>
        <w:tc>
          <w:tcPr>
            <w:tcW w:w="170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6.947.975.812</w:t>
            </w:r>
          </w:p>
        </w:tc>
        <w:tc>
          <w:tcPr>
            <w:tcW w:w="164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6.708.826.557</w:t>
            </w:r>
          </w:p>
        </w:tc>
        <w:tc>
          <w:tcPr>
            <w:tcW w:w="90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-3,4%</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36"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rPr>
                <w:rFonts w:ascii="Garamond" w:eastAsia="Times New Roman" w:hAnsi="Garamond"/>
                <w:color w:val="000000"/>
                <w:sz w:val="18"/>
                <w:szCs w:val="18"/>
              </w:rPr>
            </w:pPr>
          </w:p>
        </w:tc>
        <w:tc>
          <w:tcPr>
            <w:tcW w:w="2036"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Procedura ristretta</w:t>
            </w:r>
          </w:p>
        </w:tc>
        <w:tc>
          <w:tcPr>
            <w:tcW w:w="99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595</w:t>
            </w:r>
          </w:p>
        </w:tc>
        <w:tc>
          <w:tcPr>
            <w:tcW w:w="99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728</w:t>
            </w:r>
          </w:p>
        </w:tc>
        <w:tc>
          <w:tcPr>
            <w:tcW w:w="85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22,4%</w:t>
            </w:r>
          </w:p>
        </w:tc>
        <w:tc>
          <w:tcPr>
            <w:tcW w:w="170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2.598.022.826</w:t>
            </w:r>
          </w:p>
        </w:tc>
        <w:tc>
          <w:tcPr>
            <w:tcW w:w="164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7.323.669.743</w:t>
            </w:r>
          </w:p>
        </w:tc>
        <w:tc>
          <w:tcPr>
            <w:tcW w:w="90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181,9%</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236"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rPr>
                <w:rFonts w:ascii="Garamond" w:eastAsia="Times New Roman" w:hAnsi="Garamond"/>
                <w:color w:val="000000"/>
                <w:sz w:val="18"/>
                <w:szCs w:val="18"/>
              </w:rPr>
            </w:pPr>
          </w:p>
        </w:tc>
        <w:tc>
          <w:tcPr>
            <w:tcW w:w="2036"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Sistema dinamico di acquisizione</w:t>
            </w:r>
          </w:p>
        </w:tc>
        <w:tc>
          <w:tcPr>
            <w:tcW w:w="99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20</w:t>
            </w:r>
          </w:p>
        </w:tc>
        <w:tc>
          <w:tcPr>
            <w:tcW w:w="99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47</w:t>
            </w:r>
          </w:p>
        </w:tc>
        <w:tc>
          <w:tcPr>
            <w:tcW w:w="851" w:type="dxa"/>
            <w:tcBorders>
              <w:top w:val="single" w:sz="8" w:space="0" w:color="7BA0CD"/>
              <w:left w:val="single" w:sz="8" w:space="0" w:color="7BA0CD"/>
              <w:bottom w:val="single" w:sz="8" w:space="0" w:color="7BA0CD"/>
              <w:right w:val="single" w:sz="8" w:space="0" w:color="7BA0CD"/>
            </w:tcBorders>
            <w:vAlign w:val="center"/>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p>
        </w:tc>
        <w:tc>
          <w:tcPr>
            <w:tcW w:w="170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24.544.339</w:t>
            </w:r>
          </w:p>
        </w:tc>
        <w:tc>
          <w:tcPr>
            <w:tcW w:w="164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47.538.974</w:t>
            </w:r>
          </w:p>
        </w:tc>
        <w:tc>
          <w:tcPr>
            <w:tcW w:w="90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93,7%</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36"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rPr>
                <w:rFonts w:ascii="Garamond" w:eastAsia="Times New Roman" w:hAnsi="Garamond"/>
                <w:color w:val="000000"/>
                <w:sz w:val="18"/>
                <w:szCs w:val="18"/>
              </w:rPr>
            </w:pPr>
          </w:p>
        </w:tc>
        <w:tc>
          <w:tcPr>
            <w:tcW w:w="2036"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Procedura negoziata previa pubblicazione del bando</w:t>
            </w:r>
          </w:p>
        </w:tc>
        <w:tc>
          <w:tcPr>
            <w:tcW w:w="99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1.291</w:t>
            </w:r>
          </w:p>
        </w:tc>
        <w:tc>
          <w:tcPr>
            <w:tcW w:w="99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1.642</w:t>
            </w:r>
          </w:p>
        </w:tc>
        <w:tc>
          <w:tcPr>
            <w:tcW w:w="85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27,2%</w:t>
            </w:r>
          </w:p>
        </w:tc>
        <w:tc>
          <w:tcPr>
            <w:tcW w:w="170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5.805.325.256</w:t>
            </w:r>
          </w:p>
        </w:tc>
        <w:tc>
          <w:tcPr>
            <w:tcW w:w="164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10.552.091.382</w:t>
            </w:r>
          </w:p>
        </w:tc>
        <w:tc>
          <w:tcPr>
            <w:tcW w:w="90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81,8%</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236"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rPr>
                <w:rFonts w:ascii="Garamond" w:eastAsia="Times New Roman" w:hAnsi="Garamond"/>
                <w:color w:val="000000"/>
                <w:sz w:val="18"/>
                <w:szCs w:val="18"/>
              </w:rPr>
            </w:pPr>
          </w:p>
        </w:tc>
        <w:tc>
          <w:tcPr>
            <w:tcW w:w="2036"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Procedura negoziata senza previa pubblicazione del bando</w:t>
            </w:r>
          </w:p>
        </w:tc>
        <w:tc>
          <w:tcPr>
            <w:tcW w:w="99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6.228</w:t>
            </w:r>
          </w:p>
        </w:tc>
        <w:tc>
          <w:tcPr>
            <w:tcW w:w="99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7.547</w:t>
            </w:r>
          </w:p>
        </w:tc>
        <w:tc>
          <w:tcPr>
            <w:tcW w:w="85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21,2%</w:t>
            </w:r>
          </w:p>
        </w:tc>
        <w:tc>
          <w:tcPr>
            <w:tcW w:w="170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6.997.747.474</w:t>
            </w:r>
          </w:p>
        </w:tc>
        <w:tc>
          <w:tcPr>
            <w:tcW w:w="164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6.336.113.504</w:t>
            </w:r>
          </w:p>
        </w:tc>
        <w:tc>
          <w:tcPr>
            <w:tcW w:w="90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-9,5%</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36"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rPr>
                <w:rFonts w:ascii="Garamond" w:eastAsia="Times New Roman" w:hAnsi="Garamond"/>
                <w:color w:val="000000"/>
                <w:sz w:val="18"/>
                <w:szCs w:val="18"/>
              </w:rPr>
            </w:pPr>
          </w:p>
        </w:tc>
        <w:tc>
          <w:tcPr>
            <w:tcW w:w="2036"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Affidamenti diretti</w:t>
            </w:r>
          </w:p>
        </w:tc>
        <w:tc>
          <w:tcPr>
            <w:tcW w:w="99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3.796</w:t>
            </w:r>
          </w:p>
        </w:tc>
        <w:tc>
          <w:tcPr>
            <w:tcW w:w="99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3.040</w:t>
            </w:r>
          </w:p>
        </w:tc>
        <w:tc>
          <w:tcPr>
            <w:tcW w:w="85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-19,9%</w:t>
            </w:r>
          </w:p>
        </w:tc>
        <w:tc>
          <w:tcPr>
            <w:tcW w:w="170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998.663.434</w:t>
            </w:r>
          </w:p>
        </w:tc>
        <w:tc>
          <w:tcPr>
            <w:tcW w:w="164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860.878.922</w:t>
            </w:r>
          </w:p>
        </w:tc>
        <w:tc>
          <w:tcPr>
            <w:tcW w:w="90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-13,8%</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236"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rPr>
                <w:rFonts w:ascii="Garamond" w:eastAsia="Times New Roman" w:hAnsi="Garamond"/>
                <w:color w:val="000000"/>
                <w:sz w:val="18"/>
                <w:szCs w:val="18"/>
              </w:rPr>
            </w:pPr>
          </w:p>
        </w:tc>
        <w:tc>
          <w:tcPr>
            <w:tcW w:w="2036"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 xml:space="preserve">Altro </w:t>
            </w:r>
          </w:p>
        </w:tc>
        <w:tc>
          <w:tcPr>
            <w:tcW w:w="99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6.405</w:t>
            </w:r>
          </w:p>
        </w:tc>
        <w:tc>
          <w:tcPr>
            <w:tcW w:w="99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6.578</w:t>
            </w:r>
          </w:p>
        </w:tc>
        <w:tc>
          <w:tcPr>
            <w:tcW w:w="85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2,7%</w:t>
            </w:r>
          </w:p>
        </w:tc>
        <w:tc>
          <w:tcPr>
            <w:tcW w:w="170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2.062.463.469</w:t>
            </w:r>
          </w:p>
        </w:tc>
        <w:tc>
          <w:tcPr>
            <w:tcW w:w="164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2.902.465.865</w:t>
            </w:r>
          </w:p>
        </w:tc>
        <w:tc>
          <w:tcPr>
            <w:tcW w:w="90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40,7%</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36"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rPr>
                <w:rFonts w:ascii="Garamond" w:eastAsia="Times New Roman" w:hAnsi="Garamond"/>
                <w:color w:val="000000"/>
                <w:sz w:val="18"/>
                <w:szCs w:val="18"/>
              </w:rPr>
            </w:pPr>
          </w:p>
        </w:tc>
        <w:tc>
          <w:tcPr>
            <w:tcW w:w="2036"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sz w:val="18"/>
                <w:szCs w:val="18"/>
              </w:rPr>
            </w:pPr>
            <w:r w:rsidRPr="00BD36D2">
              <w:rPr>
                <w:rFonts w:ascii="Garamond" w:eastAsia="Times New Roman" w:hAnsi="Garamond"/>
                <w:b/>
                <w:i/>
                <w:color w:val="000000"/>
                <w:sz w:val="18"/>
                <w:szCs w:val="18"/>
              </w:rPr>
              <w:t>Totale settore speciale</w:t>
            </w:r>
          </w:p>
        </w:tc>
        <w:tc>
          <w:tcPr>
            <w:tcW w:w="99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sz w:val="18"/>
                <w:szCs w:val="18"/>
              </w:rPr>
            </w:pPr>
            <w:r w:rsidRPr="00BD36D2">
              <w:rPr>
                <w:rFonts w:ascii="Garamond" w:eastAsia="Times New Roman" w:hAnsi="Garamond"/>
                <w:b/>
                <w:i/>
                <w:color w:val="000000"/>
                <w:sz w:val="18"/>
                <w:szCs w:val="18"/>
              </w:rPr>
              <w:t>20.472</w:t>
            </w:r>
          </w:p>
        </w:tc>
        <w:tc>
          <w:tcPr>
            <w:tcW w:w="99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sz w:val="18"/>
                <w:szCs w:val="18"/>
              </w:rPr>
            </w:pPr>
            <w:r w:rsidRPr="00BD36D2">
              <w:rPr>
                <w:rFonts w:ascii="Garamond" w:eastAsia="Times New Roman" w:hAnsi="Garamond"/>
                <w:b/>
                <w:i/>
                <w:color w:val="000000"/>
                <w:sz w:val="18"/>
                <w:szCs w:val="18"/>
              </w:rPr>
              <w:t>22.380</w:t>
            </w:r>
          </w:p>
        </w:tc>
        <w:tc>
          <w:tcPr>
            <w:tcW w:w="85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sz w:val="18"/>
                <w:szCs w:val="18"/>
              </w:rPr>
            </w:pPr>
            <w:r w:rsidRPr="00BD36D2">
              <w:rPr>
                <w:rFonts w:ascii="Garamond" w:eastAsia="Times New Roman" w:hAnsi="Garamond"/>
                <w:b/>
                <w:i/>
                <w:color w:val="000000"/>
                <w:sz w:val="18"/>
                <w:szCs w:val="18"/>
              </w:rPr>
              <w:t>9,3%</w:t>
            </w:r>
          </w:p>
        </w:tc>
        <w:tc>
          <w:tcPr>
            <w:tcW w:w="170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sz w:val="18"/>
                <w:szCs w:val="18"/>
              </w:rPr>
            </w:pPr>
            <w:r w:rsidRPr="00BD36D2">
              <w:rPr>
                <w:rFonts w:ascii="Garamond" w:eastAsia="Times New Roman" w:hAnsi="Garamond"/>
                <w:b/>
                <w:i/>
                <w:color w:val="000000"/>
                <w:sz w:val="18"/>
                <w:szCs w:val="18"/>
              </w:rPr>
              <w:t>25.434.742.610</w:t>
            </w:r>
          </w:p>
        </w:tc>
        <w:tc>
          <w:tcPr>
            <w:tcW w:w="164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sz w:val="18"/>
                <w:szCs w:val="18"/>
              </w:rPr>
            </w:pPr>
            <w:r w:rsidRPr="00BD36D2">
              <w:rPr>
                <w:rFonts w:ascii="Garamond" w:eastAsia="Times New Roman" w:hAnsi="Garamond"/>
                <w:b/>
                <w:i/>
                <w:color w:val="000000"/>
                <w:sz w:val="18"/>
                <w:szCs w:val="18"/>
              </w:rPr>
              <w:t>34.731.584.946</w:t>
            </w:r>
          </w:p>
        </w:tc>
        <w:tc>
          <w:tcPr>
            <w:tcW w:w="90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sz w:val="18"/>
                <w:szCs w:val="18"/>
              </w:rPr>
            </w:pPr>
            <w:r w:rsidRPr="00BD36D2">
              <w:rPr>
                <w:rFonts w:ascii="Garamond" w:eastAsia="Times New Roman" w:hAnsi="Garamond"/>
                <w:b/>
                <w:i/>
                <w:color w:val="000000"/>
                <w:sz w:val="18"/>
                <w:szCs w:val="18"/>
              </w:rPr>
              <w:t>36,6%</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2272" w:type="dxa"/>
            <w:gridSpan w:val="2"/>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rPr>
                <w:rFonts w:ascii="Garamond" w:eastAsia="Times New Roman" w:hAnsi="Garamond"/>
                <w:sz w:val="18"/>
                <w:szCs w:val="18"/>
              </w:rPr>
            </w:pPr>
            <w:r w:rsidRPr="00BD36D2">
              <w:rPr>
                <w:rFonts w:ascii="Garamond" w:eastAsia="Times New Roman" w:hAnsi="Garamond"/>
                <w:sz w:val="18"/>
                <w:szCs w:val="18"/>
              </w:rPr>
              <w:t xml:space="preserve">         Totale generale</w:t>
            </w:r>
          </w:p>
        </w:tc>
        <w:tc>
          <w:tcPr>
            <w:tcW w:w="99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color w:val="000000"/>
                <w:sz w:val="18"/>
                <w:szCs w:val="18"/>
              </w:rPr>
            </w:pPr>
            <w:r w:rsidRPr="00BD36D2">
              <w:rPr>
                <w:rFonts w:ascii="Garamond" w:eastAsia="Times New Roman" w:hAnsi="Garamond"/>
                <w:b/>
                <w:color w:val="000000"/>
                <w:sz w:val="18"/>
                <w:szCs w:val="18"/>
              </w:rPr>
              <w:t>118.989</w:t>
            </w:r>
          </w:p>
        </w:tc>
        <w:tc>
          <w:tcPr>
            <w:tcW w:w="99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color w:val="000000"/>
                <w:sz w:val="18"/>
                <w:szCs w:val="18"/>
              </w:rPr>
            </w:pPr>
            <w:r w:rsidRPr="00BD36D2">
              <w:rPr>
                <w:rFonts w:ascii="Garamond" w:eastAsia="Times New Roman" w:hAnsi="Garamond"/>
                <w:b/>
                <w:color w:val="000000"/>
                <w:sz w:val="18"/>
                <w:szCs w:val="18"/>
              </w:rPr>
              <w:t>137.237</w:t>
            </w:r>
          </w:p>
        </w:tc>
        <w:tc>
          <w:tcPr>
            <w:tcW w:w="85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color w:val="000000"/>
                <w:sz w:val="18"/>
                <w:szCs w:val="18"/>
              </w:rPr>
            </w:pPr>
            <w:r w:rsidRPr="00BD36D2">
              <w:rPr>
                <w:rFonts w:ascii="Garamond" w:eastAsia="Times New Roman" w:hAnsi="Garamond"/>
                <w:b/>
                <w:color w:val="000000"/>
                <w:sz w:val="18"/>
                <w:szCs w:val="18"/>
              </w:rPr>
              <w:t>15,3%</w:t>
            </w:r>
          </w:p>
        </w:tc>
        <w:tc>
          <w:tcPr>
            <w:tcW w:w="1701"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color w:val="000000"/>
                <w:sz w:val="18"/>
                <w:szCs w:val="18"/>
              </w:rPr>
            </w:pPr>
            <w:r w:rsidRPr="00BD36D2">
              <w:rPr>
                <w:rFonts w:ascii="Garamond" w:eastAsia="Times New Roman" w:hAnsi="Garamond"/>
                <w:b/>
                <w:color w:val="000000"/>
                <w:sz w:val="18"/>
                <w:szCs w:val="18"/>
              </w:rPr>
              <w:t>102.042.832.694</w:t>
            </w:r>
          </w:p>
        </w:tc>
        <w:tc>
          <w:tcPr>
            <w:tcW w:w="164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color w:val="000000"/>
                <w:sz w:val="18"/>
                <w:szCs w:val="18"/>
              </w:rPr>
            </w:pPr>
            <w:r w:rsidRPr="00BD36D2">
              <w:rPr>
                <w:rFonts w:ascii="Garamond" w:eastAsia="Times New Roman" w:hAnsi="Garamond"/>
                <w:b/>
                <w:color w:val="000000"/>
                <w:sz w:val="18"/>
                <w:szCs w:val="18"/>
              </w:rPr>
              <w:t>138.974.994.432</w:t>
            </w:r>
          </w:p>
        </w:tc>
        <w:tc>
          <w:tcPr>
            <w:tcW w:w="90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color w:val="000000"/>
                <w:sz w:val="18"/>
                <w:szCs w:val="18"/>
              </w:rPr>
            </w:pPr>
            <w:r w:rsidRPr="00BD36D2">
              <w:rPr>
                <w:rFonts w:ascii="Garamond" w:eastAsia="Times New Roman" w:hAnsi="Garamond"/>
                <w:b/>
                <w:color w:val="000000"/>
                <w:sz w:val="18"/>
                <w:szCs w:val="18"/>
              </w:rPr>
              <w:t>36,2%</w:t>
            </w:r>
          </w:p>
        </w:tc>
      </w:tr>
    </w:tbl>
    <w:p w:rsidR="00BD36D2" w:rsidRPr="00BD36D2" w:rsidRDefault="00BD36D2" w:rsidP="00BD36D2">
      <w:pPr>
        <w:spacing w:after="60" w:line="360" w:lineRule="auto"/>
        <w:jc w:val="center"/>
        <w:rPr>
          <w:rFonts w:ascii="Garamond" w:eastAsia="Times New Roman" w:hAnsi="Garamond" w:cs="Times New Roman"/>
          <w:i/>
          <w:sz w:val="20"/>
          <w:szCs w:val="20"/>
          <w:lang w:eastAsia="it-IT"/>
        </w:rPr>
      </w:pPr>
    </w:p>
    <w:p w:rsidR="00CE6542" w:rsidRDefault="00CE6542">
      <w:pPr>
        <w:rPr>
          <w:rFonts w:ascii="Garamond" w:eastAsia="Calibri" w:hAnsi="Garamond" w:cs="Times New Roman"/>
          <w:b/>
          <w:lang w:eastAsia="it-IT"/>
        </w:rPr>
      </w:pPr>
      <w:r>
        <w:rPr>
          <w:rFonts w:ascii="Garamond" w:eastAsia="Calibri" w:hAnsi="Garamond" w:cs="Times New Roman"/>
          <w:b/>
          <w:lang w:eastAsia="it-IT"/>
        </w:rPr>
        <w:br w:type="page"/>
      </w:r>
    </w:p>
    <w:p w:rsidR="00BD36D2" w:rsidRPr="00BD36D2" w:rsidRDefault="00BD36D2" w:rsidP="00BD36D2">
      <w:pPr>
        <w:spacing w:after="0" w:line="240" w:lineRule="auto"/>
        <w:jc w:val="center"/>
        <w:rPr>
          <w:rFonts w:ascii="Garamond" w:eastAsia="Calibri" w:hAnsi="Garamond" w:cs="Times New Roman"/>
          <w:b/>
          <w:lang w:eastAsia="it-IT"/>
        </w:rPr>
      </w:pPr>
      <w:r w:rsidRPr="00BD36D2">
        <w:rPr>
          <w:rFonts w:ascii="Garamond" w:eastAsia="Calibri" w:hAnsi="Garamond" w:cs="Times New Roman"/>
          <w:b/>
          <w:lang w:eastAsia="it-IT"/>
        </w:rPr>
        <w:lastRenderedPageBreak/>
        <w:t>Tabella 8 Distribuzione percentuale delle procedure di affidamento, di importo uguale o superiore di € 40.000, per modalità di scelta del contraente e tipo di contratto (2016-2017)</w:t>
      </w:r>
    </w:p>
    <w:tbl>
      <w:tblPr>
        <w:tblStyle w:val="Grigliamedia1-Colore11"/>
        <w:tblW w:w="0" w:type="auto"/>
        <w:jc w:val="center"/>
        <w:tblLayout w:type="fixed"/>
        <w:tblLook w:val="04A0" w:firstRow="1" w:lastRow="0" w:firstColumn="1" w:lastColumn="0" w:noHBand="0" w:noVBand="1"/>
      </w:tblPr>
      <w:tblGrid>
        <w:gridCol w:w="420"/>
        <w:gridCol w:w="2410"/>
        <w:gridCol w:w="962"/>
        <w:gridCol w:w="1023"/>
        <w:gridCol w:w="819"/>
        <w:gridCol w:w="1560"/>
        <w:gridCol w:w="1559"/>
        <w:gridCol w:w="813"/>
      </w:tblGrid>
      <w:tr w:rsidR="00BD36D2" w:rsidRPr="00BD36D2" w:rsidTr="00BD36D2">
        <w:trPr>
          <w:cnfStyle w:val="100000000000" w:firstRow="1" w:lastRow="0" w:firstColumn="0" w:lastColumn="0" w:oddVBand="0" w:evenVBand="0" w:oddHBand="0" w:evenHBand="0" w:firstRowFirstColumn="0" w:firstRowLastColumn="0" w:lastRowFirstColumn="0" w:lastRowLastColumn="0"/>
          <w:cantSplit/>
          <w:trHeight w:val="545"/>
          <w:jc w:val="center"/>
        </w:trPr>
        <w:tc>
          <w:tcPr>
            <w:cnfStyle w:val="001000000000" w:firstRow="0" w:lastRow="0" w:firstColumn="1" w:lastColumn="0" w:oddVBand="0" w:evenVBand="0" w:oddHBand="0" w:evenHBand="0" w:firstRowFirstColumn="0" w:firstRowLastColumn="0" w:lastRowFirstColumn="0" w:lastRowLastColumn="0"/>
            <w:tcW w:w="420" w:type="dxa"/>
            <w:vMerge w:val="restart"/>
            <w:tcBorders>
              <w:top w:val="single" w:sz="8" w:space="0" w:color="7BA0CD"/>
              <w:left w:val="single" w:sz="8" w:space="0" w:color="7BA0CD"/>
              <w:bottom w:val="single" w:sz="8" w:space="0" w:color="7BA0CD"/>
              <w:right w:val="single" w:sz="8" w:space="0" w:color="7BA0CD"/>
            </w:tcBorders>
            <w:shd w:val="clear" w:color="auto" w:fill="365F91"/>
            <w:textDirection w:val="btLr"/>
            <w:vAlign w:val="center"/>
            <w:hideMark/>
          </w:tcPr>
          <w:p w:rsidR="00BD36D2" w:rsidRPr="00BD36D2" w:rsidRDefault="00BD36D2" w:rsidP="00BD36D2">
            <w:pPr>
              <w:spacing w:line="360" w:lineRule="auto"/>
              <w:ind w:left="113" w:right="113"/>
              <w:jc w:val="center"/>
              <w:rPr>
                <w:rFonts w:ascii="Garamond" w:eastAsia="Times New Roman" w:hAnsi="Garamond"/>
                <w:color w:val="FFFFFF"/>
                <w:sz w:val="18"/>
                <w:szCs w:val="18"/>
              </w:rPr>
            </w:pPr>
            <w:r w:rsidRPr="00BD36D2">
              <w:rPr>
                <w:rFonts w:ascii="Garamond" w:eastAsia="Times New Roman" w:hAnsi="Garamond"/>
                <w:color w:val="FFFFFF"/>
                <w:sz w:val="18"/>
                <w:szCs w:val="18"/>
              </w:rPr>
              <w:t>Contratto</w:t>
            </w:r>
          </w:p>
        </w:tc>
        <w:tc>
          <w:tcPr>
            <w:tcW w:w="2410" w:type="dxa"/>
            <w:vMerge w:val="restart"/>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line="360"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olor w:val="FFFFFF"/>
                <w:sz w:val="18"/>
                <w:szCs w:val="18"/>
              </w:rPr>
            </w:pPr>
            <w:r w:rsidRPr="00BD36D2">
              <w:rPr>
                <w:rFonts w:ascii="Garamond" w:eastAsia="Times New Roman" w:hAnsi="Garamond"/>
                <w:color w:val="FFFFFF"/>
                <w:sz w:val="18"/>
                <w:szCs w:val="18"/>
              </w:rPr>
              <w:t>Modalità di scelta del contraente</w:t>
            </w:r>
          </w:p>
        </w:tc>
        <w:tc>
          <w:tcPr>
            <w:tcW w:w="2804" w:type="dxa"/>
            <w:gridSpan w:val="3"/>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line="360"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olor w:val="FFFFFF"/>
                <w:sz w:val="18"/>
                <w:szCs w:val="18"/>
              </w:rPr>
            </w:pPr>
            <w:r w:rsidRPr="00BD36D2">
              <w:rPr>
                <w:rFonts w:ascii="Garamond" w:eastAsia="Times New Roman" w:hAnsi="Garamond"/>
                <w:color w:val="FFFFFF"/>
                <w:sz w:val="18"/>
                <w:szCs w:val="18"/>
              </w:rPr>
              <w:t>Totale CIG perfezionati</w:t>
            </w:r>
          </w:p>
        </w:tc>
        <w:tc>
          <w:tcPr>
            <w:tcW w:w="3932" w:type="dxa"/>
            <w:gridSpan w:val="3"/>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line="360"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olor w:val="FFFFFF"/>
                <w:sz w:val="18"/>
                <w:szCs w:val="18"/>
              </w:rPr>
            </w:pPr>
            <w:r w:rsidRPr="00BD36D2">
              <w:rPr>
                <w:rFonts w:ascii="Garamond" w:eastAsia="Times New Roman" w:hAnsi="Garamond"/>
                <w:color w:val="FFFFFF"/>
                <w:sz w:val="18"/>
                <w:szCs w:val="18"/>
              </w:rPr>
              <w:t>Importo complessivo</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cantSplit/>
          <w:trHeight w:val="545"/>
          <w:jc w:val="center"/>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FFFFFF"/>
                <w:sz w:val="18"/>
                <w:szCs w:val="18"/>
              </w:rPr>
            </w:pPr>
          </w:p>
        </w:tc>
        <w:tc>
          <w:tcPr>
            <w:tcW w:w="2410"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FFFFFF"/>
                <w:sz w:val="18"/>
                <w:szCs w:val="18"/>
              </w:rPr>
            </w:pPr>
          </w:p>
        </w:tc>
        <w:tc>
          <w:tcPr>
            <w:tcW w:w="962" w:type="dxa"/>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bCs/>
                <w:color w:val="FFFFFF"/>
                <w:sz w:val="18"/>
                <w:szCs w:val="18"/>
              </w:rPr>
            </w:pPr>
            <w:r w:rsidRPr="00BD36D2">
              <w:rPr>
                <w:rFonts w:ascii="Garamond" w:eastAsia="Times New Roman" w:hAnsi="Garamond"/>
                <w:b/>
                <w:bCs/>
                <w:color w:val="FFFFFF"/>
                <w:sz w:val="18"/>
                <w:szCs w:val="18"/>
              </w:rPr>
              <w:t>2016</w:t>
            </w:r>
          </w:p>
        </w:tc>
        <w:tc>
          <w:tcPr>
            <w:tcW w:w="1023" w:type="dxa"/>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bCs/>
                <w:color w:val="FFFFFF"/>
                <w:sz w:val="18"/>
                <w:szCs w:val="18"/>
              </w:rPr>
            </w:pPr>
            <w:r w:rsidRPr="00BD36D2">
              <w:rPr>
                <w:rFonts w:ascii="Garamond" w:eastAsia="Times New Roman" w:hAnsi="Garamond"/>
                <w:b/>
                <w:bCs/>
                <w:color w:val="FFFFFF"/>
                <w:sz w:val="18"/>
                <w:szCs w:val="18"/>
              </w:rPr>
              <w:t>2017</w:t>
            </w:r>
          </w:p>
        </w:tc>
        <w:tc>
          <w:tcPr>
            <w:tcW w:w="819" w:type="dxa"/>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bCs/>
                <w:color w:val="FFFFFF"/>
                <w:sz w:val="18"/>
                <w:szCs w:val="18"/>
              </w:rPr>
            </w:pPr>
            <w:r w:rsidRPr="00BD36D2">
              <w:rPr>
                <w:rFonts w:ascii="Garamond" w:eastAsia="Times New Roman" w:hAnsi="Garamond"/>
                <w:b/>
                <w:color w:val="FFFFFF"/>
                <w:sz w:val="18"/>
                <w:szCs w:val="18"/>
              </w:rPr>
              <w:t>Δ</w:t>
            </w:r>
          </w:p>
        </w:tc>
        <w:tc>
          <w:tcPr>
            <w:tcW w:w="1560" w:type="dxa"/>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FFFFFF"/>
                <w:sz w:val="18"/>
                <w:szCs w:val="18"/>
              </w:rPr>
            </w:pPr>
            <w:r w:rsidRPr="00BD36D2">
              <w:rPr>
                <w:rFonts w:ascii="Garamond" w:eastAsia="Times New Roman" w:hAnsi="Garamond"/>
                <w:b/>
                <w:color w:val="FFFFFF"/>
                <w:sz w:val="18"/>
                <w:szCs w:val="18"/>
              </w:rPr>
              <w:t xml:space="preserve">2016 </w:t>
            </w:r>
          </w:p>
        </w:tc>
        <w:tc>
          <w:tcPr>
            <w:tcW w:w="1559" w:type="dxa"/>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color w:val="FFFFFF"/>
                <w:sz w:val="18"/>
                <w:szCs w:val="18"/>
              </w:rPr>
            </w:pPr>
            <w:r w:rsidRPr="00BD36D2">
              <w:rPr>
                <w:rFonts w:ascii="Garamond" w:eastAsia="Times New Roman" w:hAnsi="Garamond"/>
                <w:b/>
                <w:color w:val="FFFFFF"/>
                <w:sz w:val="18"/>
                <w:szCs w:val="18"/>
              </w:rPr>
              <w:t xml:space="preserve">2017 </w:t>
            </w:r>
          </w:p>
        </w:tc>
        <w:tc>
          <w:tcPr>
            <w:tcW w:w="813" w:type="dxa"/>
            <w:tcBorders>
              <w:top w:val="single" w:sz="8" w:space="0" w:color="7BA0CD"/>
              <w:left w:val="single" w:sz="8" w:space="0" w:color="7BA0CD"/>
              <w:bottom w:val="single" w:sz="8" w:space="0" w:color="7BA0CD"/>
              <w:right w:val="single" w:sz="8" w:space="0" w:color="7BA0CD"/>
            </w:tcBorders>
            <w:shd w:val="clear" w:color="auto" w:fill="365F91"/>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bCs/>
                <w:color w:val="FFFFFF"/>
                <w:sz w:val="18"/>
                <w:szCs w:val="18"/>
              </w:rPr>
            </w:pPr>
            <w:r w:rsidRPr="00BD36D2">
              <w:rPr>
                <w:rFonts w:ascii="Garamond" w:eastAsia="Times New Roman" w:hAnsi="Garamond"/>
                <w:b/>
                <w:color w:val="FFFFFF"/>
                <w:sz w:val="18"/>
                <w:szCs w:val="18"/>
              </w:rPr>
              <w:t xml:space="preserve">Δ </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420" w:type="dxa"/>
            <w:vMerge w:val="restart"/>
            <w:tcBorders>
              <w:top w:val="single" w:sz="8" w:space="0" w:color="7BA0CD"/>
              <w:left w:val="single" w:sz="8" w:space="0" w:color="7BA0CD"/>
              <w:bottom w:val="single" w:sz="8" w:space="0" w:color="7BA0CD"/>
              <w:right w:val="single" w:sz="8" w:space="0" w:color="7BA0CD"/>
            </w:tcBorders>
            <w:textDirection w:val="btLr"/>
            <w:vAlign w:val="center"/>
            <w:hideMark/>
          </w:tcPr>
          <w:p w:rsidR="00BD36D2" w:rsidRPr="00BD36D2" w:rsidRDefault="00BD36D2" w:rsidP="00BD36D2">
            <w:pPr>
              <w:spacing w:line="360" w:lineRule="auto"/>
              <w:ind w:left="113" w:right="113"/>
              <w:jc w:val="center"/>
              <w:rPr>
                <w:rFonts w:ascii="Garamond" w:eastAsia="Times New Roman" w:hAnsi="Garamond"/>
                <w:color w:val="000000"/>
                <w:sz w:val="18"/>
                <w:szCs w:val="18"/>
              </w:rPr>
            </w:pPr>
            <w:r w:rsidRPr="00BD36D2">
              <w:rPr>
                <w:rFonts w:ascii="Garamond" w:eastAsia="Times New Roman" w:hAnsi="Garamond"/>
                <w:color w:val="000000"/>
                <w:sz w:val="18"/>
                <w:szCs w:val="18"/>
              </w:rPr>
              <w:t>Forniture</w:t>
            </w:r>
          </w:p>
        </w:tc>
        <w:tc>
          <w:tcPr>
            <w:tcW w:w="241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Procedura aperta</w:t>
            </w:r>
          </w:p>
        </w:tc>
        <w:tc>
          <w:tcPr>
            <w:tcW w:w="96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9.547</w:t>
            </w:r>
          </w:p>
        </w:tc>
        <w:tc>
          <w:tcPr>
            <w:tcW w:w="102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13.773</w:t>
            </w:r>
          </w:p>
        </w:tc>
        <w:tc>
          <w:tcPr>
            <w:tcW w:w="81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44,3%</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15.208.926.570</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20.036.681.450</w:t>
            </w:r>
          </w:p>
        </w:tc>
        <w:tc>
          <w:tcPr>
            <w:tcW w:w="81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31,7%</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p>
        </w:tc>
        <w:tc>
          <w:tcPr>
            <w:tcW w:w="241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Procedura ristretta</w:t>
            </w:r>
          </w:p>
        </w:tc>
        <w:tc>
          <w:tcPr>
            <w:tcW w:w="96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1.339</w:t>
            </w:r>
          </w:p>
        </w:tc>
        <w:tc>
          <w:tcPr>
            <w:tcW w:w="102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809</w:t>
            </w:r>
          </w:p>
        </w:tc>
        <w:tc>
          <w:tcPr>
            <w:tcW w:w="81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-39,6%</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2.073.297.256</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880.825.468</w:t>
            </w:r>
          </w:p>
        </w:tc>
        <w:tc>
          <w:tcPr>
            <w:tcW w:w="81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-57,5%</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p>
        </w:tc>
        <w:tc>
          <w:tcPr>
            <w:tcW w:w="241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Sistema dinamico di acquisizione</w:t>
            </w:r>
          </w:p>
        </w:tc>
        <w:tc>
          <w:tcPr>
            <w:tcW w:w="96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1.331</w:t>
            </w:r>
          </w:p>
        </w:tc>
        <w:tc>
          <w:tcPr>
            <w:tcW w:w="102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3.526</w:t>
            </w:r>
          </w:p>
        </w:tc>
        <w:tc>
          <w:tcPr>
            <w:tcW w:w="81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164,9%</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3.428.378.675</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8.750.560.754</w:t>
            </w:r>
          </w:p>
        </w:tc>
        <w:tc>
          <w:tcPr>
            <w:tcW w:w="81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155,2%</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p>
        </w:tc>
        <w:tc>
          <w:tcPr>
            <w:tcW w:w="241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Procedura negoziata previa pubblicazione del bando</w:t>
            </w:r>
          </w:p>
        </w:tc>
        <w:tc>
          <w:tcPr>
            <w:tcW w:w="96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1.822</w:t>
            </w:r>
          </w:p>
        </w:tc>
        <w:tc>
          <w:tcPr>
            <w:tcW w:w="102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1.371</w:t>
            </w:r>
          </w:p>
        </w:tc>
        <w:tc>
          <w:tcPr>
            <w:tcW w:w="81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-24,8%</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4.034.096.695</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6.887.546.825</w:t>
            </w:r>
          </w:p>
        </w:tc>
        <w:tc>
          <w:tcPr>
            <w:tcW w:w="81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70,7%</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p>
        </w:tc>
        <w:tc>
          <w:tcPr>
            <w:tcW w:w="241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Procedura negoziata senza previa pubblicazione del bando</w:t>
            </w:r>
          </w:p>
        </w:tc>
        <w:tc>
          <w:tcPr>
            <w:tcW w:w="96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12.245</w:t>
            </w:r>
          </w:p>
        </w:tc>
        <w:tc>
          <w:tcPr>
            <w:tcW w:w="102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16.096</w:t>
            </w:r>
          </w:p>
        </w:tc>
        <w:tc>
          <w:tcPr>
            <w:tcW w:w="81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31,4%</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7.825.684.672</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17.999.164.496</w:t>
            </w:r>
          </w:p>
        </w:tc>
        <w:tc>
          <w:tcPr>
            <w:tcW w:w="81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130,0%</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p>
        </w:tc>
        <w:tc>
          <w:tcPr>
            <w:tcW w:w="241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Affidamenti diretti</w:t>
            </w:r>
          </w:p>
        </w:tc>
        <w:tc>
          <w:tcPr>
            <w:tcW w:w="96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10.433</w:t>
            </w:r>
          </w:p>
        </w:tc>
        <w:tc>
          <w:tcPr>
            <w:tcW w:w="102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9.984</w:t>
            </w:r>
          </w:p>
        </w:tc>
        <w:tc>
          <w:tcPr>
            <w:tcW w:w="81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-4,3%</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1.423.084.736</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1.496.166.337</w:t>
            </w:r>
          </w:p>
        </w:tc>
        <w:tc>
          <w:tcPr>
            <w:tcW w:w="81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5,1%</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p>
        </w:tc>
        <w:tc>
          <w:tcPr>
            <w:tcW w:w="241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 xml:space="preserve">Altro </w:t>
            </w:r>
          </w:p>
        </w:tc>
        <w:tc>
          <w:tcPr>
            <w:tcW w:w="96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2.083</w:t>
            </w:r>
          </w:p>
        </w:tc>
        <w:tc>
          <w:tcPr>
            <w:tcW w:w="102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2.151</w:t>
            </w:r>
          </w:p>
        </w:tc>
        <w:tc>
          <w:tcPr>
            <w:tcW w:w="81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3,3%</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438.783.320</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421.884.987</w:t>
            </w:r>
          </w:p>
        </w:tc>
        <w:tc>
          <w:tcPr>
            <w:tcW w:w="81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-3,9%</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p>
        </w:tc>
        <w:tc>
          <w:tcPr>
            <w:tcW w:w="241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sz w:val="18"/>
                <w:szCs w:val="18"/>
              </w:rPr>
            </w:pPr>
            <w:r w:rsidRPr="00BD36D2">
              <w:rPr>
                <w:rFonts w:ascii="Garamond" w:eastAsia="Times New Roman" w:hAnsi="Garamond"/>
                <w:b/>
                <w:i/>
                <w:color w:val="000000"/>
                <w:sz w:val="18"/>
                <w:szCs w:val="18"/>
              </w:rPr>
              <w:t>Totale Forniture</w:t>
            </w:r>
          </w:p>
        </w:tc>
        <w:tc>
          <w:tcPr>
            <w:tcW w:w="96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sz w:val="18"/>
                <w:szCs w:val="18"/>
              </w:rPr>
            </w:pPr>
            <w:r w:rsidRPr="00BD36D2">
              <w:rPr>
                <w:rFonts w:ascii="Garamond" w:eastAsia="Times New Roman" w:hAnsi="Garamond"/>
                <w:b/>
                <w:i/>
                <w:color w:val="000000"/>
                <w:sz w:val="18"/>
                <w:szCs w:val="18"/>
              </w:rPr>
              <w:t>38.800</w:t>
            </w:r>
          </w:p>
        </w:tc>
        <w:tc>
          <w:tcPr>
            <w:tcW w:w="102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sz w:val="18"/>
                <w:szCs w:val="18"/>
              </w:rPr>
            </w:pPr>
            <w:r w:rsidRPr="00BD36D2">
              <w:rPr>
                <w:rFonts w:ascii="Garamond" w:eastAsia="Times New Roman" w:hAnsi="Garamond"/>
                <w:b/>
                <w:i/>
                <w:color w:val="000000"/>
                <w:sz w:val="18"/>
                <w:szCs w:val="18"/>
              </w:rPr>
              <w:t>47.710</w:t>
            </w:r>
          </w:p>
        </w:tc>
        <w:tc>
          <w:tcPr>
            <w:tcW w:w="81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sz w:val="18"/>
                <w:szCs w:val="18"/>
              </w:rPr>
            </w:pPr>
            <w:r w:rsidRPr="00BD36D2">
              <w:rPr>
                <w:rFonts w:ascii="Garamond" w:eastAsia="Times New Roman" w:hAnsi="Garamond"/>
                <w:b/>
                <w:i/>
                <w:color w:val="000000"/>
                <w:sz w:val="18"/>
                <w:szCs w:val="18"/>
              </w:rPr>
              <w:t>23,0%</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sz w:val="18"/>
                <w:szCs w:val="18"/>
              </w:rPr>
            </w:pPr>
            <w:r w:rsidRPr="00BD36D2">
              <w:rPr>
                <w:rFonts w:ascii="Garamond" w:eastAsia="Times New Roman" w:hAnsi="Garamond"/>
                <w:b/>
                <w:i/>
                <w:color w:val="000000"/>
                <w:sz w:val="18"/>
                <w:szCs w:val="18"/>
              </w:rPr>
              <w:t>34.432.251.924</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sz w:val="18"/>
                <w:szCs w:val="18"/>
              </w:rPr>
            </w:pPr>
            <w:r w:rsidRPr="00BD36D2">
              <w:rPr>
                <w:rFonts w:ascii="Garamond" w:eastAsia="Times New Roman" w:hAnsi="Garamond"/>
                <w:b/>
                <w:i/>
                <w:color w:val="000000"/>
                <w:sz w:val="18"/>
                <w:szCs w:val="18"/>
              </w:rPr>
              <w:t>56.472.830.317</w:t>
            </w:r>
          </w:p>
        </w:tc>
        <w:tc>
          <w:tcPr>
            <w:tcW w:w="81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sz w:val="18"/>
                <w:szCs w:val="18"/>
              </w:rPr>
            </w:pPr>
            <w:r w:rsidRPr="00BD36D2">
              <w:rPr>
                <w:rFonts w:ascii="Garamond" w:eastAsia="Times New Roman" w:hAnsi="Garamond"/>
                <w:b/>
                <w:i/>
                <w:color w:val="000000"/>
                <w:sz w:val="18"/>
                <w:szCs w:val="18"/>
              </w:rPr>
              <w:t>64,0%</w:t>
            </w:r>
          </w:p>
        </w:tc>
      </w:tr>
      <w:tr w:rsidR="00BD36D2" w:rsidRPr="00BD36D2" w:rsidTr="00BD36D2">
        <w:trPr>
          <w:cantSplit/>
          <w:trHeight w:val="378"/>
          <w:jc w:val="center"/>
        </w:trPr>
        <w:tc>
          <w:tcPr>
            <w:cnfStyle w:val="001000000000" w:firstRow="0" w:lastRow="0" w:firstColumn="1" w:lastColumn="0" w:oddVBand="0" w:evenVBand="0" w:oddHBand="0" w:evenHBand="0" w:firstRowFirstColumn="0" w:firstRowLastColumn="0" w:lastRowFirstColumn="0" w:lastRowLastColumn="0"/>
            <w:tcW w:w="420" w:type="dxa"/>
            <w:vMerge w:val="restart"/>
            <w:tcBorders>
              <w:top w:val="single" w:sz="8" w:space="0" w:color="7BA0CD"/>
              <w:left w:val="single" w:sz="8" w:space="0" w:color="7BA0CD"/>
              <w:bottom w:val="single" w:sz="8" w:space="0" w:color="7BA0CD"/>
              <w:right w:val="single" w:sz="8" w:space="0" w:color="7BA0CD"/>
            </w:tcBorders>
            <w:shd w:val="clear" w:color="auto" w:fill="DBE5F1" w:themeFill="accent1" w:themeFillTint="33"/>
            <w:textDirection w:val="btLr"/>
            <w:vAlign w:val="center"/>
            <w:hideMark/>
          </w:tcPr>
          <w:p w:rsidR="00BD36D2" w:rsidRPr="00BD36D2" w:rsidRDefault="00BD36D2" w:rsidP="00BD36D2">
            <w:pPr>
              <w:spacing w:line="360" w:lineRule="auto"/>
              <w:ind w:left="113" w:right="113"/>
              <w:jc w:val="center"/>
              <w:rPr>
                <w:rFonts w:ascii="Garamond" w:eastAsia="Times New Roman" w:hAnsi="Garamond"/>
                <w:color w:val="000000"/>
                <w:sz w:val="18"/>
                <w:szCs w:val="18"/>
              </w:rPr>
            </w:pPr>
            <w:r w:rsidRPr="00BD36D2">
              <w:rPr>
                <w:rFonts w:ascii="Garamond" w:eastAsia="Times New Roman" w:hAnsi="Garamond"/>
                <w:color w:val="000000"/>
                <w:sz w:val="18"/>
                <w:szCs w:val="18"/>
              </w:rPr>
              <w:t>Lavori</w:t>
            </w:r>
          </w:p>
        </w:tc>
        <w:tc>
          <w:tcPr>
            <w:tcW w:w="241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Procedura aperta</w:t>
            </w:r>
          </w:p>
        </w:tc>
        <w:tc>
          <w:tcPr>
            <w:tcW w:w="96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4.785</w:t>
            </w:r>
          </w:p>
        </w:tc>
        <w:tc>
          <w:tcPr>
            <w:tcW w:w="102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5.591</w:t>
            </w:r>
          </w:p>
        </w:tc>
        <w:tc>
          <w:tcPr>
            <w:tcW w:w="81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16,8%</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7.734.579.854</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8.952.458.287</w:t>
            </w:r>
          </w:p>
        </w:tc>
        <w:tc>
          <w:tcPr>
            <w:tcW w:w="81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15,7%</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p>
        </w:tc>
        <w:tc>
          <w:tcPr>
            <w:tcW w:w="241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Procedura ristretta</w:t>
            </w:r>
          </w:p>
        </w:tc>
        <w:tc>
          <w:tcPr>
            <w:tcW w:w="96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680</w:t>
            </w:r>
          </w:p>
        </w:tc>
        <w:tc>
          <w:tcPr>
            <w:tcW w:w="102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740</w:t>
            </w:r>
          </w:p>
        </w:tc>
        <w:tc>
          <w:tcPr>
            <w:tcW w:w="81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8,8%</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5.313.081.642</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5.438.592.290</w:t>
            </w:r>
          </w:p>
        </w:tc>
        <w:tc>
          <w:tcPr>
            <w:tcW w:w="81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2,4%</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p>
        </w:tc>
        <w:tc>
          <w:tcPr>
            <w:tcW w:w="241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Sistema dinamico di acquisizione</w:t>
            </w:r>
          </w:p>
        </w:tc>
        <w:tc>
          <w:tcPr>
            <w:tcW w:w="96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44</w:t>
            </w:r>
          </w:p>
        </w:tc>
        <w:tc>
          <w:tcPr>
            <w:tcW w:w="102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79</w:t>
            </w:r>
          </w:p>
        </w:tc>
        <w:tc>
          <w:tcPr>
            <w:tcW w:w="81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79,5%</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9.710.822</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17.953.520</w:t>
            </w:r>
          </w:p>
        </w:tc>
        <w:tc>
          <w:tcPr>
            <w:tcW w:w="81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84,9%</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p>
        </w:tc>
        <w:tc>
          <w:tcPr>
            <w:tcW w:w="241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Procedura negoziata previa pubblicazione del bando</w:t>
            </w:r>
          </w:p>
        </w:tc>
        <w:tc>
          <w:tcPr>
            <w:tcW w:w="96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1.777</w:t>
            </w:r>
          </w:p>
        </w:tc>
        <w:tc>
          <w:tcPr>
            <w:tcW w:w="102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2.675</w:t>
            </w:r>
          </w:p>
        </w:tc>
        <w:tc>
          <w:tcPr>
            <w:tcW w:w="81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50,5%</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2.163.339.388</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2.057.770.536</w:t>
            </w:r>
          </w:p>
        </w:tc>
        <w:tc>
          <w:tcPr>
            <w:tcW w:w="81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-4,9%</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p>
        </w:tc>
        <w:tc>
          <w:tcPr>
            <w:tcW w:w="241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Procedura negoziata senza previa pubblicazione del bando</w:t>
            </w:r>
          </w:p>
        </w:tc>
        <w:tc>
          <w:tcPr>
            <w:tcW w:w="96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16.098</w:t>
            </w:r>
          </w:p>
        </w:tc>
        <w:tc>
          <w:tcPr>
            <w:tcW w:w="102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18.355</w:t>
            </w:r>
          </w:p>
        </w:tc>
        <w:tc>
          <w:tcPr>
            <w:tcW w:w="81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14,0%</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3.639.928.767</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4.702.536.665</w:t>
            </w:r>
          </w:p>
        </w:tc>
        <w:tc>
          <w:tcPr>
            <w:tcW w:w="81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29,2%</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p>
        </w:tc>
        <w:tc>
          <w:tcPr>
            <w:tcW w:w="241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Affidamenti diretti</w:t>
            </w:r>
          </w:p>
        </w:tc>
        <w:tc>
          <w:tcPr>
            <w:tcW w:w="96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5.242</w:t>
            </w:r>
          </w:p>
        </w:tc>
        <w:tc>
          <w:tcPr>
            <w:tcW w:w="102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4.409</w:t>
            </w:r>
          </w:p>
        </w:tc>
        <w:tc>
          <w:tcPr>
            <w:tcW w:w="81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-15,9%</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692.704.484</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751.360.011</w:t>
            </w:r>
          </w:p>
        </w:tc>
        <w:tc>
          <w:tcPr>
            <w:tcW w:w="81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8,5%</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p>
        </w:tc>
        <w:tc>
          <w:tcPr>
            <w:tcW w:w="241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 xml:space="preserve">Altro </w:t>
            </w:r>
          </w:p>
        </w:tc>
        <w:tc>
          <w:tcPr>
            <w:tcW w:w="96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1.479</w:t>
            </w:r>
          </w:p>
        </w:tc>
        <w:tc>
          <w:tcPr>
            <w:tcW w:w="102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1.572</w:t>
            </w:r>
          </w:p>
        </w:tc>
        <w:tc>
          <w:tcPr>
            <w:tcW w:w="81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6,3%</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1.025.822.370</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1.235.415.871</w:t>
            </w:r>
          </w:p>
        </w:tc>
        <w:tc>
          <w:tcPr>
            <w:tcW w:w="81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20,4%</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p>
        </w:tc>
        <w:tc>
          <w:tcPr>
            <w:tcW w:w="241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sz w:val="18"/>
                <w:szCs w:val="18"/>
              </w:rPr>
            </w:pPr>
            <w:r w:rsidRPr="00BD36D2">
              <w:rPr>
                <w:rFonts w:ascii="Garamond" w:eastAsia="Times New Roman" w:hAnsi="Garamond"/>
                <w:b/>
                <w:i/>
                <w:color w:val="000000"/>
                <w:sz w:val="18"/>
                <w:szCs w:val="18"/>
              </w:rPr>
              <w:t>Totale Lavori</w:t>
            </w:r>
          </w:p>
        </w:tc>
        <w:tc>
          <w:tcPr>
            <w:tcW w:w="96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sz w:val="18"/>
                <w:szCs w:val="18"/>
              </w:rPr>
            </w:pPr>
            <w:r w:rsidRPr="00BD36D2">
              <w:rPr>
                <w:rFonts w:ascii="Garamond" w:eastAsia="Times New Roman" w:hAnsi="Garamond"/>
                <w:b/>
                <w:i/>
                <w:color w:val="000000"/>
                <w:sz w:val="18"/>
                <w:szCs w:val="18"/>
              </w:rPr>
              <w:t>30.105</w:t>
            </w:r>
          </w:p>
        </w:tc>
        <w:tc>
          <w:tcPr>
            <w:tcW w:w="102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sz w:val="18"/>
                <w:szCs w:val="18"/>
              </w:rPr>
            </w:pPr>
            <w:r w:rsidRPr="00BD36D2">
              <w:rPr>
                <w:rFonts w:ascii="Garamond" w:eastAsia="Times New Roman" w:hAnsi="Garamond"/>
                <w:b/>
                <w:i/>
                <w:color w:val="000000"/>
                <w:sz w:val="18"/>
                <w:szCs w:val="18"/>
              </w:rPr>
              <w:t>33.421</w:t>
            </w:r>
          </w:p>
        </w:tc>
        <w:tc>
          <w:tcPr>
            <w:tcW w:w="81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sz w:val="18"/>
                <w:szCs w:val="18"/>
              </w:rPr>
            </w:pPr>
            <w:r w:rsidRPr="00BD36D2">
              <w:rPr>
                <w:rFonts w:ascii="Garamond" w:eastAsia="Times New Roman" w:hAnsi="Garamond"/>
                <w:b/>
                <w:i/>
                <w:color w:val="000000"/>
                <w:sz w:val="18"/>
                <w:szCs w:val="18"/>
              </w:rPr>
              <w:t>11,0%</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sz w:val="18"/>
                <w:szCs w:val="18"/>
              </w:rPr>
            </w:pPr>
            <w:r w:rsidRPr="00BD36D2">
              <w:rPr>
                <w:rFonts w:ascii="Garamond" w:eastAsia="Times New Roman" w:hAnsi="Garamond"/>
                <w:b/>
                <w:i/>
                <w:color w:val="000000"/>
                <w:sz w:val="18"/>
                <w:szCs w:val="18"/>
              </w:rPr>
              <w:t>20.579.167.327</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sz w:val="18"/>
                <w:szCs w:val="18"/>
              </w:rPr>
            </w:pPr>
            <w:r w:rsidRPr="00BD36D2">
              <w:rPr>
                <w:rFonts w:ascii="Garamond" w:eastAsia="Times New Roman" w:hAnsi="Garamond"/>
                <w:b/>
                <w:i/>
                <w:color w:val="000000"/>
                <w:sz w:val="18"/>
                <w:szCs w:val="18"/>
              </w:rPr>
              <w:t>23.156.087.181</w:t>
            </w:r>
          </w:p>
        </w:tc>
        <w:tc>
          <w:tcPr>
            <w:tcW w:w="81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sz w:val="18"/>
                <w:szCs w:val="18"/>
              </w:rPr>
            </w:pPr>
            <w:r w:rsidRPr="00BD36D2">
              <w:rPr>
                <w:rFonts w:ascii="Garamond" w:eastAsia="Times New Roman" w:hAnsi="Garamond"/>
                <w:b/>
                <w:i/>
                <w:color w:val="000000"/>
                <w:sz w:val="18"/>
                <w:szCs w:val="18"/>
              </w:rPr>
              <w:t>12,5%</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420" w:type="dxa"/>
            <w:vMerge w:val="restart"/>
            <w:tcBorders>
              <w:top w:val="single" w:sz="8" w:space="0" w:color="7BA0CD"/>
              <w:left w:val="single" w:sz="8" w:space="0" w:color="7BA0CD"/>
              <w:bottom w:val="single" w:sz="8" w:space="0" w:color="7BA0CD"/>
              <w:right w:val="single" w:sz="8" w:space="0" w:color="7BA0CD"/>
            </w:tcBorders>
            <w:textDirection w:val="btLr"/>
            <w:vAlign w:val="center"/>
            <w:hideMark/>
          </w:tcPr>
          <w:p w:rsidR="00BD36D2" w:rsidRPr="00BD36D2" w:rsidRDefault="00BD36D2" w:rsidP="00BD36D2">
            <w:pPr>
              <w:spacing w:line="360" w:lineRule="auto"/>
              <w:ind w:left="113" w:right="113"/>
              <w:jc w:val="center"/>
              <w:rPr>
                <w:rFonts w:ascii="Garamond" w:eastAsia="Times New Roman" w:hAnsi="Garamond"/>
                <w:color w:val="000000"/>
                <w:sz w:val="18"/>
                <w:szCs w:val="18"/>
              </w:rPr>
            </w:pPr>
            <w:r w:rsidRPr="00BD36D2">
              <w:rPr>
                <w:rFonts w:ascii="Garamond" w:eastAsia="Times New Roman" w:hAnsi="Garamond"/>
                <w:color w:val="000000"/>
                <w:sz w:val="18"/>
                <w:szCs w:val="18"/>
              </w:rPr>
              <w:t>Servizi</w:t>
            </w:r>
          </w:p>
        </w:tc>
        <w:tc>
          <w:tcPr>
            <w:tcW w:w="241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Procedura aperta</w:t>
            </w:r>
          </w:p>
        </w:tc>
        <w:tc>
          <w:tcPr>
            <w:tcW w:w="96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10.009</w:t>
            </w:r>
          </w:p>
        </w:tc>
        <w:tc>
          <w:tcPr>
            <w:tcW w:w="102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12.912</w:t>
            </w:r>
          </w:p>
        </w:tc>
        <w:tc>
          <w:tcPr>
            <w:tcW w:w="81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29,0%</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23.436.804.190</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36.661.091.985</w:t>
            </w:r>
          </w:p>
        </w:tc>
        <w:tc>
          <w:tcPr>
            <w:tcW w:w="81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56,4%</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p>
        </w:tc>
        <w:tc>
          <w:tcPr>
            <w:tcW w:w="241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Procedura ristretta</w:t>
            </w:r>
          </w:p>
        </w:tc>
        <w:tc>
          <w:tcPr>
            <w:tcW w:w="96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1.174</w:t>
            </w:r>
          </w:p>
        </w:tc>
        <w:tc>
          <w:tcPr>
            <w:tcW w:w="102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1.153</w:t>
            </w:r>
          </w:p>
        </w:tc>
        <w:tc>
          <w:tcPr>
            <w:tcW w:w="81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-1,8%</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7.168.047.222</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4.963.631.587</w:t>
            </w:r>
          </w:p>
        </w:tc>
        <w:tc>
          <w:tcPr>
            <w:tcW w:w="81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-30,8%</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p>
        </w:tc>
        <w:tc>
          <w:tcPr>
            <w:tcW w:w="241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Sistema dinamico di acquisizione</w:t>
            </w:r>
          </w:p>
        </w:tc>
        <w:tc>
          <w:tcPr>
            <w:tcW w:w="96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204</w:t>
            </w:r>
          </w:p>
        </w:tc>
        <w:tc>
          <w:tcPr>
            <w:tcW w:w="102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329</w:t>
            </w:r>
          </w:p>
        </w:tc>
        <w:tc>
          <w:tcPr>
            <w:tcW w:w="81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61,3%</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40.820.597</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332.613.034</w:t>
            </w:r>
          </w:p>
        </w:tc>
        <w:tc>
          <w:tcPr>
            <w:tcW w:w="81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714,8%</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p>
        </w:tc>
        <w:tc>
          <w:tcPr>
            <w:tcW w:w="241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Procedura negoziata previa pubblicazione del bando</w:t>
            </w:r>
          </w:p>
        </w:tc>
        <w:tc>
          <w:tcPr>
            <w:tcW w:w="96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2.337</w:t>
            </w:r>
          </w:p>
        </w:tc>
        <w:tc>
          <w:tcPr>
            <w:tcW w:w="102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3.678</w:t>
            </w:r>
          </w:p>
        </w:tc>
        <w:tc>
          <w:tcPr>
            <w:tcW w:w="81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57,4%</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1.913.617.644</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2.936.616.071</w:t>
            </w:r>
          </w:p>
        </w:tc>
        <w:tc>
          <w:tcPr>
            <w:tcW w:w="81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53,5%</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p>
        </w:tc>
        <w:tc>
          <w:tcPr>
            <w:tcW w:w="241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Procedura negoziata senza previa pubblicazione del bando</w:t>
            </w:r>
          </w:p>
        </w:tc>
        <w:tc>
          <w:tcPr>
            <w:tcW w:w="96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17.664</w:t>
            </w:r>
          </w:p>
        </w:tc>
        <w:tc>
          <w:tcPr>
            <w:tcW w:w="102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20.990</w:t>
            </w:r>
          </w:p>
        </w:tc>
        <w:tc>
          <w:tcPr>
            <w:tcW w:w="81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18,8%</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10.446.446.866</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9.360.909.437</w:t>
            </w:r>
          </w:p>
        </w:tc>
        <w:tc>
          <w:tcPr>
            <w:tcW w:w="81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-10,4%</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p>
        </w:tc>
        <w:tc>
          <w:tcPr>
            <w:tcW w:w="241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Affidamenti diretti</w:t>
            </w:r>
          </w:p>
        </w:tc>
        <w:tc>
          <w:tcPr>
            <w:tcW w:w="96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15.711</w:t>
            </w:r>
          </w:p>
        </w:tc>
        <w:tc>
          <w:tcPr>
            <w:tcW w:w="102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14.016</w:t>
            </w:r>
          </w:p>
        </w:tc>
        <w:tc>
          <w:tcPr>
            <w:tcW w:w="81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-10,8%</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3.303.148.412</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3.702.380.044</w:t>
            </w:r>
          </w:p>
        </w:tc>
        <w:tc>
          <w:tcPr>
            <w:tcW w:w="81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12,1%</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p>
        </w:tc>
        <w:tc>
          <w:tcPr>
            <w:tcW w:w="241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 xml:space="preserve">Altro </w:t>
            </w:r>
          </w:p>
        </w:tc>
        <w:tc>
          <w:tcPr>
            <w:tcW w:w="96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2.985</w:t>
            </w:r>
          </w:p>
        </w:tc>
        <w:tc>
          <w:tcPr>
            <w:tcW w:w="102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3.028</w:t>
            </w:r>
          </w:p>
        </w:tc>
        <w:tc>
          <w:tcPr>
            <w:tcW w:w="81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1,4%</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722.528.510</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1.388.834.777</w:t>
            </w:r>
          </w:p>
        </w:tc>
        <w:tc>
          <w:tcPr>
            <w:tcW w:w="81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92,2%</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p>
        </w:tc>
        <w:tc>
          <w:tcPr>
            <w:tcW w:w="241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sz w:val="18"/>
                <w:szCs w:val="18"/>
              </w:rPr>
            </w:pPr>
            <w:r w:rsidRPr="00BD36D2">
              <w:rPr>
                <w:rFonts w:ascii="Garamond" w:eastAsia="Times New Roman" w:hAnsi="Garamond"/>
                <w:b/>
                <w:i/>
                <w:color w:val="000000"/>
                <w:sz w:val="18"/>
                <w:szCs w:val="18"/>
              </w:rPr>
              <w:t>Totale Servizi</w:t>
            </w:r>
          </w:p>
        </w:tc>
        <w:tc>
          <w:tcPr>
            <w:tcW w:w="96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sz w:val="18"/>
                <w:szCs w:val="18"/>
              </w:rPr>
            </w:pPr>
            <w:r w:rsidRPr="00BD36D2">
              <w:rPr>
                <w:rFonts w:ascii="Garamond" w:eastAsia="Times New Roman" w:hAnsi="Garamond"/>
                <w:b/>
                <w:i/>
                <w:color w:val="000000"/>
                <w:sz w:val="18"/>
                <w:szCs w:val="18"/>
              </w:rPr>
              <w:t>50.084</w:t>
            </w:r>
          </w:p>
        </w:tc>
        <w:tc>
          <w:tcPr>
            <w:tcW w:w="102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sz w:val="18"/>
                <w:szCs w:val="18"/>
              </w:rPr>
            </w:pPr>
            <w:r w:rsidRPr="00BD36D2">
              <w:rPr>
                <w:rFonts w:ascii="Garamond" w:eastAsia="Times New Roman" w:hAnsi="Garamond"/>
                <w:b/>
                <w:i/>
                <w:color w:val="000000"/>
                <w:sz w:val="18"/>
                <w:szCs w:val="18"/>
              </w:rPr>
              <w:t>56.106</w:t>
            </w:r>
          </w:p>
        </w:tc>
        <w:tc>
          <w:tcPr>
            <w:tcW w:w="81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sz w:val="18"/>
                <w:szCs w:val="18"/>
              </w:rPr>
            </w:pPr>
            <w:r w:rsidRPr="00BD36D2">
              <w:rPr>
                <w:rFonts w:ascii="Garamond" w:eastAsia="Times New Roman" w:hAnsi="Garamond"/>
                <w:b/>
                <w:i/>
                <w:color w:val="000000"/>
                <w:sz w:val="18"/>
                <w:szCs w:val="18"/>
              </w:rPr>
              <w:t>12,0%</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sz w:val="18"/>
                <w:szCs w:val="18"/>
              </w:rPr>
            </w:pPr>
            <w:r w:rsidRPr="00BD36D2">
              <w:rPr>
                <w:rFonts w:ascii="Garamond" w:eastAsia="Times New Roman" w:hAnsi="Garamond"/>
                <w:b/>
                <w:i/>
                <w:color w:val="000000"/>
                <w:sz w:val="18"/>
                <w:szCs w:val="18"/>
              </w:rPr>
              <w:t>47.031.413.442</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sz w:val="18"/>
                <w:szCs w:val="18"/>
              </w:rPr>
            </w:pPr>
            <w:r w:rsidRPr="00BD36D2">
              <w:rPr>
                <w:rFonts w:ascii="Garamond" w:eastAsia="Times New Roman" w:hAnsi="Garamond"/>
                <w:b/>
                <w:i/>
                <w:color w:val="000000"/>
                <w:sz w:val="18"/>
                <w:szCs w:val="18"/>
              </w:rPr>
              <w:t>59.346.076.934</w:t>
            </w:r>
          </w:p>
        </w:tc>
        <w:tc>
          <w:tcPr>
            <w:tcW w:w="81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i/>
                <w:color w:val="000000"/>
                <w:sz w:val="18"/>
                <w:szCs w:val="18"/>
              </w:rPr>
            </w:pPr>
            <w:r w:rsidRPr="00BD36D2">
              <w:rPr>
                <w:rFonts w:ascii="Garamond" w:eastAsia="Times New Roman" w:hAnsi="Garamond"/>
                <w:b/>
                <w:i/>
                <w:color w:val="000000"/>
                <w:sz w:val="18"/>
                <w:szCs w:val="18"/>
              </w:rPr>
              <w:t>26,2%</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2830" w:type="dxa"/>
            <w:gridSpan w:val="2"/>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sz w:val="18"/>
                <w:szCs w:val="18"/>
              </w:rPr>
            </w:pPr>
            <w:r w:rsidRPr="00BD36D2">
              <w:rPr>
                <w:rFonts w:ascii="Garamond" w:eastAsia="Times New Roman" w:hAnsi="Garamond"/>
                <w:sz w:val="18"/>
                <w:szCs w:val="18"/>
              </w:rPr>
              <w:t xml:space="preserve">         Totale generale</w:t>
            </w:r>
          </w:p>
        </w:tc>
        <w:tc>
          <w:tcPr>
            <w:tcW w:w="962"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color w:val="000000"/>
                <w:sz w:val="18"/>
                <w:szCs w:val="18"/>
              </w:rPr>
            </w:pPr>
            <w:r w:rsidRPr="00BD36D2">
              <w:rPr>
                <w:rFonts w:ascii="Garamond" w:eastAsia="Times New Roman" w:hAnsi="Garamond"/>
                <w:b/>
                <w:color w:val="000000"/>
                <w:sz w:val="18"/>
                <w:szCs w:val="18"/>
              </w:rPr>
              <w:t>118.989</w:t>
            </w:r>
          </w:p>
        </w:tc>
        <w:tc>
          <w:tcPr>
            <w:tcW w:w="102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color w:val="000000"/>
                <w:sz w:val="18"/>
                <w:szCs w:val="18"/>
              </w:rPr>
            </w:pPr>
            <w:r w:rsidRPr="00BD36D2">
              <w:rPr>
                <w:rFonts w:ascii="Garamond" w:eastAsia="Times New Roman" w:hAnsi="Garamond"/>
                <w:b/>
                <w:color w:val="000000"/>
                <w:sz w:val="18"/>
                <w:szCs w:val="18"/>
              </w:rPr>
              <w:t>137.237</w:t>
            </w:r>
          </w:p>
        </w:tc>
        <w:tc>
          <w:tcPr>
            <w:tcW w:w="81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color w:val="000000"/>
                <w:sz w:val="18"/>
                <w:szCs w:val="18"/>
              </w:rPr>
            </w:pPr>
            <w:r w:rsidRPr="00BD36D2">
              <w:rPr>
                <w:rFonts w:ascii="Garamond" w:eastAsia="Times New Roman" w:hAnsi="Garamond"/>
                <w:b/>
                <w:color w:val="000000"/>
                <w:sz w:val="18"/>
                <w:szCs w:val="18"/>
              </w:rPr>
              <w:t>15,3%</w:t>
            </w:r>
          </w:p>
        </w:tc>
        <w:tc>
          <w:tcPr>
            <w:tcW w:w="1560"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color w:val="000000"/>
                <w:sz w:val="18"/>
                <w:szCs w:val="18"/>
              </w:rPr>
            </w:pPr>
            <w:r w:rsidRPr="00BD36D2">
              <w:rPr>
                <w:rFonts w:ascii="Garamond" w:eastAsia="Times New Roman" w:hAnsi="Garamond"/>
                <w:b/>
                <w:color w:val="000000"/>
                <w:sz w:val="18"/>
                <w:szCs w:val="18"/>
              </w:rPr>
              <w:t>102.042.832.694</w:t>
            </w:r>
          </w:p>
        </w:tc>
        <w:tc>
          <w:tcPr>
            <w:tcW w:w="1559"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color w:val="000000"/>
                <w:sz w:val="18"/>
                <w:szCs w:val="18"/>
              </w:rPr>
            </w:pPr>
            <w:r w:rsidRPr="00BD36D2">
              <w:rPr>
                <w:rFonts w:ascii="Garamond" w:eastAsia="Times New Roman" w:hAnsi="Garamond"/>
                <w:b/>
                <w:color w:val="000000"/>
                <w:sz w:val="18"/>
                <w:szCs w:val="18"/>
              </w:rPr>
              <w:t>138.974.994.432</w:t>
            </w:r>
          </w:p>
        </w:tc>
        <w:tc>
          <w:tcPr>
            <w:tcW w:w="813" w:type="dxa"/>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color w:val="000000"/>
                <w:sz w:val="18"/>
                <w:szCs w:val="18"/>
              </w:rPr>
            </w:pPr>
            <w:r w:rsidRPr="00BD36D2">
              <w:rPr>
                <w:rFonts w:ascii="Garamond" w:eastAsia="Times New Roman" w:hAnsi="Garamond"/>
                <w:b/>
                <w:color w:val="000000"/>
                <w:sz w:val="18"/>
                <w:szCs w:val="18"/>
              </w:rPr>
              <w:t>36,2%</w:t>
            </w:r>
          </w:p>
        </w:tc>
      </w:tr>
    </w:tbl>
    <w:p w:rsidR="00BD36D2" w:rsidRPr="00BD36D2" w:rsidRDefault="00BD36D2" w:rsidP="00BD36D2">
      <w:pPr>
        <w:keepNext/>
        <w:keepLines/>
        <w:spacing w:before="200" w:after="0" w:line="240" w:lineRule="auto"/>
        <w:outlineLvl w:val="2"/>
        <w:rPr>
          <w:rFonts w:ascii="Garamond" w:eastAsiaTheme="majorEastAsia" w:hAnsi="Garamond" w:cstheme="majorBidi"/>
          <w:b/>
          <w:bCs/>
          <w:color w:val="4F81BD" w:themeColor="accent1"/>
          <w:sz w:val="25"/>
          <w:szCs w:val="25"/>
          <w:lang w:eastAsia="it-IT"/>
        </w:rPr>
      </w:pPr>
      <w:bookmarkStart w:id="15" w:name="_Toc513486425"/>
      <w:bookmarkStart w:id="16" w:name="_Toc515035685"/>
    </w:p>
    <w:p w:rsidR="00BD36D2" w:rsidRPr="00425947" w:rsidRDefault="009F4049" w:rsidP="00CE6542">
      <w:pPr>
        <w:keepNext/>
        <w:keepLines/>
        <w:numPr>
          <w:ilvl w:val="1"/>
          <w:numId w:val="26"/>
        </w:numPr>
        <w:tabs>
          <w:tab w:val="left" w:pos="426"/>
        </w:tabs>
        <w:spacing w:before="200" w:after="0" w:line="240" w:lineRule="auto"/>
        <w:ind w:left="426" w:hanging="426"/>
        <w:contextualSpacing/>
        <w:outlineLvl w:val="2"/>
        <w:rPr>
          <w:rFonts w:ascii="Times New Roman" w:eastAsiaTheme="majorEastAsia" w:hAnsi="Times New Roman" w:cs="Times New Roman"/>
          <w:b/>
          <w:bCs/>
          <w:sz w:val="24"/>
          <w:szCs w:val="24"/>
          <w:lang w:eastAsia="it-IT"/>
        </w:rPr>
      </w:pPr>
      <w:r>
        <w:rPr>
          <w:rFonts w:ascii="Times New Roman" w:eastAsiaTheme="majorEastAsia" w:hAnsi="Times New Roman" w:cs="Times New Roman"/>
          <w:b/>
          <w:bCs/>
          <w:sz w:val="24"/>
          <w:szCs w:val="24"/>
          <w:lang w:eastAsia="it-IT"/>
        </w:rPr>
        <w:t xml:space="preserve">Procedure di affidamento per </w:t>
      </w:r>
      <w:r w:rsidR="00BD36D2" w:rsidRPr="00425947">
        <w:rPr>
          <w:rFonts w:ascii="Times New Roman" w:eastAsiaTheme="majorEastAsia" w:hAnsi="Times New Roman" w:cs="Times New Roman"/>
          <w:b/>
          <w:bCs/>
          <w:sz w:val="24"/>
          <w:szCs w:val="24"/>
          <w:lang w:eastAsia="it-IT"/>
        </w:rPr>
        <w:t>tipologi</w:t>
      </w:r>
      <w:r>
        <w:rPr>
          <w:rFonts w:ascii="Times New Roman" w:eastAsiaTheme="majorEastAsia" w:hAnsi="Times New Roman" w:cs="Times New Roman"/>
          <w:b/>
          <w:bCs/>
          <w:sz w:val="24"/>
          <w:szCs w:val="24"/>
          <w:lang w:eastAsia="it-IT"/>
        </w:rPr>
        <w:t>a</w:t>
      </w:r>
      <w:r w:rsidR="00BD36D2" w:rsidRPr="00425947">
        <w:rPr>
          <w:rFonts w:ascii="Times New Roman" w:eastAsiaTheme="majorEastAsia" w:hAnsi="Times New Roman" w:cs="Times New Roman"/>
          <w:b/>
          <w:bCs/>
          <w:sz w:val="24"/>
          <w:szCs w:val="24"/>
          <w:lang w:eastAsia="it-IT"/>
        </w:rPr>
        <w:t xml:space="preserve"> di stazioni appaltanti</w:t>
      </w:r>
      <w:bookmarkEnd w:id="15"/>
      <w:bookmarkEnd w:id="16"/>
    </w:p>
    <w:p w:rsidR="00BD36D2" w:rsidRPr="001E3A34" w:rsidRDefault="00BD36D2" w:rsidP="00BD36D2">
      <w:pPr>
        <w:spacing w:after="0" w:line="360" w:lineRule="auto"/>
        <w:jc w:val="both"/>
        <w:rPr>
          <w:rFonts w:ascii="Times New Roman" w:eastAsia="Calibri" w:hAnsi="Times New Roman" w:cs="Times New Roman"/>
          <w:sz w:val="24"/>
          <w:szCs w:val="24"/>
          <w:lang w:eastAsia="it-IT"/>
        </w:rPr>
      </w:pPr>
    </w:p>
    <w:p w:rsidR="00BD36D2" w:rsidRPr="001E3A34" w:rsidRDefault="00BD36D2" w:rsidP="00BD36D2">
      <w:pPr>
        <w:spacing w:after="0" w:line="360" w:lineRule="auto"/>
        <w:jc w:val="both"/>
        <w:rPr>
          <w:rFonts w:ascii="Times New Roman" w:eastAsia="Calibri" w:hAnsi="Times New Roman" w:cs="Times New Roman"/>
          <w:sz w:val="24"/>
          <w:szCs w:val="24"/>
          <w:lang w:eastAsia="it-IT"/>
        </w:rPr>
      </w:pPr>
      <w:r w:rsidRPr="001E3A34">
        <w:rPr>
          <w:rFonts w:ascii="Times New Roman" w:eastAsia="Calibri" w:hAnsi="Times New Roman" w:cs="Times New Roman"/>
          <w:sz w:val="24"/>
          <w:szCs w:val="24"/>
          <w:lang w:eastAsia="it-IT"/>
        </w:rPr>
        <w:t>Le tabelle 9, 10 e 11 focalizzano l’attenzione sulle procedure di affidamento (numerosità, importi complessivi e percentuali) del 2017 suddivise per tipologia di SA. La classificazione proposta è stata definita a partire dai centri di costo/responsabilità delle circa 32.000 stazioni appaltanti presenti in BDNCP e che hanno perfezionato un CIG dal 2008 a oggi e che, in attesa del completamento dell’Anagrafica Unica delle Stazioni Appaltanti (AUSA), va considerata esclusivamente ai soli fini statistici e non come classificazione ufficiale delle SA.</w:t>
      </w:r>
    </w:p>
    <w:p w:rsidR="00BD36D2" w:rsidRPr="001E3A34" w:rsidRDefault="00BD36D2" w:rsidP="00BD36D2">
      <w:pPr>
        <w:spacing w:after="0" w:line="360" w:lineRule="auto"/>
        <w:jc w:val="both"/>
        <w:rPr>
          <w:rFonts w:ascii="Times New Roman" w:eastAsia="Calibri" w:hAnsi="Times New Roman" w:cs="Times New Roman"/>
          <w:sz w:val="24"/>
          <w:szCs w:val="24"/>
          <w:lang w:eastAsia="it-IT"/>
        </w:rPr>
      </w:pPr>
      <w:r w:rsidRPr="001E3A34">
        <w:rPr>
          <w:rFonts w:ascii="Times New Roman" w:eastAsia="Calibri" w:hAnsi="Times New Roman" w:cs="Times New Roman"/>
          <w:sz w:val="24"/>
          <w:szCs w:val="24"/>
          <w:lang w:eastAsia="it-IT"/>
        </w:rPr>
        <w:t>In particolare si evidenzia che il valore complessivo della domanda è associata per:</w:t>
      </w:r>
    </w:p>
    <w:p w:rsidR="00BD36D2" w:rsidRPr="001E3A34" w:rsidRDefault="00BD36D2" w:rsidP="00AA1A94">
      <w:pPr>
        <w:numPr>
          <w:ilvl w:val="0"/>
          <w:numId w:val="20"/>
        </w:numPr>
        <w:spacing w:after="0" w:line="360" w:lineRule="auto"/>
        <w:contextualSpacing/>
        <w:jc w:val="both"/>
        <w:rPr>
          <w:rFonts w:ascii="Times New Roman" w:eastAsia="Calibri" w:hAnsi="Times New Roman" w:cs="Times New Roman"/>
          <w:sz w:val="24"/>
          <w:szCs w:val="24"/>
          <w:lang w:eastAsia="it-IT"/>
        </w:rPr>
      </w:pPr>
      <w:r w:rsidRPr="001E3A34">
        <w:rPr>
          <w:rFonts w:ascii="Times New Roman" w:eastAsia="Calibri" w:hAnsi="Times New Roman" w:cs="Times New Roman"/>
          <w:sz w:val="24"/>
          <w:szCs w:val="24"/>
          <w:lang w:eastAsia="it-IT"/>
        </w:rPr>
        <w:t xml:space="preserve">il 31,8% al settore servizi di interesse generale quali enti, concessionari e imprese di elettricità, gas, trasporti, telecomunicazioni, servizi postali, gestione rifiuti, ecc. (con punte afferenti agli enti e concessionari in ambito di trasporto ferroviario 10,9%, trasporto pubblico 4,1%); </w:t>
      </w:r>
    </w:p>
    <w:p w:rsidR="00BD36D2" w:rsidRPr="001E3A34" w:rsidRDefault="00BD36D2" w:rsidP="00AA1A94">
      <w:pPr>
        <w:numPr>
          <w:ilvl w:val="0"/>
          <w:numId w:val="20"/>
        </w:numPr>
        <w:spacing w:after="0" w:line="360" w:lineRule="auto"/>
        <w:contextualSpacing/>
        <w:jc w:val="both"/>
        <w:rPr>
          <w:rFonts w:ascii="Times New Roman" w:eastAsia="Calibri" w:hAnsi="Times New Roman" w:cs="Times New Roman"/>
          <w:sz w:val="24"/>
          <w:szCs w:val="24"/>
          <w:lang w:eastAsia="it-IT"/>
        </w:rPr>
      </w:pPr>
      <w:r w:rsidRPr="001E3A34">
        <w:rPr>
          <w:rFonts w:ascii="Times New Roman" w:eastAsia="Calibri" w:hAnsi="Times New Roman" w:cs="Times New Roman"/>
          <w:sz w:val="24"/>
          <w:szCs w:val="24"/>
          <w:lang w:eastAsia="it-IT"/>
        </w:rPr>
        <w:t>il 24,5% al settore enti locali (con punte di cui alle regioni 10,1% e ai comuni 8,3%);</w:t>
      </w:r>
    </w:p>
    <w:p w:rsidR="00BD36D2" w:rsidRPr="001E3A34" w:rsidRDefault="00BD36D2" w:rsidP="00AA1A94">
      <w:pPr>
        <w:numPr>
          <w:ilvl w:val="0"/>
          <w:numId w:val="20"/>
        </w:numPr>
        <w:spacing w:after="0" w:line="360" w:lineRule="auto"/>
        <w:contextualSpacing/>
        <w:jc w:val="both"/>
        <w:rPr>
          <w:rFonts w:ascii="Times New Roman" w:eastAsia="Calibri" w:hAnsi="Times New Roman" w:cs="Times New Roman"/>
          <w:sz w:val="24"/>
          <w:szCs w:val="24"/>
          <w:lang w:eastAsia="it-IT"/>
        </w:rPr>
      </w:pPr>
      <w:r w:rsidRPr="001E3A34">
        <w:rPr>
          <w:rFonts w:ascii="Times New Roman" w:eastAsia="Calibri" w:hAnsi="Times New Roman" w:cs="Times New Roman"/>
          <w:sz w:val="24"/>
          <w:szCs w:val="24"/>
          <w:lang w:eastAsia="it-IT"/>
        </w:rPr>
        <w:t>il 19,1% al settore sanità, di cui il 7,9% afferente alle centrali di committenza in ambito sanitario; dato che conferma il continuo processo di centralizzazione ed aggregazione della domanda in tale ambito iniziato già da qualche anno;</w:t>
      </w:r>
    </w:p>
    <w:p w:rsidR="00BD36D2" w:rsidRPr="001E3A34" w:rsidRDefault="00BD36D2" w:rsidP="00AA1A94">
      <w:pPr>
        <w:numPr>
          <w:ilvl w:val="0"/>
          <w:numId w:val="20"/>
        </w:numPr>
        <w:spacing w:after="0" w:line="360" w:lineRule="auto"/>
        <w:contextualSpacing/>
        <w:jc w:val="both"/>
        <w:rPr>
          <w:rFonts w:ascii="Times New Roman" w:eastAsia="Calibri" w:hAnsi="Times New Roman" w:cs="Times New Roman"/>
          <w:sz w:val="24"/>
          <w:szCs w:val="24"/>
          <w:lang w:eastAsia="it-IT"/>
        </w:rPr>
      </w:pPr>
      <w:r w:rsidRPr="001E3A34">
        <w:rPr>
          <w:rFonts w:ascii="Times New Roman" w:eastAsia="Calibri" w:hAnsi="Times New Roman" w:cs="Times New Roman"/>
          <w:sz w:val="24"/>
          <w:szCs w:val="24"/>
          <w:lang w:eastAsia="it-IT"/>
        </w:rPr>
        <w:t xml:space="preserve">il 14,8% alle centrali di committenza (escluse le centrali di committenza del settore sanità), di cui il 4,6% afferente a </w:t>
      </w:r>
      <w:proofErr w:type="spellStart"/>
      <w:r w:rsidRPr="001E3A34">
        <w:rPr>
          <w:rFonts w:ascii="Times New Roman" w:eastAsia="Calibri" w:hAnsi="Times New Roman" w:cs="Times New Roman"/>
          <w:sz w:val="24"/>
          <w:szCs w:val="24"/>
          <w:lang w:eastAsia="it-IT"/>
        </w:rPr>
        <w:t>Consip</w:t>
      </w:r>
      <w:proofErr w:type="spellEnd"/>
      <w:r w:rsidRPr="001E3A34">
        <w:rPr>
          <w:rFonts w:ascii="Times New Roman" w:eastAsia="Calibri" w:hAnsi="Times New Roman" w:cs="Times New Roman"/>
          <w:sz w:val="24"/>
          <w:szCs w:val="24"/>
          <w:lang w:eastAsia="it-IT"/>
        </w:rPr>
        <w:t>.</w:t>
      </w:r>
    </w:p>
    <w:p w:rsidR="00BD36D2" w:rsidRPr="001E3A34" w:rsidRDefault="00BD36D2" w:rsidP="00BD36D2">
      <w:pPr>
        <w:spacing w:after="0" w:line="360" w:lineRule="auto"/>
        <w:jc w:val="both"/>
        <w:rPr>
          <w:rFonts w:ascii="Times New Roman" w:eastAsia="Calibri" w:hAnsi="Times New Roman" w:cs="Times New Roman"/>
          <w:sz w:val="24"/>
          <w:szCs w:val="24"/>
          <w:lang w:eastAsia="it-IT"/>
        </w:rPr>
      </w:pPr>
    </w:p>
    <w:p w:rsidR="00BD36D2" w:rsidRPr="001E3A34" w:rsidRDefault="00BD36D2" w:rsidP="00BD36D2">
      <w:pPr>
        <w:spacing w:after="0" w:line="360" w:lineRule="auto"/>
        <w:jc w:val="both"/>
        <w:rPr>
          <w:rFonts w:ascii="Times New Roman" w:eastAsia="Calibri" w:hAnsi="Times New Roman" w:cs="Times New Roman"/>
          <w:sz w:val="24"/>
          <w:szCs w:val="24"/>
          <w:lang w:eastAsia="it-IT"/>
        </w:rPr>
      </w:pPr>
      <w:r w:rsidRPr="001E3A34">
        <w:rPr>
          <w:rFonts w:ascii="Times New Roman" w:eastAsia="Calibri" w:hAnsi="Times New Roman" w:cs="Times New Roman"/>
          <w:sz w:val="24"/>
          <w:szCs w:val="24"/>
          <w:lang w:eastAsia="it-IT"/>
        </w:rPr>
        <w:t>A livello di numerosità si conferma il maggior peso dei CIG associati ai settori locali (30,9%), seguiti da quelli relativi al settore sanità (23,7%) e al settore servizi di interesse generale quali elettricità, gas, trasporti, ecc. ( 23,6%). Il dettaglio per tipologia SA è riportato nella tabella 9.</w:t>
      </w:r>
    </w:p>
    <w:p w:rsidR="00BD36D2" w:rsidRPr="001E3A34" w:rsidRDefault="00BD36D2" w:rsidP="00BD36D2">
      <w:pPr>
        <w:spacing w:after="0" w:line="240" w:lineRule="auto"/>
        <w:jc w:val="center"/>
        <w:rPr>
          <w:rFonts w:ascii="Times New Roman" w:eastAsia="Calibri" w:hAnsi="Times New Roman" w:cs="Times New Roman"/>
          <w:b/>
          <w:sz w:val="24"/>
          <w:szCs w:val="24"/>
          <w:lang w:eastAsia="it-IT"/>
        </w:rPr>
      </w:pPr>
    </w:p>
    <w:p w:rsidR="00BD36D2" w:rsidRPr="001E3A34" w:rsidRDefault="00BD36D2" w:rsidP="00BD36D2">
      <w:pPr>
        <w:spacing w:after="0" w:line="240" w:lineRule="auto"/>
        <w:jc w:val="center"/>
        <w:rPr>
          <w:rFonts w:ascii="Times New Roman" w:eastAsia="Calibri" w:hAnsi="Times New Roman" w:cs="Times New Roman"/>
          <w:b/>
          <w:sz w:val="24"/>
          <w:szCs w:val="24"/>
          <w:lang w:eastAsia="it-IT"/>
        </w:rPr>
      </w:pPr>
    </w:p>
    <w:p w:rsidR="00117567" w:rsidRDefault="00117567">
      <w:pPr>
        <w:rPr>
          <w:rFonts w:ascii="Times New Roman" w:eastAsia="Calibri" w:hAnsi="Times New Roman" w:cs="Times New Roman"/>
          <w:b/>
          <w:sz w:val="24"/>
          <w:szCs w:val="24"/>
          <w:lang w:eastAsia="it-IT"/>
        </w:rPr>
      </w:pPr>
      <w:r>
        <w:rPr>
          <w:rFonts w:ascii="Times New Roman" w:eastAsia="Calibri" w:hAnsi="Times New Roman" w:cs="Times New Roman"/>
          <w:b/>
          <w:sz w:val="24"/>
          <w:szCs w:val="24"/>
          <w:lang w:eastAsia="it-IT"/>
        </w:rPr>
        <w:br w:type="page"/>
      </w:r>
    </w:p>
    <w:p w:rsidR="00BD36D2" w:rsidRPr="00BD36D2" w:rsidRDefault="00BD36D2" w:rsidP="00BD36D2">
      <w:pPr>
        <w:spacing w:after="0" w:line="240" w:lineRule="auto"/>
        <w:jc w:val="center"/>
        <w:rPr>
          <w:rFonts w:ascii="Garamond" w:eastAsia="Calibri" w:hAnsi="Garamond" w:cs="Times New Roman"/>
          <w:b/>
          <w:lang w:eastAsia="it-IT"/>
        </w:rPr>
      </w:pPr>
    </w:p>
    <w:p w:rsidR="00BD36D2" w:rsidRPr="00BD36D2" w:rsidRDefault="00BD36D2" w:rsidP="00BD36D2">
      <w:pPr>
        <w:spacing w:after="0" w:line="240" w:lineRule="auto"/>
        <w:jc w:val="center"/>
        <w:rPr>
          <w:rFonts w:ascii="Garamond" w:eastAsia="Calibri" w:hAnsi="Garamond" w:cs="Times New Roman"/>
          <w:b/>
          <w:lang w:eastAsia="it-IT"/>
        </w:rPr>
      </w:pPr>
      <w:r w:rsidRPr="00BD36D2">
        <w:rPr>
          <w:rFonts w:ascii="Garamond" w:eastAsia="Calibri" w:hAnsi="Garamond" w:cs="Times New Roman"/>
          <w:b/>
          <w:lang w:eastAsia="it-IT"/>
        </w:rPr>
        <w:t xml:space="preserve">Tabella 9 Distribuzione delle procedure di affidamento, di importo uguale </w:t>
      </w:r>
    </w:p>
    <w:p w:rsidR="00BD36D2" w:rsidRPr="00BD36D2" w:rsidRDefault="00BD36D2" w:rsidP="00BD36D2">
      <w:pPr>
        <w:spacing w:after="0" w:line="240" w:lineRule="auto"/>
        <w:jc w:val="center"/>
        <w:rPr>
          <w:rFonts w:ascii="Garamond" w:eastAsia="Calibri" w:hAnsi="Garamond" w:cs="Times New Roman"/>
          <w:b/>
          <w:lang w:eastAsia="it-IT"/>
        </w:rPr>
      </w:pPr>
      <w:r w:rsidRPr="00BD36D2">
        <w:rPr>
          <w:rFonts w:ascii="Garamond" w:eastAsia="Calibri" w:hAnsi="Garamond" w:cs="Times New Roman"/>
          <w:b/>
          <w:lang w:eastAsia="it-IT"/>
        </w:rPr>
        <w:t>o superiore di € 40.000,  per tipologia di SA (2017)</w:t>
      </w:r>
    </w:p>
    <w:tbl>
      <w:tblPr>
        <w:tblStyle w:val="Grigliamedia1-Colore11"/>
        <w:tblW w:w="4869" w:type="pct"/>
        <w:jc w:val="center"/>
        <w:tblLook w:val="04A0" w:firstRow="1" w:lastRow="0" w:firstColumn="1" w:lastColumn="0" w:noHBand="0" w:noVBand="1"/>
      </w:tblPr>
      <w:tblGrid>
        <w:gridCol w:w="4354"/>
        <w:gridCol w:w="1117"/>
        <w:gridCol w:w="1242"/>
        <w:gridCol w:w="1708"/>
        <w:gridCol w:w="1175"/>
      </w:tblGrid>
      <w:tr w:rsidR="00BD36D2" w:rsidRPr="00BD36D2" w:rsidTr="00BD36D2">
        <w:trPr>
          <w:cnfStyle w:val="100000000000" w:firstRow="1" w:lastRow="0" w:firstColumn="0" w:lastColumn="0" w:oddVBand="0" w:evenVBand="0" w:oddHBand="0" w:evenHBand="0" w:firstRowFirstColumn="0" w:firstRowLastColumn="0" w:lastRowFirstColumn="0" w:lastRowLastColumn="0"/>
          <w:trHeight w:val="450"/>
          <w:tblHeader/>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shd w:val="clear" w:color="auto" w:fill="1F497D" w:themeFill="text2"/>
            <w:vAlign w:val="center"/>
            <w:hideMark/>
          </w:tcPr>
          <w:p w:rsidR="00BD36D2" w:rsidRPr="00BD36D2" w:rsidRDefault="00BD36D2" w:rsidP="00BD36D2">
            <w:pPr>
              <w:spacing w:line="360" w:lineRule="auto"/>
              <w:jc w:val="center"/>
              <w:rPr>
                <w:rFonts w:ascii="Garamond" w:eastAsia="Times New Roman" w:hAnsi="Garamond"/>
                <w:color w:val="FFFFFF"/>
                <w:sz w:val="18"/>
                <w:szCs w:val="18"/>
              </w:rPr>
            </w:pPr>
            <w:r w:rsidRPr="00BD36D2">
              <w:rPr>
                <w:rFonts w:ascii="Garamond" w:eastAsia="Times New Roman" w:hAnsi="Garamond"/>
                <w:color w:val="FFFFFF"/>
                <w:sz w:val="18"/>
                <w:szCs w:val="18"/>
              </w:rPr>
              <w:t>Tipologia SA</w:t>
            </w:r>
          </w:p>
        </w:tc>
        <w:tc>
          <w:tcPr>
            <w:tcW w:w="582" w:type="pct"/>
            <w:tcBorders>
              <w:top w:val="single" w:sz="8" w:space="0" w:color="7BA0CD"/>
              <w:left w:val="single" w:sz="8" w:space="0" w:color="7BA0CD"/>
              <w:bottom w:val="single" w:sz="8" w:space="0" w:color="7BA0CD"/>
              <w:right w:val="single" w:sz="8" w:space="0" w:color="7BA0CD"/>
            </w:tcBorders>
            <w:shd w:val="clear" w:color="auto" w:fill="1F497D" w:themeFill="text2"/>
            <w:vAlign w:val="center"/>
            <w:hideMark/>
          </w:tcPr>
          <w:p w:rsidR="00BD36D2" w:rsidRPr="00BD36D2" w:rsidRDefault="00BD36D2" w:rsidP="00BD36D2">
            <w:pPr>
              <w:spacing w:line="360"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olor w:val="FFFFFF"/>
                <w:sz w:val="18"/>
                <w:szCs w:val="18"/>
              </w:rPr>
            </w:pPr>
            <w:r w:rsidRPr="00BD36D2">
              <w:rPr>
                <w:rFonts w:ascii="Garamond" w:eastAsia="Times New Roman" w:hAnsi="Garamond"/>
                <w:color w:val="FFFFFF"/>
                <w:sz w:val="18"/>
                <w:szCs w:val="18"/>
              </w:rPr>
              <w:t xml:space="preserve">CIG </w:t>
            </w:r>
          </w:p>
          <w:p w:rsidR="00BD36D2" w:rsidRPr="00BD36D2" w:rsidRDefault="00BD36D2" w:rsidP="00BD36D2">
            <w:pPr>
              <w:spacing w:line="360"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olor w:val="FFFFFF"/>
                <w:sz w:val="18"/>
                <w:szCs w:val="18"/>
              </w:rPr>
            </w:pPr>
            <w:proofErr w:type="spellStart"/>
            <w:r w:rsidRPr="00BD36D2">
              <w:rPr>
                <w:rFonts w:ascii="Garamond" w:eastAsia="Times New Roman" w:hAnsi="Garamond"/>
                <w:color w:val="FFFFFF"/>
                <w:sz w:val="18"/>
                <w:szCs w:val="18"/>
              </w:rPr>
              <w:t>perfez.ti</w:t>
            </w:r>
            <w:proofErr w:type="spellEnd"/>
          </w:p>
        </w:tc>
        <w:tc>
          <w:tcPr>
            <w:tcW w:w="647" w:type="pct"/>
            <w:tcBorders>
              <w:top w:val="single" w:sz="8" w:space="0" w:color="7BA0CD"/>
              <w:left w:val="single" w:sz="8" w:space="0" w:color="7BA0CD"/>
              <w:bottom w:val="single" w:sz="8" w:space="0" w:color="7BA0CD"/>
              <w:right w:val="single" w:sz="8" w:space="0" w:color="7BA0CD"/>
            </w:tcBorders>
            <w:shd w:val="clear" w:color="auto" w:fill="1F497D" w:themeFill="text2"/>
            <w:vAlign w:val="center"/>
            <w:hideMark/>
          </w:tcPr>
          <w:p w:rsidR="00BD36D2" w:rsidRPr="00BD36D2" w:rsidRDefault="00BD36D2" w:rsidP="00BD36D2">
            <w:pPr>
              <w:spacing w:line="360"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olor w:val="FFFFFF"/>
                <w:sz w:val="18"/>
                <w:szCs w:val="18"/>
              </w:rPr>
            </w:pPr>
            <w:r w:rsidRPr="00BD36D2">
              <w:rPr>
                <w:rFonts w:ascii="Garamond" w:eastAsia="Times New Roman" w:hAnsi="Garamond"/>
                <w:color w:val="FFFFFF"/>
                <w:sz w:val="18"/>
                <w:szCs w:val="18"/>
              </w:rPr>
              <w:t>% CIG</w:t>
            </w:r>
          </w:p>
        </w:tc>
        <w:tc>
          <w:tcPr>
            <w:tcW w:w="890" w:type="pct"/>
            <w:tcBorders>
              <w:top w:val="single" w:sz="8" w:space="0" w:color="7BA0CD"/>
              <w:left w:val="single" w:sz="8" w:space="0" w:color="7BA0CD"/>
              <w:bottom w:val="single" w:sz="8" w:space="0" w:color="7BA0CD"/>
              <w:right w:val="single" w:sz="8" w:space="0" w:color="7BA0CD"/>
            </w:tcBorders>
            <w:shd w:val="clear" w:color="auto" w:fill="1F497D" w:themeFill="text2"/>
            <w:vAlign w:val="center"/>
            <w:hideMark/>
          </w:tcPr>
          <w:p w:rsidR="00BD36D2" w:rsidRPr="00BD36D2" w:rsidRDefault="00BD36D2" w:rsidP="00BD36D2">
            <w:pPr>
              <w:spacing w:line="360"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olor w:val="FFFFFF"/>
                <w:sz w:val="18"/>
                <w:szCs w:val="18"/>
              </w:rPr>
            </w:pPr>
            <w:r w:rsidRPr="00BD36D2">
              <w:rPr>
                <w:rFonts w:ascii="Garamond" w:eastAsia="Times New Roman" w:hAnsi="Garamond"/>
                <w:color w:val="FFFFFF"/>
                <w:sz w:val="18"/>
                <w:szCs w:val="18"/>
              </w:rPr>
              <w:t xml:space="preserve">Importo complessivo </w:t>
            </w:r>
          </w:p>
          <w:p w:rsidR="00BD36D2" w:rsidRPr="00BD36D2" w:rsidRDefault="00BD36D2" w:rsidP="00BD36D2">
            <w:pPr>
              <w:spacing w:line="360"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olor w:val="FFFFFF"/>
                <w:sz w:val="18"/>
                <w:szCs w:val="18"/>
              </w:rPr>
            </w:pPr>
            <w:r w:rsidRPr="00BD36D2">
              <w:rPr>
                <w:rFonts w:ascii="Garamond" w:eastAsia="Times New Roman" w:hAnsi="Garamond"/>
                <w:color w:val="FFFFFF"/>
                <w:sz w:val="18"/>
                <w:szCs w:val="18"/>
              </w:rPr>
              <w:t>(in euro)</w:t>
            </w:r>
          </w:p>
        </w:tc>
        <w:tc>
          <w:tcPr>
            <w:tcW w:w="612" w:type="pct"/>
            <w:tcBorders>
              <w:top w:val="single" w:sz="8" w:space="0" w:color="7BA0CD"/>
              <w:left w:val="single" w:sz="8" w:space="0" w:color="7BA0CD"/>
              <w:bottom w:val="single" w:sz="8" w:space="0" w:color="7BA0CD"/>
              <w:right w:val="single" w:sz="8" w:space="0" w:color="7BA0CD"/>
            </w:tcBorders>
            <w:shd w:val="clear" w:color="auto" w:fill="1F497D" w:themeFill="text2"/>
            <w:vAlign w:val="center"/>
            <w:hideMark/>
          </w:tcPr>
          <w:p w:rsidR="00BD36D2" w:rsidRPr="00BD36D2" w:rsidRDefault="00BD36D2" w:rsidP="00BD36D2">
            <w:pPr>
              <w:spacing w:line="360"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olor w:val="FFFFFF"/>
                <w:sz w:val="18"/>
                <w:szCs w:val="18"/>
              </w:rPr>
            </w:pPr>
            <w:r w:rsidRPr="00BD36D2">
              <w:rPr>
                <w:rFonts w:ascii="Garamond" w:eastAsia="Times New Roman" w:hAnsi="Garamond"/>
                <w:color w:val="FFFFFF"/>
                <w:sz w:val="18"/>
                <w:szCs w:val="18"/>
              </w:rPr>
              <w:t>% importo</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Agenzie Fiscali</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346</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0,3%</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76.512.084</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0,0%</w:t>
            </w:r>
          </w:p>
        </w:tc>
      </w:tr>
      <w:tr w:rsidR="00BD36D2" w:rsidRPr="00BD36D2" w:rsidTr="00BD36D2">
        <w:trPr>
          <w:trHeight w:val="385"/>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Agenzie Regionali Sanitarie</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1.239</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0,9%</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3.046.237.959</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2,2%</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Autorità Nazionali di Vigilanza e Regolazione</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211</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0,2%</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418.921.487</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0,3%</w:t>
            </w:r>
          </w:p>
        </w:tc>
      </w:tr>
      <w:tr w:rsidR="00BD36D2" w:rsidRPr="00BD36D2" w:rsidTr="00BD36D2">
        <w:trPr>
          <w:trHeight w:val="385"/>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Aziende del Servizio Sanitario Nazionale</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16.197</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11,8%</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7.583.799.390</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5,5%</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Aziende Farmaceutiche e Farmacie</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203</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0,1%</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78.169.312</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0,0%</w:t>
            </w:r>
          </w:p>
        </w:tc>
      </w:tr>
      <w:tr w:rsidR="00BD36D2" w:rsidRPr="00BD36D2" w:rsidTr="00BD36D2">
        <w:trPr>
          <w:trHeight w:val="385"/>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Aziende Ospedaliere, Aziende Ospedaliere Universitarie, Policlinici</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9.509</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6,9%</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3.852.492.660</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2,8%</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Aziende Pubbliche di Servizi alla Persona</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480</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0,4%</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325.253.840</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0,2%</w:t>
            </w:r>
          </w:p>
        </w:tc>
      </w:tr>
      <w:tr w:rsidR="00BD36D2" w:rsidRPr="00BD36D2" w:rsidTr="00BD36D2">
        <w:trPr>
          <w:trHeight w:val="385"/>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Camere di Commercio</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192</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0,1%</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62.667.535</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0,0%</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Centrale Committenza</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7.139</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5,2%</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20.618.341.608</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14,8%</w:t>
            </w:r>
          </w:p>
        </w:tc>
      </w:tr>
      <w:tr w:rsidR="00BD36D2" w:rsidRPr="00BD36D2" w:rsidTr="00BD36D2">
        <w:trPr>
          <w:trHeight w:val="385"/>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Centrale Committenza - Settore Sanità</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3.043</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2,2%</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10.909.688.238</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7,9%</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Città Metropolitane</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597</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0,4%</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922.170.255</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0,7%</w:t>
            </w:r>
          </w:p>
        </w:tc>
      </w:tr>
      <w:tr w:rsidR="00BD36D2" w:rsidRPr="00BD36D2" w:rsidTr="00BD36D2">
        <w:trPr>
          <w:trHeight w:val="385"/>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Comuni</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30.020</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21,9%</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11.615.546.596</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8,4%</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Comunità montane</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730</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0,5%</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357.116.131</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0,3%</w:t>
            </w:r>
          </w:p>
        </w:tc>
      </w:tr>
      <w:tr w:rsidR="00BD36D2" w:rsidRPr="00BD36D2" w:rsidTr="00BD36D2">
        <w:trPr>
          <w:trHeight w:val="385"/>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Consorzi di bonifica</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632</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0,5%</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187.435.479</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0,1%</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Altri Consorzi (esclusi consorzi di comuni, bonifica, ricerca e universitari)</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810</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0,6%</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799.525.346</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0,6%</w:t>
            </w:r>
          </w:p>
        </w:tc>
      </w:tr>
      <w:tr w:rsidR="00BD36D2" w:rsidRPr="00BD36D2" w:rsidTr="00BD36D2">
        <w:trPr>
          <w:trHeight w:val="385"/>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Enti di Previdenza e Organi professionali</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566</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0,4%</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762.718.456</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0,5%</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Enti e Istituzioni di Ricerca</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857</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0,6%</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384.727.732</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0,3%</w:t>
            </w:r>
          </w:p>
        </w:tc>
      </w:tr>
      <w:tr w:rsidR="00BD36D2" w:rsidRPr="00BD36D2" w:rsidTr="00BD36D2">
        <w:trPr>
          <w:trHeight w:val="385"/>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Enti ed Agenzie produttori di servizi assistenziali, ricreativi, culturali e ambientali</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2.263</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1,6%</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1.028.566.394</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0,7%</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Enti ed Agenzie produttori di servizi economici e di regolazione dell’attività economica</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2.650</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1,9%</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1.474.605.286</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1,1%</w:t>
            </w:r>
          </w:p>
        </w:tc>
      </w:tr>
      <w:tr w:rsidR="00BD36D2" w:rsidRPr="00BD36D2" w:rsidTr="00BD36D2">
        <w:trPr>
          <w:trHeight w:val="385"/>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Enti ed Agenzie produttori di servizi finanziari, bancari e assicurativi</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182</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0,1%</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93.791.493</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0,1%</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Enti per l’edilizia residenziale e Agenzie immobiliari</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1.390</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1,0%</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701.413.653</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0,5%</w:t>
            </w:r>
          </w:p>
        </w:tc>
      </w:tr>
      <w:tr w:rsidR="00BD36D2" w:rsidRPr="00BD36D2" w:rsidTr="00BD36D2">
        <w:trPr>
          <w:trHeight w:val="385"/>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Enti, Concessionari ed Imprese di gestione reti ed infrastrutture aeroportuali</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1.522</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1,1%</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1.061.335.381</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0,8%</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Enti, Concessionari ed Imprese di gestione reti ed infrastrutture stradali</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2.179</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1,6%</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3.254.461.911</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2,3%</w:t>
            </w:r>
          </w:p>
        </w:tc>
      </w:tr>
      <w:tr w:rsidR="00BD36D2" w:rsidRPr="00BD36D2" w:rsidTr="00BD36D2">
        <w:trPr>
          <w:trHeight w:val="385"/>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Enti, Concessionari ed Imprese di gestione reti ed infrastrutture, di servizi pubblici - Ferrovie</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2.854</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2,1%</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15.091.015.209</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10,9%</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Enti, Concessionari ed Imprese di gestione reti ed infrastrutture, di servizi pubblici - Gestione rifiuti</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4.175</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3,1%</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4.525.013.513</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3,3%</w:t>
            </w:r>
          </w:p>
        </w:tc>
      </w:tr>
      <w:tr w:rsidR="00BD36D2" w:rsidRPr="00BD36D2" w:rsidTr="00BD36D2">
        <w:trPr>
          <w:trHeight w:val="385"/>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lastRenderedPageBreak/>
              <w:t>Enti, Concessionari ed Imprese di gestione reti ed infrastrutture, di servizi pubblici - Informatica e telecomunicazioni</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2.199</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1,6%</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896.267.916</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0,6%</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Enti, Concessionari ed Imprese di gestione reti ed infrastrutture, di servizi pubblici - Multiservizi</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3.776</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2,8%</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2.222.293.741</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1,6%</w:t>
            </w:r>
          </w:p>
        </w:tc>
      </w:tr>
      <w:tr w:rsidR="00BD36D2" w:rsidRPr="00BD36D2" w:rsidTr="00BD36D2">
        <w:trPr>
          <w:trHeight w:val="385"/>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Enti, Concessionari ed Imprese di gestione reti ed infrastrutture, di servizi pubblici - Porti ed Interporti</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233</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0,2%</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265.966.903</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0,2%</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Enti, Concessionari ed Imprese di gestione reti ed infrastrutture, di servizi pubblici - Produzione, trasmissione e distribuzione di energia elettrica</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3.281</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2,4%</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3.747.832.322</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2,7%</w:t>
            </w:r>
          </w:p>
        </w:tc>
      </w:tr>
      <w:tr w:rsidR="00BD36D2" w:rsidRPr="00BD36D2" w:rsidTr="00BD36D2">
        <w:trPr>
          <w:trHeight w:val="385"/>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Enti, Concessionari ed Imprese di gestione reti ed infrastrutture, di servizi pubblici - Produzione, trasmissione e distribuzione di gas e calore</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1.757</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1,3%</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3.069.175.534</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2,2%</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Enti, Concessionari ed Imprese di gestione reti ed infrastrutture, di servizi pubblici - Raccolta, trattamento e fornitura di acqua</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4.686</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3,4%</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2.487.442.792</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1,8%</w:t>
            </w:r>
          </w:p>
        </w:tc>
      </w:tr>
      <w:tr w:rsidR="00BD36D2" w:rsidRPr="00BD36D2" w:rsidTr="00BD36D2">
        <w:trPr>
          <w:trHeight w:val="385"/>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Enti, Concessionari ed Imprese di gestione reti ed infrastrutture, di servizi pubblici - Servizi postali</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1.009</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0,8%</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960.516.218</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0,7%</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Enti, Concessionari ed Imprese di gestione reti ed infrastrutture, di servizi pubblici - Trasporto pubblico locale</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3.711</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2,7%</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5.694.496.205</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4,1%</w:t>
            </w:r>
          </w:p>
        </w:tc>
      </w:tr>
      <w:tr w:rsidR="00BD36D2" w:rsidRPr="00BD36D2" w:rsidTr="00BD36D2">
        <w:trPr>
          <w:trHeight w:val="326"/>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 xml:space="preserve">Fondazioni e </w:t>
            </w:r>
            <w:proofErr w:type="spellStart"/>
            <w:r w:rsidRPr="00BD36D2">
              <w:rPr>
                <w:rFonts w:ascii="Garamond" w:eastAsia="Times New Roman" w:hAnsi="Garamond"/>
                <w:color w:val="000000"/>
                <w:sz w:val="18"/>
                <w:szCs w:val="18"/>
              </w:rPr>
              <w:t>Onlus</w:t>
            </w:r>
            <w:proofErr w:type="spellEnd"/>
            <w:r w:rsidRPr="00BD36D2">
              <w:rPr>
                <w:rFonts w:ascii="Garamond" w:eastAsia="Times New Roman" w:hAnsi="Garamond"/>
                <w:color w:val="000000"/>
                <w:sz w:val="18"/>
                <w:szCs w:val="18"/>
              </w:rPr>
              <w:t xml:space="preserve"> culturali</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418</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0,3%</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155.509.967</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0,1%</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 xml:space="preserve">Fondazioni e </w:t>
            </w:r>
            <w:proofErr w:type="spellStart"/>
            <w:r w:rsidRPr="00BD36D2">
              <w:rPr>
                <w:rFonts w:ascii="Garamond" w:eastAsia="Times New Roman" w:hAnsi="Garamond"/>
                <w:color w:val="000000"/>
                <w:sz w:val="18"/>
                <w:szCs w:val="18"/>
              </w:rPr>
              <w:t>Onlus</w:t>
            </w:r>
            <w:proofErr w:type="spellEnd"/>
            <w:r w:rsidRPr="00BD36D2">
              <w:rPr>
                <w:rFonts w:ascii="Garamond" w:eastAsia="Times New Roman" w:hAnsi="Garamond"/>
                <w:color w:val="000000"/>
                <w:sz w:val="18"/>
                <w:szCs w:val="18"/>
              </w:rPr>
              <w:t xml:space="preserve"> scientifiche</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58</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0,0%</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122.377.538</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0,1%</w:t>
            </w:r>
          </w:p>
        </w:tc>
      </w:tr>
      <w:tr w:rsidR="00BD36D2" w:rsidRPr="00BD36D2" w:rsidTr="00BD36D2">
        <w:trPr>
          <w:trHeight w:val="326"/>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 xml:space="preserve">Fondazioni e </w:t>
            </w:r>
            <w:proofErr w:type="spellStart"/>
            <w:r w:rsidRPr="00BD36D2">
              <w:rPr>
                <w:rFonts w:ascii="Garamond" w:eastAsia="Times New Roman" w:hAnsi="Garamond"/>
                <w:color w:val="000000"/>
                <w:sz w:val="18"/>
                <w:szCs w:val="18"/>
              </w:rPr>
              <w:t>Onlus</w:t>
            </w:r>
            <w:proofErr w:type="spellEnd"/>
            <w:r w:rsidRPr="00BD36D2">
              <w:rPr>
                <w:rFonts w:ascii="Garamond" w:eastAsia="Times New Roman" w:hAnsi="Garamond"/>
                <w:color w:val="000000"/>
                <w:sz w:val="18"/>
                <w:szCs w:val="18"/>
              </w:rPr>
              <w:t xml:space="preserve"> settore sanitario</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703</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0,5%</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283.764.910</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0,2%</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 xml:space="preserve">Fondazioni e </w:t>
            </w:r>
            <w:proofErr w:type="spellStart"/>
            <w:r w:rsidRPr="00BD36D2">
              <w:rPr>
                <w:rFonts w:ascii="Garamond" w:eastAsia="Times New Roman" w:hAnsi="Garamond"/>
                <w:color w:val="000000"/>
                <w:sz w:val="18"/>
                <w:szCs w:val="18"/>
              </w:rPr>
              <w:t>Onlus</w:t>
            </w:r>
            <w:proofErr w:type="spellEnd"/>
            <w:r w:rsidRPr="00BD36D2">
              <w:rPr>
                <w:rFonts w:ascii="Garamond" w:eastAsia="Times New Roman" w:hAnsi="Garamond"/>
                <w:color w:val="000000"/>
                <w:sz w:val="18"/>
                <w:szCs w:val="18"/>
              </w:rPr>
              <w:t xml:space="preserve"> settore servizi alla persona</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16</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0,0%</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4.535.733</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0,0%</w:t>
            </w:r>
          </w:p>
        </w:tc>
      </w:tr>
      <w:tr w:rsidR="00BD36D2" w:rsidRPr="00BD36D2" w:rsidTr="00BD36D2">
        <w:trPr>
          <w:trHeight w:val="326"/>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Altro tipo Fondazioni (escluso culturali, scientifiche e settore sanità)</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23</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0,0%</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7.084.195</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0,0%</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Istituti di Istruzione di ogni ordine e grado</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1.167</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0,9%</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108.162.842</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0,1%</w:t>
            </w:r>
          </w:p>
        </w:tc>
      </w:tr>
      <w:tr w:rsidR="00BD36D2" w:rsidRPr="00BD36D2" w:rsidTr="00BD36D2">
        <w:trPr>
          <w:trHeight w:val="326"/>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Istituti di Ricovero e Cura a Carattere Scientifico</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802</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0,6%</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310.884.504</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0,2%</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Istituti Zooprofilattici Sperimentali</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287</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0,2%</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65.591.326</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0,0%</w:t>
            </w:r>
          </w:p>
        </w:tc>
      </w:tr>
      <w:tr w:rsidR="00BD36D2" w:rsidRPr="00BD36D2" w:rsidTr="00BD36D2">
        <w:trPr>
          <w:trHeight w:val="326"/>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Ministero degli Affari Esteri e della Cooperazione Internazionale</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83</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0,1%</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32.130.753</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0,0%</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Ministero dei Beni e delle Attività Culturali e del Turismo</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569</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0,4%</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123.825.142</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0,1%</w:t>
            </w:r>
          </w:p>
        </w:tc>
      </w:tr>
      <w:tr w:rsidR="00BD36D2" w:rsidRPr="00BD36D2" w:rsidTr="00BD36D2">
        <w:trPr>
          <w:trHeight w:val="405"/>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Ministero del Lavoro e delle Politiche Sociali</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65</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0,0%</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16.314.612</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0,0%</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Ministero della Difesa</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3.271</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2,4%</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2.204.749.718</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1,6%</w:t>
            </w:r>
          </w:p>
        </w:tc>
      </w:tr>
      <w:tr w:rsidR="00BD36D2" w:rsidRPr="00BD36D2" w:rsidTr="00BD36D2">
        <w:trPr>
          <w:trHeight w:val="405"/>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Ministero della Giustizia</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616</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0,4%</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345.209.085</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0,2%</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Ministero della Salute</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71</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0,1%</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16.474.075</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0,0%</w:t>
            </w:r>
          </w:p>
        </w:tc>
      </w:tr>
      <w:tr w:rsidR="00BD36D2" w:rsidRPr="00BD36D2" w:rsidTr="00BD36D2">
        <w:trPr>
          <w:trHeight w:val="336"/>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Ministero dell'Ambiente e della Tutela del Territorio e del Mare</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25</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0,0%</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121.827.393</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0,1%</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lastRenderedPageBreak/>
              <w:t>Ministero delle Infrastrutture e dei Trasporti</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687</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0,5%</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534.005.141</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0,4%</w:t>
            </w:r>
          </w:p>
        </w:tc>
      </w:tr>
      <w:tr w:rsidR="00BD36D2" w:rsidRPr="00BD36D2" w:rsidTr="00BD36D2">
        <w:trPr>
          <w:trHeight w:val="405"/>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Ministero delle Politiche Agricole, Alimentari e Forestali</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30</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0,0%</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116.796.145</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0,1%</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Ministero dell'economia e delle finanze</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E</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0,4%</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805.090.907</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0,6%</w:t>
            </w:r>
          </w:p>
        </w:tc>
      </w:tr>
      <w:tr w:rsidR="00BD36D2" w:rsidRPr="00BD36D2" w:rsidTr="00BD36D2">
        <w:trPr>
          <w:trHeight w:val="328"/>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Ministero dell'Interno</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2.350</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1,7%</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4.136.660.043</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3,0%</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Ministero dell'Istruzione, dell'Università e della Ricerca</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24</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0,0%</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6.114.444</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0,0%</w:t>
            </w:r>
          </w:p>
        </w:tc>
      </w:tr>
      <w:tr w:rsidR="00BD36D2" w:rsidRPr="00BD36D2" w:rsidTr="00BD36D2">
        <w:trPr>
          <w:trHeight w:val="342"/>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Ministero dello Sviluppo Economico</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39</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0,0%</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10.435.799</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0,0%</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Organi Costituzionali e di Rilievo Costituzionale</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119</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0,1%</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89.270.916</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0,1%</w:t>
            </w:r>
          </w:p>
        </w:tc>
      </w:tr>
      <w:tr w:rsidR="00BD36D2" w:rsidRPr="00BD36D2" w:rsidTr="00BD36D2">
        <w:trPr>
          <w:trHeight w:val="342"/>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Presidenza del Consiglio dei Ministri</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380</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0,3%</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699.959.241</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0,5%</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Province</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3.679</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2,7%</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2.495.149.825</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1,8%</w:t>
            </w:r>
          </w:p>
        </w:tc>
      </w:tr>
      <w:tr w:rsidR="00BD36D2" w:rsidRPr="00BD36D2" w:rsidTr="00BD36D2">
        <w:trPr>
          <w:trHeight w:val="342"/>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Regioni</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5.090</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3,7%</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14.103.833.784</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10,1%</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Unione Comuni</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2.373</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1,7%</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1.255.767.504</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0,9%</w:t>
            </w:r>
          </w:p>
        </w:tc>
      </w:tr>
      <w:tr w:rsidR="00BD36D2" w:rsidRPr="00BD36D2" w:rsidTr="00BD36D2">
        <w:trPr>
          <w:trHeight w:val="342"/>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Università</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1.920</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1,4%</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854.030.501</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0,6%</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#Non classificato#</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1.169</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0,9%</w:t>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1.373.919.810</w:t>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1,0%</w:t>
            </w:r>
          </w:p>
        </w:tc>
      </w:tr>
      <w:tr w:rsidR="00BD36D2" w:rsidRPr="00BD36D2" w:rsidTr="00BD36D2">
        <w:trPr>
          <w:trHeight w:val="300"/>
          <w:jc w:val="center"/>
        </w:trPr>
        <w:tc>
          <w:tcPr>
            <w:cnfStyle w:val="001000000000" w:firstRow="0" w:lastRow="0" w:firstColumn="1" w:lastColumn="0" w:oddVBand="0" w:evenVBand="0" w:oddHBand="0" w:evenHBand="0" w:firstRowFirstColumn="0" w:firstRowLastColumn="0" w:lastRowFirstColumn="0" w:lastRowLastColumn="0"/>
            <w:tcW w:w="2269"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right"/>
              <w:rPr>
                <w:rFonts w:ascii="Garamond" w:eastAsia="Times New Roman" w:hAnsi="Garamond"/>
                <w:sz w:val="18"/>
                <w:szCs w:val="18"/>
              </w:rPr>
            </w:pPr>
            <w:r w:rsidRPr="00BD36D2">
              <w:rPr>
                <w:rFonts w:ascii="Garamond" w:eastAsia="Times New Roman" w:hAnsi="Garamond"/>
                <w:sz w:val="18"/>
                <w:szCs w:val="18"/>
              </w:rPr>
              <w:t xml:space="preserve">Totale </w:t>
            </w:r>
          </w:p>
        </w:tc>
        <w:tc>
          <w:tcPr>
            <w:tcW w:w="58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sz w:val="18"/>
                <w:szCs w:val="18"/>
              </w:rPr>
            </w:pPr>
            <w:r w:rsidRPr="00BD36D2">
              <w:rPr>
                <w:rFonts w:ascii="Garamond" w:eastAsia="Times New Roman" w:hAnsi="Garamond"/>
                <w:b/>
                <w:sz w:val="18"/>
                <w:szCs w:val="18"/>
              </w:rPr>
              <w:fldChar w:fldCharType="begin"/>
            </w:r>
            <w:r w:rsidRPr="00BD36D2">
              <w:rPr>
                <w:rFonts w:ascii="Garamond" w:eastAsia="Times New Roman" w:hAnsi="Garamond"/>
                <w:b/>
                <w:sz w:val="18"/>
                <w:szCs w:val="18"/>
              </w:rPr>
              <w:instrText xml:space="preserve"> =SUM(ABOVE) </w:instrText>
            </w:r>
            <w:r w:rsidRPr="00BD36D2">
              <w:rPr>
                <w:rFonts w:ascii="Garamond" w:eastAsia="Times New Roman" w:hAnsi="Garamond"/>
                <w:b/>
                <w:sz w:val="18"/>
                <w:szCs w:val="18"/>
              </w:rPr>
              <w:fldChar w:fldCharType="separate"/>
            </w:r>
            <w:r w:rsidRPr="00BD36D2">
              <w:rPr>
                <w:rFonts w:ascii="Garamond" w:eastAsia="Times New Roman" w:hAnsi="Garamond"/>
                <w:b/>
                <w:noProof/>
                <w:sz w:val="18"/>
                <w:szCs w:val="18"/>
              </w:rPr>
              <w:t>137.237</w:t>
            </w:r>
            <w:r w:rsidRPr="00BD36D2">
              <w:rPr>
                <w:rFonts w:ascii="Garamond" w:eastAsia="Times New Roman" w:hAnsi="Garamond"/>
                <w:b/>
                <w:sz w:val="18"/>
                <w:szCs w:val="18"/>
              </w:rPr>
              <w:fldChar w:fldCharType="end"/>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sz w:val="18"/>
                <w:szCs w:val="18"/>
              </w:rPr>
            </w:pPr>
            <w:r w:rsidRPr="00BD36D2">
              <w:rPr>
                <w:rFonts w:ascii="Garamond" w:eastAsia="Times New Roman" w:hAnsi="Garamond"/>
                <w:b/>
                <w:sz w:val="18"/>
                <w:szCs w:val="18"/>
              </w:rPr>
              <w:fldChar w:fldCharType="begin"/>
            </w:r>
            <w:r w:rsidRPr="00BD36D2">
              <w:rPr>
                <w:rFonts w:ascii="Garamond" w:eastAsia="Times New Roman" w:hAnsi="Garamond"/>
                <w:b/>
                <w:sz w:val="18"/>
                <w:szCs w:val="18"/>
              </w:rPr>
              <w:instrText xml:space="preserve"> =SUM(ABOVE)*100 \# "0,00%" </w:instrText>
            </w:r>
            <w:r w:rsidRPr="00BD36D2">
              <w:rPr>
                <w:rFonts w:ascii="Garamond" w:eastAsia="Times New Roman" w:hAnsi="Garamond"/>
                <w:b/>
                <w:sz w:val="18"/>
                <w:szCs w:val="18"/>
              </w:rPr>
              <w:fldChar w:fldCharType="separate"/>
            </w:r>
            <w:r w:rsidRPr="00BD36D2">
              <w:rPr>
                <w:rFonts w:ascii="Garamond" w:eastAsia="Times New Roman" w:hAnsi="Garamond"/>
                <w:b/>
                <w:noProof/>
                <w:sz w:val="18"/>
                <w:szCs w:val="18"/>
              </w:rPr>
              <w:t>100,0%</w:t>
            </w:r>
            <w:r w:rsidRPr="00BD36D2">
              <w:rPr>
                <w:rFonts w:ascii="Garamond" w:eastAsia="Times New Roman" w:hAnsi="Garamond"/>
                <w:b/>
                <w:sz w:val="18"/>
                <w:szCs w:val="18"/>
              </w:rPr>
              <w:fldChar w:fldCharType="end"/>
            </w:r>
          </w:p>
        </w:tc>
        <w:tc>
          <w:tcPr>
            <w:tcW w:w="89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sz w:val="18"/>
                <w:szCs w:val="18"/>
              </w:rPr>
            </w:pPr>
            <w:r w:rsidRPr="00BD36D2">
              <w:rPr>
                <w:rFonts w:ascii="Garamond" w:eastAsia="Times New Roman" w:hAnsi="Garamond"/>
                <w:b/>
                <w:sz w:val="18"/>
                <w:szCs w:val="18"/>
              </w:rPr>
              <w:fldChar w:fldCharType="begin"/>
            </w:r>
            <w:r w:rsidRPr="00BD36D2">
              <w:rPr>
                <w:rFonts w:ascii="Garamond" w:eastAsia="Times New Roman" w:hAnsi="Garamond"/>
                <w:b/>
                <w:sz w:val="18"/>
                <w:szCs w:val="18"/>
              </w:rPr>
              <w:instrText xml:space="preserve"> =SUM(ABOVE) </w:instrText>
            </w:r>
            <w:r w:rsidRPr="00BD36D2">
              <w:rPr>
                <w:rFonts w:ascii="Garamond" w:eastAsia="Times New Roman" w:hAnsi="Garamond"/>
                <w:b/>
                <w:sz w:val="18"/>
                <w:szCs w:val="18"/>
              </w:rPr>
              <w:fldChar w:fldCharType="separate"/>
            </w:r>
            <w:r w:rsidRPr="00BD36D2">
              <w:rPr>
                <w:rFonts w:ascii="Garamond" w:eastAsia="Times New Roman" w:hAnsi="Garamond"/>
                <w:b/>
                <w:noProof/>
                <w:sz w:val="18"/>
                <w:szCs w:val="18"/>
              </w:rPr>
              <w:t>138.974.994.432</w:t>
            </w:r>
            <w:r w:rsidRPr="00BD36D2">
              <w:rPr>
                <w:rFonts w:ascii="Garamond" w:eastAsia="Times New Roman" w:hAnsi="Garamond"/>
                <w:b/>
                <w:sz w:val="18"/>
                <w:szCs w:val="18"/>
              </w:rPr>
              <w:fldChar w:fldCharType="end"/>
            </w:r>
          </w:p>
        </w:tc>
        <w:tc>
          <w:tcPr>
            <w:tcW w:w="61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sz w:val="18"/>
                <w:szCs w:val="18"/>
              </w:rPr>
            </w:pPr>
            <w:r w:rsidRPr="00BD36D2">
              <w:rPr>
                <w:rFonts w:ascii="Garamond" w:eastAsia="Times New Roman" w:hAnsi="Garamond"/>
                <w:b/>
                <w:sz w:val="18"/>
                <w:szCs w:val="18"/>
              </w:rPr>
              <w:fldChar w:fldCharType="begin"/>
            </w:r>
            <w:r w:rsidRPr="00BD36D2">
              <w:rPr>
                <w:rFonts w:ascii="Garamond" w:eastAsia="Times New Roman" w:hAnsi="Garamond"/>
                <w:b/>
                <w:sz w:val="18"/>
                <w:szCs w:val="18"/>
              </w:rPr>
              <w:instrText xml:space="preserve"> =SUM(ABOVE)*100 \# "0,00%" </w:instrText>
            </w:r>
            <w:r w:rsidRPr="00BD36D2">
              <w:rPr>
                <w:rFonts w:ascii="Garamond" w:eastAsia="Times New Roman" w:hAnsi="Garamond"/>
                <w:b/>
                <w:sz w:val="18"/>
                <w:szCs w:val="18"/>
              </w:rPr>
              <w:fldChar w:fldCharType="separate"/>
            </w:r>
            <w:r w:rsidRPr="00BD36D2">
              <w:rPr>
                <w:rFonts w:ascii="Garamond" w:eastAsia="Times New Roman" w:hAnsi="Garamond"/>
                <w:b/>
                <w:noProof/>
                <w:sz w:val="18"/>
                <w:szCs w:val="18"/>
              </w:rPr>
              <w:t>100,0%</w:t>
            </w:r>
            <w:r w:rsidRPr="00BD36D2">
              <w:rPr>
                <w:rFonts w:ascii="Garamond" w:eastAsia="Times New Roman" w:hAnsi="Garamond"/>
                <w:b/>
                <w:sz w:val="18"/>
                <w:szCs w:val="18"/>
              </w:rPr>
              <w:fldChar w:fldCharType="end"/>
            </w:r>
          </w:p>
        </w:tc>
      </w:tr>
    </w:tbl>
    <w:p w:rsidR="00BD36D2" w:rsidRPr="00BD36D2" w:rsidRDefault="00BD36D2" w:rsidP="00BD36D2">
      <w:pPr>
        <w:spacing w:before="60" w:after="0" w:line="360" w:lineRule="auto"/>
        <w:rPr>
          <w:rFonts w:ascii="Garamond" w:eastAsia="Times New Roman" w:hAnsi="Garamond" w:cs="Times New Roman"/>
          <w:i/>
          <w:sz w:val="20"/>
          <w:szCs w:val="20"/>
          <w:lang w:eastAsia="it-IT"/>
        </w:rPr>
      </w:pPr>
    </w:p>
    <w:p w:rsidR="00BD36D2" w:rsidRPr="00BD36D2" w:rsidRDefault="00BD36D2" w:rsidP="00BD36D2">
      <w:pPr>
        <w:spacing w:after="0" w:line="360" w:lineRule="auto"/>
        <w:jc w:val="both"/>
        <w:rPr>
          <w:rFonts w:ascii="Garamond" w:eastAsia="Calibri" w:hAnsi="Garamond" w:cs="Times New Roman"/>
          <w:sz w:val="24"/>
          <w:szCs w:val="24"/>
          <w:lang w:eastAsia="it-IT"/>
        </w:rPr>
      </w:pPr>
    </w:p>
    <w:p w:rsidR="00E75E95" w:rsidRDefault="00BD36D2" w:rsidP="00BD36D2">
      <w:pPr>
        <w:spacing w:after="0" w:line="360" w:lineRule="auto"/>
        <w:jc w:val="both"/>
        <w:rPr>
          <w:rFonts w:ascii="Times New Roman" w:eastAsia="Calibri" w:hAnsi="Times New Roman" w:cs="Times New Roman"/>
          <w:sz w:val="24"/>
          <w:szCs w:val="24"/>
          <w:lang w:eastAsia="it-IT"/>
        </w:rPr>
      </w:pPr>
      <w:r w:rsidRPr="001E3A34">
        <w:rPr>
          <w:rFonts w:ascii="Times New Roman" w:eastAsia="Calibri" w:hAnsi="Times New Roman" w:cs="Times New Roman"/>
          <w:sz w:val="24"/>
          <w:szCs w:val="24"/>
          <w:lang w:eastAsia="it-IT"/>
        </w:rPr>
        <w:t>Le tabelle 10 e 11 evidenziano, per macro-tipologia di SA, la modalità di scelta del contraente in termini di numerosità e di importi. Gli organi centrali, il settore regolazione del mercato e il settore previdenza, in rapporto al numero dei CIG perfezionati, risultano essere quelli meno propensi nella scelta di procedure aperte e/o ristrette utilizzando procedure negoziate e/o affidamenti diretti rispettivamente per ben l’84,7%, il 79,8% e il 79%. Tuttavia, a livello di importo, i tre settori utilizzano le procedure aperte e/o ristrette rispettivamente per ben il 69,6%, 61,1% e il 63,9%.</w:t>
      </w:r>
    </w:p>
    <w:p w:rsidR="00E75E95" w:rsidRDefault="00E75E95" w:rsidP="00BD36D2">
      <w:pPr>
        <w:spacing w:after="0" w:line="360" w:lineRule="auto"/>
        <w:jc w:val="both"/>
        <w:rPr>
          <w:rFonts w:ascii="Times New Roman" w:eastAsia="Calibri" w:hAnsi="Times New Roman" w:cs="Times New Roman"/>
          <w:sz w:val="24"/>
          <w:szCs w:val="24"/>
          <w:lang w:eastAsia="it-IT"/>
        </w:rPr>
      </w:pPr>
    </w:p>
    <w:p w:rsidR="00BD36D2" w:rsidRPr="001E3A34" w:rsidRDefault="00BD36D2" w:rsidP="00BD36D2">
      <w:pPr>
        <w:spacing w:after="0" w:line="360" w:lineRule="auto"/>
        <w:jc w:val="both"/>
        <w:rPr>
          <w:rFonts w:ascii="Times New Roman" w:eastAsia="Calibri" w:hAnsi="Times New Roman" w:cs="Times New Roman"/>
          <w:sz w:val="24"/>
          <w:szCs w:val="24"/>
          <w:lang w:eastAsia="it-IT"/>
        </w:rPr>
      </w:pPr>
      <w:r w:rsidRPr="001E3A34">
        <w:rPr>
          <w:rFonts w:ascii="Times New Roman" w:eastAsia="Calibri" w:hAnsi="Times New Roman" w:cs="Times New Roman"/>
          <w:sz w:val="24"/>
          <w:szCs w:val="24"/>
          <w:lang w:eastAsia="it-IT"/>
        </w:rPr>
        <w:t>Il settore sanità, in considerazione del processo di aggregazione della domanda avvenuto già da qualche anno, e, ancor di più le centrali di committenza, che per loro natura svolgono un ruolo di soggetti aggregatori per le SA, sono le classi che sia a livello di numerosità sia a livello di importi effettuano in assoluto più procedure aperte o ristrette (settore sanità: CIG 36,6% - importi 71,3%; settore centrali di committenza: CIG 58,1% - importi 78,5%).</w:t>
      </w:r>
    </w:p>
    <w:p w:rsidR="00E75E95" w:rsidRDefault="00E75E95">
      <w:pPr>
        <w:rPr>
          <w:rFonts w:ascii="Garamond" w:eastAsia="Calibri" w:hAnsi="Garamond" w:cs="Times New Roman"/>
          <w:sz w:val="24"/>
          <w:szCs w:val="24"/>
          <w:lang w:eastAsia="it-IT"/>
        </w:rPr>
      </w:pPr>
      <w:r>
        <w:rPr>
          <w:rFonts w:ascii="Garamond" w:eastAsia="Calibri" w:hAnsi="Garamond" w:cs="Times New Roman"/>
          <w:sz w:val="24"/>
          <w:szCs w:val="24"/>
          <w:lang w:eastAsia="it-IT"/>
        </w:rPr>
        <w:br w:type="page"/>
      </w:r>
    </w:p>
    <w:p w:rsidR="00BD36D2" w:rsidRDefault="00BD36D2" w:rsidP="00BD36D2">
      <w:pPr>
        <w:spacing w:after="0" w:line="360" w:lineRule="auto"/>
        <w:jc w:val="both"/>
        <w:rPr>
          <w:rFonts w:ascii="Garamond" w:eastAsia="Calibri" w:hAnsi="Garamond" w:cs="Times New Roman"/>
          <w:sz w:val="24"/>
          <w:szCs w:val="24"/>
          <w:lang w:eastAsia="it-IT"/>
        </w:rPr>
      </w:pPr>
    </w:p>
    <w:p w:rsidR="00E75E95" w:rsidRPr="00BD36D2" w:rsidRDefault="00E75E95" w:rsidP="00BD36D2">
      <w:pPr>
        <w:spacing w:after="0" w:line="360" w:lineRule="auto"/>
        <w:jc w:val="both"/>
        <w:rPr>
          <w:rFonts w:ascii="Garamond" w:eastAsia="Calibri" w:hAnsi="Garamond" w:cs="Times New Roman"/>
          <w:sz w:val="24"/>
          <w:szCs w:val="24"/>
          <w:lang w:eastAsia="it-IT"/>
        </w:rPr>
      </w:pPr>
    </w:p>
    <w:p w:rsidR="00BD36D2" w:rsidRPr="00BD36D2" w:rsidRDefault="00BD36D2" w:rsidP="00BD36D2">
      <w:pPr>
        <w:spacing w:after="240" w:line="240" w:lineRule="auto"/>
        <w:jc w:val="both"/>
        <w:rPr>
          <w:rFonts w:ascii="Garamond" w:eastAsia="Calibri" w:hAnsi="Garamond" w:cs="Times New Roman"/>
          <w:b/>
          <w:lang w:eastAsia="it-IT"/>
        </w:rPr>
      </w:pPr>
      <w:r w:rsidRPr="00BD36D2">
        <w:rPr>
          <w:rFonts w:ascii="Garamond" w:eastAsia="Calibri" w:hAnsi="Garamond" w:cs="Times New Roman"/>
          <w:b/>
          <w:lang w:eastAsia="it-IT"/>
        </w:rPr>
        <w:t xml:space="preserve">Tabella 10 Distribuzione percentuale del numero delle procedure di affidamento, di importo uguale o superiore di € 40.000, in relazione alla macro-tipologia di SA e alla modalità di scelta del contraente </w:t>
      </w:r>
    </w:p>
    <w:tbl>
      <w:tblPr>
        <w:tblStyle w:val="Grigliamedia1-Colore11"/>
        <w:tblW w:w="5000" w:type="pct"/>
        <w:jc w:val="center"/>
        <w:tblLook w:val="04A0" w:firstRow="1" w:lastRow="0" w:firstColumn="1" w:lastColumn="0" w:noHBand="0" w:noVBand="1"/>
      </w:tblPr>
      <w:tblGrid>
        <w:gridCol w:w="4100"/>
        <w:gridCol w:w="1351"/>
        <w:gridCol w:w="1154"/>
        <w:gridCol w:w="1131"/>
        <w:gridCol w:w="989"/>
        <w:gridCol w:w="1129"/>
      </w:tblGrid>
      <w:tr w:rsidR="00BD36D2" w:rsidRPr="00BD36D2" w:rsidTr="00BD36D2">
        <w:trPr>
          <w:cnfStyle w:val="100000000000" w:firstRow="1" w:lastRow="0" w:firstColumn="0" w:lastColumn="0" w:oddVBand="0" w:evenVBand="0" w:oddHBand="0"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2080" w:type="pct"/>
            <w:tcBorders>
              <w:top w:val="single" w:sz="8" w:space="0" w:color="7BA0CD"/>
              <w:left w:val="single" w:sz="8" w:space="0" w:color="7BA0CD"/>
              <w:bottom w:val="single" w:sz="8" w:space="0" w:color="7BA0CD"/>
              <w:right w:val="single" w:sz="8" w:space="0" w:color="7BA0CD"/>
            </w:tcBorders>
            <w:shd w:val="clear" w:color="auto" w:fill="1F497D" w:themeFill="text2"/>
            <w:vAlign w:val="center"/>
            <w:hideMark/>
          </w:tcPr>
          <w:p w:rsidR="00BD36D2" w:rsidRPr="00BD36D2" w:rsidRDefault="00BD36D2" w:rsidP="00BD36D2">
            <w:pPr>
              <w:spacing w:line="360" w:lineRule="auto"/>
              <w:jc w:val="center"/>
              <w:rPr>
                <w:rFonts w:ascii="Garamond" w:eastAsia="Times New Roman" w:hAnsi="Garamond"/>
                <w:color w:val="FFFFFF"/>
                <w:sz w:val="18"/>
                <w:szCs w:val="18"/>
              </w:rPr>
            </w:pPr>
            <w:r w:rsidRPr="00BD36D2">
              <w:rPr>
                <w:rFonts w:ascii="Garamond" w:eastAsia="Times New Roman" w:hAnsi="Garamond"/>
                <w:color w:val="FFFFFF"/>
                <w:sz w:val="18"/>
                <w:szCs w:val="18"/>
              </w:rPr>
              <w:t>Tipologia SA</w:t>
            </w:r>
          </w:p>
        </w:tc>
        <w:tc>
          <w:tcPr>
            <w:tcW w:w="685" w:type="pct"/>
            <w:tcBorders>
              <w:top w:val="single" w:sz="8" w:space="0" w:color="7BA0CD"/>
              <w:left w:val="single" w:sz="8" w:space="0" w:color="7BA0CD"/>
              <w:bottom w:val="single" w:sz="8" w:space="0" w:color="7BA0CD"/>
              <w:right w:val="single" w:sz="8" w:space="0" w:color="7BA0CD"/>
            </w:tcBorders>
            <w:shd w:val="clear" w:color="auto" w:fill="1F497D" w:themeFill="text2"/>
            <w:vAlign w:val="center"/>
            <w:hideMark/>
          </w:tcPr>
          <w:p w:rsidR="00BD36D2" w:rsidRPr="00BD36D2" w:rsidRDefault="00BD36D2" w:rsidP="00BD36D2">
            <w:pPr>
              <w:spacing w:line="360"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olor w:val="FFFFFF"/>
                <w:sz w:val="18"/>
                <w:szCs w:val="18"/>
              </w:rPr>
            </w:pPr>
            <w:r w:rsidRPr="00BD36D2">
              <w:rPr>
                <w:rFonts w:ascii="Garamond" w:eastAsia="Times New Roman" w:hAnsi="Garamond"/>
                <w:color w:val="FFFFFF"/>
                <w:sz w:val="18"/>
                <w:szCs w:val="18"/>
              </w:rPr>
              <w:t xml:space="preserve">Procedure aperte e ristrette (%) </w:t>
            </w:r>
          </w:p>
        </w:tc>
        <w:tc>
          <w:tcPr>
            <w:tcW w:w="585" w:type="pct"/>
            <w:tcBorders>
              <w:top w:val="single" w:sz="8" w:space="0" w:color="7BA0CD"/>
              <w:left w:val="single" w:sz="8" w:space="0" w:color="7BA0CD"/>
              <w:bottom w:val="single" w:sz="8" w:space="0" w:color="7BA0CD"/>
              <w:right w:val="single" w:sz="8" w:space="0" w:color="7BA0CD"/>
            </w:tcBorders>
            <w:shd w:val="clear" w:color="auto" w:fill="1F497D" w:themeFill="text2"/>
            <w:vAlign w:val="center"/>
            <w:hideMark/>
          </w:tcPr>
          <w:p w:rsidR="00BD36D2" w:rsidRPr="00BD36D2" w:rsidRDefault="00BD36D2" w:rsidP="00BD36D2">
            <w:pPr>
              <w:spacing w:line="360"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olor w:val="FFFFFF"/>
                <w:sz w:val="18"/>
                <w:szCs w:val="18"/>
              </w:rPr>
            </w:pPr>
            <w:r w:rsidRPr="00BD36D2">
              <w:rPr>
                <w:rFonts w:ascii="Garamond" w:eastAsia="Times New Roman" w:hAnsi="Garamond"/>
                <w:color w:val="FFFFFF"/>
                <w:sz w:val="18"/>
                <w:szCs w:val="18"/>
              </w:rPr>
              <w:t xml:space="preserve">Procedure negoziate con/senza bando (%) </w:t>
            </w:r>
          </w:p>
        </w:tc>
        <w:tc>
          <w:tcPr>
            <w:tcW w:w="574" w:type="pct"/>
            <w:tcBorders>
              <w:top w:val="single" w:sz="8" w:space="0" w:color="7BA0CD"/>
              <w:left w:val="single" w:sz="8" w:space="0" w:color="7BA0CD"/>
              <w:bottom w:val="single" w:sz="8" w:space="0" w:color="7BA0CD"/>
              <w:right w:val="single" w:sz="8" w:space="0" w:color="7BA0CD"/>
            </w:tcBorders>
            <w:shd w:val="clear" w:color="auto" w:fill="1F497D" w:themeFill="text2"/>
            <w:vAlign w:val="center"/>
            <w:hideMark/>
          </w:tcPr>
          <w:p w:rsidR="00BD36D2" w:rsidRPr="00BD36D2" w:rsidRDefault="00BD36D2" w:rsidP="00BD36D2">
            <w:pPr>
              <w:spacing w:line="360"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olor w:val="FFFFFF"/>
                <w:sz w:val="18"/>
                <w:szCs w:val="18"/>
              </w:rPr>
            </w:pPr>
            <w:r w:rsidRPr="00BD36D2">
              <w:rPr>
                <w:rFonts w:ascii="Garamond" w:eastAsia="Times New Roman" w:hAnsi="Garamond"/>
                <w:color w:val="FFFFFF"/>
                <w:sz w:val="18"/>
                <w:szCs w:val="18"/>
              </w:rPr>
              <w:t>Affidamenti diretti (%)</w:t>
            </w:r>
          </w:p>
        </w:tc>
        <w:tc>
          <w:tcPr>
            <w:tcW w:w="502" w:type="pct"/>
            <w:tcBorders>
              <w:top w:val="single" w:sz="8" w:space="0" w:color="7BA0CD"/>
              <w:left w:val="single" w:sz="8" w:space="0" w:color="7BA0CD"/>
              <w:bottom w:val="single" w:sz="8" w:space="0" w:color="7BA0CD"/>
              <w:right w:val="single" w:sz="8" w:space="0" w:color="7BA0CD"/>
            </w:tcBorders>
            <w:shd w:val="clear" w:color="auto" w:fill="1F497D" w:themeFill="text2"/>
            <w:vAlign w:val="center"/>
            <w:hideMark/>
          </w:tcPr>
          <w:p w:rsidR="00BD36D2" w:rsidRPr="00BD36D2" w:rsidRDefault="00BD36D2" w:rsidP="00BD36D2">
            <w:pPr>
              <w:spacing w:line="360"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olor w:val="FFFFFF"/>
                <w:sz w:val="18"/>
                <w:szCs w:val="18"/>
              </w:rPr>
            </w:pPr>
            <w:r w:rsidRPr="00BD36D2">
              <w:rPr>
                <w:rFonts w:ascii="Garamond" w:eastAsia="Times New Roman" w:hAnsi="Garamond"/>
                <w:color w:val="FFFFFF"/>
                <w:sz w:val="18"/>
                <w:szCs w:val="18"/>
              </w:rPr>
              <w:t>Altro (%)</w:t>
            </w:r>
          </w:p>
        </w:tc>
        <w:tc>
          <w:tcPr>
            <w:tcW w:w="573" w:type="pct"/>
            <w:tcBorders>
              <w:top w:val="single" w:sz="8" w:space="0" w:color="7BA0CD"/>
              <w:left w:val="single" w:sz="8" w:space="0" w:color="7BA0CD"/>
              <w:bottom w:val="single" w:sz="8" w:space="0" w:color="7BA0CD"/>
              <w:right w:val="single" w:sz="8" w:space="0" w:color="7BA0CD"/>
            </w:tcBorders>
            <w:shd w:val="clear" w:color="auto" w:fill="1F497D" w:themeFill="text2"/>
            <w:vAlign w:val="center"/>
            <w:hideMark/>
          </w:tcPr>
          <w:p w:rsidR="00BD36D2" w:rsidRPr="00BD36D2" w:rsidRDefault="00BD36D2" w:rsidP="00BD36D2">
            <w:pPr>
              <w:spacing w:line="360"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olor w:val="FFFFFF"/>
                <w:sz w:val="18"/>
                <w:szCs w:val="18"/>
              </w:rPr>
            </w:pPr>
            <w:r w:rsidRPr="00BD36D2">
              <w:rPr>
                <w:rFonts w:ascii="Garamond" w:eastAsia="Times New Roman" w:hAnsi="Garamond"/>
                <w:color w:val="FFFFFF"/>
                <w:sz w:val="18"/>
                <w:szCs w:val="18"/>
              </w:rPr>
              <w:t>Totale</w:t>
            </w:r>
            <w:r w:rsidRPr="00BD36D2">
              <w:rPr>
                <w:rFonts w:ascii="Garamond" w:eastAsia="Times New Roman" w:hAnsi="Garamond"/>
                <w:color w:val="FFFFFF"/>
                <w:sz w:val="18"/>
                <w:szCs w:val="18"/>
              </w:rPr>
              <w:br/>
              <w:t>CIG</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208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Centrale di Committenza (escluso settore sanità)</w:t>
            </w:r>
          </w:p>
        </w:tc>
        <w:tc>
          <w:tcPr>
            <w:tcW w:w="68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58,1%</w:t>
            </w:r>
          </w:p>
        </w:tc>
        <w:tc>
          <w:tcPr>
            <w:tcW w:w="58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37,4%</w:t>
            </w:r>
          </w:p>
        </w:tc>
        <w:tc>
          <w:tcPr>
            <w:tcW w:w="574"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4,5%</w:t>
            </w:r>
          </w:p>
        </w:tc>
        <w:tc>
          <w:tcPr>
            <w:tcW w:w="50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0,1%</w:t>
            </w:r>
          </w:p>
        </w:tc>
        <w:tc>
          <w:tcPr>
            <w:tcW w:w="57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7.226</w:t>
            </w:r>
          </w:p>
        </w:tc>
      </w:tr>
      <w:tr w:rsidR="00BD36D2" w:rsidRPr="00BD36D2" w:rsidTr="00BD36D2">
        <w:trPr>
          <w:trHeight w:val="385"/>
          <w:jc w:val="center"/>
        </w:trPr>
        <w:tc>
          <w:tcPr>
            <w:cnfStyle w:val="001000000000" w:firstRow="0" w:lastRow="0" w:firstColumn="1" w:lastColumn="0" w:oddVBand="0" w:evenVBand="0" w:oddHBand="0" w:evenHBand="0" w:firstRowFirstColumn="0" w:firstRowLastColumn="0" w:lastRowFirstColumn="0" w:lastRowLastColumn="0"/>
            <w:tcW w:w="208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Settore Edilizia residenziale/Immobiliare</w:t>
            </w:r>
          </w:p>
        </w:tc>
        <w:tc>
          <w:tcPr>
            <w:tcW w:w="68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25,9%</w:t>
            </w:r>
          </w:p>
        </w:tc>
        <w:tc>
          <w:tcPr>
            <w:tcW w:w="58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69,9%</w:t>
            </w:r>
          </w:p>
        </w:tc>
        <w:tc>
          <w:tcPr>
            <w:tcW w:w="574"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4,2%</w:t>
            </w:r>
          </w:p>
        </w:tc>
        <w:tc>
          <w:tcPr>
            <w:tcW w:w="50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0,1%</w:t>
            </w:r>
          </w:p>
        </w:tc>
        <w:tc>
          <w:tcPr>
            <w:tcW w:w="57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1.458</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208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Settore Enti Locali e Altro</w:t>
            </w:r>
          </w:p>
        </w:tc>
        <w:tc>
          <w:tcPr>
            <w:tcW w:w="68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30,3%</w:t>
            </w:r>
          </w:p>
        </w:tc>
        <w:tc>
          <w:tcPr>
            <w:tcW w:w="58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52,7%</w:t>
            </w:r>
          </w:p>
        </w:tc>
        <w:tc>
          <w:tcPr>
            <w:tcW w:w="574"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16,9%</w:t>
            </w:r>
          </w:p>
        </w:tc>
        <w:tc>
          <w:tcPr>
            <w:tcW w:w="50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0,1%</w:t>
            </w:r>
          </w:p>
        </w:tc>
        <w:tc>
          <w:tcPr>
            <w:tcW w:w="57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42.362</w:t>
            </w:r>
          </w:p>
        </w:tc>
      </w:tr>
      <w:tr w:rsidR="00BD36D2" w:rsidRPr="00BD36D2" w:rsidTr="00BD36D2">
        <w:trPr>
          <w:trHeight w:val="385"/>
          <w:jc w:val="center"/>
        </w:trPr>
        <w:tc>
          <w:tcPr>
            <w:cnfStyle w:val="001000000000" w:firstRow="0" w:lastRow="0" w:firstColumn="1" w:lastColumn="0" w:oddVBand="0" w:evenVBand="0" w:oddHBand="0" w:evenHBand="0" w:firstRowFirstColumn="0" w:firstRowLastColumn="0" w:lastRowFirstColumn="0" w:lastRowLastColumn="0"/>
            <w:tcW w:w="208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Settore Istruzione e Formazione professionale</w:t>
            </w:r>
          </w:p>
        </w:tc>
        <w:tc>
          <w:tcPr>
            <w:tcW w:w="68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19,1%</w:t>
            </w:r>
          </w:p>
        </w:tc>
        <w:tc>
          <w:tcPr>
            <w:tcW w:w="58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40,7%</w:t>
            </w:r>
          </w:p>
        </w:tc>
        <w:tc>
          <w:tcPr>
            <w:tcW w:w="574"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39,8%</w:t>
            </w:r>
          </w:p>
        </w:tc>
        <w:tc>
          <w:tcPr>
            <w:tcW w:w="50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0,3%</w:t>
            </w:r>
          </w:p>
        </w:tc>
        <w:tc>
          <w:tcPr>
            <w:tcW w:w="57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3.093</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208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Settore Organi Centrali</w:t>
            </w:r>
          </w:p>
        </w:tc>
        <w:tc>
          <w:tcPr>
            <w:tcW w:w="68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14,4%</w:t>
            </w:r>
          </w:p>
        </w:tc>
        <w:tc>
          <w:tcPr>
            <w:tcW w:w="58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34,0%</w:t>
            </w:r>
          </w:p>
        </w:tc>
        <w:tc>
          <w:tcPr>
            <w:tcW w:w="574"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50,7%</w:t>
            </w:r>
          </w:p>
        </w:tc>
        <w:tc>
          <w:tcPr>
            <w:tcW w:w="50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0,8%</w:t>
            </w:r>
          </w:p>
        </w:tc>
        <w:tc>
          <w:tcPr>
            <w:tcW w:w="57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9.457</w:t>
            </w:r>
          </w:p>
        </w:tc>
      </w:tr>
      <w:tr w:rsidR="00BD36D2" w:rsidRPr="00BD36D2" w:rsidTr="00BD36D2">
        <w:trPr>
          <w:trHeight w:val="385"/>
          <w:jc w:val="center"/>
        </w:trPr>
        <w:tc>
          <w:tcPr>
            <w:cnfStyle w:val="001000000000" w:firstRow="0" w:lastRow="0" w:firstColumn="1" w:lastColumn="0" w:oddVBand="0" w:evenVBand="0" w:oddHBand="0" w:evenHBand="0" w:firstRowFirstColumn="0" w:firstRowLastColumn="0" w:lastRowFirstColumn="0" w:lastRowLastColumn="0"/>
            <w:tcW w:w="208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Settore Previdenza, Assistenza e Ordini professionali</w:t>
            </w:r>
          </w:p>
        </w:tc>
        <w:tc>
          <w:tcPr>
            <w:tcW w:w="68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21,0%</w:t>
            </w:r>
          </w:p>
        </w:tc>
        <w:tc>
          <w:tcPr>
            <w:tcW w:w="58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55,6%</w:t>
            </w:r>
          </w:p>
        </w:tc>
        <w:tc>
          <w:tcPr>
            <w:tcW w:w="574"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23,4%</w:t>
            </w:r>
          </w:p>
        </w:tc>
        <w:tc>
          <w:tcPr>
            <w:tcW w:w="50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0,0%</w:t>
            </w:r>
          </w:p>
        </w:tc>
        <w:tc>
          <w:tcPr>
            <w:tcW w:w="57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586</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208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Settore Regolazione del Mercato</w:t>
            </w:r>
          </w:p>
        </w:tc>
        <w:tc>
          <w:tcPr>
            <w:tcW w:w="68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19,5%</w:t>
            </w:r>
          </w:p>
        </w:tc>
        <w:tc>
          <w:tcPr>
            <w:tcW w:w="58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41,0%</w:t>
            </w:r>
          </w:p>
        </w:tc>
        <w:tc>
          <w:tcPr>
            <w:tcW w:w="574"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38,8%</w:t>
            </w:r>
          </w:p>
        </w:tc>
        <w:tc>
          <w:tcPr>
            <w:tcW w:w="50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0,7%</w:t>
            </w:r>
          </w:p>
        </w:tc>
        <w:tc>
          <w:tcPr>
            <w:tcW w:w="57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1.553</w:t>
            </w:r>
          </w:p>
        </w:tc>
      </w:tr>
      <w:tr w:rsidR="00BD36D2" w:rsidRPr="00BD36D2" w:rsidTr="00BD36D2">
        <w:trPr>
          <w:trHeight w:val="385"/>
          <w:jc w:val="center"/>
        </w:trPr>
        <w:tc>
          <w:tcPr>
            <w:cnfStyle w:val="001000000000" w:firstRow="0" w:lastRow="0" w:firstColumn="1" w:lastColumn="0" w:oddVBand="0" w:evenVBand="0" w:oddHBand="0" w:evenHBand="0" w:firstRowFirstColumn="0" w:firstRowLastColumn="0" w:lastRowFirstColumn="0" w:lastRowLastColumn="0"/>
            <w:tcW w:w="208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Settore Sanità</w:t>
            </w:r>
          </w:p>
        </w:tc>
        <w:tc>
          <w:tcPr>
            <w:tcW w:w="68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36,6%</w:t>
            </w:r>
          </w:p>
        </w:tc>
        <w:tc>
          <w:tcPr>
            <w:tcW w:w="58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42,0%</w:t>
            </w:r>
          </w:p>
        </w:tc>
        <w:tc>
          <w:tcPr>
            <w:tcW w:w="574"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21,4%</w:t>
            </w:r>
          </w:p>
        </w:tc>
        <w:tc>
          <w:tcPr>
            <w:tcW w:w="50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0,0%</w:t>
            </w:r>
          </w:p>
        </w:tc>
        <w:tc>
          <w:tcPr>
            <w:tcW w:w="57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32.494</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208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Settore Scientifico, Ricerca, Sviluppo e aggiornamento educativo</w:t>
            </w:r>
          </w:p>
        </w:tc>
        <w:tc>
          <w:tcPr>
            <w:tcW w:w="68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14,7%</w:t>
            </w:r>
          </w:p>
        </w:tc>
        <w:tc>
          <w:tcPr>
            <w:tcW w:w="58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55,0%</w:t>
            </w:r>
          </w:p>
        </w:tc>
        <w:tc>
          <w:tcPr>
            <w:tcW w:w="574"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29,9%</w:t>
            </w:r>
          </w:p>
        </w:tc>
        <w:tc>
          <w:tcPr>
            <w:tcW w:w="50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0,3%</w:t>
            </w:r>
          </w:p>
        </w:tc>
        <w:tc>
          <w:tcPr>
            <w:tcW w:w="57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965</w:t>
            </w:r>
          </w:p>
        </w:tc>
      </w:tr>
      <w:tr w:rsidR="00BD36D2" w:rsidRPr="00BD36D2" w:rsidTr="00BD36D2">
        <w:trPr>
          <w:trHeight w:val="385"/>
          <w:jc w:val="center"/>
        </w:trPr>
        <w:tc>
          <w:tcPr>
            <w:cnfStyle w:val="001000000000" w:firstRow="0" w:lastRow="0" w:firstColumn="1" w:lastColumn="0" w:oddVBand="0" w:evenVBand="0" w:oddHBand="0" w:evenHBand="0" w:firstRowFirstColumn="0" w:firstRowLastColumn="0" w:lastRowFirstColumn="0" w:lastRowLastColumn="0"/>
            <w:tcW w:w="208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Settore Servizi Assistenziali, Ricreativi, Culturali</w:t>
            </w:r>
          </w:p>
        </w:tc>
        <w:tc>
          <w:tcPr>
            <w:tcW w:w="68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21,6%</w:t>
            </w:r>
          </w:p>
        </w:tc>
        <w:tc>
          <w:tcPr>
            <w:tcW w:w="58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52,1%</w:t>
            </w:r>
          </w:p>
        </w:tc>
        <w:tc>
          <w:tcPr>
            <w:tcW w:w="574"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26,3%</w:t>
            </w:r>
          </w:p>
        </w:tc>
        <w:tc>
          <w:tcPr>
            <w:tcW w:w="50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0,0%</w:t>
            </w:r>
          </w:p>
        </w:tc>
        <w:tc>
          <w:tcPr>
            <w:tcW w:w="57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2.705</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208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Settore Servizi di interesse generale (elettricità, gas, trasporti, telecomunicazioni, servizi postali, gestione rifiuti, approvvigionamento idrico, ecc.)</w:t>
            </w:r>
          </w:p>
        </w:tc>
        <w:tc>
          <w:tcPr>
            <w:tcW w:w="68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18,4%</w:t>
            </w:r>
          </w:p>
        </w:tc>
        <w:tc>
          <w:tcPr>
            <w:tcW w:w="58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44,8%</w:t>
            </w:r>
          </w:p>
        </w:tc>
        <w:tc>
          <w:tcPr>
            <w:tcW w:w="574"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16,7%</w:t>
            </w:r>
          </w:p>
        </w:tc>
        <w:tc>
          <w:tcPr>
            <w:tcW w:w="50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20,1%</w:t>
            </w:r>
          </w:p>
        </w:tc>
        <w:tc>
          <w:tcPr>
            <w:tcW w:w="57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32.428</w:t>
            </w:r>
          </w:p>
        </w:tc>
      </w:tr>
      <w:tr w:rsidR="00BD36D2" w:rsidRPr="00BD36D2" w:rsidTr="00BD36D2">
        <w:trPr>
          <w:trHeight w:val="385"/>
          <w:jc w:val="center"/>
        </w:trPr>
        <w:tc>
          <w:tcPr>
            <w:cnfStyle w:val="001000000000" w:firstRow="0" w:lastRow="0" w:firstColumn="1" w:lastColumn="0" w:oddVBand="0" w:evenVBand="0" w:oddHBand="0" w:evenHBand="0" w:firstRowFirstColumn="0" w:firstRowLastColumn="0" w:lastRowFirstColumn="0" w:lastRowLastColumn="0"/>
            <w:tcW w:w="208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Settore Servizi Finanziari, Bancari e Assicurativi</w:t>
            </w:r>
          </w:p>
        </w:tc>
        <w:tc>
          <w:tcPr>
            <w:tcW w:w="68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10,4%</w:t>
            </w:r>
          </w:p>
        </w:tc>
        <w:tc>
          <w:tcPr>
            <w:tcW w:w="58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43,4%</w:t>
            </w:r>
          </w:p>
        </w:tc>
        <w:tc>
          <w:tcPr>
            <w:tcW w:w="574"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46,2%</w:t>
            </w:r>
          </w:p>
        </w:tc>
        <w:tc>
          <w:tcPr>
            <w:tcW w:w="50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0,0%</w:t>
            </w:r>
          </w:p>
        </w:tc>
        <w:tc>
          <w:tcPr>
            <w:tcW w:w="57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182</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208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Settore Tutela Ambientale/Sviluppo anche industriale del territorio</w:t>
            </w:r>
          </w:p>
        </w:tc>
        <w:tc>
          <w:tcPr>
            <w:tcW w:w="68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17,1%</w:t>
            </w:r>
          </w:p>
        </w:tc>
        <w:tc>
          <w:tcPr>
            <w:tcW w:w="58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61,2%</w:t>
            </w:r>
          </w:p>
        </w:tc>
        <w:tc>
          <w:tcPr>
            <w:tcW w:w="574"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21,7%</w:t>
            </w:r>
          </w:p>
        </w:tc>
        <w:tc>
          <w:tcPr>
            <w:tcW w:w="50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0,1%</w:t>
            </w:r>
          </w:p>
        </w:tc>
        <w:tc>
          <w:tcPr>
            <w:tcW w:w="57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1.559</w:t>
            </w:r>
          </w:p>
        </w:tc>
      </w:tr>
      <w:tr w:rsidR="00BD36D2" w:rsidRPr="00BD36D2" w:rsidTr="00BD36D2">
        <w:trPr>
          <w:trHeight w:val="385"/>
          <w:jc w:val="center"/>
        </w:trPr>
        <w:tc>
          <w:tcPr>
            <w:cnfStyle w:val="001000000000" w:firstRow="0" w:lastRow="0" w:firstColumn="1" w:lastColumn="0" w:oddVBand="0" w:evenVBand="0" w:oddHBand="0" w:evenHBand="0" w:firstRowFirstColumn="0" w:firstRowLastColumn="0" w:lastRowFirstColumn="0" w:lastRowLastColumn="0"/>
            <w:tcW w:w="208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#Non Classificato#</w:t>
            </w:r>
          </w:p>
        </w:tc>
        <w:tc>
          <w:tcPr>
            <w:tcW w:w="68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19,4%</w:t>
            </w:r>
          </w:p>
        </w:tc>
        <w:tc>
          <w:tcPr>
            <w:tcW w:w="58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46,2%</w:t>
            </w:r>
          </w:p>
        </w:tc>
        <w:tc>
          <w:tcPr>
            <w:tcW w:w="574"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27,0%</w:t>
            </w:r>
          </w:p>
        </w:tc>
        <w:tc>
          <w:tcPr>
            <w:tcW w:w="50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7,4%</w:t>
            </w:r>
          </w:p>
        </w:tc>
        <w:tc>
          <w:tcPr>
            <w:tcW w:w="57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1.169</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83"/>
          <w:jc w:val="center"/>
        </w:trPr>
        <w:tc>
          <w:tcPr>
            <w:cnfStyle w:val="001000000000" w:firstRow="0" w:lastRow="0" w:firstColumn="1" w:lastColumn="0" w:oddVBand="0" w:evenVBand="0" w:oddHBand="0" w:evenHBand="0" w:firstRowFirstColumn="0" w:firstRowLastColumn="0" w:lastRowFirstColumn="0" w:lastRowLastColumn="0"/>
            <w:tcW w:w="2080"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right"/>
              <w:rPr>
                <w:rFonts w:ascii="Garamond" w:eastAsia="Times New Roman" w:hAnsi="Garamond"/>
                <w:sz w:val="24"/>
                <w:szCs w:val="24"/>
              </w:rPr>
            </w:pPr>
            <w:r w:rsidRPr="00BD36D2">
              <w:rPr>
                <w:rFonts w:ascii="Garamond" w:eastAsia="Times New Roman" w:hAnsi="Garamond"/>
                <w:sz w:val="24"/>
                <w:szCs w:val="24"/>
              </w:rPr>
              <w:t xml:space="preserve">Totale </w:t>
            </w:r>
          </w:p>
        </w:tc>
        <w:tc>
          <w:tcPr>
            <w:tcW w:w="68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bCs/>
                <w:color w:val="000000"/>
                <w:sz w:val="18"/>
                <w:szCs w:val="18"/>
              </w:rPr>
            </w:pPr>
            <w:r w:rsidRPr="00BD36D2">
              <w:rPr>
                <w:rFonts w:ascii="Garamond" w:eastAsia="Times New Roman" w:hAnsi="Garamond"/>
                <w:b/>
                <w:bCs/>
                <w:color w:val="000000"/>
                <w:sz w:val="18"/>
                <w:szCs w:val="18"/>
              </w:rPr>
              <w:t>28,4%</w:t>
            </w:r>
          </w:p>
        </w:tc>
        <w:tc>
          <w:tcPr>
            <w:tcW w:w="58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bCs/>
                <w:color w:val="000000"/>
                <w:sz w:val="18"/>
                <w:szCs w:val="18"/>
              </w:rPr>
            </w:pPr>
            <w:r w:rsidRPr="00BD36D2">
              <w:rPr>
                <w:rFonts w:ascii="Garamond" w:eastAsia="Times New Roman" w:hAnsi="Garamond"/>
                <w:b/>
                <w:bCs/>
                <w:color w:val="000000"/>
                <w:sz w:val="18"/>
                <w:szCs w:val="18"/>
              </w:rPr>
              <w:t>46,0%</w:t>
            </w:r>
          </w:p>
        </w:tc>
        <w:tc>
          <w:tcPr>
            <w:tcW w:w="574"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bCs/>
                <w:color w:val="000000"/>
                <w:sz w:val="18"/>
                <w:szCs w:val="18"/>
              </w:rPr>
            </w:pPr>
            <w:r w:rsidRPr="00BD36D2">
              <w:rPr>
                <w:rFonts w:ascii="Garamond" w:eastAsia="Times New Roman" w:hAnsi="Garamond"/>
                <w:b/>
                <w:bCs/>
                <w:color w:val="000000"/>
                <w:sz w:val="18"/>
                <w:szCs w:val="18"/>
              </w:rPr>
              <w:t>20,7%</w:t>
            </w:r>
          </w:p>
        </w:tc>
        <w:tc>
          <w:tcPr>
            <w:tcW w:w="50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bCs/>
                <w:color w:val="000000"/>
                <w:sz w:val="18"/>
                <w:szCs w:val="18"/>
              </w:rPr>
            </w:pPr>
            <w:r w:rsidRPr="00BD36D2">
              <w:rPr>
                <w:rFonts w:ascii="Garamond" w:eastAsia="Times New Roman" w:hAnsi="Garamond"/>
                <w:b/>
                <w:bCs/>
                <w:color w:val="000000"/>
                <w:sz w:val="18"/>
                <w:szCs w:val="18"/>
              </w:rPr>
              <w:t>4,9%</w:t>
            </w:r>
          </w:p>
        </w:tc>
        <w:tc>
          <w:tcPr>
            <w:tcW w:w="57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sz w:val="18"/>
                <w:szCs w:val="18"/>
              </w:rPr>
            </w:pPr>
            <w:r w:rsidRPr="00BD36D2">
              <w:rPr>
                <w:rFonts w:ascii="Garamond" w:eastAsia="Times New Roman" w:hAnsi="Garamond"/>
                <w:b/>
                <w:sz w:val="18"/>
                <w:szCs w:val="18"/>
              </w:rPr>
              <w:fldChar w:fldCharType="begin"/>
            </w:r>
            <w:r w:rsidRPr="00BD36D2">
              <w:rPr>
                <w:rFonts w:ascii="Garamond" w:eastAsia="Times New Roman" w:hAnsi="Garamond"/>
                <w:b/>
                <w:sz w:val="18"/>
                <w:szCs w:val="18"/>
              </w:rPr>
              <w:instrText xml:space="preserve"> =SUM(ABOVE) </w:instrText>
            </w:r>
            <w:r w:rsidRPr="00BD36D2">
              <w:rPr>
                <w:rFonts w:ascii="Garamond" w:eastAsia="Times New Roman" w:hAnsi="Garamond"/>
                <w:b/>
                <w:sz w:val="18"/>
                <w:szCs w:val="18"/>
              </w:rPr>
              <w:fldChar w:fldCharType="separate"/>
            </w:r>
            <w:r w:rsidRPr="00BD36D2">
              <w:rPr>
                <w:rFonts w:ascii="Garamond" w:eastAsia="Times New Roman" w:hAnsi="Garamond"/>
                <w:b/>
                <w:noProof/>
                <w:sz w:val="18"/>
                <w:szCs w:val="18"/>
              </w:rPr>
              <w:t>137.237</w:t>
            </w:r>
            <w:r w:rsidRPr="00BD36D2">
              <w:rPr>
                <w:rFonts w:ascii="Garamond" w:eastAsia="Times New Roman" w:hAnsi="Garamond"/>
                <w:b/>
                <w:sz w:val="18"/>
                <w:szCs w:val="18"/>
              </w:rPr>
              <w:fldChar w:fldCharType="end"/>
            </w:r>
          </w:p>
        </w:tc>
      </w:tr>
    </w:tbl>
    <w:p w:rsidR="00BD36D2" w:rsidRPr="00BD36D2" w:rsidRDefault="00BD36D2" w:rsidP="00BD36D2">
      <w:pPr>
        <w:spacing w:after="0" w:line="240" w:lineRule="auto"/>
        <w:jc w:val="center"/>
        <w:rPr>
          <w:rFonts w:ascii="Garamond" w:eastAsia="Calibri" w:hAnsi="Garamond" w:cs="Times New Roman"/>
          <w:b/>
          <w:lang w:eastAsia="it-IT"/>
        </w:rPr>
      </w:pPr>
    </w:p>
    <w:p w:rsidR="00BD36D2" w:rsidRPr="00BD36D2" w:rsidRDefault="00BD36D2" w:rsidP="00BD36D2">
      <w:pPr>
        <w:spacing w:after="0" w:line="240" w:lineRule="auto"/>
        <w:jc w:val="center"/>
        <w:rPr>
          <w:rFonts w:ascii="Garamond" w:eastAsia="Calibri" w:hAnsi="Garamond" w:cs="Times New Roman"/>
          <w:b/>
          <w:lang w:eastAsia="it-IT"/>
        </w:rPr>
      </w:pPr>
    </w:p>
    <w:p w:rsidR="00BD36D2" w:rsidRDefault="00BD36D2" w:rsidP="00BD36D2">
      <w:pPr>
        <w:spacing w:after="0" w:line="240" w:lineRule="auto"/>
        <w:rPr>
          <w:rFonts w:ascii="Garamond" w:eastAsia="Calibri" w:hAnsi="Garamond" w:cs="Times New Roman"/>
          <w:b/>
          <w:lang w:eastAsia="it-IT"/>
        </w:rPr>
      </w:pPr>
    </w:p>
    <w:p w:rsidR="00EE4750" w:rsidRDefault="00EE4750" w:rsidP="00BD36D2">
      <w:pPr>
        <w:spacing w:after="0" w:line="240" w:lineRule="auto"/>
        <w:rPr>
          <w:rFonts w:ascii="Garamond" w:eastAsia="Calibri" w:hAnsi="Garamond" w:cs="Times New Roman"/>
          <w:b/>
          <w:lang w:eastAsia="it-IT"/>
        </w:rPr>
      </w:pPr>
    </w:p>
    <w:p w:rsidR="00E75E95" w:rsidRDefault="00E75E95">
      <w:pPr>
        <w:rPr>
          <w:rFonts w:ascii="Garamond" w:eastAsia="Calibri" w:hAnsi="Garamond" w:cs="Times New Roman"/>
          <w:b/>
          <w:lang w:eastAsia="it-IT"/>
        </w:rPr>
      </w:pPr>
      <w:r>
        <w:rPr>
          <w:rFonts w:ascii="Garamond" w:eastAsia="Calibri" w:hAnsi="Garamond" w:cs="Times New Roman"/>
          <w:b/>
          <w:lang w:eastAsia="it-IT"/>
        </w:rPr>
        <w:br w:type="page"/>
      </w:r>
    </w:p>
    <w:p w:rsidR="00BD36D2" w:rsidRPr="00BD36D2" w:rsidRDefault="00BD36D2" w:rsidP="00BD36D2">
      <w:pPr>
        <w:spacing w:after="0" w:line="240" w:lineRule="auto"/>
        <w:rPr>
          <w:rFonts w:ascii="Garamond" w:eastAsia="Calibri" w:hAnsi="Garamond" w:cs="Times New Roman"/>
          <w:b/>
          <w:lang w:eastAsia="it-IT"/>
        </w:rPr>
      </w:pPr>
    </w:p>
    <w:p w:rsidR="00BD36D2" w:rsidRPr="00BD36D2" w:rsidRDefault="00BD36D2" w:rsidP="00BD36D2">
      <w:pPr>
        <w:spacing w:after="0" w:line="240" w:lineRule="auto"/>
        <w:jc w:val="center"/>
        <w:rPr>
          <w:rFonts w:ascii="Garamond" w:eastAsia="Calibri" w:hAnsi="Garamond" w:cs="Times New Roman"/>
          <w:b/>
          <w:lang w:eastAsia="it-IT"/>
        </w:rPr>
      </w:pPr>
      <w:r w:rsidRPr="00BD36D2">
        <w:rPr>
          <w:rFonts w:ascii="Garamond" w:eastAsia="Calibri" w:hAnsi="Garamond" w:cs="Times New Roman"/>
          <w:b/>
          <w:lang w:eastAsia="it-IT"/>
        </w:rPr>
        <w:t>Tabella 11 Distribuzione % dell’importo delle procedure di affidamento, uguali o superiore s € 40.000, in relazione alla macro-tipologia di SA e alla modalità di scelta del contraente (2017)</w:t>
      </w:r>
    </w:p>
    <w:p w:rsidR="00BD36D2" w:rsidRPr="00BD36D2" w:rsidRDefault="00BD36D2" w:rsidP="00BD36D2">
      <w:pPr>
        <w:spacing w:after="0" w:line="240" w:lineRule="auto"/>
        <w:jc w:val="center"/>
        <w:rPr>
          <w:rFonts w:ascii="Garamond" w:eastAsia="Calibri" w:hAnsi="Garamond" w:cs="Times New Roman"/>
          <w:sz w:val="24"/>
          <w:szCs w:val="24"/>
          <w:lang w:eastAsia="it-IT"/>
        </w:rPr>
      </w:pPr>
    </w:p>
    <w:tbl>
      <w:tblPr>
        <w:tblStyle w:val="Grigliamedia1-Colore11"/>
        <w:tblW w:w="4915" w:type="pct"/>
        <w:jc w:val="center"/>
        <w:tblLook w:val="04A0" w:firstRow="1" w:lastRow="0" w:firstColumn="1" w:lastColumn="0" w:noHBand="0" w:noVBand="1"/>
      </w:tblPr>
      <w:tblGrid>
        <w:gridCol w:w="3589"/>
        <w:gridCol w:w="1304"/>
        <w:gridCol w:w="1253"/>
        <w:gridCol w:w="1191"/>
        <w:gridCol w:w="912"/>
        <w:gridCol w:w="1437"/>
      </w:tblGrid>
      <w:tr w:rsidR="00BD36D2" w:rsidRPr="00BD36D2" w:rsidTr="00BD36D2">
        <w:trPr>
          <w:cnfStyle w:val="100000000000" w:firstRow="1" w:lastRow="0" w:firstColumn="0" w:lastColumn="0" w:oddVBand="0" w:evenVBand="0" w:oddHBand="0"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1852" w:type="pct"/>
            <w:tcBorders>
              <w:top w:val="single" w:sz="8" w:space="0" w:color="7BA0CD"/>
              <w:left w:val="single" w:sz="8" w:space="0" w:color="7BA0CD"/>
              <w:bottom w:val="single" w:sz="8" w:space="0" w:color="7BA0CD"/>
              <w:right w:val="single" w:sz="8" w:space="0" w:color="7BA0CD"/>
            </w:tcBorders>
            <w:shd w:val="clear" w:color="auto" w:fill="1F497D" w:themeFill="text2"/>
            <w:vAlign w:val="center"/>
            <w:hideMark/>
          </w:tcPr>
          <w:p w:rsidR="00BD36D2" w:rsidRPr="00BD36D2" w:rsidRDefault="00BD36D2" w:rsidP="00BD36D2">
            <w:pPr>
              <w:spacing w:line="360" w:lineRule="auto"/>
              <w:jc w:val="center"/>
              <w:rPr>
                <w:rFonts w:ascii="Garamond" w:eastAsia="Times New Roman" w:hAnsi="Garamond"/>
                <w:color w:val="FFFFFF"/>
                <w:sz w:val="18"/>
                <w:szCs w:val="18"/>
              </w:rPr>
            </w:pPr>
            <w:r w:rsidRPr="00BD36D2">
              <w:rPr>
                <w:rFonts w:ascii="Garamond" w:eastAsia="Times New Roman" w:hAnsi="Garamond"/>
                <w:color w:val="FFFFFF"/>
                <w:sz w:val="18"/>
                <w:szCs w:val="18"/>
              </w:rPr>
              <w:t>Tipologia SA</w:t>
            </w:r>
          </w:p>
        </w:tc>
        <w:tc>
          <w:tcPr>
            <w:tcW w:w="673" w:type="pct"/>
            <w:tcBorders>
              <w:top w:val="single" w:sz="8" w:space="0" w:color="7BA0CD"/>
              <w:left w:val="single" w:sz="8" w:space="0" w:color="7BA0CD"/>
              <w:bottom w:val="single" w:sz="8" w:space="0" w:color="7BA0CD"/>
              <w:right w:val="single" w:sz="8" w:space="0" w:color="7BA0CD"/>
            </w:tcBorders>
            <w:shd w:val="clear" w:color="auto" w:fill="1F497D" w:themeFill="text2"/>
            <w:vAlign w:val="center"/>
            <w:hideMark/>
          </w:tcPr>
          <w:p w:rsidR="00BD36D2" w:rsidRPr="00BD36D2" w:rsidRDefault="00BD36D2" w:rsidP="00BD36D2">
            <w:pPr>
              <w:spacing w:line="360"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olor w:val="FFFFFF"/>
                <w:sz w:val="18"/>
                <w:szCs w:val="18"/>
              </w:rPr>
            </w:pPr>
            <w:r w:rsidRPr="00BD36D2">
              <w:rPr>
                <w:rFonts w:ascii="Garamond" w:eastAsia="Times New Roman" w:hAnsi="Garamond"/>
                <w:color w:val="FFFFFF"/>
                <w:sz w:val="18"/>
                <w:szCs w:val="18"/>
              </w:rPr>
              <w:t>Procedure aperte e ristrette (%) *</w:t>
            </w:r>
          </w:p>
        </w:tc>
        <w:tc>
          <w:tcPr>
            <w:tcW w:w="647" w:type="pct"/>
            <w:tcBorders>
              <w:top w:val="single" w:sz="8" w:space="0" w:color="7BA0CD"/>
              <w:left w:val="single" w:sz="8" w:space="0" w:color="7BA0CD"/>
              <w:bottom w:val="single" w:sz="8" w:space="0" w:color="7BA0CD"/>
              <w:right w:val="single" w:sz="8" w:space="0" w:color="7BA0CD"/>
            </w:tcBorders>
            <w:shd w:val="clear" w:color="auto" w:fill="1F497D" w:themeFill="text2"/>
            <w:vAlign w:val="center"/>
            <w:hideMark/>
          </w:tcPr>
          <w:p w:rsidR="00BD36D2" w:rsidRPr="00BD36D2" w:rsidRDefault="00BD36D2" w:rsidP="00BD36D2">
            <w:pPr>
              <w:spacing w:line="360"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olor w:val="FFFFFF"/>
                <w:sz w:val="18"/>
                <w:szCs w:val="18"/>
              </w:rPr>
            </w:pPr>
            <w:r w:rsidRPr="00BD36D2">
              <w:rPr>
                <w:rFonts w:ascii="Garamond" w:eastAsia="Times New Roman" w:hAnsi="Garamond"/>
                <w:color w:val="FFFFFF"/>
                <w:sz w:val="18"/>
                <w:szCs w:val="18"/>
              </w:rPr>
              <w:t xml:space="preserve">Procedure negoziate con/senza bando (%) </w:t>
            </w:r>
          </w:p>
        </w:tc>
        <w:tc>
          <w:tcPr>
            <w:tcW w:w="615" w:type="pct"/>
            <w:tcBorders>
              <w:top w:val="single" w:sz="8" w:space="0" w:color="7BA0CD"/>
              <w:left w:val="single" w:sz="8" w:space="0" w:color="7BA0CD"/>
              <w:bottom w:val="single" w:sz="8" w:space="0" w:color="7BA0CD"/>
              <w:right w:val="single" w:sz="8" w:space="0" w:color="7BA0CD"/>
            </w:tcBorders>
            <w:shd w:val="clear" w:color="auto" w:fill="1F497D" w:themeFill="text2"/>
            <w:vAlign w:val="center"/>
            <w:hideMark/>
          </w:tcPr>
          <w:p w:rsidR="00BD36D2" w:rsidRPr="00BD36D2" w:rsidRDefault="00BD36D2" w:rsidP="00BD36D2">
            <w:pPr>
              <w:spacing w:line="360"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olor w:val="FFFFFF"/>
                <w:sz w:val="18"/>
                <w:szCs w:val="18"/>
              </w:rPr>
            </w:pPr>
            <w:r w:rsidRPr="00BD36D2">
              <w:rPr>
                <w:rFonts w:ascii="Garamond" w:eastAsia="Times New Roman" w:hAnsi="Garamond"/>
                <w:color w:val="FFFFFF"/>
                <w:sz w:val="18"/>
                <w:szCs w:val="18"/>
              </w:rPr>
              <w:t>Affidamenti diretti (%)</w:t>
            </w:r>
          </w:p>
        </w:tc>
        <w:tc>
          <w:tcPr>
            <w:tcW w:w="471" w:type="pct"/>
            <w:tcBorders>
              <w:top w:val="single" w:sz="8" w:space="0" w:color="7BA0CD"/>
              <w:left w:val="single" w:sz="8" w:space="0" w:color="7BA0CD"/>
              <w:bottom w:val="single" w:sz="8" w:space="0" w:color="7BA0CD"/>
              <w:right w:val="single" w:sz="8" w:space="0" w:color="7BA0CD"/>
            </w:tcBorders>
            <w:shd w:val="clear" w:color="auto" w:fill="1F497D" w:themeFill="text2"/>
            <w:vAlign w:val="center"/>
            <w:hideMark/>
          </w:tcPr>
          <w:p w:rsidR="00BD36D2" w:rsidRPr="00BD36D2" w:rsidRDefault="00BD36D2" w:rsidP="00BD36D2">
            <w:pPr>
              <w:spacing w:line="360"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olor w:val="FFFFFF"/>
                <w:sz w:val="18"/>
                <w:szCs w:val="18"/>
              </w:rPr>
            </w:pPr>
            <w:r w:rsidRPr="00BD36D2">
              <w:rPr>
                <w:rFonts w:ascii="Garamond" w:eastAsia="Times New Roman" w:hAnsi="Garamond"/>
                <w:color w:val="FFFFFF"/>
                <w:sz w:val="18"/>
                <w:szCs w:val="18"/>
              </w:rPr>
              <w:t>Altro (%)</w:t>
            </w:r>
          </w:p>
        </w:tc>
        <w:tc>
          <w:tcPr>
            <w:tcW w:w="743" w:type="pct"/>
            <w:tcBorders>
              <w:top w:val="single" w:sz="8" w:space="0" w:color="7BA0CD"/>
              <w:left w:val="single" w:sz="8" w:space="0" w:color="7BA0CD"/>
              <w:bottom w:val="single" w:sz="8" w:space="0" w:color="7BA0CD"/>
              <w:right w:val="single" w:sz="8" w:space="0" w:color="7BA0CD"/>
            </w:tcBorders>
            <w:shd w:val="clear" w:color="auto" w:fill="1F497D" w:themeFill="text2"/>
            <w:vAlign w:val="center"/>
            <w:hideMark/>
          </w:tcPr>
          <w:p w:rsidR="00BD36D2" w:rsidRPr="00BD36D2" w:rsidRDefault="00BD36D2" w:rsidP="00BD36D2">
            <w:pPr>
              <w:spacing w:line="360"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olor w:val="FFFFFF"/>
                <w:sz w:val="18"/>
                <w:szCs w:val="18"/>
              </w:rPr>
            </w:pPr>
            <w:r w:rsidRPr="00BD36D2">
              <w:rPr>
                <w:rFonts w:ascii="Garamond" w:eastAsia="Times New Roman" w:hAnsi="Garamond"/>
                <w:color w:val="FFFFFF"/>
                <w:sz w:val="18"/>
                <w:szCs w:val="18"/>
              </w:rPr>
              <w:t>Totale</w:t>
            </w:r>
            <w:r w:rsidRPr="00BD36D2">
              <w:rPr>
                <w:rFonts w:ascii="Garamond" w:eastAsia="Times New Roman" w:hAnsi="Garamond"/>
                <w:color w:val="FFFFFF"/>
                <w:sz w:val="18"/>
                <w:szCs w:val="18"/>
              </w:rPr>
              <w:br/>
              <w:t>Importo</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185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Centrale di Committenza (escluso settore sanità)</w:t>
            </w:r>
          </w:p>
        </w:tc>
        <w:tc>
          <w:tcPr>
            <w:tcW w:w="67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78,5%</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21,2%</w:t>
            </w:r>
          </w:p>
        </w:tc>
        <w:tc>
          <w:tcPr>
            <w:tcW w:w="61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0,3%</w:t>
            </w:r>
          </w:p>
        </w:tc>
        <w:tc>
          <w:tcPr>
            <w:tcW w:w="471"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0,0%</w:t>
            </w:r>
          </w:p>
        </w:tc>
        <w:tc>
          <w:tcPr>
            <w:tcW w:w="74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20.632.077.250</w:t>
            </w:r>
          </w:p>
        </w:tc>
      </w:tr>
      <w:tr w:rsidR="00BD36D2" w:rsidRPr="00BD36D2" w:rsidTr="00BD36D2">
        <w:trPr>
          <w:trHeight w:val="385"/>
          <w:jc w:val="center"/>
        </w:trPr>
        <w:tc>
          <w:tcPr>
            <w:cnfStyle w:val="001000000000" w:firstRow="0" w:lastRow="0" w:firstColumn="1" w:lastColumn="0" w:oddVBand="0" w:evenVBand="0" w:oddHBand="0" w:evenHBand="0" w:firstRowFirstColumn="0" w:firstRowLastColumn="0" w:lastRowFirstColumn="0" w:lastRowLastColumn="0"/>
            <w:tcW w:w="185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Settore Edilizia residenziale/Immobiliare</w:t>
            </w:r>
          </w:p>
        </w:tc>
        <w:tc>
          <w:tcPr>
            <w:tcW w:w="67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53,5%</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44,2%</w:t>
            </w:r>
          </w:p>
        </w:tc>
        <w:tc>
          <w:tcPr>
            <w:tcW w:w="61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2,1%</w:t>
            </w:r>
          </w:p>
        </w:tc>
        <w:tc>
          <w:tcPr>
            <w:tcW w:w="471"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0,2%</w:t>
            </w:r>
          </w:p>
        </w:tc>
        <w:tc>
          <w:tcPr>
            <w:tcW w:w="74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721.027.423</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185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Settore Enti Locali e Altro</w:t>
            </w:r>
          </w:p>
        </w:tc>
        <w:tc>
          <w:tcPr>
            <w:tcW w:w="67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55,0%</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35,6%</w:t>
            </w:r>
          </w:p>
        </w:tc>
        <w:tc>
          <w:tcPr>
            <w:tcW w:w="61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7,0%</w:t>
            </w:r>
          </w:p>
        </w:tc>
        <w:tc>
          <w:tcPr>
            <w:tcW w:w="471"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2,4%</w:t>
            </w:r>
          </w:p>
        </w:tc>
        <w:tc>
          <w:tcPr>
            <w:tcW w:w="74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30.730.534.818</w:t>
            </w:r>
          </w:p>
        </w:tc>
      </w:tr>
      <w:tr w:rsidR="00BD36D2" w:rsidRPr="00BD36D2" w:rsidTr="00BD36D2">
        <w:trPr>
          <w:trHeight w:val="385"/>
          <w:jc w:val="center"/>
        </w:trPr>
        <w:tc>
          <w:tcPr>
            <w:cnfStyle w:val="001000000000" w:firstRow="0" w:lastRow="0" w:firstColumn="1" w:lastColumn="0" w:oddVBand="0" w:evenVBand="0" w:oddHBand="0" w:evenHBand="0" w:firstRowFirstColumn="0" w:firstRowLastColumn="0" w:lastRowFirstColumn="0" w:lastRowLastColumn="0"/>
            <w:tcW w:w="185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Settore Istruzione e Formazione professionale</w:t>
            </w:r>
          </w:p>
        </w:tc>
        <w:tc>
          <w:tcPr>
            <w:tcW w:w="67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61,9%</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24,8%</w:t>
            </w:r>
          </w:p>
        </w:tc>
        <w:tc>
          <w:tcPr>
            <w:tcW w:w="61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13,2%</w:t>
            </w:r>
          </w:p>
        </w:tc>
        <w:tc>
          <w:tcPr>
            <w:tcW w:w="471"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0,1%</w:t>
            </w:r>
          </w:p>
        </w:tc>
        <w:tc>
          <w:tcPr>
            <w:tcW w:w="74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967.813.403</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185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Settore Organi Centrali</w:t>
            </w:r>
          </w:p>
        </w:tc>
        <w:tc>
          <w:tcPr>
            <w:tcW w:w="67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69,6%</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22,5%</w:t>
            </w:r>
          </w:p>
        </w:tc>
        <w:tc>
          <w:tcPr>
            <w:tcW w:w="61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7,0%</w:t>
            </w:r>
          </w:p>
        </w:tc>
        <w:tc>
          <w:tcPr>
            <w:tcW w:w="471"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0,8%</w:t>
            </w:r>
          </w:p>
        </w:tc>
        <w:tc>
          <w:tcPr>
            <w:tcW w:w="74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9.754.009.009</w:t>
            </w:r>
          </w:p>
        </w:tc>
      </w:tr>
      <w:tr w:rsidR="00BD36D2" w:rsidRPr="00BD36D2" w:rsidTr="00BD36D2">
        <w:trPr>
          <w:trHeight w:val="385"/>
          <w:jc w:val="center"/>
        </w:trPr>
        <w:tc>
          <w:tcPr>
            <w:cnfStyle w:val="001000000000" w:firstRow="0" w:lastRow="0" w:firstColumn="1" w:lastColumn="0" w:oddVBand="0" w:evenVBand="0" w:oddHBand="0" w:evenHBand="0" w:firstRowFirstColumn="0" w:firstRowLastColumn="0" w:lastRowFirstColumn="0" w:lastRowLastColumn="0"/>
            <w:tcW w:w="185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Settore Previdenza, Assistenza e Ordini professionali</w:t>
            </w:r>
          </w:p>
        </w:tc>
        <w:tc>
          <w:tcPr>
            <w:tcW w:w="67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63,9%</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28,4%</w:t>
            </w:r>
          </w:p>
        </w:tc>
        <w:tc>
          <w:tcPr>
            <w:tcW w:w="61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7,7%</w:t>
            </w:r>
          </w:p>
        </w:tc>
        <w:tc>
          <w:tcPr>
            <w:tcW w:w="471"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0,0%</w:t>
            </w:r>
          </w:p>
        </w:tc>
        <w:tc>
          <w:tcPr>
            <w:tcW w:w="74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769.603.961</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185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Settore Regolazione del Mercato</w:t>
            </w:r>
          </w:p>
        </w:tc>
        <w:tc>
          <w:tcPr>
            <w:tcW w:w="67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61,1%</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26,4%</w:t>
            </w:r>
          </w:p>
        </w:tc>
        <w:tc>
          <w:tcPr>
            <w:tcW w:w="61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10,7%</w:t>
            </w:r>
          </w:p>
        </w:tc>
        <w:tc>
          <w:tcPr>
            <w:tcW w:w="471"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1,8%</w:t>
            </w:r>
          </w:p>
        </w:tc>
        <w:tc>
          <w:tcPr>
            <w:tcW w:w="74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892.697.363</w:t>
            </w:r>
          </w:p>
        </w:tc>
      </w:tr>
      <w:tr w:rsidR="00BD36D2" w:rsidRPr="00BD36D2" w:rsidTr="00BD36D2">
        <w:trPr>
          <w:trHeight w:val="385"/>
          <w:jc w:val="center"/>
        </w:trPr>
        <w:tc>
          <w:tcPr>
            <w:cnfStyle w:val="001000000000" w:firstRow="0" w:lastRow="0" w:firstColumn="1" w:lastColumn="0" w:oddVBand="0" w:evenVBand="0" w:oddHBand="0" w:evenHBand="0" w:firstRowFirstColumn="0" w:firstRowLastColumn="0" w:lastRowFirstColumn="0" w:lastRowLastColumn="0"/>
            <w:tcW w:w="185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Settore Sanità</w:t>
            </w:r>
          </w:p>
        </w:tc>
        <w:tc>
          <w:tcPr>
            <w:tcW w:w="67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71,3%</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23,4%</w:t>
            </w:r>
          </w:p>
        </w:tc>
        <w:tc>
          <w:tcPr>
            <w:tcW w:w="61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5,3%</w:t>
            </w:r>
          </w:p>
        </w:tc>
        <w:tc>
          <w:tcPr>
            <w:tcW w:w="471"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0,0%</w:t>
            </w:r>
          </w:p>
        </w:tc>
        <w:tc>
          <w:tcPr>
            <w:tcW w:w="74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26.483.706.313</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185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Settore Scientifico, Ricerca, Sviluppo e aggiornamento educativo</w:t>
            </w:r>
          </w:p>
        </w:tc>
        <w:tc>
          <w:tcPr>
            <w:tcW w:w="67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60,1%</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33,3%</w:t>
            </w:r>
          </w:p>
        </w:tc>
        <w:tc>
          <w:tcPr>
            <w:tcW w:w="61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6,1%</w:t>
            </w:r>
          </w:p>
        </w:tc>
        <w:tc>
          <w:tcPr>
            <w:tcW w:w="471"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0,5%</w:t>
            </w:r>
          </w:p>
        </w:tc>
        <w:tc>
          <w:tcPr>
            <w:tcW w:w="74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515.743.479</w:t>
            </w:r>
          </w:p>
        </w:tc>
      </w:tr>
      <w:tr w:rsidR="00BD36D2" w:rsidRPr="00BD36D2" w:rsidTr="00BD36D2">
        <w:trPr>
          <w:trHeight w:val="385"/>
          <w:jc w:val="center"/>
        </w:trPr>
        <w:tc>
          <w:tcPr>
            <w:cnfStyle w:val="001000000000" w:firstRow="0" w:lastRow="0" w:firstColumn="1" w:lastColumn="0" w:oddVBand="0" w:evenVBand="0" w:oddHBand="0" w:evenHBand="0" w:firstRowFirstColumn="0" w:firstRowLastColumn="0" w:lastRowFirstColumn="0" w:lastRowLastColumn="0"/>
            <w:tcW w:w="185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Settore Servizi Assistenziali, Ricreativi, Culturali</w:t>
            </w:r>
          </w:p>
        </w:tc>
        <w:tc>
          <w:tcPr>
            <w:tcW w:w="67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71,7%</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20,0%</w:t>
            </w:r>
          </w:p>
        </w:tc>
        <w:tc>
          <w:tcPr>
            <w:tcW w:w="61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8,3%</w:t>
            </w:r>
          </w:p>
        </w:tc>
        <w:tc>
          <w:tcPr>
            <w:tcW w:w="471"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0,0%</w:t>
            </w:r>
          </w:p>
        </w:tc>
        <w:tc>
          <w:tcPr>
            <w:tcW w:w="74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1.314.351.629</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185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Settore Servizi di interesse generale (elettricità, gas, trasporti, telecomunicazioni, servizi postali, gestione rifiuti, approvvigionamento idrico, ecc.)</w:t>
            </w:r>
          </w:p>
        </w:tc>
        <w:tc>
          <w:tcPr>
            <w:tcW w:w="67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50,9%</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41,7%</w:t>
            </w:r>
          </w:p>
        </w:tc>
        <w:tc>
          <w:tcPr>
            <w:tcW w:w="61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2,5%</w:t>
            </w:r>
          </w:p>
        </w:tc>
        <w:tc>
          <w:tcPr>
            <w:tcW w:w="471"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4,9%</w:t>
            </w:r>
          </w:p>
        </w:tc>
        <w:tc>
          <w:tcPr>
            <w:tcW w:w="74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44.138.379.927</w:t>
            </w:r>
          </w:p>
        </w:tc>
      </w:tr>
      <w:tr w:rsidR="00BD36D2" w:rsidRPr="00BD36D2" w:rsidTr="00BD36D2">
        <w:trPr>
          <w:trHeight w:val="385"/>
          <w:jc w:val="center"/>
        </w:trPr>
        <w:tc>
          <w:tcPr>
            <w:cnfStyle w:val="001000000000" w:firstRow="0" w:lastRow="0" w:firstColumn="1" w:lastColumn="0" w:oddVBand="0" w:evenVBand="0" w:oddHBand="0" w:evenHBand="0" w:firstRowFirstColumn="0" w:firstRowLastColumn="0" w:lastRowFirstColumn="0" w:lastRowLastColumn="0"/>
            <w:tcW w:w="185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Settore Servizi Finanziari, Bancari e Assicurativi</w:t>
            </w:r>
          </w:p>
        </w:tc>
        <w:tc>
          <w:tcPr>
            <w:tcW w:w="67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54,7%</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32,7%</w:t>
            </w:r>
          </w:p>
        </w:tc>
        <w:tc>
          <w:tcPr>
            <w:tcW w:w="61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12,5%</w:t>
            </w:r>
          </w:p>
        </w:tc>
        <w:tc>
          <w:tcPr>
            <w:tcW w:w="471"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0,0%</w:t>
            </w:r>
          </w:p>
        </w:tc>
        <w:tc>
          <w:tcPr>
            <w:tcW w:w="74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93.791.493</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185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Settore Tutela Ambientale/Sviluppo anche industriale del territorio</w:t>
            </w:r>
          </w:p>
        </w:tc>
        <w:tc>
          <w:tcPr>
            <w:tcW w:w="67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62,9%</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28,9%</w:t>
            </w:r>
          </w:p>
        </w:tc>
        <w:tc>
          <w:tcPr>
            <w:tcW w:w="61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7,2%</w:t>
            </w:r>
          </w:p>
        </w:tc>
        <w:tc>
          <w:tcPr>
            <w:tcW w:w="471"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1,0%</w:t>
            </w:r>
          </w:p>
        </w:tc>
        <w:tc>
          <w:tcPr>
            <w:tcW w:w="74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18"/>
                <w:szCs w:val="18"/>
              </w:rPr>
            </w:pPr>
            <w:r w:rsidRPr="00BD36D2">
              <w:rPr>
                <w:rFonts w:ascii="Garamond" w:eastAsia="Times New Roman" w:hAnsi="Garamond"/>
                <w:color w:val="000000"/>
                <w:sz w:val="18"/>
                <w:szCs w:val="18"/>
              </w:rPr>
              <w:t>587.338.554</w:t>
            </w:r>
          </w:p>
        </w:tc>
      </w:tr>
      <w:tr w:rsidR="00BD36D2" w:rsidRPr="00BD36D2" w:rsidTr="00BD36D2">
        <w:trPr>
          <w:trHeight w:val="385"/>
          <w:jc w:val="center"/>
        </w:trPr>
        <w:tc>
          <w:tcPr>
            <w:cnfStyle w:val="001000000000" w:firstRow="0" w:lastRow="0" w:firstColumn="1" w:lastColumn="0" w:oddVBand="0" w:evenVBand="0" w:oddHBand="0" w:evenHBand="0" w:firstRowFirstColumn="0" w:firstRowLastColumn="0" w:lastRowFirstColumn="0" w:lastRowLastColumn="0"/>
            <w:tcW w:w="185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rPr>
                <w:rFonts w:ascii="Garamond" w:eastAsia="Times New Roman" w:hAnsi="Garamond"/>
                <w:color w:val="000000"/>
                <w:sz w:val="18"/>
                <w:szCs w:val="18"/>
              </w:rPr>
            </w:pPr>
            <w:r w:rsidRPr="00BD36D2">
              <w:rPr>
                <w:rFonts w:ascii="Garamond" w:eastAsia="Times New Roman" w:hAnsi="Garamond"/>
                <w:color w:val="000000"/>
                <w:sz w:val="18"/>
                <w:szCs w:val="18"/>
              </w:rPr>
              <w:t>#Non Classificato#</w:t>
            </w:r>
          </w:p>
        </w:tc>
        <w:tc>
          <w:tcPr>
            <w:tcW w:w="67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81,5%</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13,1%</w:t>
            </w:r>
          </w:p>
        </w:tc>
        <w:tc>
          <w:tcPr>
            <w:tcW w:w="61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3,5%</w:t>
            </w:r>
          </w:p>
        </w:tc>
        <w:tc>
          <w:tcPr>
            <w:tcW w:w="471"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1,9%</w:t>
            </w:r>
          </w:p>
        </w:tc>
        <w:tc>
          <w:tcPr>
            <w:tcW w:w="74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sz w:val="18"/>
                <w:szCs w:val="18"/>
              </w:rPr>
            </w:pPr>
            <w:r w:rsidRPr="00BD36D2">
              <w:rPr>
                <w:rFonts w:ascii="Garamond" w:eastAsia="Times New Roman" w:hAnsi="Garamond"/>
                <w:bCs/>
                <w:color w:val="000000"/>
                <w:sz w:val="18"/>
                <w:szCs w:val="18"/>
              </w:rPr>
              <w:t>1.373.919.810</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52"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right"/>
              <w:rPr>
                <w:rFonts w:ascii="Garamond" w:eastAsia="Times New Roman" w:hAnsi="Garamond"/>
                <w:sz w:val="24"/>
                <w:szCs w:val="24"/>
              </w:rPr>
            </w:pPr>
            <w:r w:rsidRPr="00BD36D2">
              <w:rPr>
                <w:rFonts w:ascii="Garamond" w:eastAsia="Times New Roman" w:hAnsi="Garamond"/>
                <w:sz w:val="24"/>
                <w:szCs w:val="24"/>
              </w:rPr>
              <w:t xml:space="preserve">Totale </w:t>
            </w:r>
          </w:p>
        </w:tc>
        <w:tc>
          <w:tcPr>
            <w:tcW w:w="67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bCs/>
                <w:color w:val="000000"/>
                <w:sz w:val="18"/>
                <w:szCs w:val="18"/>
              </w:rPr>
            </w:pPr>
            <w:r w:rsidRPr="00BD36D2">
              <w:rPr>
                <w:rFonts w:ascii="Garamond" w:eastAsia="Times New Roman" w:hAnsi="Garamond"/>
                <w:b/>
                <w:bCs/>
                <w:color w:val="000000"/>
                <w:sz w:val="18"/>
                <w:szCs w:val="18"/>
              </w:rPr>
              <w:t>61,9%</w:t>
            </w:r>
          </w:p>
        </w:tc>
        <w:tc>
          <w:tcPr>
            <w:tcW w:w="647"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bCs/>
                <w:color w:val="000000"/>
                <w:sz w:val="18"/>
                <w:szCs w:val="18"/>
              </w:rPr>
            </w:pPr>
            <w:r w:rsidRPr="00BD36D2">
              <w:rPr>
                <w:rFonts w:ascii="Garamond" w:eastAsia="Times New Roman" w:hAnsi="Garamond"/>
                <w:b/>
                <w:bCs/>
                <w:color w:val="000000"/>
                <w:sz w:val="18"/>
                <w:szCs w:val="18"/>
              </w:rPr>
              <w:t>31,6%</w:t>
            </w:r>
          </w:p>
        </w:tc>
        <w:tc>
          <w:tcPr>
            <w:tcW w:w="615"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bCs/>
                <w:color w:val="000000"/>
                <w:sz w:val="18"/>
                <w:szCs w:val="18"/>
              </w:rPr>
            </w:pPr>
            <w:r w:rsidRPr="00BD36D2">
              <w:rPr>
                <w:rFonts w:ascii="Garamond" w:eastAsia="Times New Roman" w:hAnsi="Garamond"/>
                <w:b/>
                <w:bCs/>
                <w:color w:val="000000"/>
                <w:sz w:val="18"/>
                <w:szCs w:val="18"/>
              </w:rPr>
              <w:t>4,3%</w:t>
            </w:r>
          </w:p>
        </w:tc>
        <w:tc>
          <w:tcPr>
            <w:tcW w:w="471"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bCs/>
                <w:color w:val="000000"/>
                <w:sz w:val="18"/>
                <w:szCs w:val="18"/>
              </w:rPr>
            </w:pPr>
            <w:r w:rsidRPr="00BD36D2">
              <w:rPr>
                <w:rFonts w:ascii="Garamond" w:eastAsia="Times New Roman" w:hAnsi="Garamond"/>
                <w:b/>
                <w:bCs/>
                <w:color w:val="000000"/>
                <w:sz w:val="18"/>
                <w:szCs w:val="18"/>
              </w:rPr>
              <w:t>2,2%</w:t>
            </w:r>
          </w:p>
        </w:tc>
        <w:tc>
          <w:tcPr>
            <w:tcW w:w="743" w:type="pct"/>
            <w:tcBorders>
              <w:top w:val="single" w:sz="8" w:space="0" w:color="7BA0CD"/>
              <w:left w:val="single" w:sz="8" w:space="0" w:color="7BA0CD"/>
              <w:bottom w:val="single" w:sz="8" w:space="0" w:color="7BA0CD"/>
              <w:right w:val="single" w:sz="8" w:space="0" w:color="7BA0CD"/>
            </w:tcBorders>
            <w:vAlign w:val="center"/>
            <w:hideMark/>
          </w:tcPr>
          <w:p w:rsidR="00BD36D2" w:rsidRPr="00BD36D2" w:rsidRDefault="00BD36D2" w:rsidP="00BD36D2">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
                <w:sz w:val="18"/>
                <w:szCs w:val="18"/>
              </w:rPr>
            </w:pPr>
            <w:r w:rsidRPr="00BD36D2">
              <w:rPr>
                <w:rFonts w:ascii="Garamond" w:eastAsia="Times New Roman" w:hAnsi="Garamond"/>
                <w:b/>
                <w:sz w:val="18"/>
                <w:szCs w:val="18"/>
              </w:rPr>
              <w:fldChar w:fldCharType="begin"/>
            </w:r>
            <w:r w:rsidRPr="00BD36D2">
              <w:rPr>
                <w:rFonts w:ascii="Garamond" w:eastAsia="Times New Roman" w:hAnsi="Garamond"/>
                <w:b/>
                <w:sz w:val="18"/>
                <w:szCs w:val="18"/>
              </w:rPr>
              <w:instrText xml:space="preserve"> =SUM(ABOVE) </w:instrText>
            </w:r>
            <w:r w:rsidRPr="00BD36D2">
              <w:rPr>
                <w:rFonts w:ascii="Garamond" w:eastAsia="Times New Roman" w:hAnsi="Garamond"/>
                <w:b/>
                <w:sz w:val="18"/>
                <w:szCs w:val="18"/>
              </w:rPr>
              <w:fldChar w:fldCharType="separate"/>
            </w:r>
            <w:r w:rsidRPr="00BD36D2">
              <w:rPr>
                <w:rFonts w:ascii="Garamond" w:eastAsia="Times New Roman" w:hAnsi="Garamond"/>
                <w:b/>
                <w:noProof/>
                <w:sz w:val="18"/>
                <w:szCs w:val="18"/>
              </w:rPr>
              <w:t>138.974.994.432</w:t>
            </w:r>
            <w:r w:rsidRPr="00BD36D2">
              <w:rPr>
                <w:rFonts w:ascii="Garamond" w:eastAsia="Times New Roman" w:hAnsi="Garamond"/>
                <w:b/>
                <w:sz w:val="18"/>
                <w:szCs w:val="18"/>
              </w:rPr>
              <w:fldChar w:fldCharType="end"/>
            </w:r>
          </w:p>
        </w:tc>
      </w:tr>
    </w:tbl>
    <w:p w:rsidR="009F4049" w:rsidRDefault="009F4049" w:rsidP="00BD36D2">
      <w:pPr>
        <w:keepNext/>
        <w:keepLines/>
        <w:spacing w:before="200" w:after="0" w:line="240" w:lineRule="auto"/>
        <w:outlineLvl w:val="2"/>
        <w:rPr>
          <w:rFonts w:ascii="Garamond" w:eastAsiaTheme="majorEastAsia" w:hAnsi="Garamond" w:cstheme="majorBidi"/>
          <w:b/>
          <w:bCs/>
          <w:sz w:val="25"/>
          <w:szCs w:val="25"/>
          <w:lang w:eastAsia="it-IT"/>
        </w:rPr>
      </w:pPr>
    </w:p>
    <w:p w:rsidR="009F4049" w:rsidRDefault="009F4049">
      <w:pPr>
        <w:rPr>
          <w:rFonts w:ascii="Garamond" w:eastAsiaTheme="majorEastAsia" w:hAnsi="Garamond" w:cstheme="majorBidi"/>
          <w:b/>
          <w:bCs/>
          <w:sz w:val="25"/>
          <w:szCs w:val="25"/>
          <w:lang w:eastAsia="it-IT"/>
        </w:rPr>
      </w:pPr>
      <w:r>
        <w:rPr>
          <w:rFonts w:ascii="Garamond" w:eastAsiaTheme="majorEastAsia" w:hAnsi="Garamond" w:cstheme="majorBidi"/>
          <w:b/>
          <w:bCs/>
          <w:sz w:val="25"/>
          <w:szCs w:val="25"/>
          <w:lang w:eastAsia="it-IT"/>
        </w:rPr>
        <w:br w:type="page"/>
      </w:r>
    </w:p>
    <w:p w:rsidR="00BD36D2" w:rsidRPr="00425947" w:rsidRDefault="00BD36D2" w:rsidP="009F4049">
      <w:pPr>
        <w:keepNext/>
        <w:keepLines/>
        <w:numPr>
          <w:ilvl w:val="1"/>
          <w:numId w:val="26"/>
        </w:numPr>
        <w:tabs>
          <w:tab w:val="left" w:pos="426"/>
        </w:tabs>
        <w:spacing w:before="200" w:after="0" w:line="240" w:lineRule="auto"/>
        <w:ind w:left="426" w:hanging="426"/>
        <w:contextualSpacing/>
        <w:outlineLvl w:val="2"/>
        <w:rPr>
          <w:rFonts w:ascii="Times New Roman" w:eastAsiaTheme="majorEastAsia" w:hAnsi="Times New Roman" w:cs="Times New Roman"/>
          <w:b/>
          <w:bCs/>
          <w:sz w:val="24"/>
          <w:szCs w:val="24"/>
          <w:lang w:eastAsia="it-IT"/>
        </w:rPr>
      </w:pPr>
      <w:r w:rsidRPr="00425947">
        <w:rPr>
          <w:rFonts w:ascii="Times New Roman" w:eastAsiaTheme="majorEastAsia" w:hAnsi="Times New Roman" w:cs="Times New Roman"/>
          <w:b/>
          <w:bCs/>
          <w:sz w:val="24"/>
          <w:szCs w:val="24"/>
          <w:lang w:eastAsia="it-IT"/>
        </w:rPr>
        <w:lastRenderedPageBreak/>
        <w:t>Alcuni dati del primo quadrimestre 2018</w:t>
      </w:r>
    </w:p>
    <w:p w:rsidR="00BD36D2" w:rsidRPr="00425947" w:rsidRDefault="00BD36D2" w:rsidP="00BD36D2">
      <w:pPr>
        <w:keepNext/>
        <w:keepLines/>
        <w:spacing w:before="200" w:after="0" w:line="240" w:lineRule="auto"/>
        <w:outlineLvl w:val="2"/>
        <w:rPr>
          <w:rFonts w:ascii="Times New Roman" w:eastAsiaTheme="majorEastAsia" w:hAnsi="Times New Roman" w:cs="Times New Roman"/>
          <w:b/>
          <w:bCs/>
          <w:sz w:val="24"/>
          <w:szCs w:val="24"/>
          <w:lang w:eastAsia="it-IT"/>
        </w:rPr>
      </w:pPr>
    </w:p>
    <w:p w:rsidR="00BD36D2" w:rsidRPr="00EE4750" w:rsidRDefault="00BD36D2" w:rsidP="00BD36D2">
      <w:pPr>
        <w:spacing w:after="0" w:line="360" w:lineRule="auto"/>
        <w:jc w:val="both"/>
        <w:rPr>
          <w:rFonts w:ascii="Times New Roman" w:eastAsia="Calibri" w:hAnsi="Times New Roman" w:cs="Times New Roman"/>
          <w:sz w:val="24"/>
          <w:szCs w:val="24"/>
          <w:lang w:eastAsia="it-IT"/>
        </w:rPr>
      </w:pPr>
      <w:r w:rsidRPr="00425947">
        <w:rPr>
          <w:rFonts w:ascii="Times New Roman" w:eastAsia="Calibri" w:hAnsi="Times New Roman" w:cs="Times New Roman"/>
          <w:sz w:val="24"/>
          <w:szCs w:val="24"/>
          <w:lang w:eastAsia="it-IT"/>
        </w:rPr>
        <w:t xml:space="preserve">Come accennato, la dinamica espansiva </w:t>
      </w:r>
      <w:r w:rsidRPr="00EE4750">
        <w:rPr>
          <w:rFonts w:ascii="Times New Roman" w:eastAsia="Calibri" w:hAnsi="Times New Roman" w:cs="Times New Roman"/>
          <w:sz w:val="24"/>
          <w:szCs w:val="24"/>
          <w:lang w:eastAsia="it-IT"/>
        </w:rPr>
        <w:t xml:space="preserve">del mercato si conferma anche nei primi mesi del 2018. </w:t>
      </w:r>
    </w:p>
    <w:p w:rsidR="00BD36D2" w:rsidRPr="00EE4750" w:rsidRDefault="00BD36D2" w:rsidP="00BD36D2">
      <w:pPr>
        <w:spacing w:after="0" w:line="360" w:lineRule="auto"/>
        <w:jc w:val="both"/>
        <w:rPr>
          <w:rFonts w:ascii="Times New Roman" w:eastAsia="Calibri" w:hAnsi="Times New Roman" w:cs="Times New Roman"/>
          <w:sz w:val="24"/>
          <w:szCs w:val="24"/>
          <w:lang w:eastAsia="it-IT"/>
        </w:rPr>
      </w:pPr>
      <w:r w:rsidRPr="00EE4750">
        <w:rPr>
          <w:rFonts w:ascii="Times New Roman" w:eastAsia="Calibri" w:hAnsi="Times New Roman" w:cs="Times New Roman"/>
          <w:sz w:val="24"/>
          <w:szCs w:val="24"/>
          <w:lang w:eastAsia="it-IT"/>
        </w:rPr>
        <w:t>La tabella 12 illustra come, nel periodo gennaio-aprile 2018, la domanda di contratti pubblici in tutti i settori abbia fatto registrare un aumento di importo del 41,7%, pari a +12 miliardi di euro rispetto allo stesso periodo dell’anno precedente, e un aumento in numero del 6,9%, passando da 40.354 procedure a 43.148. Gli incrementi hanno interessato tutte le tipologie contrattuali, sia nel settore ordinario (+36,9%) che in quello speciale (+54,1%). Particolarmente significativa, nel settore ordinario, è la crescita dei servizi (+49,5%, da 10,3 a 15,4 miliardi); risultati molto positivi si fanno registrare anche per i lavori (+31,2%) e le forniture (+21,1%), come riportato nella tabella 13. Ancora più marcati sono gli aumenti nel settore speciale, in crescita nel complesso del 54,1%: lavori +91,9%, servizi + 20,5%, forniture +86,8% (cfr. tabella 14).</w:t>
      </w:r>
    </w:p>
    <w:p w:rsidR="00BD36D2" w:rsidRPr="00BD36D2" w:rsidRDefault="00BD36D2" w:rsidP="00BD36D2">
      <w:pPr>
        <w:spacing w:line="30" w:lineRule="atLeast"/>
        <w:rPr>
          <w:rFonts w:ascii="Garamond" w:eastAsia="Times New Roman" w:hAnsi="Garamond" w:cs="Times New Roman"/>
          <w:i/>
          <w:sz w:val="20"/>
          <w:szCs w:val="20"/>
          <w:lang w:eastAsia="it-IT"/>
        </w:rPr>
      </w:pPr>
    </w:p>
    <w:p w:rsidR="00BD36D2" w:rsidRPr="00BD36D2" w:rsidRDefault="00BD36D2" w:rsidP="00BD36D2">
      <w:pPr>
        <w:jc w:val="center"/>
        <w:rPr>
          <w:rFonts w:ascii="Garamond" w:eastAsia="Calibri" w:hAnsi="Garamond"/>
        </w:rPr>
      </w:pPr>
      <w:r w:rsidRPr="00BD36D2">
        <w:rPr>
          <w:rFonts w:ascii="Garamond" w:eastAsia="Calibri" w:hAnsi="Garamond"/>
          <w:b/>
        </w:rPr>
        <w:br/>
        <w:t xml:space="preserve">Tabella 12 -  </w:t>
      </w:r>
      <w:r w:rsidRPr="00BD36D2">
        <w:rPr>
          <w:rFonts w:ascii="Garamond" w:eastAsia="Calibri" w:hAnsi="Garamond"/>
        </w:rPr>
        <w:t>Analisi comparata della domanda complessiva generata dagli appalti pubblici, per tipologia di settore, nei periodi gennaio - aprile 2017 / gennaio - aprile 2018</w:t>
      </w:r>
    </w:p>
    <w:tbl>
      <w:tblPr>
        <w:tblW w:w="9221" w:type="dxa"/>
        <w:jc w:val="cente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2126"/>
        <w:gridCol w:w="1190"/>
        <w:gridCol w:w="1078"/>
        <w:gridCol w:w="745"/>
        <w:gridCol w:w="1673"/>
        <w:gridCol w:w="1559"/>
        <w:gridCol w:w="850"/>
      </w:tblGrid>
      <w:tr w:rsidR="00BD36D2" w:rsidRPr="00BD36D2" w:rsidTr="00BD36D2">
        <w:trPr>
          <w:trHeight w:val="447"/>
          <w:jc w:val="center"/>
        </w:trPr>
        <w:tc>
          <w:tcPr>
            <w:tcW w:w="2126" w:type="dxa"/>
            <w:vMerge w:val="restart"/>
            <w:shd w:val="clear" w:color="auto" w:fill="365F91"/>
            <w:vAlign w:val="center"/>
          </w:tcPr>
          <w:p w:rsidR="00BD36D2" w:rsidRPr="00BD36D2" w:rsidRDefault="00BD36D2" w:rsidP="00BD36D2">
            <w:pPr>
              <w:spacing w:after="0" w:line="240" w:lineRule="auto"/>
              <w:jc w:val="center"/>
              <w:rPr>
                <w:rFonts w:ascii="Garamond" w:eastAsia="Calibri" w:hAnsi="Garamond"/>
                <w:b/>
                <w:bCs/>
                <w:color w:val="FFFFFF"/>
                <w:sz w:val="20"/>
                <w:szCs w:val="20"/>
              </w:rPr>
            </w:pPr>
            <w:r w:rsidRPr="00BD36D2">
              <w:rPr>
                <w:rFonts w:ascii="Garamond" w:hAnsi="Garamond"/>
                <w:b/>
                <w:bCs/>
                <w:color w:val="FFFFFF"/>
                <w:sz w:val="20"/>
                <w:szCs w:val="20"/>
              </w:rPr>
              <w:t>Settore</w:t>
            </w:r>
          </w:p>
        </w:tc>
        <w:tc>
          <w:tcPr>
            <w:tcW w:w="3013" w:type="dxa"/>
            <w:gridSpan w:val="3"/>
            <w:tcBorders>
              <w:right w:val="single" w:sz="8" w:space="0" w:color="7BA0CD"/>
            </w:tcBorders>
            <w:shd w:val="clear" w:color="auto" w:fill="365F91"/>
            <w:vAlign w:val="center"/>
          </w:tcPr>
          <w:p w:rsidR="00BD36D2" w:rsidRPr="00BD36D2" w:rsidRDefault="00BD36D2" w:rsidP="00BD36D2">
            <w:pPr>
              <w:spacing w:after="0" w:line="240" w:lineRule="auto"/>
              <w:jc w:val="center"/>
              <w:rPr>
                <w:rFonts w:ascii="Garamond" w:eastAsia="Calibri" w:hAnsi="Garamond"/>
                <w:b/>
                <w:bCs/>
                <w:color w:val="FFFFFF"/>
                <w:sz w:val="20"/>
                <w:szCs w:val="20"/>
              </w:rPr>
            </w:pPr>
            <w:r w:rsidRPr="00BD36D2">
              <w:rPr>
                <w:rFonts w:ascii="Garamond" w:hAnsi="Garamond"/>
                <w:b/>
                <w:color w:val="FFFFFF"/>
                <w:sz w:val="20"/>
                <w:szCs w:val="20"/>
              </w:rPr>
              <w:t>Totale CIG perfezionati</w:t>
            </w:r>
          </w:p>
        </w:tc>
        <w:tc>
          <w:tcPr>
            <w:tcW w:w="4082" w:type="dxa"/>
            <w:gridSpan w:val="3"/>
            <w:shd w:val="clear" w:color="auto" w:fill="365F91"/>
            <w:vAlign w:val="center"/>
          </w:tcPr>
          <w:p w:rsidR="00BD36D2" w:rsidRPr="00BD36D2" w:rsidRDefault="00BD36D2" w:rsidP="00BD36D2">
            <w:pPr>
              <w:spacing w:after="0" w:line="240" w:lineRule="auto"/>
              <w:jc w:val="center"/>
              <w:rPr>
                <w:rFonts w:ascii="Garamond" w:eastAsia="Calibri" w:hAnsi="Garamond"/>
                <w:b/>
                <w:bCs/>
                <w:color w:val="FFFFFF"/>
                <w:sz w:val="20"/>
                <w:szCs w:val="20"/>
              </w:rPr>
            </w:pPr>
            <w:r w:rsidRPr="00BD36D2">
              <w:rPr>
                <w:rFonts w:ascii="Garamond" w:hAnsi="Garamond"/>
                <w:b/>
                <w:color w:val="FFFFFF"/>
                <w:sz w:val="20"/>
                <w:szCs w:val="20"/>
              </w:rPr>
              <w:t>Importo complessivo</w:t>
            </w:r>
          </w:p>
        </w:tc>
      </w:tr>
      <w:tr w:rsidR="00BD36D2" w:rsidRPr="00BD36D2" w:rsidTr="00BD36D2">
        <w:trPr>
          <w:cantSplit/>
          <w:trHeight w:val="447"/>
          <w:jc w:val="center"/>
        </w:trPr>
        <w:tc>
          <w:tcPr>
            <w:tcW w:w="2126" w:type="dxa"/>
            <w:vMerge/>
            <w:tcBorders>
              <w:bottom w:val="single" w:sz="8" w:space="0" w:color="7BA0CD"/>
            </w:tcBorders>
            <w:shd w:val="clear" w:color="auto" w:fill="365F91"/>
            <w:vAlign w:val="center"/>
          </w:tcPr>
          <w:p w:rsidR="00BD36D2" w:rsidRPr="00BD36D2" w:rsidRDefault="00BD36D2" w:rsidP="00BD36D2">
            <w:pPr>
              <w:spacing w:after="0" w:line="240" w:lineRule="auto"/>
              <w:jc w:val="center"/>
              <w:rPr>
                <w:rFonts w:ascii="Garamond" w:eastAsia="Calibri" w:hAnsi="Garamond"/>
                <w:b/>
                <w:bCs/>
                <w:color w:val="FFFFFF"/>
                <w:sz w:val="20"/>
                <w:szCs w:val="20"/>
              </w:rPr>
            </w:pPr>
          </w:p>
        </w:tc>
        <w:tc>
          <w:tcPr>
            <w:tcW w:w="1190" w:type="dxa"/>
            <w:tcBorders>
              <w:bottom w:val="single" w:sz="8" w:space="0" w:color="7BA0CD"/>
            </w:tcBorders>
            <w:shd w:val="clear" w:color="auto" w:fill="365F91"/>
            <w:vAlign w:val="center"/>
          </w:tcPr>
          <w:p w:rsidR="00BD36D2" w:rsidRPr="00BD36D2" w:rsidRDefault="00BD36D2" w:rsidP="00BD36D2">
            <w:pPr>
              <w:spacing w:after="0" w:line="240" w:lineRule="auto"/>
              <w:jc w:val="center"/>
              <w:rPr>
                <w:rFonts w:ascii="Garamond" w:hAnsi="Garamond"/>
                <w:b/>
                <w:bCs/>
                <w:color w:val="FFFFFF"/>
                <w:sz w:val="20"/>
                <w:szCs w:val="20"/>
              </w:rPr>
            </w:pPr>
            <w:proofErr w:type="spellStart"/>
            <w:r w:rsidRPr="00BD36D2">
              <w:rPr>
                <w:rFonts w:ascii="Garamond" w:eastAsia="Times New Roman" w:hAnsi="Garamond" w:cs="Times New Roman"/>
                <w:bCs/>
                <w:color w:val="FFFFFF"/>
                <w:sz w:val="20"/>
                <w:szCs w:val="20"/>
                <w:lang w:eastAsia="it-IT"/>
              </w:rPr>
              <w:t>Gen</w:t>
            </w:r>
            <w:proofErr w:type="spellEnd"/>
            <w:r w:rsidRPr="00BD36D2">
              <w:rPr>
                <w:rFonts w:ascii="Garamond" w:eastAsia="Times New Roman" w:hAnsi="Garamond" w:cs="Times New Roman"/>
                <w:bCs/>
                <w:color w:val="FFFFFF"/>
                <w:sz w:val="20"/>
                <w:szCs w:val="20"/>
                <w:lang w:eastAsia="it-IT"/>
              </w:rPr>
              <w:t xml:space="preserve"> - </w:t>
            </w:r>
            <w:proofErr w:type="spellStart"/>
            <w:r w:rsidRPr="00BD36D2">
              <w:rPr>
                <w:rFonts w:ascii="Garamond" w:eastAsia="Times New Roman" w:hAnsi="Garamond" w:cs="Times New Roman"/>
                <w:bCs/>
                <w:color w:val="FFFFFF"/>
                <w:sz w:val="20"/>
                <w:szCs w:val="20"/>
                <w:lang w:eastAsia="it-IT"/>
              </w:rPr>
              <w:t>Apr</w:t>
            </w:r>
            <w:proofErr w:type="spellEnd"/>
            <w:r w:rsidRPr="00BD36D2">
              <w:rPr>
                <w:rFonts w:ascii="Garamond" w:eastAsia="Times New Roman" w:hAnsi="Garamond" w:cs="Times New Roman"/>
                <w:bCs/>
                <w:color w:val="FFFFFF"/>
                <w:sz w:val="20"/>
                <w:szCs w:val="20"/>
                <w:lang w:eastAsia="it-IT"/>
              </w:rPr>
              <w:t xml:space="preserve"> 2017</w:t>
            </w:r>
          </w:p>
        </w:tc>
        <w:tc>
          <w:tcPr>
            <w:tcW w:w="1078" w:type="dxa"/>
            <w:tcBorders>
              <w:bottom w:val="single" w:sz="8" w:space="0" w:color="7BA0CD"/>
            </w:tcBorders>
            <w:shd w:val="clear" w:color="auto" w:fill="365F91"/>
            <w:vAlign w:val="center"/>
          </w:tcPr>
          <w:p w:rsidR="00BD36D2" w:rsidRPr="00BD36D2" w:rsidRDefault="00BD36D2" w:rsidP="00BD36D2">
            <w:pPr>
              <w:spacing w:after="0" w:line="240" w:lineRule="auto"/>
              <w:jc w:val="center"/>
              <w:rPr>
                <w:rFonts w:ascii="Garamond" w:hAnsi="Garamond"/>
                <w:b/>
                <w:bCs/>
                <w:color w:val="FFFFFF"/>
                <w:sz w:val="20"/>
                <w:szCs w:val="20"/>
              </w:rPr>
            </w:pPr>
            <w:proofErr w:type="spellStart"/>
            <w:r w:rsidRPr="00BD36D2">
              <w:rPr>
                <w:rFonts w:ascii="Garamond" w:eastAsia="Times New Roman" w:hAnsi="Garamond" w:cs="Times New Roman"/>
                <w:bCs/>
                <w:color w:val="FFFFFF"/>
                <w:sz w:val="20"/>
                <w:szCs w:val="20"/>
                <w:lang w:eastAsia="it-IT"/>
              </w:rPr>
              <w:t>Gen</w:t>
            </w:r>
            <w:proofErr w:type="spellEnd"/>
            <w:r w:rsidRPr="00BD36D2">
              <w:rPr>
                <w:rFonts w:ascii="Garamond" w:eastAsia="Times New Roman" w:hAnsi="Garamond" w:cs="Times New Roman"/>
                <w:bCs/>
                <w:color w:val="FFFFFF"/>
                <w:sz w:val="20"/>
                <w:szCs w:val="20"/>
                <w:lang w:eastAsia="it-IT"/>
              </w:rPr>
              <w:t xml:space="preserve"> - </w:t>
            </w:r>
            <w:proofErr w:type="spellStart"/>
            <w:r w:rsidRPr="00BD36D2">
              <w:rPr>
                <w:rFonts w:ascii="Garamond" w:eastAsia="Times New Roman" w:hAnsi="Garamond" w:cs="Times New Roman"/>
                <w:bCs/>
                <w:color w:val="FFFFFF"/>
                <w:sz w:val="20"/>
                <w:szCs w:val="20"/>
                <w:lang w:eastAsia="it-IT"/>
              </w:rPr>
              <w:t>Apr</w:t>
            </w:r>
            <w:proofErr w:type="spellEnd"/>
            <w:r w:rsidRPr="00BD36D2">
              <w:rPr>
                <w:rFonts w:ascii="Garamond" w:eastAsia="Times New Roman" w:hAnsi="Garamond" w:cs="Times New Roman"/>
                <w:bCs/>
                <w:color w:val="FFFFFF"/>
                <w:sz w:val="20"/>
                <w:szCs w:val="20"/>
                <w:lang w:eastAsia="it-IT"/>
              </w:rPr>
              <w:t xml:space="preserve"> 2018</w:t>
            </w:r>
          </w:p>
        </w:tc>
        <w:tc>
          <w:tcPr>
            <w:tcW w:w="745" w:type="dxa"/>
            <w:tcBorders>
              <w:bottom w:val="single" w:sz="8" w:space="0" w:color="7BA0CD"/>
              <w:right w:val="single" w:sz="8" w:space="0" w:color="7BA0CD"/>
            </w:tcBorders>
            <w:shd w:val="clear" w:color="auto" w:fill="365F91"/>
            <w:vAlign w:val="center"/>
          </w:tcPr>
          <w:p w:rsidR="00BD36D2" w:rsidRPr="00BD36D2" w:rsidRDefault="00BD36D2" w:rsidP="00BD36D2">
            <w:pPr>
              <w:spacing w:after="0" w:line="240" w:lineRule="auto"/>
              <w:jc w:val="center"/>
              <w:rPr>
                <w:rFonts w:ascii="Garamond" w:hAnsi="Garamond"/>
                <w:color w:val="FFFFFF"/>
                <w:sz w:val="20"/>
                <w:szCs w:val="20"/>
              </w:rPr>
            </w:pPr>
            <w:r w:rsidRPr="00BD36D2">
              <w:rPr>
                <w:rFonts w:ascii="Garamond" w:hAnsi="Garamond"/>
                <w:color w:val="FFFFFF"/>
                <w:sz w:val="20"/>
                <w:szCs w:val="20"/>
              </w:rPr>
              <w:t xml:space="preserve">Δ </w:t>
            </w:r>
          </w:p>
        </w:tc>
        <w:tc>
          <w:tcPr>
            <w:tcW w:w="1673" w:type="dxa"/>
            <w:tcBorders>
              <w:bottom w:val="single" w:sz="8" w:space="0" w:color="7BA0CD"/>
            </w:tcBorders>
            <w:shd w:val="clear" w:color="auto" w:fill="365F91"/>
            <w:vAlign w:val="center"/>
          </w:tcPr>
          <w:p w:rsidR="00BD36D2" w:rsidRPr="00BD36D2" w:rsidRDefault="00BD36D2" w:rsidP="00BD36D2">
            <w:pPr>
              <w:spacing w:after="0" w:line="240" w:lineRule="auto"/>
              <w:jc w:val="center"/>
              <w:rPr>
                <w:rFonts w:ascii="Garamond" w:hAnsi="Garamond"/>
                <w:color w:val="FFFFFF"/>
                <w:sz w:val="20"/>
                <w:szCs w:val="20"/>
              </w:rPr>
            </w:pPr>
            <w:proofErr w:type="spellStart"/>
            <w:r w:rsidRPr="00BD36D2">
              <w:rPr>
                <w:rFonts w:ascii="Garamond" w:eastAsia="Times New Roman" w:hAnsi="Garamond" w:cs="Times New Roman"/>
                <w:bCs/>
                <w:color w:val="FFFFFF"/>
                <w:sz w:val="20"/>
                <w:szCs w:val="20"/>
                <w:lang w:eastAsia="it-IT"/>
              </w:rPr>
              <w:t>Gen</w:t>
            </w:r>
            <w:proofErr w:type="spellEnd"/>
            <w:r w:rsidRPr="00BD36D2">
              <w:rPr>
                <w:rFonts w:ascii="Garamond" w:eastAsia="Times New Roman" w:hAnsi="Garamond" w:cs="Times New Roman"/>
                <w:bCs/>
                <w:color w:val="FFFFFF"/>
                <w:sz w:val="20"/>
                <w:szCs w:val="20"/>
                <w:lang w:eastAsia="it-IT"/>
              </w:rPr>
              <w:t xml:space="preserve"> - </w:t>
            </w:r>
            <w:proofErr w:type="spellStart"/>
            <w:r w:rsidRPr="00BD36D2">
              <w:rPr>
                <w:rFonts w:ascii="Garamond" w:eastAsia="Times New Roman" w:hAnsi="Garamond" w:cs="Times New Roman"/>
                <w:bCs/>
                <w:color w:val="FFFFFF"/>
                <w:sz w:val="20"/>
                <w:szCs w:val="20"/>
                <w:lang w:eastAsia="it-IT"/>
              </w:rPr>
              <w:t>Apr</w:t>
            </w:r>
            <w:proofErr w:type="spellEnd"/>
            <w:r w:rsidRPr="00BD36D2">
              <w:rPr>
                <w:rFonts w:ascii="Garamond" w:eastAsia="Times New Roman" w:hAnsi="Garamond" w:cs="Times New Roman"/>
                <w:bCs/>
                <w:color w:val="FFFFFF"/>
                <w:sz w:val="20"/>
                <w:szCs w:val="20"/>
                <w:lang w:eastAsia="it-IT"/>
              </w:rPr>
              <w:t xml:space="preserve"> 2017</w:t>
            </w:r>
            <w:r w:rsidRPr="00BD36D2">
              <w:rPr>
                <w:rFonts w:ascii="Garamond" w:hAnsi="Garamond"/>
                <w:color w:val="FFFFFF"/>
                <w:sz w:val="20"/>
                <w:szCs w:val="20"/>
              </w:rPr>
              <w:t xml:space="preserve"> (valore in euro)</w:t>
            </w:r>
          </w:p>
        </w:tc>
        <w:tc>
          <w:tcPr>
            <w:tcW w:w="1559" w:type="dxa"/>
            <w:tcBorders>
              <w:bottom w:val="single" w:sz="8" w:space="0" w:color="7BA0CD"/>
            </w:tcBorders>
            <w:shd w:val="clear" w:color="auto" w:fill="365F91"/>
            <w:vAlign w:val="center"/>
          </w:tcPr>
          <w:p w:rsidR="00BD36D2" w:rsidRPr="00BD36D2" w:rsidRDefault="00BD36D2" w:rsidP="00BD36D2">
            <w:pPr>
              <w:spacing w:after="0" w:line="240" w:lineRule="auto"/>
              <w:jc w:val="center"/>
              <w:rPr>
                <w:rFonts w:ascii="Garamond" w:hAnsi="Garamond"/>
                <w:color w:val="FFFFFF"/>
                <w:sz w:val="20"/>
                <w:szCs w:val="20"/>
              </w:rPr>
            </w:pPr>
            <w:proofErr w:type="spellStart"/>
            <w:r w:rsidRPr="00BD36D2">
              <w:rPr>
                <w:rFonts w:ascii="Garamond" w:eastAsia="Times New Roman" w:hAnsi="Garamond" w:cs="Times New Roman"/>
                <w:bCs/>
                <w:color w:val="FFFFFF"/>
                <w:sz w:val="20"/>
                <w:szCs w:val="20"/>
                <w:lang w:eastAsia="it-IT"/>
              </w:rPr>
              <w:t>Gen</w:t>
            </w:r>
            <w:proofErr w:type="spellEnd"/>
            <w:r w:rsidRPr="00BD36D2">
              <w:rPr>
                <w:rFonts w:ascii="Garamond" w:eastAsia="Times New Roman" w:hAnsi="Garamond" w:cs="Times New Roman"/>
                <w:bCs/>
                <w:color w:val="FFFFFF"/>
                <w:sz w:val="20"/>
                <w:szCs w:val="20"/>
                <w:lang w:eastAsia="it-IT"/>
              </w:rPr>
              <w:t xml:space="preserve"> - </w:t>
            </w:r>
            <w:proofErr w:type="spellStart"/>
            <w:r w:rsidRPr="00BD36D2">
              <w:rPr>
                <w:rFonts w:ascii="Garamond" w:eastAsia="Times New Roman" w:hAnsi="Garamond" w:cs="Times New Roman"/>
                <w:bCs/>
                <w:color w:val="FFFFFF"/>
                <w:sz w:val="20"/>
                <w:szCs w:val="20"/>
                <w:lang w:eastAsia="it-IT"/>
              </w:rPr>
              <w:t>Apr</w:t>
            </w:r>
            <w:proofErr w:type="spellEnd"/>
            <w:r w:rsidRPr="00BD36D2">
              <w:rPr>
                <w:rFonts w:ascii="Garamond" w:eastAsia="Times New Roman" w:hAnsi="Garamond" w:cs="Times New Roman"/>
                <w:bCs/>
                <w:color w:val="FFFFFF"/>
                <w:sz w:val="20"/>
                <w:szCs w:val="20"/>
                <w:lang w:eastAsia="it-IT"/>
              </w:rPr>
              <w:t xml:space="preserve"> 2018</w:t>
            </w:r>
            <w:r w:rsidRPr="00BD36D2">
              <w:rPr>
                <w:rFonts w:ascii="Garamond" w:hAnsi="Garamond"/>
                <w:color w:val="FFFFFF"/>
                <w:sz w:val="20"/>
                <w:szCs w:val="20"/>
              </w:rPr>
              <w:t xml:space="preserve"> (valore in euro)</w:t>
            </w:r>
          </w:p>
        </w:tc>
        <w:tc>
          <w:tcPr>
            <w:tcW w:w="850" w:type="dxa"/>
            <w:tcBorders>
              <w:bottom w:val="single" w:sz="8" w:space="0" w:color="7BA0CD"/>
            </w:tcBorders>
            <w:shd w:val="clear" w:color="auto" w:fill="365F91"/>
            <w:vAlign w:val="center"/>
          </w:tcPr>
          <w:p w:rsidR="00BD36D2" w:rsidRPr="00BD36D2" w:rsidRDefault="00BD36D2" w:rsidP="00BD36D2">
            <w:pPr>
              <w:spacing w:after="0" w:line="240" w:lineRule="auto"/>
              <w:jc w:val="center"/>
              <w:rPr>
                <w:rFonts w:ascii="Garamond" w:hAnsi="Garamond"/>
                <w:b/>
                <w:bCs/>
                <w:color w:val="FFFFFF"/>
                <w:sz w:val="20"/>
                <w:szCs w:val="20"/>
              </w:rPr>
            </w:pPr>
            <w:r w:rsidRPr="00BD36D2">
              <w:rPr>
                <w:rFonts w:ascii="Garamond" w:hAnsi="Garamond"/>
                <w:color w:val="FFFFFF"/>
                <w:sz w:val="20"/>
                <w:szCs w:val="20"/>
              </w:rPr>
              <w:t>Δ</w:t>
            </w:r>
          </w:p>
        </w:tc>
      </w:tr>
      <w:tr w:rsidR="00BD36D2" w:rsidRPr="00BD36D2" w:rsidTr="00BD36D2">
        <w:trPr>
          <w:trHeight w:val="359"/>
          <w:jc w:val="center"/>
        </w:trPr>
        <w:tc>
          <w:tcPr>
            <w:tcW w:w="2126" w:type="dxa"/>
            <w:shd w:val="clear" w:color="auto" w:fill="DBE5F1" w:themeFill="accent1" w:themeFillTint="33"/>
            <w:vAlign w:val="center"/>
          </w:tcPr>
          <w:p w:rsidR="00BD36D2" w:rsidRPr="00BD36D2" w:rsidRDefault="00BD36D2" w:rsidP="00BD36D2">
            <w:pPr>
              <w:spacing w:after="0" w:line="240" w:lineRule="auto"/>
              <w:rPr>
                <w:rFonts w:ascii="Garamond" w:hAnsi="Garamond"/>
                <w:color w:val="000000"/>
                <w:sz w:val="18"/>
                <w:szCs w:val="18"/>
              </w:rPr>
            </w:pPr>
            <w:r w:rsidRPr="00BD36D2">
              <w:rPr>
                <w:rFonts w:ascii="Garamond" w:hAnsi="Garamond"/>
                <w:color w:val="000000"/>
                <w:sz w:val="18"/>
                <w:szCs w:val="18"/>
              </w:rPr>
              <w:t>Ordinario</w:t>
            </w:r>
          </w:p>
        </w:tc>
        <w:tc>
          <w:tcPr>
            <w:tcW w:w="1190"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sz w:val="18"/>
                <w:szCs w:val="18"/>
              </w:rPr>
            </w:pPr>
            <w:r w:rsidRPr="00BD36D2">
              <w:rPr>
                <w:rFonts w:ascii="Garamond" w:hAnsi="Garamond"/>
                <w:sz w:val="18"/>
                <w:szCs w:val="18"/>
              </w:rPr>
              <w:t>33.068</w:t>
            </w:r>
          </w:p>
        </w:tc>
        <w:tc>
          <w:tcPr>
            <w:tcW w:w="1078"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sz w:val="18"/>
                <w:szCs w:val="18"/>
              </w:rPr>
            </w:pPr>
            <w:r w:rsidRPr="00BD36D2">
              <w:rPr>
                <w:rFonts w:ascii="Garamond" w:hAnsi="Garamond"/>
                <w:sz w:val="18"/>
                <w:szCs w:val="18"/>
              </w:rPr>
              <w:t>35.150</w:t>
            </w:r>
          </w:p>
        </w:tc>
        <w:tc>
          <w:tcPr>
            <w:tcW w:w="745" w:type="dxa"/>
            <w:tcBorders>
              <w:right w:val="single" w:sz="8" w:space="0" w:color="7BA0CD"/>
            </w:tcBorders>
            <w:shd w:val="clear" w:color="auto" w:fill="DBE5F1" w:themeFill="accent1" w:themeFillTint="33"/>
            <w:vAlign w:val="center"/>
          </w:tcPr>
          <w:p w:rsidR="00BD36D2" w:rsidRPr="00BD36D2" w:rsidRDefault="00BD36D2" w:rsidP="00BD36D2">
            <w:pPr>
              <w:spacing w:after="0" w:line="240" w:lineRule="auto"/>
              <w:jc w:val="center"/>
              <w:rPr>
                <w:rFonts w:ascii="Garamond" w:hAnsi="Garamond"/>
                <w:sz w:val="18"/>
                <w:szCs w:val="18"/>
              </w:rPr>
            </w:pPr>
            <w:r w:rsidRPr="00BD36D2">
              <w:rPr>
                <w:rFonts w:ascii="Garamond" w:hAnsi="Garamond"/>
                <w:sz w:val="18"/>
                <w:szCs w:val="18"/>
              </w:rPr>
              <w:t>6,3%</w:t>
            </w:r>
          </w:p>
        </w:tc>
        <w:tc>
          <w:tcPr>
            <w:tcW w:w="1673"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sz w:val="18"/>
                <w:szCs w:val="18"/>
              </w:rPr>
            </w:pPr>
            <w:r w:rsidRPr="00BD36D2">
              <w:rPr>
                <w:rFonts w:ascii="Garamond" w:hAnsi="Garamond"/>
                <w:sz w:val="18"/>
                <w:szCs w:val="18"/>
              </w:rPr>
              <w:t>20.924.459.901</w:t>
            </w:r>
          </w:p>
        </w:tc>
        <w:tc>
          <w:tcPr>
            <w:tcW w:w="1559"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sz w:val="18"/>
                <w:szCs w:val="18"/>
              </w:rPr>
            </w:pPr>
            <w:r w:rsidRPr="00BD36D2">
              <w:rPr>
                <w:rFonts w:ascii="Garamond" w:hAnsi="Garamond"/>
                <w:sz w:val="18"/>
                <w:szCs w:val="18"/>
              </w:rPr>
              <w:t>28.651.002.503</w:t>
            </w:r>
          </w:p>
        </w:tc>
        <w:tc>
          <w:tcPr>
            <w:tcW w:w="850" w:type="dxa"/>
            <w:shd w:val="clear" w:color="auto" w:fill="DBE5F1" w:themeFill="accent1" w:themeFillTint="33"/>
            <w:vAlign w:val="center"/>
          </w:tcPr>
          <w:p w:rsidR="00BD36D2" w:rsidRPr="00BD36D2" w:rsidRDefault="00BD36D2" w:rsidP="00BD36D2">
            <w:pPr>
              <w:spacing w:after="0" w:line="240" w:lineRule="auto"/>
              <w:jc w:val="center"/>
              <w:rPr>
                <w:rFonts w:ascii="Garamond" w:hAnsi="Garamond"/>
                <w:sz w:val="18"/>
                <w:szCs w:val="18"/>
              </w:rPr>
            </w:pPr>
            <w:r w:rsidRPr="00BD36D2">
              <w:rPr>
                <w:rFonts w:ascii="Garamond" w:hAnsi="Garamond"/>
                <w:sz w:val="18"/>
                <w:szCs w:val="18"/>
              </w:rPr>
              <w:t>36,9%</w:t>
            </w:r>
          </w:p>
        </w:tc>
      </w:tr>
      <w:tr w:rsidR="00BD36D2" w:rsidRPr="00BD36D2" w:rsidTr="00BD36D2">
        <w:trPr>
          <w:trHeight w:val="359"/>
          <w:jc w:val="center"/>
        </w:trPr>
        <w:tc>
          <w:tcPr>
            <w:tcW w:w="2126" w:type="dxa"/>
            <w:shd w:val="clear" w:color="auto" w:fill="DBE5F1" w:themeFill="accent1" w:themeFillTint="33"/>
            <w:vAlign w:val="center"/>
          </w:tcPr>
          <w:p w:rsidR="00BD36D2" w:rsidRPr="00BD36D2" w:rsidRDefault="00BD36D2" w:rsidP="00BD36D2">
            <w:pPr>
              <w:spacing w:after="0" w:line="240" w:lineRule="auto"/>
              <w:rPr>
                <w:rFonts w:ascii="Garamond" w:hAnsi="Garamond"/>
                <w:color w:val="000000"/>
                <w:sz w:val="18"/>
                <w:szCs w:val="18"/>
              </w:rPr>
            </w:pPr>
            <w:r w:rsidRPr="00BD36D2">
              <w:rPr>
                <w:rFonts w:ascii="Garamond" w:hAnsi="Garamond"/>
                <w:color w:val="000000"/>
                <w:sz w:val="18"/>
                <w:szCs w:val="18"/>
              </w:rPr>
              <w:t>Speciale</w:t>
            </w:r>
          </w:p>
        </w:tc>
        <w:tc>
          <w:tcPr>
            <w:tcW w:w="1190"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sz w:val="18"/>
                <w:szCs w:val="18"/>
              </w:rPr>
            </w:pPr>
            <w:r w:rsidRPr="00BD36D2">
              <w:rPr>
                <w:rFonts w:ascii="Garamond" w:hAnsi="Garamond"/>
                <w:sz w:val="18"/>
                <w:szCs w:val="18"/>
              </w:rPr>
              <w:t>7.296</w:t>
            </w:r>
          </w:p>
        </w:tc>
        <w:tc>
          <w:tcPr>
            <w:tcW w:w="1078"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sz w:val="18"/>
                <w:szCs w:val="18"/>
              </w:rPr>
            </w:pPr>
            <w:r w:rsidRPr="00BD36D2">
              <w:rPr>
                <w:rFonts w:ascii="Garamond" w:hAnsi="Garamond"/>
                <w:sz w:val="18"/>
                <w:szCs w:val="18"/>
              </w:rPr>
              <w:t>7.998</w:t>
            </w:r>
          </w:p>
        </w:tc>
        <w:tc>
          <w:tcPr>
            <w:tcW w:w="745" w:type="dxa"/>
            <w:tcBorders>
              <w:right w:val="single" w:sz="8" w:space="0" w:color="7BA0CD"/>
            </w:tcBorders>
            <w:shd w:val="clear" w:color="auto" w:fill="DBE5F1" w:themeFill="accent1" w:themeFillTint="33"/>
            <w:vAlign w:val="center"/>
          </w:tcPr>
          <w:p w:rsidR="00BD36D2" w:rsidRPr="00BD36D2" w:rsidRDefault="00BD36D2" w:rsidP="00BD36D2">
            <w:pPr>
              <w:spacing w:after="0" w:line="240" w:lineRule="auto"/>
              <w:jc w:val="center"/>
              <w:rPr>
                <w:rFonts w:ascii="Garamond" w:hAnsi="Garamond"/>
                <w:sz w:val="18"/>
                <w:szCs w:val="18"/>
              </w:rPr>
            </w:pPr>
            <w:r w:rsidRPr="00BD36D2">
              <w:rPr>
                <w:rFonts w:ascii="Garamond" w:hAnsi="Garamond"/>
                <w:sz w:val="18"/>
                <w:szCs w:val="18"/>
              </w:rPr>
              <w:t>9,6%</w:t>
            </w:r>
          </w:p>
        </w:tc>
        <w:tc>
          <w:tcPr>
            <w:tcW w:w="1673"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sz w:val="18"/>
                <w:szCs w:val="18"/>
              </w:rPr>
            </w:pPr>
            <w:r w:rsidRPr="00BD36D2">
              <w:rPr>
                <w:rFonts w:ascii="Garamond" w:hAnsi="Garamond"/>
                <w:sz w:val="18"/>
                <w:szCs w:val="18"/>
              </w:rPr>
              <w:t>7.938.180.181</w:t>
            </w:r>
          </w:p>
        </w:tc>
        <w:tc>
          <w:tcPr>
            <w:tcW w:w="1559"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sz w:val="18"/>
                <w:szCs w:val="18"/>
              </w:rPr>
            </w:pPr>
            <w:r w:rsidRPr="00BD36D2">
              <w:rPr>
                <w:rFonts w:ascii="Garamond" w:hAnsi="Garamond"/>
                <w:sz w:val="18"/>
                <w:szCs w:val="18"/>
              </w:rPr>
              <w:t>12.234.060.245</w:t>
            </w:r>
          </w:p>
        </w:tc>
        <w:tc>
          <w:tcPr>
            <w:tcW w:w="850" w:type="dxa"/>
            <w:shd w:val="clear" w:color="auto" w:fill="DBE5F1" w:themeFill="accent1" w:themeFillTint="33"/>
            <w:vAlign w:val="center"/>
          </w:tcPr>
          <w:p w:rsidR="00BD36D2" w:rsidRPr="00BD36D2" w:rsidRDefault="00BD36D2" w:rsidP="00BD36D2">
            <w:pPr>
              <w:spacing w:after="0" w:line="240" w:lineRule="auto"/>
              <w:jc w:val="center"/>
              <w:rPr>
                <w:rFonts w:ascii="Garamond" w:hAnsi="Garamond"/>
                <w:sz w:val="18"/>
                <w:szCs w:val="18"/>
              </w:rPr>
            </w:pPr>
            <w:r w:rsidRPr="00BD36D2">
              <w:rPr>
                <w:rFonts w:ascii="Garamond" w:hAnsi="Garamond"/>
                <w:sz w:val="18"/>
                <w:szCs w:val="18"/>
              </w:rPr>
              <w:t>54,1%</w:t>
            </w:r>
          </w:p>
        </w:tc>
      </w:tr>
      <w:tr w:rsidR="00BD36D2" w:rsidRPr="00BD36D2" w:rsidTr="00BD36D2">
        <w:trPr>
          <w:trHeight w:val="359"/>
          <w:jc w:val="center"/>
        </w:trPr>
        <w:tc>
          <w:tcPr>
            <w:tcW w:w="2126" w:type="dxa"/>
            <w:shd w:val="clear" w:color="auto" w:fill="DBE5F1" w:themeFill="accent1" w:themeFillTint="33"/>
            <w:vAlign w:val="center"/>
          </w:tcPr>
          <w:p w:rsidR="00BD36D2" w:rsidRPr="00BD36D2" w:rsidRDefault="00BD36D2" w:rsidP="00BD36D2">
            <w:pPr>
              <w:spacing w:after="0" w:line="240" w:lineRule="auto"/>
              <w:rPr>
                <w:rFonts w:ascii="Garamond" w:hAnsi="Garamond"/>
                <w:b/>
                <w:color w:val="000000"/>
                <w:sz w:val="18"/>
                <w:szCs w:val="18"/>
              </w:rPr>
            </w:pPr>
            <w:r w:rsidRPr="00BD36D2">
              <w:rPr>
                <w:rFonts w:ascii="Garamond" w:hAnsi="Garamond"/>
                <w:b/>
                <w:color w:val="000000"/>
                <w:sz w:val="18"/>
                <w:szCs w:val="18"/>
              </w:rPr>
              <w:t>Totale</w:t>
            </w:r>
          </w:p>
        </w:tc>
        <w:tc>
          <w:tcPr>
            <w:tcW w:w="1190"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b/>
                <w:sz w:val="18"/>
                <w:szCs w:val="18"/>
              </w:rPr>
            </w:pPr>
            <w:r w:rsidRPr="00BD36D2">
              <w:rPr>
                <w:rFonts w:ascii="Garamond" w:hAnsi="Garamond"/>
                <w:b/>
                <w:sz w:val="18"/>
                <w:szCs w:val="18"/>
              </w:rPr>
              <w:fldChar w:fldCharType="begin"/>
            </w:r>
            <w:r w:rsidRPr="00BD36D2">
              <w:rPr>
                <w:rFonts w:ascii="Garamond" w:hAnsi="Garamond"/>
                <w:b/>
                <w:sz w:val="18"/>
                <w:szCs w:val="18"/>
              </w:rPr>
              <w:instrText xml:space="preserve"> =SUM(ABOVE) </w:instrText>
            </w:r>
            <w:r w:rsidRPr="00BD36D2">
              <w:rPr>
                <w:rFonts w:ascii="Garamond" w:hAnsi="Garamond"/>
                <w:b/>
                <w:sz w:val="18"/>
                <w:szCs w:val="18"/>
              </w:rPr>
              <w:fldChar w:fldCharType="separate"/>
            </w:r>
            <w:r w:rsidRPr="00BD36D2">
              <w:rPr>
                <w:rFonts w:ascii="Garamond" w:hAnsi="Garamond"/>
                <w:b/>
                <w:noProof/>
                <w:sz w:val="18"/>
                <w:szCs w:val="18"/>
              </w:rPr>
              <w:t>40.364</w:t>
            </w:r>
            <w:r w:rsidRPr="00BD36D2">
              <w:rPr>
                <w:rFonts w:ascii="Garamond" w:hAnsi="Garamond"/>
                <w:b/>
                <w:sz w:val="18"/>
                <w:szCs w:val="18"/>
              </w:rPr>
              <w:fldChar w:fldCharType="end"/>
            </w:r>
          </w:p>
        </w:tc>
        <w:tc>
          <w:tcPr>
            <w:tcW w:w="1078"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b/>
                <w:sz w:val="18"/>
                <w:szCs w:val="18"/>
              </w:rPr>
            </w:pPr>
            <w:r w:rsidRPr="00BD36D2">
              <w:rPr>
                <w:rFonts w:ascii="Garamond" w:hAnsi="Garamond"/>
                <w:b/>
                <w:sz w:val="18"/>
                <w:szCs w:val="18"/>
              </w:rPr>
              <w:fldChar w:fldCharType="begin"/>
            </w:r>
            <w:r w:rsidRPr="00BD36D2">
              <w:rPr>
                <w:rFonts w:ascii="Garamond" w:hAnsi="Garamond"/>
                <w:b/>
                <w:sz w:val="18"/>
                <w:szCs w:val="18"/>
              </w:rPr>
              <w:instrText xml:space="preserve"> =SUM(ABOVE) </w:instrText>
            </w:r>
            <w:r w:rsidRPr="00BD36D2">
              <w:rPr>
                <w:rFonts w:ascii="Garamond" w:hAnsi="Garamond"/>
                <w:b/>
                <w:sz w:val="18"/>
                <w:szCs w:val="18"/>
              </w:rPr>
              <w:fldChar w:fldCharType="separate"/>
            </w:r>
            <w:r w:rsidRPr="00BD36D2">
              <w:rPr>
                <w:rFonts w:ascii="Garamond" w:hAnsi="Garamond"/>
                <w:b/>
                <w:noProof/>
                <w:sz w:val="18"/>
                <w:szCs w:val="18"/>
              </w:rPr>
              <w:t>43.148</w:t>
            </w:r>
            <w:r w:rsidRPr="00BD36D2">
              <w:rPr>
                <w:rFonts w:ascii="Garamond" w:hAnsi="Garamond"/>
                <w:b/>
                <w:sz w:val="18"/>
                <w:szCs w:val="18"/>
              </w:rPr>
              <w:fldChar w:fldCharType="end"/>
            </w:r>
          </w:p>
        </w:tc>
        <w:tc>
          <w:tcPr>
            <w:tcW w:w="745" w:type="dxa"/>
            <w:tcBorders>
              <w:right w:val="single" w:sz="8" w:space="0" w:color="7BA0CD"/>
            </w:tcBorders>
            <w:shd w:val="clear" w:color="auto" w:fill="DBE5F1" w:themeFill="accent1" w:themeFillTint="33"/>
            <w:vAlign w:val="center"/>
          </w:tcPr>
          <w:p w:rsidR="00BD36D2" w:rsidRPr="00BD36D2" w:rsidRDefault="00BD36D2" w:rsidP="00BD36D2">
            <w:pPr>
              <w:spacing w:after="0" w:line="240" w:lineRule="auto"/>
              <w:jc w:val="center"/>
              <w:rPr>
                <w:rFonts w:ascii="Garamond" w:hAnsi="Garamond"/>
                <w:b/>
                <w:sz w:val="18"/>
                <w:szCs w:val="18"/>
              </w:rPr>
            </w:pPr>
            <w:r w:rsidRPr="00BD36D2">
              <w:rPr>
                <w:rFonts w:ascii="Garamond" w:hAnsi="Garamond"/>
                <w:b/>
                <w:sz w:val="18"/>
                <w:szCs w:val="18"/>
              </w:rPr>
              <w:t>6,9%</w:t>
            </w:r>
          </w:p>
        </w:tc>
        <w:tc>
          <w:tcPr>
            <w:tcW w:w="1673"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b/>
                <w:sz w:val="18"/>
                <w:szCs w:val="18"/>
              </w:rPr>
            </w:pPr>
            <w:r w:rsidRPr="00BD36D2">
              <w:rPr>
                <w:rFonts w:ascii="Garamond" w:hAnsi="Garamond"/>
                <w:b/>
                <w:sz w:val="18"/>
                <w:szCs w:val="18"/>
              </w:rPr>
              <w:fldChar w:fldCharType="begin"/>
            </w:r>
            <w:r w:rsidRPr="00BD36D2">
              <w:rPr>
                <w:rFonts w:ascii="Garamond" w:hAnsi="Garamond"/>
                <w:b/>
                <w:sz w:val="18"/>
                <w:szCs w:val="18"/>
              </w:rPr>
              <w:instrText xml:space="preserve"> =SUM(ABOVE) </w:instrText>
            </w:r>
            <w:r w:rsidRPr="00BD36D2">
              <w:rPr>
                <w:rFonts w:ascii="Garamond" w:hAnsi="Garamond"/>
                <w:b/>
                <w:sz w:val="18"/>
                <w:szCs w:val="18"/>
              </w:rPr>
              <w:fldChar w:fldCharType="separate"/>
            </w:r>
            <w:r w:rsidRPr="00BD36D2">
              <w:rPr>
                <w:rFonts w:ascii="Garamond" w:hAnsi="Garamond"/>
                <w:b/>
                <w:noProof/>
                <w:sz w:val="18"/>
                <w:szCs w:val="18"/>
              </w:rPr>
              <w:t>28.862.640.082</w:t>
            </w:r>
            <w:r w:rsidRPr="00BD36D2">
              <w:rPr>
                <w:rFonts w:ascii="Garamond" w:hAnsi="Garamond"/>
                <w:b/>
                <w:sz w:val="18"/>
                <w:szCs w:val="18"/>
              </w:rPr>
              <w:fldChar w:fldCharType="end"/>
            </w:r>
          </w:p>
        </w:tc>
        <w:tc>
          <w:tcPr>
            <w:tcW w:w="1559"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b/>
                <w:sz w:val="18"/>
                <w:szCs w:val="18"/>
              </w:rPr>
            </w:pPr>
            <w:r w:rsidRPr="00BD36D2">
              <w:rPr>
                <w:rFonts w:ascii="Garamond" w:hAnsi="Garamond"/>
                <w:b/>
                <w:sz w:val="18"/>
                <w:szCs w:val="18"/>
              </w:rPr>
              <w:fldChar w:fldCharType="begin"/>
            </w:r>
            <w:r w:rsidRPr="00BD36D2">
              <w:rPr>
                <w:rFonts w:ascii="Garamond" w:hAnsi="Garamond"/>
                <w:b/>
                <w:sz w:val="18"/>
                <w:szCs w:val="18"/>
              </w:rPr>
              <w:instrText xml:space="preserve"> =SUM(ABOVE) </w:instrText>
            </w:r>
            <w:r w:rsidRPr="00BD36D2">
              <w:rPr>
                <w:rFonts w:ascii="Garamond" w:hAnsi="Garamond"/>
                <w:b/>
                <w:sz w:val="18"/>
                <w:szCs w:val="18"/>
              </w:rPr>
              <w:fldChar w:fldCharType="separate"/>
            </w:r>
            <w:r w:rsidRPr="00BD36D2">
              <w:rPr>
                <w:rFonts w:ascii="Garamond" w:hAnsi="Garamond"/>
                <w:b/>
                <w:noProof/>
                <w:sz w:val="18"/>
                <w:szCs w:val="18"/>
              </w:rPr>
              <w:t>40.885.062.748</w:t>
            </w:r>
            <w:r w:rsidRPr="00BD36D2">
              <w:rPr>
                <w:rFonts w:ascii="Garamond" w:hAnsi="Garamond"/>
                <w:b/>
                <w:sz w:val="18"/>
                <w:szCs w:val="18"/>
              </w:rPr>
              <w:fldChar w:fldCharType="end"/>
            </w:r>
          </w:p>
        </w:tc>
        <w:tc>
          <w:tcPr>
            <w:tcW w:w="850" w:type="dxa"/>
            <w:shd w:val="clear" w:color="auto" w:fill="DBE5F1" w:themeFill="accent1" w:themeFillTint="33"/>
            <w:vAlign w:val="center"/>
          </w:tcPr>
          <w:p w:rsidR="00BD36D2" w:rsidRPr="00BD36D2" w:rsidRDefault="00BD36D2" w:rsidP="00BD36D2">
            <w:pPr>
              <w:spacing w:after="0" w:line="240" w:lineRule="auto"/>
              <w:jc w:val="center"/>
              <w:rPr>
                <w:rFonts w:ascii="Garamond" w:hAnsi="Garamond"/>
                <w:b/>
                <w:sz w:val="18"/>
                <w:szCs w:val="18"/>
              </w:rPr>
            </w:pPr>
            <w:r w:rsidRPr="00BD36D2">
              <w:rPr>
                <w:rFonts w:ascii="Garamond" w:hAnsi="Garamond"/>
                <w:b/>
                <w:sz w:val="18"/>
                <w:szCs w:val="18"/>
              </w:rPr>
              <w:t>41,7%</w:t>
            </w:r>
          </w:p>
        </w:tc>
      </w:tr>
    </w:tbl>
    <w:p w:rsidR="00BD36D2" w:rsidRPr="00BD36D2" w:rsidRDefault="00BD36D2" w:rsidP="00BD36D2">
      <w:pPr>
        <w:spacing w:before="120"/>
        <w:rPr>
          <w:rFonts w:ascii="Garamond" w:hAnsi="Garamond"/>
          <w:i/>
          <w:sz w:val="20"/>
          <w:szCs w:val="20"/>
        </w:rPr>
      </w:pPr>
    </w:p>
    <w:p w:rsidR="00BD36D2" w:rsidRPr="00BD36D2" w:rsidRDefault="00BD36D2" w:rsidP="00BD36D2">
      <w:pPr>
        <w:jc w:val="center"/>
        <w:rPr>
          <w:rFonts w:ascii="Garamond" w:eastAsia="Calibri" w:hAnsi="Garamond"/>
        </w:rPr>
      </w:pPr>
      <w:r w:rsidRPr="00BD36D2">
        <w:rPr>
          <w:rFonts w:ascii="Garamond" w:eastAsia="Calibri" w:hAnsi="Garamond"/>
          <w:b/>
        </w:rPr>
        <w:t xml:space="preserve">Tabella 13 - </w:t>
      </w:r>
      <w:r w:rsidRPr="00BD36D2">
        <w:rPr>
          <w:rFonts w:ascii="Garamond" w:eastAsia="Calibri" w:hAnsi="Garamond"/>
        </w:rPr>
        <w:t>Analisi comparata della domanda complessiva generata dagli appalti pubblici, per tipologia di contratto, settori ordinari, nei periodi gennaio - aprile 2017 / gennaio - aprile 2018</w:t>
      </w:r>
    </w:p>
    <w:tbl>
      <w:tblPr>
        <w:tblW w:w="9221" w:type="dxa"/>
        <w:jc w:val="cente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2126"/>
        <w:gridCol w:w="1190"/>
        <w:gridCol w:w="1078"/>
        <w:gridCol w:w="745"/>
        <w:gridCol w:w="1673"/>
        <w:gridCol w:w="1559"/>
        <w:gridCol w:w="850"/>
      </w:tblGrid>
      <w:tr w:rsidR="00BD36D2" w:rsidRPr="00BD36D2" w:rsidTr="00BD36D2">
        <w:trPr>
          <w:trHeight w:val="447"/>
          <w:jc w:val="center"/>
        </w:trPr>
        <w:tc>
          <w:tcPr>
            <w:tcW w:w="2126" w:type="dxa"/>
            <w:vMerge w:val="restart"/>
            <w:shd w:val="clear" w:color="auto" w:fill="365F91"/>
            <w:vAlign w:val="center"/>
          </w:tcPr>
          <w:p w:rsidR="00BD36D2" w:rsidRPr="00BD36D2" w:rsidRDefault="00BD36D2" w:rsidP="00BD36D2">
            <w:pPr>
              <w:spacing w:after="0" w:line="240" w:lineRule="auto"/>
              <w:jc w:val="center"/>
              <w:rPr>
                <w:rFonts w:ascii="Garamond" w:eastAsia="Calibri" w:hAnsi="Garamond"/>
                <w:b/>
                <w:bCs/>
                <w:color w:val="FFFFFF"/>
                <w:sz w:val="20"/>
                <w:szCs w:val="20"/>
              </w:rPr>
            </w:pPr>
            <w:r w:rsidRPr="00BD36D2">
              <w:rPr>
                <w:rFonts w:ascii="Garamond" w:hAnsi="Garamond"/>
                <w:b/>
                <w:bCs/>
                <w:color w:val="FFFFFF"/>
                <w:sz w:val="20"/>
                <w:szCs w:val="20"/>
              </w:rPr>
              <w:t>Settore Ordinario</w:t>
            </w:r>
          </w:p>
        </w:tc>
        <w:tc>
          <w:tcPr>
            <w:tcW w:w="3013" w:type="dxa"/>
            <w:gridSpan w:val="3"/>
            <w:tcBorders>
              <w:right w:val="single" w:sz="8" w:space="0" w:color="7BA0CD"/>
            </w:tcBorders>
            <w:shd w:val="clear" w:color="auto" w:fill="365F91"/>
            <w:vAlign w:val="center"/>
          </w:tcPr>
          <w:p w:rsidR="00BD36D2" w:rsidRPr="00BD36D2" w:rsidRDefault="00BD36D2" w:rsidP="00BD36D2">
            <w:pPr>
              <w:spacing w:after="0" w:line="240" w:lineRule="auto"/>
              <w:jc w:val="center"/>
              <w:rPr>
                <w:rFonts w:ascii="Garamond" w:eastAsia="Calibri" w:hAnsi="Garamond"/>
                <w:b/>
                <w:bCs/>
                <w:color w:val="FFFFFF"/>
                <w:sz w:val="20"/>
                <w:szCs w:val="20"/>
              </w:rPr>
            </w:pPr>
            <w:r w:rsidRPr="00BD36D2">
              <w:rPr>
                <w:rFonts w:ascii="Garamond" w:hAnsi="Garamond"/>
                <w:b/>
                <w:color w:val="FFFFFF"/>
                <w:sz w:val="20"/>
                <w:szCs w:val="20"/>
              </w:rPr>
              <w:t>Totale CIG perfezionati</w:t>
            </w:r>
          </w:p>
        </w:tc>
        <w:tc>
          <w:tcPr>
            <w:tcW w:w="4082" w:type="dxa"/>
            <w:gridSpan w:val="3"/>
            <w:shd w:val="clear" w:color="auto" w:fill="365F91"/>
            <w:vAlign w:val="center"/>
          </w:tcPr>
          <w:p w:rsidR="00BD36D2" w:rsidRPr="00BD36D2" w:rsidRDefault="00BD36D2" w:rsidP="00BD36D2">
            <w:pPr>
              <w:spacing w:after="0" w:line="240" w:lineRule="auto"/>
              <w:jc w:val="center"/>
              <w:rPr>
                <w:rFonts w:ascii="Garamond" w:eastAsia="Calibri" w:hAnsi="Garamond"/>
                <w:b/>
                <w:bCs/>
                <w:color w:val="FFFFFF"/>
                <w:sz w:val="20"/>
                <w:szCs w:val="20"/>
              </w:rPr>
            </w:pPr>
            <w:r w:rsidRPr="00BD36D2">
              <w:rPr>
                <w:rFonts w:ascii="Garamond" w:hAnsi="Garamond"/>
                <w:b/>
                <w:color w:val="FFFFFF"/>
                <w:sz w:val="20"/>
                <w:szCs w:val="20"/>
              </w:rPr>
              <w:t>Importo complessivo</w:t>
            </w:r>
          </w:p>
        </w:tc>
      </w:tr>
      <w:tr w:rsidR="00BD36D2" w:rsidRPr="00BD36D2" w:rsidTr="00BD36D2">
        <w:trPr>
          <w:cantSplit/>
          <w:trHeight w:val="447"/>
          <w:jc w:val="center"/>
        </w:trPr>
        <w:tc>
          <w:tcPr>
            <w:tcW w:w="2126" w:type="dxa"/>
            <w:vMerge/>
            <w:tcBorders>
              <w:bottom w:val="single" w:sz="8" w:space="0" w:color="7BA0CD"/>
            </w:tcBorders>
            <w:shd w:val="clear" w:color="auto" w:fill="365F91"/>
            <w:vAlign w:val="center"/>
          </w:tcPr>
          <w:p w:rsidR="00BD36D2" w:rsidRPr="00BD36D2" w:rsidRDefault="00BD36D2" w:rsidP="00BD36D2">
            <w:pPr>
              <w:spacing w:after="0" w:line="240" w:lineRule="auto"/>
              <w:jc w:val="center"/>
              <w:rPr>
                <w:rFonts w:ascii="Garamond" w:eastAsia="Calibri" w:hAnsi="Garamond"/>
                <w:b/>
                <w:bCs/>
                <w:color w:val="FFFFFF"/>
                <w:sz w:val="20"/>
                <w:szCs w:val="20"/>
              </w:rPr>
            </w:pPr>
          </w:p>
        </w:tc>
        <w:tc>
          <w:tcPr>
            <w:tcW w:w="1190" w:type="dxa"/>
            <w:tcBorders>
              <w:bottom w:val="single" w:sz="8" w:space="0" w:color="7BA0CD"/>
            </w:tcBorders>
            <w:shd w:val="clear" w:color="auto" w:fill="365F91"/>
            <w:vAlign w:val="center"/>
          </w:tcPr>
          <w:p w:rsidR="00BD36D2" w:rsidRPr="00BD36D2" w:rsidRDefault="00BD36D2" w:rsidP="00BD36D2">
            <w:pPr>
              <w:spacing w:after="0" w:line="240" w:lineRule="auto"/>
              <w:jc w:val="center"/>
              <w:rPr>
                <w:rFonts w:ascii="Garamond" w:hAnsi="Garamond"/>
                <w:b/>
                <w:bCs/>
                <w:color w:val="FFFFFF"/>
                <w:sz w:val="20"/>
                <w:szCs w:val="20"/>
              </w:rPr>
            </w:pPr>
            <w:proofErr w:type="spellStart"/>
            <w:r w:rsidRPr="00BD36D2">
              <w:rPr>
                <w:rFonts w:ascii="Garamond" w:eastAsia="Times New Roman" w:hAnsi="Garamond" w:cs="Times New Roman"/>
                <w:bCs/>
                <w:color w:val="FFFFFF"/>
                <w:sz w:val="20"/>
                <w:szCs w:val="20"/>
                <w:lang w:eastAsia="it-IT"/>
              </w:rPr>
              <w:t>Gen</w:t>
            </w:r>
            <w:proofErr w:type="spellEnd"/>
            <w:r w:rsidRPr="00BD36D2">
              <w:rPr>
                <w:rFonts w:ascii="Garamond" w:eastAsia="Times New Roman" w:hAnsi="Garamond" w:cs="Times New Roman"/>
                <w:bCs/>
                <w:color w:val="FFFFFF"/>
                <w:sz w:val="20"/>
                <w:szCs w:val="20"/>
                <w:lang w:eastAsia="it-IT"/>
              </w:rPr>
              <w:t xml:space="preserve"> - </w:t>
            </w:r>
            <w:proofErr w:type="spellStart"/>
            <w:r w:rsidRPr="00BD36D2">
              <w:rPr>
                <w:rFonts w:ascii="Garamond" w:eastAsia="Times New Roman" w:hAnsi="Garamond" w:cs="Times New Roman"/>
                <w:bCs/>
                <w:color w:val="FFFFFF"/>
                <w:sz w:val="20"/>
                <w:szCs w:val="20"/>
                <w:lang w:eastAsia="it-IT"/>
              </w:rPr>
              <w:t>Apr</w:t>
            </w:r>
            <w:proofErr w:type="spellEnd"/>
            <w:r w:rsidRPr="00BD36D2">
              <w:rPr>
                <w:rFonts w:ascii="Garamond" w:eastAsia="Times New Roman" w:hAnsi="Garamond" w:cs="Times New Roman"/>
                <w:bCs/>
                <w:color w:val="FFFFFF"/>
                <w:sz w:val="20"/>
                <w:szCs w:val="20"/>
                <w:lang w:eastAsia="it-IT"/>
              </w:rPr>
              <w:t xml:space="preserve"> 2017</w:t>
            </w:r>
          </w:p>
        </w:tc>
        <w:tc>
          <w:tcPr>
            <w:tcW w:w="1078" w:type="dxa"/>
            <w:tcBorders>
              <w:bottom w:val="single" w:sz="8" w:space="0" w:color="7BA0CD"/>
            </w:tcBorders>
            <w:shd w:val="clear" w:color="auto" w:fill="365F91"/>
            <w:vAlign w:val="center"/>
          </w:tcPr>
          <w:p w:rsidR="00BD36D2" w:rsidRPr="00BD36D2" w:rsidRDefault="00BD36D2" w:rsidP="00BD36D2">
            <w:pPr>
              <w:spacing w:after="0" w:line="240" w:lineRule="auto"/>
              <w:jc w:val="center"/>
              <w:rPr>
                <w:rFonts w:ascii="Garamond" w:hAnsi="Garamond"/>
                <w:b/>
                <w:bCs/>
                <w:color w:val="FFFFFF"/>
                <w:sz w:val="20"/>
                <w:szCs w:val="20"/>
              </w:rPr>
            </w:pPr>
            <w:proofErr w:type="spellStart"/>
            <w:r w:rsidRPr="00BD36D2">
              <w:rPr>
                <w:rFonts w:ascii="Garamond" w:eastAsia="Times New Roman" w:hAnsi="Garamond" w:cs="Times New Roman"/>
                <w:bCs/>
                <w:color w:val="FFFFFF"/>
                <w:sz w:val="20"/>
                <w:szCs w:val="20"/>
                <w:lang w:eastAsia="it-IT"/>
              </w:rPr>
              <w:t>Gen</w:t>
            </w:r>
            <w:proofErr w:type="spellEnd"/>
            <w:r w:rsidRPr="00BD36D2">
              <w:rPr>
                <w:rFonts w:ascii="Garamond" w:eastAsia="Times New Roman" w:hAnsi="Garamond" w:cs="Times New Roman"/>
                <w:bCs/>
                <w:color w:val="FFFFFF"/>
                <w:sz w:val="20"/>
                <w:szCs w:val="20"/>
                <w:lang w:eastAsia="it-IT"/>
              </w:rPr>
              <w:t xml:space="preserve"> - </w:t>
            </w:r>
            <w:proofErr w:type="spellStart"/>
            <w:r w:rsidRPr="00BD36D2">
              <w:rPr>
                <w:rFonts w:ascii="Garamond" w:eastAsia="Times New Roman" w:hAnsi="Garamond" w:cs="Times New Roman"/>
                <w:bCs/>
                <w:color w:val="FFFFFF"/>
                <w:sz w:val="20"/>
                <w:szCs w:val="20"/>
                <w:lang w:eastAsia="it-IT"/>
              </w:rPr>
              <w:t>Apr</w:t>
            </w:r>
            <w:proofErr w:type="spellEnd"/>
            <w:r w:rsidRPr="00BD36D2">
              <w:rPr>
                <w:rFonts w:ascii="Garamond" w:eastAsia="Times New Roman" w:hAnsi="Garamond" w:cs="Times New Roman"/>
                <w:bCs/>
                <w:color w:val="FFFFFF"/>
                <w:sz w:val="20"/>
                <w:szCs w:val="20"/>
                <w:lang w:eastAsia="it-IT"/>
              </w:rPr>
              <w:t xml:space="preserve"> 2018</w:t>
            </w:r>
          </w:p>
        </w:tc>
        <w:tc>
          <w:tcPr>
            <w:tcW w:w="745" w:type="dxa"/>
            <w:tcBorders>
              <w:bottom w:val="single" w:sz="8" w:space="0" w:color="7BA0CD"/>
              <w:right w:val="single" w:sz="8" w:space="0" w:color="7BA0CD"/>
            </w:tcBorders>
            <w:shd w:val="clear" w:color="auto" w:fill="365F91"/>
            <w:vAlign w:val="center"/>
          </w:tcPr>
          <w:p w:rsidR="00BD36D2" w:rsidRPr="00BD36D2" w:rsidRDefault="00BD36D2" w:rsidP="00BD36D2">
            <w:pPr>
              <w:spacing w:after="0" w:line="240" w:lineRule="auto"/>
              <w:jc w:val="center"/>
              <w:rPr>
                <w:rFonts w:ascii="Garamond" w:hAnsi="Garamond"/>
                <w:color w:val="FFFFFF"/>
                <w:sz w:val="20"/>
                <w:szCs w:val="20"/>
              </w:rPr>
            </w:pPr>
            <w:r w:rsidRPr="00BD36D2">
              <w:rPr>
                <w:rFonts w:ascii="Garamond" w:hAnsi="Garamond"/>
                <w:color w:val="FFFFFF"/>
                <w:sz w:val="20"/>
                <w:szCs w:val="20"/>
              </w:rPr>
              <w:t xml:space="preserve">Δ </w:t>
            </w:r>
          </w:p>
        </w:tc>
        <w:tc>
          <w:tcPr>
            <w:tcW w:w="1673" w:type="dxa"/>
            <w:tcBorders>
              <w:bottom w:val="single" w:sz="8" w:space="0" w:color="7BA0CD"/>
            </w:tcBorders>
            <w:shd w:val="clear" w:color="auto" w:fill="365F91"/>
            <w:vAlign w:val="center"/>
          </w:tcPr>
          <w:p w:rsidR="00BD36D2" w:rsidRPr="00BD36D2" w:rsidRDefault="00BD36D2" w:rsidP="00BD36D2">
            <w:pPr>
              <w:spacing w:after="0" w:line="240" w:lineRule="auto"/>
              <w:jc w:val="center"/>
              <w:rPr>
                <w:rFonts w:ascii="Garamond" w:hAnsi="Garamond"/>
                <w:color w:val="FFFFFF"/>
                <w:sz w:val="20"/>
                <w:szCs w:val="20"/>
              </w:rPr>
            </w:pPr>
            <w:proofErr w:type="spellStart"/>
            <w:r w:rsidRPr="00BD36D2">
              <w:rPr>
                <w:rFonts w:ascii="Garamond" w:eastAsia="Times New Roman" w:hAnsi="Garamond" w:cs="Times New Roman"/>
                <w:bCs/>
                <w:color w:val="FFFFFF"/>
                <w:sz w:val="20"/>
                <w:szCs w:val="20"/>
                <w:lang w:eastAsia="it-IT"/>
              </w:rPr>
              <w:t>Gen</w:t>
            </w:r>
            <w:proofErr w:type="spellEnd"/>
            <w:r w:rsidRPr="00BD36D2">
              <w:rPr>
                <w:rFonts w:ascii="Garamond" w:eastAsia="Times New Roman" w:hAnsi="Garamond" w:cs="Times New Roman"/>
                <w:bCs/>
                <w:color w:val="FFFFFF"/>
                <w:sz w:val="20"/>
                <w:szCs w:val="20"/>
                <w:lang w:eastAsia="it-IT"/>
              </w:rPr>
              <w:t xml:space="preserve"> - </w:t>
            </w:r>
            <w:proofErr w:type="spellStart"/>
            <w:r w:rsidRPr="00BD36D2">
              <w:rPr>
                <w:rFonts w:ascii="Garamond" w:eastAsia="Times New Roman" w:hAnsi="Garamond" w:cs="Times New Roman"/>
                <w:bCs/>
                <w:color w:val="FFFFFF"/>
                <w:sz w:val="20"/>
                <w:szCs w:val="20"/>
                <w:lang w:eastAsia="it-IT"/>
              </w:rPr>
              <w:t>Apr</w:t>
            </w:r>
            <w:proofErr w:type="spellEnd"/>
            <w:r w:rsidRPr="00BD36D2">
              <w:rPr>
                <w:rFonts w:ascii="Garamond" w:eastAsia="Times New Roman" w:hAnsi="Garamond" w:cs="Times New Roman"/>
                <w:bCs/>
                <w:color w:val="FFFFFF"/>
                <w:sz w:val="20"/>
                <w:szCs w:val="20"/>
                <w:lang w:eastAsia="it-IT"/>
              </w:rPr>
              <w:t xml:space="preserve"> 2017</w:t>
            </w:r>
            <w:r w:rsidRPr="00BD36D2">
              <w:rPr>
                <w:rFonts w:ascii="Garamond" w:hAnsi="Garamond"/>
                <w:color w:val="FFFFFF"/>
                <w:sz w:val="20"/>
                <w:szCs w:val="20"/>
              </w:rPr>
              <w:t xml:space="preserve"> (valore in euro)</w:t>
            </w:r>
          </w:p>
        </w:tc>
        <w:tc>
          <w:tcPr>
            <w:tcW w:w="1559" w:type="dxa"/>
            <w:tcBorders>
              <w:bottom w:val="single" w:sz="8" w:space="0" w:color="7BA0CD"/>
            </w:tcBorders>
            <w:shd w:val="clear" w:color="auto" w:fill="365F91"/>
            <w:vAlign w:val="center"/>
          </w:tcPr>
          <w:p w:rsidR="00BD36D2" w:rsidRPr="00BD36D2" w:rsidRDefault="00BD36D2" w:rsidP="00BD36D2">
            <w:pPr>
              <w:spacing w:after="0" w:line="240" w:lineRule="auto"/>
              <w:jc w:val="center"/>
              <w:rPr>
                <w:rFonts w:ascii="Garamond" w:hAnsi="Garamond"/>
                <w:color w:val="FFFFFF"/>
                <w:sz w:val="20"/>
                <w:szCs w:val="20"/>
              </w:rPr>
            </w:pPr>
            <w:proofErr w:type="spellStart"/>
            <w:r w:rsidRPr="00BD36D2">
              <w:rPr>
                <w:rFonts w:ascii="Garamond" w:eastAsia="Times New Roman" w:hAnsi="Garamond" w:cs="Times New Roman"/>
                <w:bCs/>
                <w:color w:val="FFFFFF"/>
                <w:sz w:val="20"/>
                <w:szCs w:val="20"/>
                <w:lang w:eastAsia="it-IT"/>
              </w:rPr>
              <w:t>Gen</w:t>
            </w:r>
            <w:proofErr w:type="spellEnd"/>
            <w:r w:rsidRPr="00BD36D2">
              <w:rPr>
                <w:rFonts w:ascii="Garamond" w:eastAsia="Times New Roman" w:hAnsi="Garamond" w:cs="Times New Roman"/>
                <w:bCs/>
                <w:color w:val="FFFFFF"/>
                <w:sz w:val="20"/>
                <w:szCs w:val="20"/>
                <w:lang w:eastAsia="it-IT"/>
              </w:rPr>
              <w:t xml:space="preserve"> - </w:t>
            </w:r>
            <w:proofErr w:type="spellStart"/>
            <w:r w:rsidRPr="00BD36D2">
              <w:rPr>
                <w:rFonts w:ascii="Garamond" w:eastAsia="Times New Roman" w:hAnsi="Garamond" w:cs="Times New Roman"/>
                <w:bCs/>
                <w:color w:val="FFFFFF"/>
                <w:sz w:val="20"/>
                <w:szCs w:val="20"/>
                <w:lang w:eastAsia="it-IT"/>
              </w:rPr>
              <w:t>Apr</w:t>
            </w:r>
            <w:proofErr w:type="spellEnd"/>
            <w:r w:rsidRPr="00BD36D2">
              <w:rPr>
                <w:rFonts w:ascii="Garamond" w:eastAsia="Times New Roman" w:hAnsi="Garamond" w:cs="Times New Roman"/>
                <w:bCs/>
                <w:color w:val="FFFFFF"/>
                <w:sz w:val="20"/>
                <w:szCs w:val="20"/>
                <w:lang w:eastAsia="it-IT"/>
              </w:rPr>
              <w:t xml:space="preserve"> 2018</w:t>
            </w:r>
            <w:r w:rsidRPr="00BD36D2">
              <w:rPr>
                <w:rFonts w:ascii="Garamond" w:hAnsi="Garamond"/>
                <w:color w:val="FFFFFF"/>
                <w:sz w:val="20"/>
                <w:szCs w:val="20"/>
              </w:rPr>
              <w:t xml:space="preserve"> (valore in euro)</w:t>
            </w:r>
          </w:p>
        </w:tc>
        <w:tc>
          <w:tcPr>
            <w:tcW w:w="850" w:type="dxa"/>
            <w:tcBorders>
              <w:bottom w:val="single" w:sz="8" w:space="0" w:color="7BA0CD"/>
            </w:tcBorders>
            <w:shd w:val="clear" w:color="auto" w:fill="365F91"/>
            <w:vAlign w:val="center"/>
          </w:tcPr>
          <w:p w:rsidR="00BD36D2" w:rsidRPr="00BD36D2" w:rsidRDefault="00BD36D2" w:rsidP="00BD36D2">
            <w:pPr>
              <w:spacing w:after="0" w:line="240" w:lineRule="auto"/>
              <w:jc w:val="center"/>
              <w:rPr>
                <w:rFonts w:ascii="Garamond" w:hAnsi="Garamond"/>
                <w:b/>
                <w:bCs/>
                <w:color w:val="FFFFFF"/>
                <w:sz w:val="20"/>
                <w:szCs w:val="20"/>
              </w:rPr>
            </w:pPr>
            <w:r w:rsidRPr="00BD36D2">
              <w:rPr>
                <w:rFonts w:ascii="Garamond" w:hAnsi="Garamond"/>
                <w:color w:val="FFFFFF"/>
                <w:sz w:val="20"/>
                <w:szCs w:val="20"/>
              </w:rPr>
              <w:t>Δ</w:t>
            </w:r>
          </w:p>
        </w:tc>
      </w:tr>
      <w:tr w:rsidR="00BD36D2" w:rsidRPr="00BD36D2" w:rsidTr="00BD36D2">
        <w:trPr>
          <w:trHeight w:val="359"/>
          <w:jc w:val="center"/>
        </w:trPr>
        <w:tc>
          <w:tcPr>
            <w:tcW w:w="2126" w:type="dxa"/>
            <w:shd w:val="clear" w:color="auto" w:fill="DBE5F1" w:themeFill="accent1" w:themeFillTint="33"/>
            <w:vAlign w:val="center"/>
          </w:tcPr>
          <w:p w:rsidR="00BD36D2" w:rsidRPr="00BD36D2" w:rsidRDefault="00BD36D2" w:rsidP="00BD36D2">
            <w:pPr>
              <w:spacing w:after="0" w:line="240" w:lineRule="auto"/>
              <w:rPr>
                <w:rFonts w:ascii="Garamond" w:hAnsi="Garamond"/>
                <w:color w:val="000000"/>
                <w:sz w:val="18"/>
                <w:szCs w:val="18"/>
              </w:rPr>
            </w:pPr>
            <w:r w:rsidRPr="00BD36D2">
              <w:rPr>
                <w:rFonts w:ascii="Garamond" w:hAnsi="Garamond"/>
                <w:color w:val="000000"/>
                <w:sz w:val="18"/>
                <w:szCs w:val="18"/>
              </w:rPr>
              <w:t>Forniture</w:t>
            </w:r>
          </w:p>
        </w:tc>
        <w:tc>
          <w:tcPr>
            <w:tcW w:w="1190"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sz w:val="18"/>
                <w:szCs w:val="18"/>
              </w:rPr>
            </w:pPr>
            <w:r w:rsidRPr="00BD36D2">
              <w:rPr>
                <w:rFonts w:ascii="Garamond" w:hAnsi="Garamond"/>
                <w:sz w:val="18"/>
                <w:szCs w:val="18"/>
              </w:rPr>
              <w:t>11.181</w:t>
            </w:r>
          </w:p>
        </w:tc>
        <w:tc>
          <w:tcPr>
            <w:tcW w:w="1078"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sz w:val="18"/>
                <w:szCs w:val="18"/>
              </w:rPr>
            </w:pPr>
            <w:r w:rsidRPr="00BD36D2">
              <w:rPr>
                <w:rFonts w:ascii="Garamond" w:hAnsi="Garamond"/>
                <w:sz w:val="18"/>
                <w:szCs w:val="18"/>
              </w:rPr>
              <w:t>12.871</w:t>
            </w:r>
          </w:p>
        </w:tc>
        <w:tc>
          <w:tcPr>
            <w:tcW w:w="745" w:type="dxa"/>
            <w:tcBorders>
              <w:right w:val="single" w:sz="8" w:space="0" w:color="7BA0CD"/>
            </w:tcBorders>
            <w:shd w:val="clear" w:color="auto" w:fill="DBE5F1" w:themeFill="accent1" w:themeFillTint="33"/>
            <w:vAlign w:val="center"/>
          </w:tcPr>
          <w:p w:rsidR="00BD36D2" w:rsidRPr="00BD36D2" w:rsidRDefault="00BD36D2" w:rsidP="00BD36D2">
            <w:pPr>
              <w:spacing w:after="0" w:line="240" w:lineRule="auto"/>
              <w:jc w:val="center"/>
              <w:rPr>
                <w:rFonts w:ascii="Garamond" w:hAnsi="Garamond"/>
                <w:sz w:val="18"/>
                <w:szCs w:val="18"/>
              </w:rPr>
            </w:pPr>
            <w:r w:rsidRPr="00BD36D2">
              <w:rPr>
                <w:rFonts w:ascii="Garamond" w:hAnsi="Garamond"/>
                <w:sz w:val="18"/>
                <w:szCs w:val="18"/>
              </w:rPr>
              <w:t>15,1%</w:t>
            </w:r>
          </w:p>
        </w:tc>
        <w:tc>
          <w:tcPr>
            <w:tcW w:w="1673"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sz w:val="18"/>
                <w:szCs w:val="18"/>
              </w:rPr>
            </w:pPr>
            <w:r w:rsidRPr="00BD36D2">
              <w:rPr>
                <w:rFonts w:ascii="Garamond" w:hAnsi="Garamond"/>
                <w:sz w:val="18"/>
                <w:szCs w:val="18"/>
              </w:rPr>
              <w:t>6.853.256.162</w:t>
            </w:r>
          </w:p>
        </w:tc>
        <w:tc>
          <w:tcPr>
            <w:tcW w:w="1559"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sz w:val="18"/>
                <w:szCs w:val="18"/>
              </w:rPr>
            </w:pPr>
            <w:r w:rsidRPr="00BD36D2">
              <w:rPr>
                <w:rFonts w:ascii="Garamond" w:hAnsi="Garamond"/>
                <w:sz w:val="18"/>
                <w:szCs w:val="18"/>
              </w:rPr>
              <w:t>8.299.119.081</w:t>
            </w:r>
          </w:p>
        </w:tc>
        <w:tc>
          <w:tcPr>
            <w:tcW w:w="850" w:type="dxa"/>
            <w:shd w:val="clear" w:color="auto" w:fill="DBE5F1" w:themeFill="accent1" w:themeFillTint="33"/>
            <w:vAlign w:val="center"/>
          </w:tcPr>
          <w:p w:rsidR="00BD36D2" w:rsidRPr="00BD36D2" w:rsidRDefault="00BD36D2" w:rsidP="00BD36D2">
            <w:pPr>
              <w:spacing w:after="0" w:line="240" w:lineRule="auto"/>
              <w:jc w:val="center"/>
              <w:rPr>
                <w:rFonts w:ascii="Garamond" w:hAnsi="Garamond"/>
                <w:sz w:val="18"/>
                <w:szCs w:val="18"/>
              </w:rPr>
            </w:pPr>
            <w:r w:rsidRPr="00BD36D2">
              <w:rPr>
                <w:rFonts w:ascii="Garamond" w:hAnsi="Garamond"/>
                <w:sz w:val="18"/>
                <w:szCs w:val="18"/>
              </w:rPr>
              <w:t>21,1%</w:t>
            </w:r>
          </w:p>
        </w:tc>
      </w:tr>
      <w:tr w:rsidR="00BD36D2" w:rsidRPr="00BD36D2" w:rsidTr="00BD36D2">
        <w:trPr>
          <w:trHeight w:val="359"/>
          <w:jc w:val="center"/>
        </w:trPr>
        <w:tc>
          <w:tcPr>
            <w:tcW w:w="2126" w:type="dxa"/>
            <w:shd w:val="clear" w:color="auto" w:fill="DBE5F1" w:themeFill="accent1" w:themeFillTint="33"/>
            <w:vAlign w:val="center"/>
          </w:tcPr>
          <w:p w:rsidR="00BD36D2" w:rsidRPr="00BD36D2" w:rsidRDefault="00BD36D2" w:rsidP="00BD36D2">
            <w:pPr>
              <w:spacing w:after="0" w:line="240" w:lineRule="auto"/>
              <w:rPr>
                <w:rFonts w:ascii="Garamond" w:hAnsi="Garamond"/>
                <w:color w:val="000000"/>
                <w:sz w:val="18"/>
                <w:szCs w:val="18"/>
              </w:rPr>
            </w:pPr>
            <w:r w:rsidRPr="00BD36D2">
              <w:rPr>
                <w:rFonts w:ascii="Garamond" w:hAnsi="Garamond"/>
                <w:color w:val="000000"/>
                <w:sz w:val="18"/>
                <w:szCs w:val="18"/>
              </w:rPr>
              <w:t>Lavori</w:t>
            </w:r>
          </w:p>
        </w:tc>
        <w:tc>
          <w:tcPr>
            <w:tcW w:w="1190"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sz w:val="18"/>
                <w:szCs w:val="18"/>
              </w:rPr>
            </w:pPr>
            <w:r w:rsidRPr="00BD36D2">
              <w:rPr>
                <w:rFonts w:ascii="Garamond" w:hAnsi="Garamond"/>
                <w:sz w:val="18"/>
                <w:szCs w:val="18"/>
              </w:rPr>
              <w:t>6.898</w:t>
            </w:r>
          </w:p>
        </w:tc>
        <w:tc>
          <w:tcPr>
            <w:tcW w:w="1078"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sz w:val="18"/>
                <w:szCs w:val="18"/>
              </w:rPr>
            </w:pPr>
            <w:r w:rsidRPr="00BD36D2">
              <w:rPr>
                <w:rFonts w:ascii="Garamond" w:hAnsi="Garamond"/>
                <w:sz w:val="18"/>
                <w:szCs w:val="18"/>
              </w:rPr>
              <w:t>7.750</w:t>
            </w:r>
          </w:p>
        </w:tc>
        <w:tc>
          <w:tcPr>
            <w:tcW w:w="745" w:type="dxa"/>
            <w:tcBorders>
              <w:right w:val="single" w:sz="8" w:space="0" w:color="7BA0CD"/>
            </w:tcBorders>
            <w:shd w:val="clear" w:color="auto" w:fill="DBE5F1" w:themeFill="accent1" w:themeFillTint="33"/>
            <w:vAlign w:val="center"/>
          </w:tcPr>
          <w:p w:rsidR="00BD36D2" w:rsidRPr="00BD36D2" w:rsidRDefault="00BD36D2" w:rsidP="00BD36D2">
            <w:pPr>
              <w:spacing w:after="0" w:line="240" w:lineRule="auto"/>
              <w:jc w:val="center"/>
              <w:rPr>
                <w:rFonts w:ascii="Garamond" w:hAnsi="Garamond"/>
                <w:sz w:val="18"/>
                <w:szCs w:val="18"/>
              </w:rPr>
            </w:pPr>
            <w:r w:rsidRPr="00BD36D2">
              <w:rPr>
                <w:rFonts w:ascii="Garamond" w:hAnsi="Garamond"/>
                <w:sz w:val="18"/>
                <w:szCs w:val="18"/>
              </w:rPr>
              <w:t>12,4%</w:t>
            </w:r>
          </w:p>
        </w:tc>
        <w:tc>
          <w:tcPr>
            <w:tcW w:w="1673"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sz w:val="18"/>
                <w:szCs w:val="18"/>
              </w:rPr>
            </w:pPr>
            <w:r w:rsidRPr="00BD36D2">
              <w:rPr>
                <w:rFonts w:ascii="Garamond" w:hAnsi="Garamond"/>
                <w:sz w:val="18"/>
                <w:szCs w:val="18"/>
              </w:rPr>
              <w:t>3.743.494.998</w:t>
            </w:r>
          </w:p>
        </w:tc>
        <w:tc>
          <w:tcPr>
            <w:tcW w:w="1559"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sz w:val="18"/>
                <w:szCs w:val="18"/>
              </w:rPr>
            </w:pPr>
            <w:r w:rsidRPr="00BD36D2">
              <w:rPr>
                <w:rFonts w:ascii="Garamond" w:hAnsi="Garamond"/>
                <w:sz w:val="18"/>
                <w:szCs w:val="18"/>
              </w:rPr>
              <w:t>4.910.858.043</w:t>
            </w:r>
          </w:p>
        </w:tc>
        <w:tc>
          <w:tcPr>
            <w:tcW w:w="850" w:type="dxa"/>
            <w:shd w:val="clear" w:color="auto" w:fill="DBE5F1" w:themeFill="accent1" w:themeFillTint="33"/>
            <w:vAlign w:val="center"/>
          </w:tcPr>
          <w:p w:rsidR="00BD36D2" w:rsidRPr="00BD36D2" w:rsidRDefault="00BD36D2" w:rsidP="00BD36D2">
            <w:pPr>
              <w:spacing w:after="0" w:line="240" w:lineRule="auto"/>
              <w:jc w:val="center"/>
              <w:rPr>
                <w:rFonts w:ascii="Garamond" w:hAnsi="Garamond"/>
                <w:sz w:val="18"/>
                <w:szCs w:val="18"/>
              </w:rPr>
            </w:pPr>
            <w:r w:rsidRPr="00BD36D2">
              <w:rPr>
                <w:rFonts w:ascii="Garamond" w:hAnsi="Garamond"/>
                <w:sz w:val="18"/>
                <w:szCs w:val="18"/>
              </w:rPr>
              <w:t>31,2%</w:t>
            </w:r>
          </w:p>
        </w:tc>
      </w:tr>
      <w:tr w:rsidR="00BD36D2" w:rsidRPr="00BD36D2" w:rsidTr="00BD36D2">
        <w:trPr>
          <w:trHeight w:val="359"/>
          <w:jc w:val="center"/>
        </w:trPr>
        <w:tc>
          <w:tcPr>
            <w:tcW w:w="2126" w:type="dxa"/>
            <w:shd w:val="clear" w:color="auto" w:fill="DBE5F1" w:themeFill="accent1" w:themeFillTint="33"/>
            <w:vAlign w:val="center"/>
          </w:tcPr>
          <w:p w:rsidR="00BD36D2" w:rsidRPr="00BD36D2" w:rsidRDefault="00BD36D2" w:rsidP="00BD36D2">
            <w:pPr>
              <w:spacing w:after="0" w:line="240" w:lineRule="auto"/>
              <w:rPr>
                <w:rFonts w:ascii="Garamond" w:hAnsi="Garamond"/>
                <w:color w:val="000000"/>
                <w:sz w:val="18"/>
                <w:szCs w:val="18"/>
              </w:rPr>
            </w:pPr>
            <w:r w:rsidRPr="00BD36D2">
              <w:rPr>
                <w:rFonts w:ascii="Garamond" w:hAnsi="Garamond"/>
                <w:color w:val="000000"/>
                <w:sz w:val="18"/>
                <w:szCs w:val="18"/>
              </w:rPr>
              <w:t>Servizi</w:t>
            </w:r>
          </w:p>
        </w:tc>
        <w:tc>
          <w:tcPr>
            <w:tcW w:w="1190"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sz w:val="18"/>
                <w:szCs w:val="18"/>
              </w:rPr>
            </w:pPr>
            <w:r w:rsidRPr="00BD36D2">
              <w:rPr>
                <w:rFonts w:ascii="Garamond" w:hAnsi="Garamond"/>
                <w:sz w:val="18"/>
                <w:szCs w:val="18"/>
              </w:rPr>
              <w:t>14.989</w:t>
            </w:r>
          </w:p>
        </w:tc>
        <w:tc>
          <w:tcPr>
            <w:tcW w:w="1078"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sz w:val="18"/>
                <w:szCs w:val="18"/>
              </w:rPr>
            </w:pPr>
            <w:r w:rsidRPr="00BD36D2">
              <w:rPr>
                <w:rFonts w:ascii="Garamond" w:hAnsi="Garamond"/>
                <w:sz w:val="18"/>
                <w:szCs w:val="18"/>
              </w:rPr>
              <w:t>14.529</w:t>
            </w:r>
          </w:p>
        </w:tc>
        <w:tc>
          <w:tcPr>
            <w:tcW w:w="745" w:type="dxa"/>
            <w:tcBorders>
              <w:right w:val="single" w:sz="8" w:space="0" w:color="7BA0CD"/>
            </w:tcBorders>
            <w:shd w:val="clear" w:color="auto" w:fill="DBE5F1" w:themeFill="accent1" w:themeFillTint="33"/>
            <w:vAlign w:val="center"/>
          </w:tcPr>
          <w:p w:rsidR="00BD36D2" w:rsidRPr="00BD36D2" w:rsidRDefault="00BD36D2" w:rsidP="00BD36D2">
            <w:pPr>
              <w:spacing w:after="0" w:line="240" w:lineRule="auto"/>
              <w:jc w:val="center"/>
              <w:rPr>
                <w:rFonts w:ascii="Garamond" w:hAnsi="Garamond"/>
                <w:sz w:val="18"/>
                <w:szCs w:val="18"/>
              </w:rPr>
            </w:pPr>
            <w:r w:rsidRPr="00BD36D2">
              <w:rPr>
                <w:rFonts w:ascii="Garamond" w:hAnsi="Garamond"/>
                <w:sz w:val="18"/>
                <w:szCs w:val="18"/>
              </w:rPr>
              <w:t>-3,1%</w:t>
            </w:r>
          </w:p>
        </w:tc>
        <w:tc>
          <w:tcPr>
            <w:tcW w:w="1673"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sz w:val="18"/>
                <w:szCs w:val="18"/>
              </w:rPr>
            </w:pPr>
            <w:r w:rsidRPr="00BD36D2">
              <w:rPr>
                <w:rFonts w:ascii="Garamond" w:hAnsi="Garamond"/>
                <w:sz w:val="18"/>
                <w:szCs w:val="18"/>
              </w:rPr>
              <w:t>10.327.708.741</w:t>
            </w:r>
          </w:p>
        </w:tc>
        <w:tc>
          <w:tcPr>
            <w:tcW w:w="1559"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sz w:val="18"/>
                <w:szCs w:val="18"/>
              </w:rPr>
            </w:pPr>
            <w:r w:rsidRPr="00BD36D2">
              <w:rPr>
                <w:rFonts w:ascii="Garamond" w:hAnsi="Garamond"/>
                <w:sz w:val="18"/>
                <w:szCs w:val="18"/>
              </w:rPr>
              <w:t>15.441.025.379</w:t>
            </w:r>
          </w:p>
        </w:tc>
        <w:tc>
          <w:tcPr>
            <w:tcW w:w="850" w:type="dxa"/>
            <w:shd w:val="clear" w:color="auto" w:fill="DBE5F1" w:themeFill="accent1" w:themeFillTint="33"/>
            <w:vAlign w:val="center"/>
          </w:tcPr>
          <w:p w:rsidR="00BD36D2" w:rsidRPr="00BD36D2" w:rsidRDefault="00BD36D2" w:rsidP="00BD36D2">
            <w:pPr>
              <w:spacing w:after="0" w:line="240" w:lineRule="auto"/>
              <w:jc w:val="center"/>
              <w:rPr>
                <w:rFonts w:ascii="Garamond" w:hAnsi="Garamond"/>
                <w:sz w:val="18"/>
                <w:szCs w:val="18"/>
              </w:rPr>
            </w:pPr>
            <w:r w:rsidRPr="00BD36D2">
              <w:rPr>
                <w:rFonts w:ascii="Garamond" w:hAnsi="Garamond"/>
                <w:sz w:val="18"/>
                <w:szCs w:val="18"/>
              </w:rPr>
              <w:t>49,5%</w:t>
            </w:r>
          </w:p>
        </w:tc>
      </w:tr>
      <w:tr w:rsidR="00BD36D2" w:rsidRPr="00BD36D2" w:rsidTr="00BD36D2">
        <w:trPr>
          <w:trHeight w:val="359"/>
          <w:jc w:val="center"/>
        </w:trPr>
        <w:tc>
          <w:tcPr>
            <w:tcW w:w="2126" w:type="dxa"/>
            <w:shd w:val="clear" w:color="auto" w:fill="DBE5F1" w:themeFill="accent1" w:themeFillTint="33"/>
            <w:vAlign w:val="center"/>
          </w:tcPr>
          <w:p w:rsidR="00BD36D2" w:rsidRPr="00BD36D2" w:rsidRDefault="00BD36D2" w:rsidP="00BD36D2">
            <w:pPr>
              <w:spacing w:after="0" w:line="240" w:lineRule="auto"/>
              <w:rPr>
                <w:rFonts w:ascii="Garamond" w:hAnsi="Garamond"/>
                <w:b/>
                <w:color w:val="000000"/>
                <w:sz w:val="18"/>
                <w:szCs w:val="18"/>
              </w:rPr>
            </w:pPr>
            <w:r w:rsidRPr="00BD36D2">
              <w:rPr>
                <w:rFonts w:ascii="Garamond" w:hAnsi="Garamond"/>
                <w:b/>
                <w:color w:val="000000"/>
                <w:sz w:val="18"/>
                <w:szCs w:val="18"/>
              </w:rPr>
              <w:t>Totale</w:t>
            </w:r>
          </w:p>
        </w:tc>
        <w:tc>
          <w:tcPr>
            <w:tcW w:w="1190"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b/>
                <w:noProof/>
                <w:sz w:val="18"/>
                <w:szCs w:val="18"/>
              </w:rPr>
            </w:pPr>
            <w:r w:rsidRPr="00BD36D2">
              <w:rPr>
                <w:rFonts w:ascii="Garamond" w:hAnsi="Garamond"/>
                <w:b/>
                <w:noProof/>
                <w:sz w:val="18"/>
                <w:szCs w:val="18"/>
              </w:rPr>
              <w:fldChar w:fldCharType="begin"/>
            </w:r>
            <w:r w:rsidRPr="00BD36D2">
              <w:rPr>
                <w:rFonts w:ascii="Garamond" w:hAnsi="Garamond"/>
                <w:b/>
                <w:noProof/>
                <w:sz w:val="18"/>
                <w:szCs w:val="18"/>
              </w:rPr>
              <w:instrText xml:space="preserve"> =SUM(ABOVE) </w:instrText>
            </w:r>
            <w:r w:rsidRPr="00BD36D2">
              <w:rPr>
                <w:rFonts w:ascii="Garamond" w:hAnsi="Garamond"/>
                <w:b/>
                <w:noProof/>
                <w:sz w:val="18"/>
                <w:szCs w:val="18"/>
              </w:rPr>
              <w:fldChar w:fldCharType="separate"/>
            </w:r>
            <w:r w:rsidRPr="00BD36D2">
              <w:rPr>
                <w:rFonts w:ascii="Garamond" w:hAnsi="Garamond"/>
                <w:b/>
                <w:noProof/>
                <w:sz w:val="18"/>
                <w:szCs w:val="18"/>
              </w:rPr>
              <w:t>33.068</w:t>
            </w:r>
            <w:r w:rsidRPr="00BD36D2">
              <w:rPr>
                <w:rFonts w:ascii="Garamond" w:hAnsi="Garamond"/>
                <w:b/>
                <w:noProof/>
                <w:sz w:val="18"/>
                <w:szCs w:val="18"/>
              </w:rPr>
              <w:fldChar w:fldCharType="end"/>
            </w:r>
          </w:p>
        </w:tc>
        <w:tc>
          <w:tcPr>
            <w:tcW w:w="1078"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b/>
                <w:noProof/>
                <w:sz w:val="18"/>
                <w:szCs w:val="18"/>
              </w:rPr>
            </w:pPr>
            <w:r w:rsidRPr="00BD36D2">
              <w:rPr>
                <w:rFonts w:ascii="Garamond" w:hAnsi="Garamond"/>
                <w:b/>
                <w:noProof/>
                <w:sz w:val="18"/>
                <w:szCs w:val="18"/>
              </w:rPr>
              <w:fldChar w:fldCharType="begin"/>
            </w:r>
            <w:r w:rsidRPr="00BD36D2">
              <w:rPr>
                <w:rFonts w:ascii="Garamond" w:hAnsi="Garamond"/>
                <w:b/>
                <w:noProof/>
                <w:sz w:val="18"/>
                <w:szCs w:val="18"/>
              </w:rPr>
              <w:instrText xml:space="preserve"> =SUM(ABOVE) </w:instrText>
            </w:r>
            <w:r w:rsidRPr="00BD36D2">
              <w:rPr>
                <w:rFonts w:ascii="Garamond" w:hAnsi="Garamond"/>
                <w:b/>
                <w:noProof/>
                <w:sz w:val="18"/>
                <w:szCs w:val="18"/>
              </w:rPr>
              <w:fldChar w:fldCharType="separate"/>
            </w:r>
            <w:r w:rsidRPr="00BD36D2">
              <w:rPr>
                <w:rFonts w:ascii="Garamond" w:hAnsi="Garamond"/>
                <w:b/>
                <w:noProof/>
                <w:sz w:val="18"/>
                <w:szCs w:val="18"/>
              </w:rPr>
              <w:t>35.150</w:t>
            </w:r>
            <w:r w:rsidRPr="00BD36D2">
              <w:rPr>
                <w:rFonts w:ascii="Garamond" w:hAnsi="Garamond"/>
                <w:b/>
                <w:noProof/>
                <w:sz w:val="18"/>
                <w:szCs w:val="18"/>
              </w:rPr>
              <w:fldChar w:fldCharType="end"/>
            </w:r>
          </w:p>
        </w:tc>
        <w:tc>
          <w:tcPr>
            <w:tcW w:w="745" w:type="dxa"/>
            <w:tcBorders>
              <w:right w:val="single" w:sz="8" w:space="0" w:color="7BA0CD"/>
            </w:tcBorders>
            <w:shd w:val="clear" w:color="auto" w:fill="DBE5F1" w:themeFill="accent1" w:themeFillTint="33"/>
            <w:vAlign w:val="center"/>
          </w:tcPr>
          <w:p w:rsidR="00BD36D2" w:rsidRPr="00BD36D2" w:rsidRDefault="00BD36D2" w:rsidP="00BD36D2">
            <w:pPr>
              <w:spacing w:after="0" w:line="240" w:lineRule="auto"/>
              <w:jc w:val="right"/>
              <w:rPr>
                <w:rFonts w:ascii="Garamond" w:hAnsi="Garamond"/>
                <w:b/>
                <w:noProof/>
                <w:sz w:val="18"/>
                <w:szCs w:val="18"/>
              </w:rPr>
            </w:pPr>
            <w:r w:rsidRPr="00BD36D2">
              <w:rPr>
                <w:rFonts w:ascii="Garamond" w:hAnsi="Garamond"/>
                <w:b/>
                <w:noProof/>
                <w:sz w:val="18"/>
                <w:szCs w:val="18"/>
              </w:rPr>
              <w:t>6,3%</w:t>
            </w:r>
          </w:p>
        </w:tc>
        <w:tc>
          <w:tcPr>
            <w:tcW w:w="1673"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b/>
                <w:noProof/>
                <w:sz w:val="18"/>
                <w:szCs w:val="18"/>
              </w:rPr>
            </w:pPr>
            <w:r w:rsidRPr="00BD36D2">
              <w:rPr>
                <w:rFonts w:ascii="Garamond" w:hAnsi="Garamond"/>
                <w:b/>
                <w:noProof/>
                <w:sz w:val="18"/>
                <w:szCs w:val="18"/>
              </w:rPr>
              <w:fldChar w:fldCharType="begin"/>
            </w:r>
            <w:r w:rsidRPr="00BD36D2">
              <w:rPr>
                <w:rFonts w:ascii="Garamond" w:hAnsi="Garamond"/>
                <w:b/>
                <w:noProof/>
                <w:sz w:val="18"/>
                <w:szCs w:val="18"/>
              </w:rPr>
              <w:instrText xml:space="preserve"> =SUM(ABOVE) </w:instrText>
            </w:r>
            <w:r w:rsidRPr="00BD36D2">
              <w:rPr>
                <w:rFonts w:ascii="Garamond" w:hAnsi="Garamond"/>
                <w:b/>
                <w:noProof/>
                <w:sz w:val="18"/>
                <w:szCs w:val="18"/>
              </w:rPr>
              <w:fldChar w:fldCharType="separate"/>
            </w:r>
            <w:r w:rsidRPr="00BD36D2">
              <w:rPr>
                <w:rFonts w:ascii="Garamond" w:hAnsi="Garamond"/>
                <w:b/>
                <w:noProof/>
                <w:sz w:val="18"/>
                <w:szCs w:val="18"/>
              </w:rPr>
              <w:t>20.924.459.901</w:t>
            </w:r>
            <w:r w:rsidRPr="00BD36D2">
              <w:rPr>
                <w:rFonts w:ascii="Garamond" w:hAnsi="Garamond"/>
                <w:b/>
                <w:noProof/>
                <w:sz w:val="18"/>
                <w:szCs w:val="18"/>
              </w:rPr>
              <w:fldChar w:fldCharType="end"/>
            </w:r>
          </w:p>
        </w:tc>
        <w:tc>
          <w:tcPr>
            <w:tcW w:w="1559"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b/>
                <w:noProof/>
                <w:sz w:val="18"/>
                <w:szCs w:val="18"/>
              </w:rPr>
            </w:pPr>
            <w:r w:rsidRPr="00BD36D2">
              <w:rPr>
                <w:rFonts w:ascii="Garamond" w:hAnsi="Garamond"/>
                <w:b/>
                <w:noProof/>
                <w:sz w:val="18"/>
                <w:szCs w:val="18"/>
              </w:rPr>
              <w:fldChar w:fldCharType="begin"/>
            </w:r>
            <w:r w:rsidRPr="00BD36D2">
              <w:rPr>
                <w:rFonts w:ascii="Garamond" w:hAnsi="Garamond"/>
                <w:b/>
                <w:noProof/>
                <w:sz w:val="18"/>
                <w:szCs w:val="18"/>
              </w:rPr>
              <w:instrText xml:space="preserve"> =SUM(ABOVE) </w:instrText>
            </w:r>
            <w:r w:rsidRPr="00BD36D2">
              <w:rPr>
                <w:rFonts w:ascii="Garamond" w:hAnsi="Garamond"/>
                <w:b/>
                <w:noProof/>
                <w:sz w:val="18"/>
                <w:szCs w:val="18"/>
              </w:rPr>
              <w:fldChar w:fldCharType="separate"/>
            </w:r>
            <w:r w:rsidRPr="00BD36D2">
              <w:rPr>
                <w:rFonts w:ascii="Garamond" w:hAnsi="Garamond"/>
                <w:b/>
                <w:noProof/>
                <w:sz w:val="18"/>
                <w:szCs w:val="18"/>
              </w:rPr>
              <w:t>28.651.002.503</w:t>
            </w:r>
            <w:r w:rsidRPr="00BD36D2">
              <w:rPr>
                <w:rFonts w:ascii="Garamond" w:hAnsi="Garamond"/>
                <w:b/>
                <w:noProof/>
                <w:sz w:val="18"/>
                <w:szCs w:val="18"/>
              </w:rPr>
              <w:fldChar w:fldCharType="end"/>
            </w:r>
          </w:p>
        </w:tc>
        <w:tc>
          <w:tcPr>
            <w:tcW w:w="850" w:type="dxa"/>
            <w:shd w:val="clear" w:color="auto" w:fill="DBE5F1" w:themeFill="accent1" w:themeFillTint="33"/>
            <w:vAlign w:val="center"/>
          </w:tcPr>
          <w:p w:rsidR="00BD36D2" w:rsidRPr="00BD36D2" w:rsidRDefault="00BD36D2" w:rsidP="00BD36D2">
            <w:pPr>
              <w:spacing w:after="0" w:line="240" w:lineRule="auto"/>
              <w:jc w:val="center"/>
              <w:rPr>
                <w:rFonts w:ascii="Garamond" w:hAnsi="Garamond"/>
                <w:b/>
                <w:noProof/>
                <w:sz w:val="18"/>
                <w:szCs w:val="18"/>
              </w:rPr>
            </w:pPr>
            <w:r w:rsidRPr="00BD36D2">
              <w:rPr>
                <w:rFonts w:ascii="Garamond" w:hAnsi="Garamond"/>
                <w:b/>
                <w:noProof/>
                <w:sz w:val="18"/>
                <w:szCs w:val="18"/>
              </w:rPr>
              <w:t>36,9%</w:t>
            </w:r>
          </w:p>
        </w:tc>
      </w:tr>
    </w:tbl>
    <w:p w:rsidR="00BD36D2" w:rsidRPr="00BD36D2" w:rsidRDefault="00BD36D2" w:rsidP="00BD36D2">
      <w:pPr>
        <w:spacing w:before="120"/>
        <w:rPr>
          <w:rFonts w:ascii="Garamond" w:hAnsi="Garamond"/>
          <w:i/>
          <w:sz w:val="20"/>
          <w:szCs w:val="20"/>
        </w:rPr>
      </w:pPr>
    </w:p>
    <w:p w:rsidR="00111C53" w:rsidRDefault="00111C53">
      <w:pPr>
        <w:rPr>
          <w:rFonts w:ascii="Garamond" w:hAnsi="Garamond"/>
          <w:i/>
          <w:sz w:val="20"/>
          <w:szCs w:val="20"/>
        </w:rPr>
      </w:pPr>
      <w:r>
        <w:rPr>
          <w:rFonts w:ascii="Garamond" w:hAnsi="Garamond"/>
          <w:i/>
          <w:sz w:val="20"/>
          <w:szCs w:val="20"/>
        </w:rPr>
        <w:br w:type="page"/>
      </w:r>
    </w:p>
    <w:p w:rsidR="00BD36D2" w:rsidRPr="00BD36D2" w:rsidRDefault="00BD36D2" w:rsidP="00BD36D2">
      <w:pPr>
        <w:spacing w:before="120"/>
        <w:jc w:val="center"/>
        <w:rPr>
          <w:rFonts w:ascii="Garamond" w:hAnsi="Garamond"/>
          <w:i/>
          <w:sz w:val="20"/>
          <w:szCs w:val="20"/>
        </w:rPr>
      </w:pPr>
    </w:p>
    <w:p w:rsidR="00BD36D2" w:rsidRPr="00BD36D2" w:rsidRDefault="00BD36D2" w:rsidP="00BD36D2">
      <w:pPr>
        <w:jc w:val="center"/>
        <w:rPr>
          <w:rFonts w:ascii="Garamond" w:eastAsia="Calibri" w:hAnsi="Garamond"/>
        </w:rPr>
      </w:pPr>
      <w:r w:rsidRPr="00BD36D2">
        <w:rPr>
          <w:rFonts w:ascii="Garamond" w:eastAsia="Calibri" w:hAnsi="Garamond"/>
          <w:b/>
        </w:rPr>
        <w:t xml:space="preserve">Tabella 14 - </w:t>
      </w:r>
      <w:r w:rsidRPr="00BD36D2">
        <w:rPr>
          <w:rFonts w:ascii="Garamond" w:eastAsia="Calibri" w:hAnsi="Garamond"/>
        </w:rPr>
        <w:t>Analisi comparata della domanda complessiva generata dagli appalti pubblici, per tipologia di contratto, settori speciali, nei periodi gennaio - aprile 2017 / gennaio - aprile 2018</w:t>
      </w:r>
    </w:p>
    <w:tbl>
      <w:tblPr>
        <w:tblW w:w="9221" w:type="dxa"/>
        <w:jc w:val="cente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2126"/>
        <w:gridCol w:w="1190"/>
        <w:gridCol w:w="1078"/>
        <w:gridCol w:w="745"/>
        <w:gridCol w:w="1673"/>
        <w:gridCol w:w="1559"/>
        <w:gridCol w:w="850"/>
      </w:tblGrid>
      <w:tr w:rsidR="00BD36D2" w:rsidRPr="00BD36D2" w:rsidTr="00BD36D2">
        <w:trPr>
          <w:trHeight w:val="447"/>
          <w:jc w:val="center"/>
        </w:trPr>
        <w:tc>
          <w:tcPr>
            <w:tcW w:w="2126" w:type="dxa"/>
            <w:vMerge w:val="restart"/>
            <w:shd w:val="clear" w:color="auto" w:fill="365F91"/>
            <w:vAlign w:val="center"/>
          </w:tcPr>
          <w:p w:rsidR="00BD36D2" w:rsidRPr="00BD36D2" w:rsidRDefault="00BD36D2" w:rsidP="00BD36D2">
            <w:pPr>
              <w:spacing w:after="0" w:line="240" w:lineRule="auto"/>
              <w:jc w:val="center"/>
              <w:rPr>
                <w:rFonts w:ascii="Garamond" w:eastAsia="Calibri" w:hAnsi="Garamond"/>
                <w:b/>
                <w:bCs/>
                <w:color w:val="FFFFFF"/>
                <w:sz w:val="20"/>
                <w:szCs w:val="20"/>
              </w:rPr>
            </w:pPr>
            <w:r w:rsidRPr="00BD36D2">
              <w:rPr>
                <w:rFonts w:ascii="Garamond" w:hAnsi="Garamond"/>
                <w:b/>
                <w:bCs/>
                <w:color w:val="FFFFFF"/>
                <w:sz w:val="20"/>
                <w:szCs w:val="20"/>
              </w:rPr>
              <w:t>Settore Speciale</w:t>
            </w:r>
          </w:p>
        </w:tc>
        <w:tc>
          <w:tcPr>
            <w:tcW w:w="3013" w:type="dxa"/>
            <w:gridSpan w:val="3"/>
            <w:tcBorders>
              <w:right w:val="single" w:sz="8" w:space="0" w:color="7BA0CD"/>
            </w:tcBorders>
            <w:shd w:val="clear" w:color="auto" w:fill="365F91"/>
            <w:vAlign w:val="center"/>
          </w:tcPr>
          <w:p w:rsidR="00BD36D2" w:rsidRPr="00BD36D2" w:rsidRDefault="00BD36D2" w:rsidP="00BD36D2">
            <w:pPr>
              <w:spacing w:after="0" w:line="240" w:lineRule="auto"/>
              <w:jc w:val="center"/>
              <w:rPr>
                <w:rFonts w:ascii="Garamond" w:eastAsia="Calibri" w:hAnsi="Garamond"/>
                <w:b/>
                <w:bCs/>
                <w:color w:val="FFFFFF"/>
                <w:sz w:val="20"/>
                <w:szCs w:val="20"/>
              </w:rPr>
            </w:pPr>
            <w:r w:rsidRPr="00BD36D2">
              <w:rPr>
                <w:rFonts w:ascii="Garamond" w:hAnsi="Garamond"/>
                <w:b/>
                <w:color w:val="FFFFFF"/>
                <w:sz w:val="20"/>
                <w:szCs w:val="20"/>
              </w:rPr>
              <w:t>Totale CIG perfezionati</w:t>
            </w:r>
          </w:p>
        </w:tc>
        <w:tc>
          <w:tcPr>
            <w:tcW w:w="4082" w:type="dxa"/>
            <w:gridSpan w:val="3"/>
            <w:shd w:val="clear" w:color="auto" w:fill="365F91"/>
            <w:vAlign w:val="center"/>
          </w:tcPr>
          <w:p w:rsidR="00BD36D2" w:rsidRPr="00BD36D2" w:rsidRDefault="00BD36D2" w:rsidP="00BD36D2">
            <w:pPr>
              <w:spacing w:after="0" w:line="240" w:lineRule="auto"/>
              <w:jc w:val="center"/>
              <w:rPr>
                <w:rFonts w:ascii="Garamond" w:eastAsia="Calibri" w:hAnsi="Garamond"/>
                <w:b/>
                <w:bCs/>
                <w:color w:val="FFFFFF"/>
                <w:sz w:val="20"/>
                <w:szCs w:val="20"/>
              </w:rPr>
            </w:pPr>
            <w:r w:rsidRPr="00BD36D2">
              <w:rPr>
                <w:rFonts w:ascii="Garamond" w:hAnsi="Garamond"/>
                <w:b/>
                <w:color w:val="FFFFFF"/>
                <w:sz w:val="20"/>
                <w:szCs w:val="20"/>
              </w:rPr>
              <w:t>Importo complessivo</w:t>
            </w:r>
          </w:p>
        </w:tc>
      </w:tr>
      <w:tr w:rsidR="00BD36D2" w:rsidRPr="00BD36D2" w:rsidTr="00BD36D2">
        <w:trPr>
          <w:cantSplit/>
          <w:trHeight w:val="447"/>
          <w:jc w:val="center"/>
        </w:trPr>
        <w:tc>
          <w:tcPr>
            <w:tcW w:w="2126" w:type="dxa"/>
            <w:vMerge/>
            <w:tcBorders>
              <w:bottom w:val="single" w:sz="8" w:space="0" w:color="7BA0CD"/>
            </w:tcBorders>
            <w:shd w:val="clear" w:color="auto" w:fill="365F91"/>
            <w:vAlign w:val="center"/>
          </w:tcPr>
          <w:p w:rsidR="00BD36D2" w:rsidRPr="00BD36D2" w:rsidRDefault="00BD36D2" w:rsidP="00BD36D2">
            <w:pPr>
              <w:spacing w:after="0" w:line="240" w:lineRule="auto"/>
              <w:jc w:val="center"/>
              <w:rPr>
                <w:rFonts w:ascii="Garamond" w:eastAsia="Calibri" w:hAnsi="Garamond"/>
                <w:b/>
                <w:bCs/>
                <w:color w:val="FFFFFF"/>
                <w:sz w:val="20"/>
                <w:szCs w:val="20"/>
              </w:rPr>
            </w:pPr>
          </w:p>
        </w:tc>
        <w:tc>
          <w:tcPr>
            <w:tcW w:w="1190" w:type="dxa"/>
            <w:tcBorders>
              <w:bottom w:val="single" w:sz="8" w:space="0" w:color="7BA0CD"/>
            </w:tcBorders>
            <w:shd w:val="clear" w:color="auto" w:fill="365F91"/>
            <w:vAlign w:val="center"/>
          </w:tcPr>
          <w:p w:rsidR="00BD36D2" w:rsidRPr="00BD36D2" w:rsidRDefault="00BD36D2" w:rsidP="00BD36D2">
            <w:pPr>
              <w:spacing w:after="0" w:line="240" w:lineRule="auto"/>
              <w:jc w:val="center"/>
              <w:rPr>
                <w:rFonts w:ascii="Garamond" w:hAnsi="Garamond"/>
                <w:b/>
                <w:bCs/>
                <w:color w:val="FFFFFF"/>
                <w:sz w:val="20"/>
                <w:szCs w:val="20"/>
              </w:rPr>
            </w:pPr>
            <w:proofErr w:type="spellStart"/>
            <w:r w:rsidRPr="00BD36D2">
              <w:rPr>
                <w:rFonts w:ascii="Garamond" w:eastAsia="Times New Roman" w:hAnsi="Garamond" w:cs="Times New Roman"/>
                <w:bCs/>
                <w:color w:val="FFFFFF"/>
                <w:sz w:val="20"/>
                <w:szCs w:val="20"/>
                <w:lang w:eastAsia="it-IT"/>
              </w:rPr>
              <w:t>Gen</w:t>
            </w:r>
            <w:proofErr w:type="spellEnd"/>
            <w:r w:rsidRPr="00BD36D2">
              <w:rPr>
                <w:rFonts w:ascii="Garamond" w:eastAsia="Times New Roman" w:hAnsi="Garamond" w:cs="Times New Roman"/>
                <w:bCs/>
                <w:color w:val="FFFFFF"/>
                <w:sz w:val="20"/>
                <w:szCs w:val="20"/>
                <w:lang w:eastAsia="it-IT"/>
              </w:rPr>
              <w:t xml:space="preserve"> - </w:t>
            </w:r>
            <w:proofErr w:type="spellStart"/>
            <w:r w:rsidRPr="00BD36D2">
              <w:rPr>
                <w:rFonts w:ascii="Garamond" w:eastAsia="Times New Roman" w:hAnsi="Garamond" w:cs="Times New Roman"/>
                <w:bCs/>
                <w:color w:val="FFFFFF"/>
                <w:sz w:val="20"/>
                <w:szCs w:val="20"/>
                <w:lang w:eastAsia="it-IT"/>
              </w:rPr>
              <w:t>Apr</w:t>
            </w:r>
            <w:proofErr w:type="spellEnd"/>
            <w:r w:rsidRPr="00BD36D2">
              <w:rPr>
                <w:rFonts w:ascii="Garamond" w:eastAsia="Times New Roman" w:hAnsi="Garamond" w:cs="Times New Roman"/>
                <w:bCs/>
                <w:color w:val="FFFFFF"/>
                <w:sz w:val="20"/>
                <w:szCs w:val="20"/>
                <w:lang w:eastAsia="it-IT"/>
              </w:rPr>
              <w:t xml:space="preserve"> 2017</w:t>
            </w:r>
          </w:p>
        </w:tc>
        <w:tc>
          <w:tcPr>
            <w:tcW w:w="1078" w:type="dxa"/>
            <w:tcBorders>
              <w:bottom w:val="single" w:sz="8" w:space="0" w:color="7BA0CD"/>
            </w:tcBorders>
            <w:shd w:val="clear" w:color="auto" w:fill="365F91"/>
            <w:vAlign w:val="center"/>
          </w:tcPr>
          <w:p w:rsidR="00BD36D2" w:rsidRPr="00BD36D2" w:rsidRDefault="00BD36D2" w:rsidP="00BD36D2">
            <w:pPr>
              <w:spacing w:after="0" w:line="240" w:lineRule="auto"/>
              <w:jc w:val="center"/>
              <w:rPr>
                <w:rFonts w:ascii="Garamond" w:hAnsi="Garamond"/>
                <w:b/>
                <w:bCs/>
                <w:color w:val="FFFFFF"/>
                <w:sz w:val="20"/>
                <w:szCs w:val="20"/>
              </w:rPr>
            </w:pPr>
            <w:proofErr w:type="spellStart"/>
            <w:r w:rsidRPr="00BD36D2">
              <w:rPr>
                <w:rFonts w:ascii="Garamond" w:eastAsia="Times New Roman" w:hAnsi="Garamond" w:cs="Times New Roman"/>
                <w:bCs/>
                <w:color w:val="FFFFFF"/>
                <w:sz w:val="20"/>
                <w:szCs w:val="20"/>
                <w:lang w:eastAsia="it-IT"/>
              </w:rPr>
              <w:t>Gen</w:t>
            </w:r>
            <w:proofErr w:type="spellEnd"/>
            <w:r w:rsidRPr="00BD36D2">
              <w:rPr>
                <w:rFonts w:ascii="Garamond" w:eastAsia="Times New Roman" w:hAnsi="Garamond" w:cs="Times New Roman"/>
                <w:bCs/>
                <w:color w:val="FFFFFF"/>
                <w:sz w:val="20"/>
                <w:szCs w:val="20"/>
                <w:lang w:eastAsia="it-IT"/>
              </w:rPr>
              <w:t xml:space="preserve"> - </w:t>
            </w:r>
            <w:proofErr w:type="spellStart"/>
            <w:r w:rsidRPr="00BD36D2">
              <w:rPr>
                <w:rFonts w:ascii="Garamond" w:eastAsia="Times New Roman" w:hAnsi="Garamond" w:cs="Times New Roman"/>
                <w:bCs/>
                <w:color w:val="FFFFFF"/>
                <w:sz w:val="20"/>
                <w:szCs w:val="20"/>
                <w:lang w:eastAsia="it-IT"/>
              </w:rPr>
              <w:t>Apr</w:t>
            </w:r>
            <w:proofErr w:type="spellEnd"/>
            <w:r w:rsidRPr="00BD36D2">
              <w:rPr>
                <w:rFonts w:ascii="Garamond" w:eastAsia="Times New Roman" w:hAnsi="Garamond" w:cs="Times New Roman"/>
                <w:bCs/>
                <w:color w:val="FFFFFF"/>
                <w:sz w:val="20"/>
                <w:szCs w:val="20"/>
                <w:lang w:eastAsia="it-IT"/>
              </w:rPr>
              <w:t xml:space="preserve"> 2018</w:t>
            </w:r>
          </w:p>
        </w:tc>
        <w:tc>
          <w:tcPr>
            <w:tcW w:w="745" w:type="dxa"/>
            <w:tcBorders>
              <w:bottom w:val="single" w:sz="8" w:space="0" w:color="7BA0CD"/>
              <w:right w:val="single" w:sz="8" w:space="0" w:color="7BA0CD"/>
            </w:tcBorders>
            <w:shd w:val="clear" w:color="auto" w:fill="365F91"/>
            <w:vAlign w:val="center"/>
          </w:tcPr>
          <w:p w:rsidR="00BD36D2" w:rsidRPr="00BD36D2" w:rsidRDefault="00BD36D2" w:rsidP="00BD36D2">
            <w:pPr>
              <w:spacing w:after="0" w:line="240" w:lineRule="auto"/>
              <w:jc w:val="center"/>
              <w:rPr>
                <w:rFonts w:ascii="Garamond" w:hAnsi="Garamond"/>
                <w:color w:val="FFFFFF"/>
                <w:sz w:val="20"/>
                <w:szCs w:val="20"/>
              </w:rPr>
            </w:pPr>
            <w:r w:rsidRPr="00BD36D2">
              <w:rPr>
                <w:rFonts w:ascii="Garamond" w:hAnsi="Garamond"/>
                <w:color w:val="FFFFFF"/>
                <w:sz w:val="20"/>
                <w:szCs w:val="20"/>
              </w:rPr>
              <w:t xml:space="preserve">Δ </w:t>
            </w:r>
          </w:p>
        </w:tc>
        <w:tc>
          <w:tcPr>
            <w:tcW w:w="1673" w:type="dxa"/>
            <w:tcBorders>
              <w:bottom w:val="single" w:sz="8" w:space="0" w:color="7BA0CD"/>
            </w:tcBorders>
            <w:shd w:val="clear" w:color="auto" w:fill="365F91"/>
            <w:vAlign w:val="center"/>
          </w:tcPr>
          <w:p w:rsidR="00BD36D2" w:rsidRPr="00BD36D2" w:rsidRDefault="00BD36D2" w:rsidP="00BD36D2">
            <w:pPr>
              <w:spacing w:after="0" w:line="240" w:lineRule="auto"/>
              <w:jc w:val="center"/>
              <w:rPr>
                <w:rFonts w:ascii="Garamond" w:hAnsi="Garamond"/>
                <w:color w:val="FFFFFF"/>
                <w:sz w:val="20"/>
                <w:szCs w:val="20"/>
              </w:rPr>
            </w:pPr>
            <w:proofErr w:type="spellStart"/>
            <w:r w:rsidRPr="00BD36D2">
              <w:rPr>
                <w:rFonts w:ascii="Garamond" w:eastAsia="Times New Roman" w:hAnsi="Garamond" w:cs="Times New Roman"/>
                <w:bCs/>
                <w:color w:val="FFFFFF"/>
                <w:sz w:val="20"/>
                <w:szCs w:val="20"/>
                <w:lang w:eastAsia="it-IT"/>
              </w:rPr>
              <w:t>Gen</w:t>
            </w:r>
            <w:proofErr w:type="spellEnd"/>
            <w:r w:rsidRPr="00BD36D2">
              <w:rPr>
                <w:rFonts w:ascii="Garamond" w:eastAsia="Times New Roman" w:hAnsi="Garamond" w:cs="Times New Roman"/>
                <w:bCs/>
                <w:color w:val="FFFFFF"/>
                <w:sz w:val="20"/>
                <w:szCs w:val="20"/>
                <w:lang w:eastAsia="it-IT"/>
              </w:rPr>
              <w:t xml:space="preserve"> - </w:t>
            </w:r>
            <w:proofErr w:type="spellStart"/>
            <w:r w:rsidRPr="00BD36D2">
              <w:rPr>
                <w:rFonts w:ascii="Garamond" w:eastAsia="Times New Roman" w:hAnsi="Garamond" w:cs="Times New Roman"/>
                <w:bCs/>
                <w:color w:val="FFFFFF"/>
                <w:sz w:val="20"/>
                <w:szCs w:val="20"/>
                <w:lang w:eastAsia="it-IT"/>
              </w:rPr>
              <w:t>Apr</w:t>
            </w:r>
            <w:proofErr w:type="spellEnd"/>
            <w:r w:rsidRPr="00BD36D2">
              <w:rPr>
                <w:rFonts w:ascii="Garamond" w:eastAsia="Times New Roman" w:hAnsi="Garamond" w:cs="Times New Roman"/>
                <w:bCs/>
                <w:color w:val="FFFFFF"/>
                <w:sz w:val="20"/>
                <w:szCs w:val="20"/>
                <w:lang w:eastAsia="it-IT"/>
              </w:rPr>
              <w:t xml:space="preserve"> 2017</w:t>
            </w:r>
            <w:r w:rsidRPr="00BD36D2">
              <w:rPr>
                <w:rFonts w:ascii="Garamond" w:hAnsi="Garamond"/>
                <w:color w:val="FFFFFF"/>
                <w:sz w:val="20"/>
                <w:szCs w:val="20"/>
              </w:rPr>
              <w:t xml:space="preserve"> (valore in euro)</w:t>
            </w:r>
          </w:p>
        </w:tc>
        <w:tc>
          <w:tcPr>
            <w:tcW w:w="1559" w:type="dxa"/>
            <w:tcBorders>
              <w:bottom w:val="single" w:sz="8" w:space="0" w:color="7BA0CD"/>
            </w:tcBorders>
            <w:shd w:val="clear" w:color="auto" w:fill="365F91"/>
            <w:vAlign w:val="center"/>
          </w:tcPr>
          <w:p w:rsidR="00BD36D2" w:rsidRPr="00BD36D2" w:rsidRDefault="00BD36D2" w:rsidP="00BD36D2">
            <w:pPr>
              <w:spacing w:after="0" w:line="240" w:lineRule="auto"/>
              <w:jc w:val="center"/>
              <w:rPr>
                <w:rFonts w:ascii="Garamond" w:hAnsi="Garamond"/>
                <w:color w:val="FFFFFF"/>
                <w:sz w:val="20"/>
                <w:szCs w:val="20"/>
              </w:rPr>
            </w:pPr>
            <w:proofErr w:type="spellStart"/>
            <w:r w:rsidRPr="00BD36D2">
              <w:rPr>
                <w:rFonts w:ascii="Garamond" w:eastAsia="Times New Roman" w:hAnsi="Garamond" w:cs="Times New Roman"/>
                <w:bCs/>
                <w:color w:val="FFFFFF"/>
                <w:sz w:val="20"/>
                <w:szCs w:val="20"/>
                <w:lang w:eastAsia="it-IT"/>
              </w:rPr>
              <w:t>Gen</w:t>
            </w:r>
            <w:proofErr w:type="spellEnd"/>
            <w:r w:rsidRPr="00BD36D2">
              <w:rPr>
                <w:rFonts w:ascii="Garamond" w:eastAsia="Times New Roman" w:hAnsi="Garamond" w:cs="Times New Roman"/>
                <w:bCs/>
                <w:color w:val="FFFFFF"/>
                <w:sz w:val="20"/>
                <w:szCs w:val="20"/>
                <w:lang w:eastAsia="it-IT"/>
              </w:rPr>
              <w:t xml:space="preserve"> - </w:t>
            </w:r>
            <w:proofErr w:type="spellStart"/>
            <w:r w:rsidRPr="00BD36D2">
              <w:rPr>
                <w:rFonts w:ascii="Garamond" w:eastAsia="Times New Roman" w:hAnsi="Garamond" w:cs="Times New Roman"/>
                <w:bCs/>
                <w:color w:val="FFFFFF"/>
                <w:sz w:val="20"/>
                <w:szCs w:val="20"/>
                <w:lang w:eastAsia="it-IT"/>
              </w:rPr>
              <w:t>Apr</w:t>
            </w:r>
            <w:proofErr w:type="spellEnd"/>
            <w:r w:rsidRPr="00BD36D2">
              <w:rPr>
                <w:rFonts w:ascii="Garamond" w:eastAsia="Times New Roman" w:hAnsi="Garamond" w:cs="Times New Roman"/>
                <w:bCs/>
                <w:color w:val="FFFFFF"/>
                <w:sz w:val="20"/>
                <w:szCs w:val="20"/>
                <w:lang w:eastAsia="it-IT"/>
              </w:rPr>
              <w:t xml:space="preserve"> 2018</w:t>
            </w:r>
            <w:r w:rsidRPr="00BD36D2">
              <w:rPr>
                <w:rFonts w:ascii="Garamond" w:hAnsi="Garamond"/>
                <w:color w:val="FFFFFF"/>
                <w:sz w:val="20"/>
                <w:szCs w:val="20"/>
              </w:rPr>
              <w:t xml:space="preserve"> (valore in euro)</w:t>
            </w:r>
          </w:p>
        </w:tc>
        <w:tc>
          <w:tcPr>
            <w:tcW w:w="850" w:type="dxa"/>
            <w:tcBorders>
              <w:bottom w:val="single" w:sz="8" w:space="0" w:color="7BA0CD"/>
            </w:tcBorders>
            <w:shd w:val="clear" w:color="auto" w:fill="365F91"/>
            <w:vAlign w:val="center"/>
          </w:tcPr>
          <w:p w:rsidR="00BD36D2" w:rsidRPr="00BD36D2" w:rsidRDefault="00BD36D2" w:rsidP="00BD36D2">
            <w:pPr>
              <w:spacing w:after="0" w:line="240" w:lineRule="auto"/>
              <w:jc w:val="center"/>
              <w:rPr>
                <w:rFonts w:ascii="Garamond" w:hAnsi="Garamond"/>
                <w:b/>
                <w:bCs/>
                <w:color w:val="FFFFFF"/>
                <w:sz w:val="20"/>
                <w:szCs w:val="20"/>
              </w:rPr>
            </w:pPr>
            <w:r w:rsidRPr="00BD36D2">
              <w:rPr>
                <w:rFonts w:ascii="Garamond" w:hAnsi="Garamond"/>
                <w:color w:val="FFFFFF"/>
                <w:sz w:val="20"/>
                <w:szCs w:val="20"/>
              </w:rPr>
              <w:t>Δ</w:t>
            </w:r>
          </w:p>
        </w:tc>
      </w:tr>
      <w:tr w:rsidR="00BD36D2" w:rsidRPr="00BD36D2" w:rsidTr="00BD36D2">
        <w:trPr>
          <w:trHeight w:val="359"/>
          <w:jc w:val="center"/>
        </w:trPr>
        <w:tc>
          <w:tcPr>
            <w:tcW w:w="2126" w:type="dxa"/>
            <w:shd w:val="clear" w:color="auto" w:fill="DBE5F1" w:themeFill="accent1" w:themeFillTint="33"/>
            <w:vAlign w:val="center"/>
          </w:tcPr>
          <w:p w:rsidR="00BD36D2" w:rsidRPr="00BD36D2" w:rsidRDefault="00BD36D2" w:rsidP="00BD36D2">
            <w:pPr>
              <w:spacing w:after="0" w:line="240" w:lineRule="auto"/>
              <w:rPr>
                <w:rFonts w:ascii="Garamond" w:hAnsi="Garamond"/>
                <w:color w:val="000000"/>
                <w:sz w:val="18"/>
                <w:szCs w:val="18"/>
              </w:rPr>
            </w:pPr>
            <w:r w:rsidRPr="00BD36D2">
              <w:rPr>
                <w:rFonts w:ascii="Garamond" w:hAnsi="Garamond"/>
                <w:color w:val="000000"/>
                <w:sz w:val="18"/>
                <w:szCs w:val="18"/>
              </w:rPr>
              <w:t>Forniture</w:t>
            </w:r>
          </w:p>
        </w:tc>
        <w:tc>
          <w:tcPr>
            <w:tcW w:w="1190"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sz w:val="18"/>
                <w:szCs w:val="18"/>
              </w:rPr>
            </w:pPr>
            <w:r w:rsidRPr="00BD36D2">
              <w:rPr>
                <w:rFonts w:ascii="Garamond" w:hAnsi="Garamond"/>
                <w:sz w:val="18"/>
                <w:szCs w:val="18"/>
              </w:rPr>
              <w:t>2.498</w:t>
            </w:r>
          </w:p>
        </w:tc>
        <w:tc>
          <w:tcPr>
            <w:tcW w:w="1078"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sz w:val="18"/>
                <w:szCs w:val="18"/>
              </w:rPr>
            </w:pPr>
            <w:r w:rsidRPr="00BD36D2">
              <w:rPr>
                <w:rFonts w:ascii="Garamond" w:hAnsi="Garamond"/>
                <w:sz w:val="18"/>
                <w:szCs w:val="18"/>
              </w:rPr>
              <w:t>2.741</w:t>
            </w:r>
          </w:p>
        </w:tc>
        <w:tc>
          <w:tcPr>
            <w:tcW w:w="745" w:type="dxa"/>
            <w:tcBorders>
              <w:right w:val="single" w:sz="8" w:space="0" w:color="7BA0CD"/>
            </w:tcBorders>
            <w:shd w:val="clear" w:color="auto" w:fill="DBE5F1" w:themeFill="accent1" w:themeFillTint="33"/>
            <w:vAlign w:val="center"/>
          </w:tcPr>
          <w:p w:rsidR="00BD36D2" w:rsidRPr="00BD36D2" w:rsidRDefault="00BD36D2" w:rsidP="00BD36D2">
            <w:pPr>
              <w:spacing w:after="0" w:line="240" w:lineRule="auto"/>
              <w:jc w:val="center"/>
              <w:rPr>
                <w:rFonts w:ascii="Garamond" w:hAnsi="Garamond"/>
                <w:sz w:val="18"/>
                <w:szCs w:val="18"/>
              </w:rPr>
            </w:pPr>
            <w:r w:rsidRPr="00BD36D2">
              <w:rPr>
                <w:rFonts w:ascii="Garamond" w:hAnsi="Garamond"/>
                <w:sz w:val="18"/>
                <w:szCs w:val="18"/>
              </w:rPr>
              <w:t>9,7%</w:t>
            </w:r>
          </w:p>
        </w:tc>
        <w:tc>
          <w:tcPr>
            <w:tcW w:w="1673"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sz w:val="18"/>
                <w:szCs w:val="18"/>
              </w:rPr>
            </w:pPr>
            <w:r w:rsidRPr="00BD36D2">
              <w:rPr>
                <w:rFonts w:ascii="Garamond" w:hAnsi="Garamond"/>
                <w:sz w:val="18"/>
                <w:szCs w:val="18"/>
              </w:rPr>
              <w:t>1.998.139.899</w:t>
            </w:r>
          </w:p>
        </w:tc>
        <w:tc>
          <w:tcPr>
            <w:tcW w:w="1559"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sz w:val="18"/>
                <w:szCs w:val="18"/>
              </w:rPr>
            </w:pPr>
            <w:r w:rsidRPr="00BD36D2">
              <w:rPr>
                <w:rFonts w:ascii="Garamond" w:hAnsi="Garamond"/>
                <w:sz w:val="18"/>
                <w:szCs w:val="18"/>
              </w:rPr>
              <w:t>3.732.785.112</w:t>
            </w:r>
          </w:p>
        </w:tc>
        <w:tc>
          <w:tcPr>
            <w:tcW w:w="850" w:type="dxa"/>
            <w:shd w:val="clear" w:color="auto" w:fill="DBE5F1" w:themeFill="accent1" w:themeFillTint="33"/>
            <w:vAlign w:val="center"/>
          </w:tcPr>
          <w:p w:rsidR="00BD36D2" w:rsidRPr="00BD36D2" w:rsidRDefault="00BD36D2" w:rsidP="00BD36D2">
            <w:pPr>
              <w:spacing w:after="0" w:line="240" w:lineRule="auto"/>
              <w:jc w:val="center"/>
              <w:rPr>
                <w:rFonts w:ascii="Garamond" w:hAnsi="Garamond"/>
                <w:sz w:val="18"/>
                <w:szCs w:val="18"/>
              </w:rPr>
            </w:pPr>
            <w:r w:rsidRPr="00BD36D2">
              <w:rPr>
                <w:rFonts w:ascii="Garamond" w:hAnsi="Garamond"/>
                <w:sz w:val="18"/>
                <w:szCs w:val="18"/>
              </w:rPr>
              <w:t>86,8%</w:t>
            </w:r>
          </w:p>
        </w:tc>
      </w:tr>
      <w:tr w:rsidR="00BD36D2" w:rsidRPr="00BD36D2" w:rsidTr="00BD36D2">
        <w:trPr>
          <w:trHeight w:val="359"/>
          <w:jc w:val="center"/>
        </w:trPr>
        <w:tc>
          <w:tcPr>
            <w:tcW w:w="2126" w:type="dxa"/>
            <w:shd w:val="clear" w:color="auto" w:fill="DBE5F1" w:themeFill="accent1" w:themeFillTint="33"/>
            <w:vAlign w:val="center"/>
          </w:tcPr>
          <w:p w:rsidR="00BD36D2" w:rsidRPr="00BD36D2" w:rsidRDefault="00BD36D2" w:rsidP="00BD36D2">
            <w:pPr>
              <w:spacing w:after="0" w:line="240" w:lineRule="auto"/>
              <w:rPr>
                <w:rFonts w:ascii="Garamond" w:hAnsi="Garamond"/>
                <w:color w:val="000000"/>
                <w:sz w:val="18"/>
                <w:szCs w:val="18"/>
              </w:rPr>
            </w:pPr>
            <w:r w:rsidRPr="00BD36D2">
              <w:rPr>
                <w:rFonts w:ascii="Garamond" w:hAnsi="Garamond"/>
                <w:color w:val="000000"/>
                <w:sz w:val="18"/>
                <w:szCs w:val="18"/>
              </w:rPr>
              <w:t>Lavori</w:t>
            </w:r>
          </w:p>
        </w:tc>
        <w:tc>
          <w:tcPr>
            <w:tcW w:w="1190"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sz w:val="18"/>
                <w:szCs w:val="18"/>
              </w:rPr>
            </w:pPr>
            <w:r w:rsidRPr="00BD36D2">
              <w:rPr>
                <w:rFonts w:ascii="Garamond" w:hAnsi="Garamond"/>
                <w:sz w:val="18"/>
                <w:szCs w:val="18"/>
              </w:rPr>
              <w:t>1.487</w:t>
            </w:r>
          </w:p>
        </w:tc>
        <w:tc>
          <w:tcPr>
            <w:tcW w:w="1078"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sz w:val="18"/>
                <w:szCs w:val="18"/>
              </w:rPr>
            </w:pPr>
            <w:r w:rsidRPr="00BD36D2">
              <w:rPr>
                <w:rFonts w:ascii="Garamond" w:hAnsi="Garamond"/>
                <w:sz w:val="18"/>
                <w:szCs w:val="18"/>
              </w:rPr>
              <w:t>1.596</w:t>
            </w:r>
          </w:p>
        </w:tc>
        <w:tc>
          <w:tcPr>
            <w:tcW w:w="745" w:type="dxa"/>
            <w:tcBorders>
              <w:right w:val="single" w:sz="8" w:space="0" w:color="7BA0CD"/>
            </w:tcBorders>
            <w:shd w:val="clear" w:color="auto" w:fill="DBE5F1" w:themeFill="accent1" w:themeFillTint="33"/>
            <w:vAlign w:val="center"/>
          </w:tcPr>
          <w:p w:rsidR="00BD36D2" w:rsidRPr="00BD36D2" w:rsidRDefault="00BD36D2" w:rsidP="00BD36D2">
            <w:pPr>
              <w:spacing w:after="0" w:line="240" w:lineRule="auto"/>
              <w:jc w:val="center"/>
              <w:rPr>
                <w:rFonts w:ascii="Garamond" w:hAnsi="Garamond"/>
                <w:sz w:val="18"/>
                <w:szCs w:val="18"/>
              </w:rPr>
            </w:pPr>
            <w:r w:rsidRPr="00BD36D2">
              <w:rPr>
                <w:rFonts w:ascii="Garamond" w:hAnsi="Garamond"/>
                <w:sz w:val="18"/>
                <w:szCs w:val="18"/>
              </w:rPr>
              <w:t>7,3%</w:t>
            </w:r>
          </w:p>
        </w:tc>
        <w:tc>
          <w:tcPr>
            <w:tcW w:w="1673"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sz w:val="18"/>
                <w:szCs w:val="18"/>
              </w:rPr>
            </w:pPr>
            <w:r w:rsidRPr="00BD36D2">
              <w:rPr>
                <w:rFonts w:ascii="Garamond" w:hAnsi="Garamond"/>
                <w:sz w:val="18"/>
                <w:szCs w:val="18"/>
              </w:rPr>
              <w:t>1.879.532.197</w:t>
            </w:r>
          </w:p>
        </w:tc>
        <w:tc>
          <w:tcPr>
            <w:tcW w:w="1559"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sz w:val="18"/>
                <w:szCs w:val="18"/>
              </w:rPr>
            </w:pPr>
            <w:r w:rsidRPr="00BD36D2">
              <w:rPr>
                <w:rFonts w:ascii="Garamond" w:hAnsi="Garamond"/>
                <w:sz w:val="18"/>
                <w:szCs w:val="18"/>
              </w:rPr>
              <w:t>3.607.136.194</w:t>
            </w:r>
          </w:p>
        </w:tc>
        <w:tc>
          <w:tcPr>
            <w:tcW w:w="850" w:type="dxa"/>
            <w:shd w:val="clear" w:color="auto" w:fill="DBE5F1" w:themeFill="accent1" w:themeFillTint="33"/>
            <w:vAlign w:val="center"/>
          </w:tcPr>
          <w:p w:rsidR="00BD36D2" w:rsidRPr="00BD36D2" w:rsidRDefault="00BD36D2" w:rsidP="00BD36D2">
            <w:pPr>
              <w:spacing w:after="0" w:line="240" w:lineRule="auto"/>
              <w:jc w:val="center"/>
              <w:rPr>
                <w:rFonts w:ascii="Garamond" w:hAnsi="Garamond"/>
                <w:sz w:val="18"/>
                <w:szCs w:val="18"/>
              </w:rPr>
            </w:pPr>
            <w:r w:rsidRPr="00BD36D2">
              <w:rPr>
                <w:rFonts w:ascii="Garamond" w:hAnsi="Garamond"/>
                <w:sz w:val="18"/>
                <w:szCs w:val="18"/>
              </w:rPr>
              <w:t>91,9%</w:t>
            </w:r>
          </w:p>
        </w:tc>
      </w:tr>
      <w:tr w:rsidR="00BD36D2" w:rsidRPr="00BD36D2" w:rsidTr="00BD36D2">
        <w:trPr>
          <w:trHeight w:val="359"/>
          <w:jc w:val="center"/>
        </w:trPr>
        <w:tc>
          <w:tcPr>
            <w:tcW w:w="2126" w:type="dxa"/>
            <w:shd w:val="clear" w:color="auto" w:fill="DBE5F1" w:themeFill="accent1" w:themeFillTint="33"/>
            <w:vAlign w:val="center"/>
          </w:tcPr>
          <w:p w:rsidR="00BD36D2" w:rsidRPr="00BD36D2" w:rsidRDefault="00BD36D2" w:rsidP="00BD36D2">
            <w:pPr>
              <w:spacing w:after="0" w:line="240" w:lineRule="auto"/>
              <w:rPr>
                <w:rFonts w:ascii="Garamond" w:hAnsi="Garamond"/>
                <w:color w:val="000000"/>
                <w:sz w:val="18"/>
                <w:szCs w:val="18"/>
              </w:rPr>
            </w:pPr>
            <w:r w:rsidRPr="00BD36D2">
              <w:rPr>
                <w:rFonts w:ascii="Garamond" w:hAnsi="Garamond"/>
                <w:color w:val="000000"/>
                <w:sz w:val="18"/>
                <w:szCs w:val="18"/>
              </w:rPr>
              <w:t>Servizi</w:t>
            </w:r>
          </w:p>
        </w:tc>
        <w:tc>
          <w:tcPr>
            <w:tcW w:w="1190"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sz w:val="18"/>
                <w:szCs w:val="18"/>
              </w:rPr>
            </w:pPr>
            <w:r w:rsidRPr="00BD36D2">
              <w:rPr>
                <w:rFonts w:ascii="Garamond" w:hAnsi="Garamond"/>
                <w:sz w:val="18"/>
                <w:szCs w:val="18"/>
              </w:rPr>
              <w:t>3.311</w:t>
            </w:r>
          </w:p>
        </w:tc>
        <w:tc>
          <w:tcPr>
            <w:tcW w:w="1078"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sz w:val="18"/>
                <w:szCs w:val="18"/>
              </w:rPr>
            </w:pPr>
            <w:r w:rsidRPr="00BD36D2">
              <w:rPr>
                <w:rFonts w:ascii="Garamond" w:hAnsi="Garamond"/>
                <w:sz w:val="18"/>
                <w:szCs w:val="18"/>
              </w:rPr>
              <w:t>3.661</w:t>
            </w:r>
          </w:p>
        </w:tc>
        <w:tc>
          <w:tcPr>
            <w:tcW w:w="745" w:type="dxa"/>
            <w:tcBorders>
              <w:right w:val="single" w:sz="8" w:space="0" w:color="7BA0CD"/>
            </w:tcBorders>
            <w:shd w:val="clear" w:color="auto" w:fill="DBE5F1" w:themeFill="accent1" w:themeFillTint="33"/>
            <w:vAlign w:val="center"/>
          </w:tcPr>
          <w:p w:rsidR="00BD36D2" w:rsidRPr="00BD36D2" w:rsidRDefault="00BD36D2" w:rsidP="00BD36D2">
            <w:pPr>
              <w:spacing w:after="0" w:line="240" w:lineRule="auto"/>
              <w:jc w:val="center"/>
              <w:rPr>
                <w:rFonts w:ascii="Garamond" w:hAnsi="Garamond"/>
                <w:sz w:val="18"/>
                <w:szCs w:val="18"/>
              </w:rPr>
            </w:pPr>
            <w:r w:rsidRPr="00BD36D2">
              <w:rPr>
                <w:rFonts w:ascii="Garamond" w:hAnsi="Garamond"/>
                <w:sz w:val="18"/>
                <w:szCs w:val="18"/>
              </w:rPr>
              <w:t>10,6%</w:t>
            </w:r>
          </w:p>
        </w:tc>
        <w:tc>
          <w:tcPr>
            <w:tcW w:w="1673"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sz w:val="18"/>
                <w:szCs w:val="18"/>
              </w:rPr>
            </w:pPr>
            <w:r w:rsidRPr="00BD36D2">
              <w:rPr>
                <w:rFonts w:ascii="Garamond" w:hAnsi="Garamond"/>
                <w:sz w:val="18"/>
                <w:szCs w:val="18"/>
              </w:rPr>
              <w:t>4.060.508.085</w:t>
            </w:r>
          </w:p>
        </w:tc>
        <w:tc>
          <w:tcPr>
            <w:tcW w:w="1559"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sz w:val="18"/>
                <w:szCs w:val="18"/>
              </w:rPr>
            </w:pPr>
            <w:r w:rsidRPr="00BD36D2">
              <w:rPr>
                <w:rFonts w:ascii="Garamond" w:hAnsi="Garamond"/>
                <w:sz w:val="18"/>
                <w:szCs w:val="18"/>
              </w:rPr>
              <w:t>4.894.138.939</w:t>
            </w:r>
          </w:p>
        </w:tc>
        <w:tc>
          <w:tcPr>
            <w:tcW w:w="850" w:type="dxa"/>
            <w:shd w:val="clear" w:color="auto" w:fill="DBE5F1" w:themeFill="accent1" w:themeFillTint="33"/>
            <w:vAlign w:val="center"/>
          </w:tcPr>
          <w:p w:rsidR="00BD36D2" w:rsidRPr="00BD36D2" w:rsidRDefault="00BD36D2" w:rsidP="00BD36D2">
            <w:pPr>
              <w:spacing w:after="0" w:line="240" w:lineRule="auto"/>
              <w:jc w:val="center"/>
              <w:rPr>
                <w:rFonts w:ascii="Garamond" w:hAnsi="Garamond"/>
                <w:sz w:val="18"/>
                <w:szCs w:val="18"/>
              </w:rPr>
            </w:pPr>
            <w:r w:rsidRPr="00BD36D2">
              <w:rPr>
                <w:rFonts w:ascii="Garamond" w:hAnsi="Garamond"/>
                <w:sz w:val="18"/>
                <w:szCs w:val="18"/>
              </w:rPr>
              <w:t>20,5%</w:t>
            </w:r>
          </w:p>
        </w:tc>
      </w:tr>
      <w:tr w:rsidR="00BD36D2" w:rsidRPr="00BD36D2" w:rsidTr="00BD36D2">
        <w:trPr>
          <w:trHeight w:val="359"/>
          <w:jc w:val="center"/>
        </w:trPr>
        <w:tc>
          <w:tcPr>
            <w:tcW w:w="2126" w:type="dxa"/>
            <w:shd w:val="clear" w:color="auto" w:fill="DBE5F1" w:themeFill="accent1" w:themeFillTint="33"/>
            <w:vAlign w:val="center"/>
          </w:tcPr>
          <w:p w:rsidR="00BD36D2" w:rsidRPr="00BD36D2" w:rsidRDefault="00BD36D2" w:rsidP="00BD36D2">
            <w:pPr>
              <w:spacing w:after="0" w:line="240" w:lineRule="auto"/>
              <w:rPr>
                <w:rFonts w:ascii="Garamond" w:hAnsi="Garamond"/>
                <w:b/>
                <w:color w:val="000000"/>
                <w:sz w:val="18"/>
                <w:szCs w:val="18"/>
              </w:rPr>
            </w:pPr>
            <w:r w:rsidRPr="00BD36D2">
              <w:rPr>
                <w:rFonts w:ascii="Garamond" w:hAnsi="Garamond"/>
                <w:b/>
                <w:color w:val="000000"/>
                <w:sz w:val="18"/>
                <w:szCs w:val="18"/>
              </w:rPr>
              <w:t>Totale</w:t>
            </w:r>
          </w:p>
        </w:tc>
        <w:tc>
          <w:tcPr>
            <w:tcW w:w="1190"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b/>
                <w:noProof/>
                <w:sz w:val="18"/>
                <w:szCs w:val="18"/>
              </w:rPr>
            </w:pPr>
            <w:r w:rsidRPr="00BD36D2">
              <w:rPr>
                <w:rFonts w:ascii="Garamond" w:hAnsi="Garamond"/>
                <w:b/>
                <w:noProof/>
                <w:sz w:val="18"/>
                <w:szCs w:val="18"/>
              </w:rPr>
              <w:fldChar w:fldCharType="begin"/>
            </w:r>
            <w:r w:rsidRPr="00BD36D2">
              <w:rPr>
                <w:rFonts w:ascii="Garamond" w:hAnsi="Garamond"/>
                <w:b/>
                <w:noProof/>
                <w:sz w:val="18"/>
                <w:szCs w:val="18"/>
              </w:rPr>
              <w:instrText xml:space="preserve"> =SUM(ABOVE) </w:instrText>
            </w:r>
            <w:r w:rsidRPr="00BD36D2">
              <w:rPr>
                <w:rFonts w:ascii="Garamond" w:hAnsi="Garamond"/>
                <w:b/>
                <w:noProof/>
                <w:sz w:val="18"/>
                <w:szCs w:val="18"/>
              </w:rPr>
              <w:fldChar w:fldCharType="separate"/>
            </w:r>
            <w:r w:rsidRPr="00BD36D2">
              <w:rPr>
                <w:rFonts w:ascii="Garamond" w:hAnsi="Garamond"/>
                <w:b/>
                <w:noProof/>
                <w:sz w:val="18"/>
                <w:szCs w:val="18"/>
              </w:rPr>
              <w:t>7.296</w:t>
            </w:r>
            <w:r w:rsidRPr="00BD36D2">
              <w:rPr>
                <w:rFonts w:ascii="Garamond" w:hAnsi="Garamond"/>
                <w:b/>
                <w:noProof/>
                <w:sz w:val="18"/>
                <w:szCs w:val="18"/>
              </w:rPr>
              <w:fldChar w:fldCharType="end"/>
            </w:r>
          </w:p>
        </w:tc>
        <w:tc>
          <w:tcPr>
            <w:tcW w:w="1078"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b/>
                <w:noProof/>
                <w:sz w:val="18"/>
                <w:szCs w:val="18"/>
              </w:rPr>
            </w:pPr>
            <w:r w:rsidRPr="00BD36D2">
              <w:rPr>
                <w:rFonts w:ascii="Garamond" w:hAnsi="Garamond"/>
                <w:b/>
                <w:noProof/>
                <w:sz w:val="18"/>
                <w:szCs w:val="18"/>
              </w:rPr>
              <w:fldChar w:fldCharType="begin"/>
            </w:r>
            <w:r w:rsidRPr="00BD36D2">
              <w:rPr>
                <w:rFonts w:ascii="Garamond" w:hAnsi="Garamond"/>
                <w:b/>
                <w:noProof/>
                <w:sz w:val="18"/>
                <w:szCs w:val="18"/>
              </w:rPr>
              <w:instrText xml:space="preserve"> =SUM(ABOVE) </w:instrText>
            </w:r>
            <w:r w:rsidRPr="00BD36D2">
              <w:rPr>
                <w:rFonts w:ascii="Garamond" w:hAnsi="Garamond"/>
                <w:b/>
                <w:noProof/>
                <w:sz w:val="18"/>
                <w:szCs w:val="18"/>
              </w:rPr>
              <w:fldChar w:fldCharType="separate"/>
            </w:r>
            <w:r w:rsidRPr="00BD36D2">
              <w:rPr>
                <w:rFonts w:ascii="Garamond" w:hAnsi="Garamond"/>
                <w:b/>
                <w:noProof/>
                <w:sz w:val="18"/>
                <w:szCs w:val="18"/>
              </w:rPr>
              <w:t>7.998</w:t>
            </w:r>
            <w:r w:rsidRPr="00BD36D2">
              <w:rPr>
                <w:rFonts w:ascii="Garamond" w:hAnsi="Garamond"/>
                <w:b/>
                <w:noProof/>
                <w:sz w:val="18"/>
                <w:szCs w:val="18"/>
              </w:rPr>
              <w:fldChar w:fldCharType="end"/>
            </w:r>
          </w:p>
        </w:tc>
        <w:tc>
          <w:tcPr>
            <w:tcW w:w="745" w:type="dxa"/>
            <w:tcBorders>
              <w:right w:val="single" w:sz="8" w:space="0" w:color="7BA0CD"/>
            </w:tcBorders>
            <w:shd w:val="clear" w:color="auto" w:fill="DBE5F1" w:themeFill="accent1" w:themeFillTint="33"/>
            <w:vAlign w:val="center"/>
          </w:tcPr>
          <w:p w:rsidR="00BD36D2" w:rsidRPr="00BD36D2" w:rsidRDefault="00BD36D2" w:rsidP="00BD36D2">
            <w:pPr>
              <w:spacing w:after="0" w:line="240" w:lineRule="auto"/>
              <w:jc w:val="center"/>
              <w:rPr>
                <w:rFonts w:ascii="Garamond" w:hAnsi="Garamond"/>
                <w:b/>
                <w:noProof/>
                <w:sz w:val="18"/>
                <w:szCs w:val="18"/>
              </w:rPr>
            </w:pPr>
            <w:r w:rsidRPr="00BD36D2">
              <w:rPr>
                <w:rFonts w:ascii="Garamond" w:hAnsi="Garamond"/>
                <w:b/>
                <w:noProof/>
                <w:sz w:val="18"/>
                <w:szCs w:val="18"/>
              </w:rPr>
              <w:t>9,6%</w:t>
            </w:r>
          </w:p>
        </w:tc>
        <w:tc>
          <w:tcPr>
            <w:tcW w:w="1673"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b/>
                <w:noProof/>
                <w:sz w:val="18"/>
                <w:szCs w:val="18"/>
              </w:rPr>
            </w:pPr>
            <w:r w:rsidRPr="00BD36D2">
              <w:rPr>
                <w:rFonts w:ascii="Garamond" w:hAnsi="Garamond"/>
                <w:b/>
                <w:noProof/>
                <w:sz w:val="18"/>
                <w:szCs w:val="18"/>
              </w:rPr>
              <w:fldChar w:fldCharType="begin"/>
            </w:r>
            <w:r w:rsidRPr="00BD36D2">
              <w:rPr>
                <w:rFonts w:ascii="Garamond" w:hAnsi="Garamond"/>
                <w:b/>
                <w:noProof/>
                <w:sz w:val="18"/>
                <w:szCs w:val="18"/>
              </w:rPr>
              <w:instrText xml:space="preserve"> =SUM(ABOVE) </w:instrText>
            </w:r>
            <w:r w:rsidRPr="00BD36D2">
              <w:rPr>
                <w:rFonts w:ascii="Garamond" w:hAnsi="Garamond"/>
                <w:b/>
                <w:noProof/>
                <w:sz w:val="18"/>
                <w:szCs w:val="18"/>
              </w:rPr>
              <w:fldChar w:fldCharType="separate"/>
            </w:r>
            <w:r w:rsidRPr="00BD36D2">
              <w:rPr>
                <w:rFonts w:ascii="Garamond" w:hAnsi="Garamond"/>
                <w:b/>
                <w:noProof/>
                <w:sz w:val="18"/>
                <w:szCs w:val="18"/>
              </w:rPr>
              <w:t>7.938.180.181</w:t>
            </w:r>
            <w:r w:rsidRPr="00BD36D2">
              <w:rPr>
                <w:rFonts w:ascii="Garamond" w:hAnsi="Garamond"/>
                <w:b/>
                <w:noProof/>
                <w:sz w:val="18"/>
                <w:szCs w:val="18"/>
              </w:rPr>
              <w:fldChar w:fldCharType="end"/>
            </w:r>
          </w:p>
        </w:tc>
        <w:tc>
          <w:tcPr>
            <w:tcW w:w="1559" w:type="dxa"/>
            <w:shd w:val="clear" w:color="auto" w:fill="DBE5F1" w:themeFill="accent1" w:themeFillTint="33"/>
            <w:vAlign w:val="center"/>
          </w:tcPr>
          <w:p w:rsidR="00BD36D2" w:rsidRPr="00BD36D2" w:rsidRDefault="00BD36D2" w:rsidP="00BD36D2">
            <w:pPr>
              <w:spacing w:after="0" w:line="240" w:lineRule="auto"/>
              <w:jc w:val="right"/>
              <w:rPr>
                <w:rFonts w:ascii="Garamond" w:hAnsi="Garamond"/>
                <w:b/>
                <w:noProof/>
                <w:sz w:val="18"/>
                <w:szCs w:val="18"/>
              </w:rPr>
            </w:pPr>
            <w:r w:rsidRPr="00BD36D2">
              <w:rPr>
                <w:rFonts w:ascii="Garamond" w:hAnsi="Garamond"/>
                <w:b/>
                <w:noProof/>
                <w:sz w:val="18"/>
                <w:szCs w:val="18"/>
              </w:rPr>
              <w:fldChar w:fldCharType="begin"/>
            </w:r>
            <w:r w:rsidRPr="00BD36D2">
              <w:rPr>
                <w:rFonts w:ascii="Garamond" w:hAnsi="Garamond"/>
                <w:b/>
                <w:noProof/>
                <w:sz w:val="18"/>
                <w:szCs w:val="18"/>
              </w:rPr>
              <w:instrText xml:space="preserve"> =SUM(ABOVE) </w:instrText>
            </w:r>
            <w:r w:rsidRPr="00BD36D2">
              <w:rPr>
                <w:rFonts w:ascii="Garamond" w:hAnsi="Garamond"/>
                <w:b/>
                <w:noProof/>
                <w:sz w:val="18"/>
                <w:szCs w:val="18"/>
              </w:rPr>
              <w:fldChar w:fldCharType="separate"/>
            </w:r>
            <w:r w:rsidRPr="00BD36D2">
              <w:rPr>
                <w:rFonts w:ascii="Garamond" w:hAnsi="Garamond"/>
                <w:b/>
                <w:noProof/>
                <w:sz w:val="18"/>
                <w:szCs w:val="18"/>
              </w:rPr>
              <w:t>12.234.060.245</w:t>
            </w:r>
            <w:r w:rsidRPr="00BD36D2">
              <w:rPr>
                <w:rFonts w:ascii="Garamond" w:hAnsi="Garamond"/>
                <w:b/>
                <w:noProof/>
                <w:sz w:val="18"/>
                <w:szCs w:val="18"/>
              </w:rPr>
              <w:fldChar w:fldCharType="end"/>
            </w:r>
          </w:p>
        </w:tc>
        <w:tc>
          <w:tcPr>
            <w:tcW w:w="850" w:type="dxa"/>
            <w:shd w:val="clear" w:color="auto" w:fill="DBE5F1" w:themeFill="accent1" w:themeFillTint="33"/>
            <w:vAlign w:val="center"/>
          </w:tcPr>
          <w:p w:rsidR="00BD36D2" w:rsidRPr="00BD36D2" w:rsidRDefault="00BD36D2" w:rsidP="00BD36D2">
            <w:pPr>
              <w:spacing w:after="0" w:line="240" w:lineRule="auto"/>
              <w:jc w:val="center"/>
              <w:rPr>
                <w:rFonts w:ascii="Garamond" w:hAnsi="Garamond"/>
                <w:b/>
                <w:noProof/>
                <w:sz w:val="18"/>
                <w:szCs w:val="18"/>
              </w:rPr>
            </w:pPr>
            <w:r w:rsidRPr="00BD36D2">
              <w:rPr>
                <w:rFonts w:ascii="Garamond" w:hAnsi="Garamond"/>
                <w:b/>
                <w:noProof/>
                <w:sz w:val="18"/>
                <w:szCs w:val="18"/>
              </w:rPr>
              <w:t>54,1%</w:t>
            </w:r>
          </w:p>
        </w:tc>
      </w:tr>
    </w:tbl>
    <w:p w:rsidR="00111C53" w:rsidRDefault="00111C53" w:rsidP="00BD36D2"/>
    <w:p w:rsidR="00111C53" w:rsidRDefault="00111C53">
      <w:r>
        <w:br w:type="page"/>
      </w:r>
    </w:p>
    <w:p w:rsidR="00BD36D2" w:rsidRDefault="00BD36D2" w:rsidP="00BD36D2"/>
    <w:p w:rsidR="001155CC" w:rsidRDefault="001155CC" w:rsidP="00EE4750">
      <w:pPr>
        <w:jc w:val="center"/>
        <w:rPr>
          <w:rFonts w:ascii="Times New Roman" w:hAnsi="Times New Roman" w:cs="Times New Roman"/>
          <w:sz w:val="24"/>
          <w:szCs w:val="24"/>
        </w:rPr>
      </w:pPr>
      <w:r>
        <w:rPr>
          <w:rFonts w:ascii="Times New Roman" w:hAnsi="Times New Roman" w:cs="Times New Roman"/>
          <w:sz w:val="24"/>
          <w:szCs w:val="24"/>
        </w:rPr>
        <w:t>PARTE III</w:t>
      </w:r>
    </w:p>
    <w:p w:rsidR="00EE4750" w:rsidRPr="00F73EE6" w:rsidRDefault="00EE4750" w:rsidP="00EE4750">
      <w:pPr>
        <w:jc w:val="center"/>
        <w:rPr>
          <w:rFonts w:ascii="Times New Roman" w:hAnsi="Times New Roman" w:cs="Times New Roman"/>
          <w:sz w:val="24"/>
          <w:szCs w:val="24"/>
        </w:rPr>
      </w:pPr>
      <w:r w:rsidRPr="00F73EE6">
        <w:rPr>
          <w:rFonts w:ascii="Times New Roman" w:hAnsi="Times New Roman" w:cs="Times New Roman"/>
          <w:sz w:val="24"/>
          <w:szCs w:val="24"/>
        </w:rPr>
        <w:t>ACCERTAMENTO E ADEGUATA SEGNALAZIONE DI CASI DI FRODE, CORRUZIONE, CONFLITTO DI INTERESSI E ALTRE IRREGOLARITA’ GRAVI IN MATERIA DI APPALTI E DI CONCESSIONI</w:t>
      </w:r>
    </w:p>
    <w:p w:rsidR="00EE4750" w:rsidRPr="00EE4750" w:rsidRDefault="00EE4750" w:rsidP="00BD36D2">
      <w:pPr>
        <w:rPr>
          <w:rFonts w:ascii="Times New Roman" w:hAnsi="Times New Roman" w:cs="Times New Roman"/>
          <w:sz w:val="24"/>
          <w:szCs w:val="24"/>
        </w:rPr>
      </w:pPr>
    </w:p>
    <w:p w:rsidR="00EE4750" w:rsidRPr="00EE4750" w:rsidRDefault="00EE4750" w:rsidP="00BD36D2">
      <w:pPr>
        <w:rPr>
          <w:rFonts w:ascii="Times New Roman" w:hAnsi="Times New Roman" w:cs="Times New Roman"/>
          <w:sz w:val="24"/>
          <w:szCs w:val="24"/>
        </w:rPr>
      </w:pPr>
    </w:p>
    <w:p w:rsidR="00BD36D2" w:rsidRPr="008F0BDF" w:rsidRDefault="00BD36D2" w:rsidP="007C4568">
      <w:pPr>
        <w:keepNext/>
        <w:keepLines/>
        <w:numPr>
          <w:ilvl w:val="1"/>
          <w:numId w:val="27"/>
        </w:numPr>
        <w:tabs>
          <w:tab w:val="left" w:pos="426"/>
        </w:tabs>
        <w:spacing w:before="200" w:after="0" w:line="240" w:lineRule="auto"/>
        <w:ind w:left="426" w:hanging="426"/>
        <w:contextualSpacing/>
        <w:outlineLvl w:val="2"/>
        <w:rPr>
          <w:rFonts w:ascii="Times New Roman" w:eastAsiaTheme="majorEastAsia" w:hAnsi="Times New Roman" w:cs="Times New Roman"/>
          <w:b/>
          <w:bCs/>
          <w:sz w:val="24"/>
          <w:szCs w:val="24"/>
          <w:lang w:eastAsia="it-IT"/>
        </w:rPr>
      </w:pPr>
      <w:bookmarkStart w:id="17" w:name="_Toc513486463"/>
      <w:bookmarkStart w:id="18" w:name="_Toc515035721"/>
      <w:r w:rsidRPr="008F0BDF">
        <w:rPr>
          <w:rFonts w:ascii="Times New Roman" w:eastAsiaTheme="majorEastAsia" w:hAnsi="Times New Roman" w:cs="Times New Roman"/>
          <w:b/>
          <w:bCs/>
          <w:sz w:val="24"/>
          <w:szCs w:val="24"/>
          <w:lang w:eastAsia="it-IT"/>
        </w:rPr>
        <w:t>L’attività sanzionatoria</w:t>
      </w:r>
      <w:bookmarkEnd w:id="17"/>
      <w:bookmarkEnd w:id="18"/>
      <w:r w:rsidR="008F0BDF">
        <w:rPr>
          <w:rFonts w:ascii="Times New Roman" w:eastAsiaTheme="majorEastAsia" w:hAnsi="Times New Roman" w:cs="Times New Roman"/>
          <w:b/>
          <w:bCs/>
          <w:sz w:val="24"/>
          <w:szCs w:val="24"/>
          <w:lang w:eastAsia="it-IT"/>
        </w:rPr>
        <w:t xml:space="preserve"> (dati ANAC)</w:t>
      </w:r>
    </w:p>
    <w:p w:rsidR="00BD36D2" w:rsidRPr="00EE4750" w:rsidRDefault="00BD36D2" w:rsidP="00BD36D2">
      <w:pPr>
        <w:autoSpaceDE w:val="0"/>
        <w:autoSpaceDN w:val="0"/>
        <w:adjustRightInd w:val="0"/>
        <w:spacing w:after="0" w:line="360" w:lineRule="auto"/>
        <w:jc w:val="both"/>
        <w:rPr>
          <w:rFonts w:ascii="Times New Roman" w:hAnsi="Times New Roman" w:cs="Times New Roman"/>
          <w:color w:val="000000"/>
          <w:sz w:val="24"/>
          <w:szCs w:val="24"/>
        </w:rPr>
      </w:pPr>
    </w:p>
    <w:p w:rsidR="00BD36D2" w:rsidRPr="00EE4750" w:rsidRDefault="00BD36D2" w:rsidP="00BD36D2">
      <w:pPr>
        <w:autoSpaceDE w:val="0"/>
        <w:autoSpaceDN w:val="0"/>
        <w:adjustRightInd w:val="0"/>
        <w:spacing w:after="0" w:line="360" w:lineRule="auto"/>
        <w:jc w:val="both"/>
        <w:rPr>
          <w:rFonts w:ascii="Times New Roman" w:hAnsi="Times New Roman" w:cs="Times New Roman"/>
          <w:sz w:val="24"/>
          <w:szCs w:val="24"/>
        </w:rPr>
      </w:pPr>
      <w:r w:rsidRPr="00EE4750">
        <w:rPr>
          <w:rFonts w:ascii="Times New Roman" w:hAnsi="Times New Roman" w:cs="Times New Roman"/>
          <w:color w:val="000000"/>
          <w:sz w:val="24"/>
          <w:szCs w:val="24"/>
        </w:rPr>
        <w:t>Nel 2017 il numero di procedimenti sanzionatori definiti dall’</w:t>
      </w:r>
      <w:r w:rsidR="008F0BDF">
        <w:rPr>
          <w:rFonts w:ascii="Times New Roman" w:hAnsi="Times New Roman" w:cs="Times New Roman"/>
          <w:color w:val="000000"/>
          <w:sz w:val="24"/>
          <w:szCs w:val="24"/>
        </w:rPr>
        <w:t xml:space="preserve">ANAC </w:t>
      </w:r>
      <w:r w:rsidRPr="00EE4750">
        <w:rPr>
          <w:rFonts w:ascii="Times New Roman" w:hAnsi="Times New Roman" w:cs="Times New Roman"/>
          <w:color w:val="000000"/>
          <w:sz w:val="24"/>
          <w:szCs w:val="24"/>
        </w:rPr>
        <w:t xml:space="preserve">è stato </w:t>
      </w:r>
      <w:r w:rsidRPr="00EE4750">
        <w:rPr>
          <w:rFonts w:ascii="Times New Roman" w:hAnsi="Times New Roman" w:cs="Times New Roman"/>
          <w:sz w:val="24"/>
          <w:szCs w:val="24"/>
        </w:rPr>
        <w:t xml:space="preserve">pari a 878 (cfr. tabella 15) con un modesto incremento (4%) rispetto a quelli definiti nel 2016. </w:t>
      </w:r>
      <w:r w:rsidRPr="00EE4750">
        <w:rPr>
          <w:rFonts w:ascii="Times New Roman" w:hAnsi="Times New Roman" w:cs="Times New Roman"/>
          <w:color w:val="000000"/>
          <w:sz w:val="24"/>
          <w:szCs w:val="24"/>
        </w:rPr>
        <w:t>Il procedimento è derivato nella maggior parte dei casi (58%) da violazioni inerenti i motivi di esclusione, disciplinati dall’art. 80 del Codice, per falsa dichiarazione resa dagli operatori economici in sede di partecipazione alle gare o di affidamento di subappalto; solo il 21% ha riguardato procedimenti per falsa dichiarazione resa dagli operatori economici in ordine al possesso dei requisiti di ammissione a carattere speciale. Il residuale 20% dei procedimenti ha riguardato inadempimenti agli obblighi informativi a carico delle SA nei confronti della Autorità, sanzionati ai sensi dell’art. 213, co. 13, del Codice.</w:t>
      </w:r>
    </w:p>
    <w:p w:rsidR="00BD36D2" w:rsidRPr="00BD36D2" w:rsidRDefault="00BD36D2" w:rsidP="00BD36D2">
      <w:pPr>
        <w:autoSpaceDE w:val="0"/>
        <w:autoSpaceDN w:val="0"/>
        <w:adjustRightInd w:val="0"/>
        <w:spacing w:after="0" w:line="360" w:lineRule="auto"/>
        <w:jc w:val="both"/>
        <w:rPr>
          <w:rFonts w:ascii="Garamond" w:hAnsi="Garamond" w:cs="Garamond"/>
          <w:color w:val="000000"/>
          <w:sz w:val="24"/>
          <w:szCs w:val="24"/>
        </w:rPr>
      </w:pPr>
    </w:p>
    <w:p w:rsidR="00BD36D2" w:rsidRPr="00BD36D2" w:rsidRDefault="00BD36D2" w:rsidP="00BD36D2">
      <w:pPr>
        <w:spacing w:after="0"/>
        <w:ind w:left="360"/>
        <w:contextualSpacing/>
        <w:jc w:val="center"/>
        <w:rPr>
          <w:rFonts w:ascii="Garamond" w:eastAsia="Times New Roman" w:hAnsi="Garamond" w:cs="Calibri"/>
          <w:b/>
          <w:color w:val="000000"/>
          <w:lang w:eastAsia="it-IT"/>
        </w:rPr>
      </w:pPr>
      <w:r w:rsidRPr="00BD36D2">
        <w:rPr>
          <w:rFonts w:ascii="Garamond" w:eastAsia="Times New Roman" w:hAnsi="Garamond" w:cs="Calibri"/>
          <w:b/>
          <w:color w:val="000000"/>
          <w:lang w:eastAsia="it-IT"/>
        </w:rPr>
        <w:t>Tabella 15  Procedimenti sanzionatori svolti nel 2017</w:t>
      </w:r>
    </w:p>
    <w:tbl>
      <w:tblPr>
        <w:tblW w:w="5133" w:type="pct"/>
        <w:jc w:val="cente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3074"/>
        <w:gridCol w:w="567"/>
        <w:gridCol w:w="635"/>
        <w:gridCol w:w="641"/>
        <w:gridCol w:w="728"/>
        <w:gridCol w:w="1056"/>
        <w:gridCol w:w="759"/>
        <w:gridCol w:w="635"/>
        <w:gridCol w:w="660"/>
        <w:gridCol w:w="552"/>
        <w:gridCol w:w="809"/>
      </w:tblGrid>
      <w:tr w:rsidR="00BD36D2" w:rsidRPr="00BD36D2" w:rsidTr="00BD36D2">
        <w:trPr>
          <w:cantSplit/>
          <w:trHeight w:val="358"/>
          <w:jc w:val="center"/>
        </w:trPr>
        <w:tc>
          <w:tcPr>
            <w:tcW w:w="1519" w:type="pct"/>
            <w:vMerge w:val="restart"/>
            <w:shd w:val="clear" w:color="auto" w:fill="365F91"/>
            <w:vAlign w:val="center"/>
          </w:tcPr>
          <w:p w:rsidR="00BD36D2" w:rsidRPr="00BD36D2" w:rsidRDefault="00BD36D2" w:rsidP="00BD36D2">
            <w:pPr>
              <w:spacing w:after="0" w:line="200" w:lineRule="exact"/>
              <w:jc w:val="center"/>
              <w:rPr>
                <w:rFonts w:ascii="Garamond" w:eastAsia="Times New Roman" w:hAnsi="Garamond" w:cs="Times New Roman"/>
                <w:b/>
                <w:bCs/>
                <w:color w:val="FFFFFF"/>
                <w:sz w:val="20"/>
                <w:szCs w:val="20"/>
                <w:lang w:eastAsia="it-IT"/>
              </w:rPr>
            </w:pPr>
            <w:r w:rsidRPr="00BD36D2">
              <w:rPr>
                <w:rFonts w:ascii="Garamond" w:eastAsia="Times New Roman" w:hAnsi="Garamond" w:cs="Times New Roman"/>
                <w:b/>
                <w:bCs/>
                <w:color w:val="FFFFFF"/>
                <w:sz w:val="20"/>
                <w:szCs w:val="20"/>
                <w:lang w:eastAsia="it-IT"/>
              </w:rPr>
              <w:t>riferimento normativo</w:t>
            </w:r>
          </w:p>
        </w:tc>
        <w:tc>
          <w:tcPr>
            <w:tcW w:w="280" w:type="pct"/>
            <w:shd w:val="clear" w:color="auto" w:fill="365F91"/>
          </w:tcPr>
          <w:p w:rsidR="00BD36D2" w:rsidRPr="00BD36D2" w:rsidRDefault="00BD36D2" w:rsidP="00BD36D2">
            <w:pPr>
              <w:spacing w:after="0"/>
              <w:jc w:val="center"/>
              <w:rPr>
                <w:rFonts w:ascii="Garamond" w:eastAsia="Times New Roman" w:hAnsi="Garamond" w:cs="Times New Roman"/>
                <w:b/>
                <w:bCs/>
                <w:color w:val="FFFFFF"/>
                <w:sz w:val="20"/>
                <w:szCs w:val="20"/>
                <w:lang w:eastAsia="it-IT"/>
              </w:rPr>
            </w:pPr>
          </w:p>
        </w:tc>
        <w:tc>
          <w:tcPr>
            <w:tcW w:w="631" w:type="pct"/>
            <w:gridSpan w:val="2"/>
            <w:shd w:val="clear" w:color="auto" w:fill="365F91"/>
          </w:tcPr>
          <w:p w:rsidR="00BD36D2" w:rsidRPr="00BD36D2" w:rsidRDefault="00BD36D2" w:rsidP="00BD36D2">
            <w:pPr>
              <w:spacing w:after="0"/>
              <w:jc w:val="center"/>
              <w:rPr>
                <w:rFonts w:ascii="Garamond" w:eastAsia="Times New Roman" w:hAnsi="Garamond" w:cs="Times New Roman"/>
                <w:b/>
                <w:bCs/>
                <w:color w:val="FFFFFF"/>
                <w:sz w:val="20"/>
                <w:szCs w:val="20"/>
                <w:lang w:eastAsia="it-IT"/>
              </w:rPr>
            </w:pPr>
          </w:p>
        </w:tc>
        <w:tc>
          <w:tcPr>
            <w:tcW w:w="2570" w:type="pct"/>
            <w:gridSpan w:val="7"/>
            <w:tcBorders>
              <w:right w:val="single" w:sz="8" w:space="0" w:color="7BA0CD"/>
            </w:tcBorders>
            <w:shd w:val="clear" w:color="auto" w:fill="365F91"/>
            <w:vAlign w:val="center"/>
          </w:tcPr>
          <w:p w:rsidR="00BD36D2" w:rsidRPr="00BD36D2" w:rsidRDefault="00BD36D2" w:rsidP="00BD36D2">
            <w:pPr>
              <w:spacing w:after="0"/>
              <w:jc w:val="center"/>
              <w:rPr>
                <w:rFonts w:ascii="Garamond" w:eastAsia="Times New Roman" w:hAnsi="Garamond" w:cs="Times New Roman"/>
                <w:b/>
                <w:bCs/>
                <w:color w:val="FFFFFF"/>
                <w:sz w:val="20"/>
                <w:szCs w:val="20"/>
                <w:lang w:eastAsia="it-IT"/>
              </w:rPr>
            </w:pPr>
            <w:r w:rsidRPr="00BD36D2">
              <w:rPr>
                <w:rFonts w:ascii="Garamond" w:eastAsia="Times New Roman" w:hAnsi="Garamond" w:cs="Times New Roman"/>
                <w:b/>
                <w:bCs/>
                <w:color w:val="FFFFFF"/>
                <w:sz w:val="20"/>
                <w:szCs w:val="20"/>
                <w:lang w:eastAsia="it-IT"/>
              </w:rPr>
              <w:t xml:space="preserve">Anno 2017/18 </w:t>
            </w:r>
          </w:p>
        </w:tc>
      </w:tr>
      <w:tr w:rsidR="00BD36D2" w:rsidRPr="00BD36D2" w:rsidTr="00BD36D2">
        <w:trPr>
          <w:cantSplit/>
          <w:trHeight w:val="1446"/>
          <w:jc w:val="center"/>
        </w:trPr>
        <w:tc>
          <w:tcPr>
            <w:tcW w:w="1519" w:type="pct"/>
            <w:vMerge/>
            <w:shd w:val="clear" w:color="auto" w:fill="365F91"/>
            <w:vAlign w:val="center"/>
          </w:tcPr>
          <w:p w:rsidR="00BD36D2" w:rsidRPr="00BD36D2" w:rsidRDefault="00BD36D2" w:rsidP="00BD36D2">
            <w:pPr>
              <w:spacing w:after="0" w:line="200" w:lineRule="exact"/>
              <w:jc w:val="center"/>
              <w:rPr>
                <w:rFonts w:ascii="Garamond" w:eastAsia="Times New Roman" w:hAnsi="Garamond" w:cs="Times New Roman"/>
                <w:b/>
                <w:bCs/>
                <w:color w:val="FFFFFF"/>
                <w:sz w:val="20"/>
                <w:szCs w:val="20"/>
                <w:lang w:eastAsia="it-IT"/>
              </w:rPr>
            </w:pPr>
          </w:p>
        </w:tc>
        <w:tc>
          <w:tcPr>
            <w:tcW w:w="280" w:type="pct"/>
            <w:tcBorders>
              <w:right w:val="single" w:sz="8" w:space="0" w:color="7BA0CD"/>
            </w:tcBorders>
            <w:shd w:val="clear" w:color="auto" w:fill="365F91"/>
            <w:textDirection w:val="btLr"/>
            <w:vAlign w:val="center"/>
          </w:tcPr>
          <w:p w:rsidR="00BD36D2" w:rsidRPr="00BD36D2" w:rsidRDefault="00BD36D2" w:rsidP="00BD36D2">
            <w:pPr>
              <w:spacing w:after="0" w:line="240" w:lineRule="auto"/>
              <w:ind w:left="113" w:right="113"/>
              <w:jc w:val="center"/>
              <w:rPr>
                <w:rFonts w:ascii="Garamond" w:eastAsia="Times New Roman" w:hAnsi="Garamond" w:cs="Times New Roman"/>
                <w:b/>
                <w:bCs/>
                <w:color w:val="FFFFFF"/>
                <w:sz w:val="20"/>
                <w:szCs w:val="20"/>
                <w:lang w:eastAsia="it-IT"/>
              </w:rPr>
            </w:pPr>
            <w:r w:rsidRPr="00BD36D2">
              <w:rPr>
                <w:rFonts w:ascii="Garamond" w:eastAsia="Times New Roman" w:hAnsi="Garamond" w:cs="Times New Roman"/>
                <w:b/>
                <w:bCs/>
                <w:color w:val="FFFFFF"/>
                <w:sz w:val="20"/>
                <w:szCs w:val="20"/>
                <w:lang w:eastAsia="it-IT"/>
              </w:rPr>
              <w:t xml:space="preserve">n. </w:t>
            </w:r>
            <w:proofErr w:type="spellStart"/>
            <w:r w:rsidRPr="00BD36D2">
              <w:rPr>
                <w:rFonts w:ascii="Garamond" w:eastAsia="Times New Roman" w:hAnsi="Garamond" w:cs="Times New Roman"/>
                <w:b/>
                <w:bCs/>
                <w:color w:val="FFFFFF"/>
                <w:sz w:val="20"/>
                <w:szCs w:val="20"/>
                <w:lang w:eastAsia="it-IT"/>
              </w:rPr>
              <w:t>proced</w:t>
            </w:r>
            <w:proofErr w:type="spellEnd"/>
            <w:r w:rsidRPr="00BD36D2">
              <w:rPr>
                <w:rFonts w:ascii="Garamond" w:eastAsia="Times New Roman" w:hAnsi="Garamond" w:cs="Times New Roman"/>
                <w:b/>
                <w:bCs/>
                <w:color w:val="FFFFFF"/>
                <w:sz w:val="20"/>
                <w:szCs w:val="20"/>
                <w:lang w:eastAsia="it-IT"/>
              </w:rPr>
              <w:t>. definiti</w:t>
            </w:r>
          </w:p>
        </w:tc>
        <w:tc>
          <w:tcPr>
            <w:tcW w:w="314" w:type="pct"/>
            <w:tcBorders>
              <w:right w:val="single" w:sz="8" w:space="0" w:color="7BA0CD"/>
            </w:tcBorders>
            <w:shd w:val="clear" w:color="auto" w:fill="365F91"/>
            <w:textDirection w:val="btLr"/>
            <w:vAlign w:val="center"/>
          </w:tcPr>
          <w:p w:rsidR="00BD36D2" w:rsidRPr="00BD36D2" w:rsidRDefault="00BD36D2" w:rsidP="00BD36D2">
            <w:pPr>
              <w:spacing w:after="0" w:line="240" w:lineRule="auto"/>
              <w:ind w:left="113" w:right="113"/>
              <w:jc w:val="center"/>
              <w:rPr>
                <w:rFonts w:ascii="Garamond" w:eastAsia="Times New Roman" w:hAnsi="Garamond" w:cs="Times New Roman"/>
                <w:b/>
                <w:bCs/>
                <w:color w:val="FFFFFF"/>
                <w:sz w:val="20"/>
                <w:szCs w:val="20"/>
                <w:lang w:eastAsia="it-IT"/>
              </w:rPr>
            </w:pPr>
            <w:r w:rsidRPr="00BD36D2">
              <w:rPr>
                <w:rFonts w:ascii="Garamond" w:eastAsia="Times New Roman" w:hAnsi="Garamond" w:cs="Times New Roman"/>
                <w:b/>
                <w:bCs/>
                <w:color w:val="FFFFFF"/>
                <w:sz w:val="20"/>
                <w:szCs w:val="20"/>
                <w:lang w:eastAsia="it-IT"/>
              </w:rPr>
              <w:t xml:space="preserve">n. </w:t>
            </w:r>
            <w:proofErr w:type="spellStart"/>
            <w:r w:rsidRPr="00BD36D2">
              <w:rPr>
                <w:rFonts w:ascii="Garamond" w:eastAsia="Times New Roman" w:hAnsi="Garamond" w:cs="Times New Roman"/>
                <w:b/>
                <w:bCs/>
                <w:color w:val="FFFFFF"/>
                <w:sz w:val="20"/>
                <w:szCs w:val="20"/>
                <w:lang w:eastAsia="it-IT"/>
              </w:rPr>
              <w:t>proced</w:t>
            </w:r>
            <w:proofErr w:type="spellEnd"/>
            <w:r w:rsidRPr="00BD36D2">
              <w:rPr>
                <w:rFonts w:ascii="Garamond" w:eastAsia="Times New Roman" w:hAnsi="Garamond" w:cs="Times New Roman"/>
                <w:b/>
                <w:bCs/>
                <w:color w:val="FFFFFF"/>
                <w:sz w:val="20"/>
                <w:szCs w:val="20"/>
                <w:lang w:eastAsia="it-IT"/>
              </w:rPr>
              <w:t>. archiviati</w:t>
            </w:r>
          </w:p>
        </w:tc>
        <w:tc>
          <w:tcPr>
            <w:tcW w:w="317" w:type="pct"/>
            <w:tcBorders>
              <w:right w:val="single" w:sz="8" w:space="0" w:color="7BA0CD"/>
            </w:tcBorders>
            <w:shd w:val="clear" w:color="auto" w:fill="365F91"/>
            <w:textDirection w:val="btLr"/>
            <w:vAlign w:val="center"/>
          </w:tcPr>
          <w:p w:rsidR="00BD36D2" w:rsidRPr="00BD36D2" w:rsidRDefault="00BD36D2" w:rsidP="00BD36D2">
            <w:pPr>
              <w:spacing w:after="0" w:line="240" w:lineRule="auto"/>
              <w:ind w:left="113" w:right="113"/>
              <w:jc w:val="center"/>
              <w:rPr>
                <w:rFonts w:ascii="Garamond" w:eastAsia="Times New Roman" w:hAnsi="Garamond" w:cs="Times New Roman"/>
                <w:b/>
                <w:bCs/>
                <w:color w:val="FFFFFF"/>
                <w:sz w:val="20"/>
                <w:szCs w:val="20"/>
                <w:lang w:eastAsia="it-IT"/>
              </w:rPr>
            </w:pPr>
            <w:r w:rsidRPr="00BD36D2">
              <w:rPr>
                <w:rFonts w:ascii="Garamond" w:eastAsia="Times New Roman" w:hAnsi="Garamond" w:cs="Times New Roman"/>
                <w:b/>
                <w:bCs/>
                <w:color w:val="FFFFFF"/>
                <w:sz w:val="20"/>
                <w:szCs w:val="20"/>
                <w:lang w:eastAsia="it-IT"/>
              </w:rPr>
              <w:t xml:space="preserve">n. </w:t>
            </w:r>
            <w:proofErr w:type="spellStart"/>
            <w:r w:rsidRPr="00BD36D2">
              <w:rPr>
                <w:rFonts w:ascii="Garamond" w:eastAsia="Times New Roman" w:hAnsi="Garamond" w:cs="Times New Roman"/>
                <w:b/>
                <w:bCs/>
                <w:color w:val="FFFFFF"/>
                <w:sz w:val="20"/>
                <w:szCs w:val="20"/>
                <w:lang w:eastAsia="it-IT"/>
              </w:rPr>
              <w:t>proced</w:t>
            </w:r>
            <w:proofErr w:type="spellEnd"/>
            <w:r w:rsidRPr="00BD36D2">
              <w:rPr>
                <w:rFonts w:ascii="Garamond" w:eastAsia="Times New Roman" w:hAnsi="Garamond" w:cs="Times New Roman"/>
                <w:b/>
                <w:bCs/>
                <w:color w:val="FFFFFF"/>
                <w:sz w:val="20"/>
                <w:szCs w:val="20"/>
                <w:lang w:eastAsia="it-IT"/>
              </w:rPr>
              <w:t>. con sanzione</w:t>
            </w:r>
          </w:p>
        </w:tc>
        <w:tc>
          <w:tcPr>
            <w:tcW w:w="360" w:type="pct"/>
            <w:tcBorders>
              <w:right w:val="single" w:sz="8" w:space="0" w:color="7BA0CD"/>
            </w:tcBorders>
            <w:shd w:val="clear" w:color="auto" w:fill="365F91"/>
            <w:textDirection w:val="btLr"/>
            <w:vAlign w:val="center"/>
          </w:tcPr>
          <w:p w:rsidR="00BD36D2" w:rsidRPr="00BD36D2" w:rsidRDefault="00BD36D2" w:rsidP="00BD36D2">
            <w:pPr>
              <w:spacing w:after="0" w:line="240" w:lineRule="auto"/>
              <w:ind w:left="113" w:right="113"/>
              <w:jc w:val="center"/>
              <w:rPr>
                <w:rFonts w:ascii="Garamond" w:eastAsia="Times New Roman" w:hAnsi="Garamond" w:cs="Times New Roman"/>
                <w:color w:val="FFFFFF"/>
                <w:sz w:val="20"/>
                <w:szCs w:val="20"/>
                <w:lang w:eastAsia="it-IT"/>
              </w:rPr>
            </w:pPr>
            <w:r w:rsidRPr="00BD36D2">
              <w:rPr>
                <w:rFonts w:ascii="Garamond" w:eastAsia="Times New Roman" w:hAnsi="Garamond" w:cs="Times New Roman"/>
                <w:b/>
                <w:bCs/>
                <w:color w:val="FFFFFF"/>
                <w:sz w:val="20"/>
                <w:szCs w:val="20"/>
                <w:lang w:eastAsia="it-IT"/>
              </w:rPr>
              <w:t>% sanzioni</w:t>
            </w:r>
          </w:p>
        </w:tc>
        <w:tc>
          <w:tcPr>
            <w:tcW w:w="522" w:type="pct"/>
            <w:shd w:val="clear" w:color="auto" w:fill="365F91"/>
            <w:textDirection w:val="btLr"/>
            <w:vAlign w:val="center"/>
          </w:tcPr>
          <w:p w:rsidR="00BD36D2" w:rsidRPr="00BD36D2" w:rsidRDefault="00BD36D2" w:rsidP="00BD36D2">
            <w:pPr>
              <w:spacing w:after="0" w:line="240" w:lineRule="auto"/>
              <w:ind w:left="113" w:right="113"/>
              <w:jc w:val="center"/>
              <w:rPr>
                <w:rFonts w:ascii="Garamond" w:eastAsia="Times New Roman" w:hAnsi="Garamond" w:cs="Times New Roman"/>
                <w:b/>
                <w:bCs/>
                <w:color w:val="FFFFFF"/>
                <w:sz w:val="20"/>
                <w:szCs w:val="20"/>
                <w:lang w:eastAsia="it-IT"/>
              </w:rPr>
            </w:pPr>
            <w:r w:rsidRPr="00BD36D2">
              <w:rPr>
                <w:rFonts w:ascii="Garamond" w:eastAsia="Times New Roman" w:hAnsi="Garamond" w:cs="Times New Roman"/>
                <w:b/>
                <w:bCs/>
                <w:color w:val="FFFFFF"/>
                <w:sz w:val="20"/>
                <w:szCs w:val="20"/>
                <w:lang w:eastAsia="it-IT"/>
              </w:rPr>
              <w:t>importo € sanzioni</w:t>
            </w:r>
          </w:p>
        </w:tc>
        <w:tc>
          <w:tcPr>
            <w:tcW w:w="375" w:type="pct"/>
            <w:shd w:val="clear" w:color="auto" w:fill="365F91"/>
            <w:textDirection w:val="btLr"/>
            <w:vAlign w:val="center"/>
          </w:tcPr>
          <w:p w:rsidR="00BD36D2" w:rsidRPr="00BD36D2" w:rsidRDefault="00BD36D2" w:rsidP="00BD36D2">
            <w:pPr>
              <w:spacing w:after="0" w:line="240" w:lineRule="auto"/>
              <w:ind w:left="113" w:right="113"/>
              <w:jc w:val="center"/>
              <w:rPr>
                <w:rFonts w:ascii="Garamond" w:eastAsia="Times New Roman" w:hAnsi="Garamond" w:cs="Times New Roman"/>
                <w:b/>
                <w:bCs/>
                <w:color w:val="FFFFFF"/>
                <w:sz w:val="20"/>
                <w:szCs w:val="20"/>
                <w:lang w:eastAsia="it-IT"/>
              </w:rPr>
            </w:pPr>
            <w:r w:rsidRPr="00BD36D2">
              <w:rPr>
                <w:rFonts w:ascii="Garamond" w:eastAsia="Times New Roman" w:hAnsi="Garamond" w:cs="Times New Roman"/>
                <w:b/>
                <w:bCs/>
                <w:color w:val="FFFFFF"/>
                <w:sz w:val="20"/>
                <w:szCs w:val="20"/>
                <w:lang w:eastAsia="it-IT"/>
              </w:rPr>
              <w:t>sanzione € media</w:t>
            </w:r>
          </w:p>
        </w:tc>
        <w:tc>
          <w:tcPr>
            <w:tcW w:w="314" w:type="pct"/>
            <w:shd w:val="clear" w:color="auto" w:fill="365F91"/>
            <w:textDirection w:val="btLr"/>
            <w:vAlign w:val="center"/>
          </w:tcPr>
          <w:p w:rsidR="00BD36D2" w:rsidRPr="00BD36D2" w:rsidRDefault="00BD36D2" w:rsidP="00BD36D2">
            <w:pPr>
              <w:spacing w:after="0" w:line="240" w:lineRule="auto"/>
              <w:ind w:left="113" w:right="113"/>
              <w:jc w:val="center"/>
              <w:rPr>
                <w:rFonts w:ascii="Garamond" w:eastAsia="Times New Roman" w:hAnsi="Garamond" w:cs="Times New Roman"/>
                <w:b/>
                <w:bCs/>
                <w:color w:val="FFFFFF"/>
                <w:sz w:val="20"/>
                <w:szCs w:val="20"/>
                <w:lang w:eastAsia="it-IT"/>
              </w:rPr>
            </w:pPr>
            <w:r w:rsidRPr="00BD36D2">
              <w:rPr>
                <w:rFonts w:ascii="Garamond" w:eastAsia="Times New Roman" w:hAnsi="Garamond" w:cs="Times New Roman"/>
                <w:b/>
                <w:bCs/>
                <w:color w:val="FFFFFF"/>
                <w:sz w:val="20"/>
                <w:szCs w:val="20"/>
                <w:lang w:eastAsia="it-IT"/>
              </w:rPr>
              <w:t>mesi interdizioni</w:t>
            </w:r>
          </w:p>
        </w:tc>
        <w:tc>
          <w:tcPr>
            <w:tcW w:w="326" w:type="pct"/>
            <w:shd w:val="clear" w:color="auto" w:fill="365F91"/>
            <w:textDirection w:val="btLr"/>
            <w:vAlign w:val="center"/>
          </w:tcPr>
          <w:p w:rsidR="00BD36D2" w:rsidRPr="00BD36D2" w:rsidRDefault="00BD36D2" w:rsidP="00BD36D2">
            <w:pPr>
              <w:spacing w:after="0" w:line="240" w:lineRule="auto"/>
              <w:ind w:left="113" w:right="113"/>
              <w:jc w:val="center"/>
              <w:rPr>
                <w:rFonts w:ascii="Garamond" w:eastAsia="Times New Roman" w:hAnsi="Garamond" w:cs="Times New Roman"/>
                <w:b/>
                <w:bCs/>
                <w:color w:val="FFFFFF"/>
                <w:sz w:val="20"/>
                <w:szCs w:val="20"/>
                <w:lang w:eastAsia="it-IT"/>
              </w:rPr>
            </w:pPr>
            <w:r w:rsidRPr="00BD36D2">
              <w:rPr>
                <w:rFonts w:ascii="Garamond" w:eastAsia="Times New Roman" w:hAnsi="Garamond" w:cs="Times New Roman"/>
                <w:b/>
                <w:bCs/>
                <w:color w:val="FFFFFF"/>
                <w:sz w:val="20"/>
                <w:szCs w:val="20"/>
                <w:lang w:eastAsia="it-IT"/>
              </w:rPr>
              <w:t>interdizione media in giorni</w:t>
            </w:r>
          </w:p>
        </w:tc>
        <w:tc>
          <w:tcPr>
            <w:tcW w:w="273" w:type="pct"/>
            <w:tcBorders>
              <w:right w:val="single" w:sz="8" w:space="0" w:color="7BA0CD"/>
            </w:tcBorders>
            <w:shd w:val="clear" w:color="auto" w:fill="365F91"/>
            <w:textDirection w:val="btLr"/>
            <w:vAlign w:val="center"/>
          </w:tcPr>
          <w:p w:rsidR="00BD36D2" w:rsidRPr="00BD36D2" w:rsidRDefault="00BD36D2" w:rsidP="00BD36D2">
            <w:pPr>
              <w:spacing w:after="0" w:line="240" w:lineRule="auto"/>
              <w:ind w:left="113" w:right="113"/>
              <w:jc w:val="center"/>
              <w:rPr>
                <w:rFonts w:ascii="Garamond" w:eastAsia="Times New Roman" w:hAnsi="Garamond" w:cs="Times New Roman"/>
                <w:color w:val="FFFFFF"/>
                <w:sz w:val="20"/>
                <w:szCs w:val="20"/>
                <w:lang w:eastAsia="it-IT"/>
              </w:rPr>
            </w:pPr>
            <w:r w:rsidRPr="00BD36D2">
              <w:rPr>
                <w:rFonts w:ascii="Garamond" w:eastAsia="Times New Roman" w:hAnsi="Garamond" w:cs="Times New Roman"/>
                <w:b/>
                <w:bCs/>
                <w:color w:val="FFFFFF"/>
                <w:sz w:val="20"/>
                <w:szCs w:val="20"/>
                <w:lang w:eastAsia="it-IT"/>
              </w:rPr>
              <w:t xml:space="preserve">n. annotazioni </w:t>
            </w:r>
            <w:proofErr w:type="spellStart"/>
            <w:r w:rsidRPr="00BD36D2">
              <w:rPr>
                <w:rFonts w:ascii="Garamond" w:eastAsia="Times New Roman" w:hAnsi="Garamond" w:cs="Times New Roman"/>
                <w:b/>
                <w:bCs/>
                <w:color w:val="FFFFFF"/>
                <w:sz w:val="20"/>
                <w:szCs w:val="20"/>
                <w:lang w:eastAsia="it-IT"/>
              </w:rPr>
              <w:t>interdittive</w:t>
            </w:r>
            <w:proofErr w:type="spellEnd"/>
          </w:p>
        </w:tc>
        <w:tc>
          <w:tcPr>
            <w:tcW w:w="400" w:type="pct"/>
            <w:tcBorders>
              <w:right w:val="single" w:sz="8" w:space="0" w:color="7BA0CD"/>
            </w:tcBorders>
            <w:shd w:val="clear" w:color="auto" w:fill="365F91"/>
            <w:textDirection w:val="btLr"/>
            <w:vAlign w:val="center"/>
          </w:tcPr>
          <w:p w:rsidR="00BD36D2" w:rsidRPr="00BD36D2" w:rsidRDefault="00BD36D2" w:rsidP="00BD36D2">
            <w:pPr>
              <w:spacing w:after="0" w:line="240" w:lineRule="auto"/>
              <w:ind w:left="57" w:right="57"/>
              <w:jc w:val="center"/>
              <w:rPr>
                <w:rFonts w:ascii="Garamond" w:eastAsia="Times New Roman" w:hAnsi="Garamond" w:cs="Times New Roman"/>
                <w:color w:val="FFFFFF"/>
                <w:sz w:val="20"/>
                <w:szCs w:val="20"/>
                <w:lang w:eastAsia="it-IT"/>
              </w:rPr>
            </w:pPr>
            <w:r w:rsidRPr="00BD36D2">
              <w:rPr>
                <w:rFonts w:ascii="Garamond" w:eastAsia="Times New Roman" w:hAnsi="Garamond" w:cs="Times New Roman"/>
                <w:b/>
                <w:bCs/>
                <w:color w:val="FFFFFF"/>
                <w:sz w:val="20"/>
                <w:szCs w:val="20"/>
                <w:lang w:eastAsia="it-IT"/>
              </w:rPr>
              <w:t xml:space="preserve">n. annotazioni non </w:t>
            </w:r>
            <w:proofErr w:type="spellStart"/>
            <w:r w:rsidRPr="00BD36D2">
              <w:rPr>
                <w:rFonts w:ascii="Garamond" w:eastAsia="Times New Roman" w:hAnsi="Garamond" w:cs="Times New Roman"/>
                <w:b/>
                <w:bCs/>
                <w:color w:val="FFFFFF"/>
                <w:sz w:val="20"/>
                <w:szCs w:val="20"/>
                <w:lang w:eastAsia="it-IT"/>
              </w:rPr>
              <w:t>interdittive</w:t>
            </w:r>
            <w:proofErr w:type="spellEnd"/>
          </w:p>
        </w:tc>
      </w:tr>
      <w:tr w:rsidR="00BD36D2" w:rsidRPr="00BD36D2" w:rsidTr="00BD36D2">
        <w:trPr>
          <w:cantSplit/>
          <w:trHeight w:val="358"/>
          <w:jc w:val="center"/>
        </w:trPr>
        <w:tc>
          <w:tcPr>
            <w:tcW w:w="1519" w:type="pct"/>
            <w:shd w:val="clear" w:color="auto" w:fill="A7BFDE"/>
            <w:vAlign w:val="center"/>
          </w:tcPr>
          <w:p w:rsidR="00BD36D2" w:rsidRPr="00BD36D2" w:rsidRDefault="00BD36D2" w:rsidP="00BD36D2">
            <w:pPr>
              <w:spacing w:after="0" w:line="240" w:lineRule="auto"/>
              <w:jc w:val="both"/>
              <w:rPr>
                <w:rFonts w:ascii="Garamond" w:eastAsia="Times New Roman" w:hAnsi="Garamond" w:cs="Times New Roman"/>
                <w:bCs/>
                <w:color w:val="000000"/>
                <w:sz w:val="20"/>
                <w:szCs w:val="20"/>
                <w:lang w:val="en-US" w:eastAsia="it-IT"/>
              </w:rPr>
            </w:pPr>
            <w:r w:rsidRPr="00BD36D2">
              <w:rPr>
                <w:rFonts w:ascii="Garamond" w:eastAsia="Times New Roman" w:hAnsi="Garamond" w:cs="Times New Roman"/>
                <w:bCs/>
                <w:color w:val="000000"/>
                <w:sz w:val="20"/>
                <w:szCs w:val="20"/>
                <w:lang w:val="en-US" w:eastAsia="it-IT"/>
              </w:rPr>
              <w:t>Art. 38, d.l.gs 163/2006</w:t>
            </w:r>
          </w:p>
          <w:p w:rsidR="00BD36D2" w:rsidRPr="00BD36D2" w:rsidRDefault="00BD36D2" w:rsidP="00BD36D2">
            <w:pPr>
              <w:spacing w:after="0" w:line="240" w:lineRule="auto"/>
              <w:jc w:val="both"/>
              <w:rPr>
                <w:rFonts w:ascii="Garamond" w:eastAsia="Times New Roman" w:hAnsi="Garamond" w:cs="Times New Roman"/>
                <w:bCs/>
                <w:color w:val="000000"/>
                <w:sz w:val="20"/>
                <w:szCs w:val="20"/>
                <w:lang w:val="en-US" w:eastAsia="it-IT"/>
              </w:rPr>
            </w:pPr>
            <w:r w:rsidRPr="00BD36D2">
              <w:rPr>
                <w:rFonts w:ascii="Garamond" w:eastAsia="Times New Roman" w:hAnsi="Garamond" w:cs="Times New Roman"/>
                <w:bCs/>
                <w:color w:val="000000"/>
                <w:sz w:val="20"/>
                <w:szCs w:val="20"/>
                <w:lang w:val="en-US" w:eastAsia="it-IT"/>
              </w:rPr>
              <w:t xml:space="preserve">Art 80, c.12, </w:t>
            </w:r>
            <w:proofErr w:type="spellStart"/>
            <w:r w:rsidRPr="00BD36D2">
              <w:rPr>
                <w:rFonts w:ascii="Garamond" w:eastAsia="Times New Roman" w:hAnsi="Garamond" w:cs="Times New Roman"/>
                <w:bCs/>
                <w:color w:val="000000"/>
                <w:sz w:val="20"/>
                <w:szCs w:val="20"/>
                <w:lang w:val="en-US" w:eastAsia="it-IT"/>
              </w:rPr>
              <w:t>d.lgs</w:t>
            </w:r>
            <w:proofErr w:type="spellEnd"/>
            <w:r w:rsidRPr="00BD36D2">
              <w:rPr>
                <w:rFonts w:ascii="Garamond" w:eastAsia="Times New Roman" w:hAnsi="Garamond" w:cs="Times New Roman"/>
                <w:bCs/>
                <w:color w:val="000000"/>
                <w:sz w:val="20"/>
                <w:szCs w:val="20"/>
                <w:lang w:val="en-US" w:eastAsia="it-IT"/>
              </w:rPr>
              <w:t>. 50/2016</w:t>
            </w:r>
          </w:p>
          <w:p w:rsidR="00BD36D2" w:rsidRPr="00BD36D2" w:rsidRDefault="00BD36D2" w:rsidP="00BD36D2">
            <w:pPr>
              <w:spacing w:after="0" w:line="240" w:lineRule="auto"/>
              <w:jc w:val="both"/>
              <w:rPr>
                <w:rFonts w:ascii="Garamond" w:eastAsia="Times New Roman" w:hAnsi="Garamond" w:cs="Times New Roman"/>
                <w:bCs/>
                <w:color w:val="000000"/>
                <w:sz w:val="20"/>
                <w:szCs w:val="20"/>
                <w:lang w:eastAsia="it-IT"/>
              </w:rPr>
            </w:pPr>
            <w:r w:rsidRPr="00BD36D2">
              <w:rPr>
                <w:rFonts w:ascii="Garamond" w:eastAsia="Times New Roman" w:hAnsi="Garamond" w:cs="Times New Roman"/>
                <w:bCs/>
                <w:color w:val="000000"/>
                <w:sz w:val="20"/>
                <w:szCs w:val="20"/>
                <w:lang w:eastAsia="it-IT"/>
              </w:rPr>
              <w:t>(falsa dichiarazione/documentazione resa in gara  in ordine ai requisiti d’ordine generale)</w:t>
            </w:r>
          </w:p>
        </w:tc>
        <w:tc>
          <w:tcPr>
            <w:tcW w:w="280" w:type="pct"/>
            <w:tcBorders>
              <w:right w:val="single" w:sz="8" w:space="0" w:color="7BA0CD"/>
            </w:tcBorders>
            <w:shd w:val="clear" w:color="auto" w:fill="A7BFDE"/>
            <w:vAlign w:val="center"/>
          </w:tcPr>
          <w:p w:rsidR="00BD36D2" w:rsidRPr="00BD36D2" w:rsidRDefault="00BD36D2" w:rsidP="00BD36D2">
            <w:pPr>
              <w:spacing w:after="0" w:line="240" w:lineRule="auto"/>
              <w:jc w:val="center"/>
              <w:rPr>
                <w:rFonts w:ascii="Garamond" w:eastAsia="Times New Roman" w:hAnsi="Garamond" w:cs="Times New Roman"/>
                <w:sz w:val="20"/>
                <w:szCs w:val="20"/>
                <w:lang w:eastAsia="it-IT"/>
              </w:rPr>
            </w:pPr>
            <w:r w:rsidRPr="00BD36D2">
              <w:rPr>
                <w:rFonts w:ascii="Garamond" w:eastAsia="Times New Roman" w:hAnsi="Garamond" w:cs="Times New Roman"/>
                <w:sz w:val="20"/>
                <w:szCs w:val="20"/>
                <w:lang w:eastAsia="it-IT"/>
              </w:rPr>
              <w:t>511</w:t>
            </w:r>
          </w:p>
        </w:tc>
        <w:tc>
          <w:tcPr>
            <w:tcW w:w="314" w:type="pct"/>
            <w:tcBorders>
              <w:right w:val="single" w:sz="8" w:space="0" w:color="7BA0CD"/>
            </w:tcBorders>
            <w:shd w:val="clear" w:color="auto" w:fill="A7BFDE"/>
            <w:vAlign w:val="center"/>
          </w:tcPr>
          <w:p w:rsidR="00BD36D2" w:rsidRPr="00BD36D2" w:rsidRDefault="00BD36D2" w:rsidP="00BD36D2">
            <w:pPr>
              <w:spacing w:after="0" w:line="240" w:lineRule="auto"/>
              <w:jc w:val="center"/>
              <w:rPr>
                <w:rFonts w:ascii="Garamond" w:eastAsia="Times New Roman" w:hAnsi="Garamond" w:cs="Times New Roman"/>
                <w:sz w:val="20"/>
                <w:szCs w:val="20"/>
                <w:lang w:eastAsia="it-IT"/>
              </w:rPr>
            </w:pPr>
            <w:r w:rsidRPr="00BD36D2">
              <w:rPr>
                <w:rFonts w:ascii="Garamond" w:eastAsia="Times New Roman" w:hAnsi="Garamond" w:cs="Times New Roman"/>
                <w:sz w:val="20"/>
                <w:szCs w:val="20"/>
                <w:lang w:eastAsia="it-IT"/>
              </w:rPr>
              <w:t>180</w:t>
            </w:r>
          </w:p>
        </w:tc>
        <w:tc>
          <w:tcPr>
            <w:tcW w:w="317" w:type="pct"/>
            <w:tcBorders>
              <w:right w:val="single" w:sz="8" w:space="0" w:color="7BA0CD"/>
            </w:tcBorders>
            <w:shd w:val="clear" w:color="auto" w:fill="A7BFDE"/>
            <w:vAlign w:val="center"/>
          </w:tcPr>
          <w:p w:rsidR="00BD36D2" w:rsidRPr="00BD36D2" w:rsidRDefault="00BD36D2" w:rsidP="00BD36D2">
            <w:pPr>
              <w:spacing w:after="0" w:line="240" w:lineRule="auto"/>
              <w:jc w:val="center"/>
              <w:rPr>
                <w:rFonts w:ascii="Garamond" w:eastAsia="Times New Roman" w:hAnsi="Garamond" w:cs="Times New Roman"/>
                <w:sz w:val="20"/>
                <w:szCs w:val="20"/>
                <w:lang w:eastAsia="it-IT"/>
              </w:rPr>
            </w:pPr>
            <w:r w:rsidRPr="00BD36D2">
              <w:rPr>
                <w:rFonts w:ascii="Garamond" w:eastAsia="Times New Roman" w:hAnsi="Garamond" w:cs="Times New Roman"/>
                <w:sz w:val="20"/>
                <w:szCs w:val="20"/>
                <w:lang w:eastAsia="it-IT"/>
              </w:rPr>
              <w:t>331</w:t>
            </w:r>
          </w:p>
        </w:tc>
        <w:tc>
          <w:tcPr>
            <w:tcW w:w="360" w:type="pct"/>
            <w:tcBorders>
              <w:right w:val="single" w:sz="8" w:space="0" w:color="7BA0CD"/>
            </w:tcBorders>
            <w:shd w:val="clear" w:color="auto" w:fill="A7BFDE"/>
            <w:vAlign w:val="center"/>
          </w:tcPr>
          <w:p w:rsidR="00BD36D2" w:rsidRPr="00BD36D2" w:rsidRDefault="00BD36D2" w:rsidP="00BD36D2">
            <w:pPr>
              <w:spacing w:after="0" w:line="240" w:lineRule="auto"/>
              <w:jc w:val="center"/>
              <w:rPr>
                <w:rFonts w:ascii="Garamond" w:eastAsia="Times New Roman" w:hAnsi="Garamond" w:cs="Times New Roman"/>
                <w:sz w:val="20"/>
                <w:szCs w:val="20"/>
                <w:lang w:eastAsia="it-IT"/>
              </w:rPr>
            </w:pPr>
            <w:r w:rsidRPr="00BD36D2">
              <w:rPr>
                <w:rFonts w:ascii="Garamond" w:eastAsia="Times New Roman" w:hAnsi="Garamond" w:cs="Times New Roman"/>
                <w:sz w:val="20"/>
                <w:szCs w:val="20"/>
                <w:lang w:eastAsia="it-IT"/>
              </w:rPr>
              <w:t>65%</w:t>
            </w:r>
          </w:p>
        </w:tc>
        <w:tc>
          <w:tcPr>
            <w:tcW w:w="522" w:type="pct"/>
            <w:shd w:val="clear" w:color="auto" w:fill="A7BFDE"/>
            <w:vAlign w:val="center"/>
          </w:tcPr>
          <w:p w:rsidR="00BD36D2" w:rsidRPr="00BD36D2" w:rsidRDefault="00BD36D2" w:rsidP="00BD36D2">
            <w:pPr>
              <w:spacing w:after="0" w:line="240" w:lineRule="auto"/>
              <w:jc w:val="center"/>
              <w:rPr>
                <w:rFonts w:ascii="Garamond" w:eastAsia="Times New Roman" w:hAnsi="Garamond" w:cs="Times New Roman"/>
                <w:sz w:val="20"/>
                <w:szCs w:val="20"/>
                <w:lang w:eastAsia="it-IT"/>
              </w:rPr>
            </w:pPr>
            <w:r w:rsidRPr="00BD36D2">
              <w:rPr>
                <w:rFonts w:ascii="Garamond" w:eastAsia="Times New Roman" w:hAnsi="Garamond" w:cs="Times New Roman"/>
                <w:sz w:val="20"/>
                <w:szCs w:val="20"/>
                <w:lang w:eastAsia="it-IT"/>
              </w:rPr>
              <w:t>393.950</w:t>
            </w:r>
          </w:p>
        </w:tc>
        <w:tc>
          <w:tcPr>
            <w:tcW w:w="375" w:type="pct"/>
            <w:shd w:val="clear" w:color="auto" w:fill="A7BFDE"/>
            <w:vAlign w:val="center"/>
          </w:tcPr>
          <w:p w:rsidR="00BD36D2" w:rsidRPr="00BD36D2" w:rsidRDefault="00BD36D2" w:rsidP="00BD36D2">
            <w:pPr>
              <w:spacing w:after="0" w:line="240" w:lineRule="auto"/>
              <w:jc w:val="center"/>
              <w:rPr>
                <w:rFonts w:ascii="Garamond" w:eastAsia="Times New Roman" w:hAnsi="Garamond" w:cs="Times New Roman"/>
                <w:sz w:val="20"/>
                <w:szCs w:val="20"/>
                <w:lang w:eastAsia="it-IT"/>
              </w:rPr>
            </w:pPr>
            <w:r w:rsidRPr="00BD36D2">
              <w:rPr>
                <w:rFonts w:ascii="Garamond" w:eastAsia="Times New Roman" w:hAnsi="Garamond" w:cs="Times New Roman"/>
                <w:sz w:val="20"/>
                <w:szCs w:val="20"/>
                <w:lang w:eastAsia="it-IT"/>
              </w:rPr>
              <w:t>1190</w:t>
            </w:r>
          </w:p>
        </w:tc>
        <w:tc>
          <w:tcPr>
            <w:tcW w:w="314" w:type="pct"/>
            <w:shd w:val="clear" w:color="auto" w:fill="A7BFDE"/>
            <w:vAlign w:val="center"/>
          </w:tcPr>
          <w:p w:rsidR="00BD36D2" w:rsidRPr="00BD36D2" w:rsidRDefault="00BD36D2" w:rsidP="00BD36D2">
            <w:pPr>
              <w:spacing w:after="0" w:line="240" w:lineRule="auto"/>
              <w:jc w:val="center"/>
              <w:rPr>
                <w:rFonts w:ascii="Garamond" w:eastAsia="Times New Roman" w:hAnsi="Garamond" w:cs="Times New Roman"/>
                <w:sz w:val="20"/>
                <w:szCs w:val="20"/>
                <w:lang w:eastAsia="it-IT"/>
              </w:rPr>
            </w:pPr>
            <w:r w:rsidRPr="00BD36D2">
              <w:rPr>
                <w:rFonts w:ascii="Garamond" w:eastAsia="Times New Roman" w:hAnsi="Garamond" w:cs="Times New Roman"/>
                <w:sz w:val="20"/>
                <w:szCs w:val="20"/>
                <w:lang w:eastAsia="it-IT"/>
              </w:rPr>
              <w:t>206</w:t>
            </w:r>
          </w:p>
        </w:tc>
        <w:tc>
          <w:tcPr>
            <w:tcW w:w="326" w:type="pct"/>
            <w:shd w:val="clear" w:color="auto" w:fill="A7BFDE"/>
            <w:vAlign w:val="center"/>
          </w:tcPr>
          <w:p w:rsidR="00BD36D2" w:rsidRPr="00BD36D2" w:rsidRDefault="00BD36D2" w:rsidP="00BD36D2">
            <w:pPr>
              <w:spacing w:after="0" w:line="240" w:lineRule="auto"/>
              <w:jc w:val="center"/>
              <w:rPr>
                <w:rFonts w:ascii="Garamond" w:eastAsia="Times New Roman" w:hAnsi="Garamond" w:cs="Times New Roman"/>
                <w:sz w:val="20"/>
                <w:szCs w:val="20"/>
                <w:lang w:eastAsia="it-IT"/>
              </w:rPr>
            </w:pPr>
            <w:r w:rsidRPr="00BD36D2">
              <w:rPr>
                <w:rFonts w:ascii="Garamond" w:eastAsia="Times New Roman" w:hAnsi="Garamond" w:cs="Times New Roman"/>
                <w:sz w:val="20"/>
                <w:szCs w:val="20"/>
                <w:lang w:eastAsia="it-IT"/>
              </w:rPr>
              <w:t>20</w:t>
            </w:r>
          </w:p>
        </w:tc>
        <w:tc>
          <w:tcPr>
            <w:tcW w:w="273" w:type="pct"/>
            <w:tcBorders>
              <w:right w:val="single" w:sz="8" w:space="0" w:color="7BA0CD"/>
            </w:tcBorders>
            <w:shd w:val="clear" w:color="auto" w:fill="A7BFDE"/>
            <w:vAlign w:val="center"/>
          </w:tcPr>
          <w:p w:rsidR="00BD36D2" w:rsidRPr="00BD36D2" w:rsidRDefault="00BD36D2" w:rsidP="00BD36D2">
            <w:pPr>
              <w:spacing w:after="0" w:line="240" w:lineRule="auto"/>
              <w:jc w:val="center"/>
              <w:rPr>
                <w:rFonts w:ascii="Garamond" w:eastAsia="Times New Roman" w:hAnsi="Garamond" w:cs="Times New Roman"/>
                <w:sz w:val="20"/>
                <w:szCs w:val="20"/>
                <w:lang w:eastAsia="it-IT"/>
              </w:rPr>
            </w:pPr>
            <w:r w:rsidRPr="00BD36D2">
              <w:rPr>
                <w:rFonts w:ascii="Garamond" w:eastAsia="Times New Roman" w:hAnsi="Garamond" w:cs="Times New Roman"/>
                <w:sz w:val="20"/>
                <w:szCs w:val="20"/>
                <w:lang w:eastAsia="it-IT"/>
              </w:rPr>
              <w:t>203</w:t>
            </w:r>
          </w:p>
        </w:tc>
        <w:tc>
          <w:tcPr>
            <w:tcW w:w="400" w:type="pct"/>
            <w:tcBorders>
              <w:right w:val="single" w:sz="8" w:space="0" w:color="7BA0CD"/>
            </w:tcBorders>
            <w:shd w:val="clear" w:color="auto" w:fill="A7BFDE"/>
            <w:vAlign w:val="center"/>
          </w:tcPr>
          <w:p w:rsidR="00BD36D2" w:rsidRPr="00BD36D2" w:rsidRDefault="00BD36D2" w:rsidP="00BD36D2">
            <w:pPr>
              <w:spacing w:after="0" w:line="240" w:lineRule="auto"/>
              <w:jc w:val="center"/>
              <w:rPr>
                <w:rFonts w:ascii="Garamond" w:eastAsia="Times New Roman" w:hAnsi="Garamond" w:cs="Times New Roman"/>
                <w:sz w:val="20"/>
                <w:szCs w:val="20"/>
                <w:lang w:eastAsia="it-IT"/>
              </w:rPr>
            </w:pPr>
            <w:r w:rsidRPr="00BD36D2">
              <w:rPr>
                <w:rFonts w:ascii="Garamond" w:eastAsia="Times New Roman" w:hAnsi="Garamond" w:cs="Times New Roman"/>
                <w:sz w:val="20"/>
                <w:szCs w:val="20"/>
                <w:lang w:eastAsia="it-IT"/>
              </w:rPr>
              <w:t>366</w:t>
            </w:r>
          </w:p>
        </w:tc>
      </w:tr>
      <w:tr w:rsidR="00BD36D2" w:rsidRPr="00BD36D2" w:rsidTr="00BD36D2">
        <w:trPr>
          <w:cantSplit/>
          <w:trHeight w:val="446"/>
          <w:jc w:val="center"/>
        </w:trPr>
        <w:tc>
          <w:tcPr>
            <w:tcW w:w="1519" w:type="pct"/>
            <w:shd w:val="clear" w:color="auto" w:fill="D3DFEE"/>
            <w:vAlign w:val="center"/>
          </w:tcPr>
          <w:p w:rsidR="00BD36D2" w:rsidRPr="00BD36D2" w:rsidRDefault="00BD36D2" w:rsidP="00BD36D2">
            <w:pPr>
              <w:spacing w:after="0" w:line="240" w:lineRule="auto"/>
              <w:jc w:val="both"/>
              <w:rPr>
                <w:rFonts w:ascii="Garamond" w:eastAsia="Times New Roman" w:hAnsi="Garamond" w:cs="Times New Roman"/>
                <w:bCs/>
                <w:color w:val="000000"/>
                <w:sz w:val="20"/>
                <w:szCs w:val="20"/>
                <w:lang w:val="en-US" w:eastAsia="it-IT"/>
              </w:rPr>
            </w:pPr>
            <w:r w:rsidRPr="00BD36D2">
              <w:rPr>
                <w:rFonts w:ascii="Garamond" w:eastAsia="Times New Roman" w:hAnsi="Garamond" w:cs="Times New Roman"/>
                <w:bCs/>
                <w:color w:val="000000"/>
                <w:sz w:val="20"/>
                <w:szCs w:val="20"/>
                <w:lang w:val="en-US" w:eastAsia="it-IT"/>
              </w:rPr>
              <w:t xml:space="preserve">Art. 48, </w:t>
            </w:r>
            <w:proofErr w:type="spellStart"/>
            <w:r w:rsidRPr="00BD36D2">
              <w:rPr>
                <w:rFonts w:ascii="Garamond" w:eastAsia="Times New Roman" w:hAnsi="Garamond" w:cs="Times New Roman"/>
                <w:bCs/>
                <w:color w:val="000000"/>
                <w:sz w:val="20"/>
                <w:szCs w:val="20"/>
                <w:lang w:val="en-US" w:eastAsia="it-IT"/>
              </w:rPr>
              <w:t>d.lgs</w:t>
            </w:r>
            <w:proofErr w:type="spellEnd"/>
            <w:r w:rsidRPr="00BD36D2">
              <w:rPr>
                <w:rFonts w:ascii="Garamond" w:eastAsia="Times New Roman" w:hAnsi="Garamond" w:cs="Times New Roman"/>
                <w:bCs/>
                <w:color w:val="000000"/>
                <w:sz w:val="20"/>
                <w:szCs w:val="20"/>
                <w:lang w:val="en-US" w:eastAsia="it-IT"/>
              </w:rPr>
              <w:t>. 163/2006</w:t>
            </w:r>
          </w:p>
          <w:p w:rsidR="00BD36D2" w:rsidRPr="00BD36D2" w:rsidRDefault="00BD36D2" w:rsidP="00BD36D2">
            <w:pPr>
              <w:spacing w:after="0" w:line="240" w:lineRule="auto"/>
              <w:jc w:val="both"/>
              <w:rPr>
                <w:rFonts w:ascii="Garamond" w:eastAsia="Times New Roman" w:hAnsi="Garamond" w:cs="Times New Roman"/>
                <w:bCs/>
                <w:color w:val="000000"/>
                <w:sz w:val="20"/>
                <w:szCs w:val="20"/>
                <w:lang w:val="en-US" w:eastAsia="it-IT"/>
              </w:rPr>
            </w:pPr>
            <w:r w:rsidRPr="00BD36D2">
              <w:rPr>
                <w:rFonts w:ascii="Garamond" w:eastAsia="Times New Roman" w:hAnsi="Garamond" w:cs="Times New Roman"/>
                <w:bCs/>
                <w:color w:val="000000"/>
                <w:sz w:val="20"/>
                <w:szCs w:val="20"/>
                <w:lang w:val="en-US" w:eastAsia="it-IT"/>
              </w:rPr>
              <w:t xml:space="preserve">Art 80, c.12, </w:t>
            </w:r>
            <w:proofErr w:type="spellStart"/>
            <w:r w:rsidRPr="00BD36D2">
              <w:rPr>
                <w:rFonts w:ascii="Garamond" w:eastAsia="Times New Roman" w:hAnsi="Garamond" w:cs="Times New Roman"/>
                <w:bCs/>
                <w:color w:val="000000"/>
                <w:sz w:val="20"/>
                <w:szCs w:val="20"/>
                <w:lang w:val="en-US" w:eastAsia="it-IT"/>
              </w:rPr>
              <w:t>d.lgs</w:t>
            </w:r>
            <w:proofErr w:type="spellEnd"/>
            <w:r w:rsidRPr="00BD36D2">
              <w:rPr>
                <w:rFonts w:ascii="Garamond" w:eastAsia="Times New Roman" w:hAnsi="Garamond" w:cs="Times New Roman"/>
                <w:bCs/>
                <w:color w:val="000000"/>
                <w:sz w:val="20"/>
                <w:szCs w:val="20"/>
                <w:lang w:val="en-US" w:eastAsia="it-IT"/>
              </w:rPr>
              <w:t>. 50/2016</w:t>
            </w:r>
          </w:p>
          <w:p w:rsidR="00BD36D2" w:rsidRPr="00BD36D2" w:rsidRDefault="00BD36D2" w:rsidP="00BD36D2">
            <w:pPr>
              <w:spacing w:after="0" w:line="240" w:lineRule="auto"/>
              <w:jc w:val="both"/>
              <w:rPr>
                <w:rFonts w:ascii="Garamond" w:eastAsia="Times New Roman" w:hAnsi="Garamond" w:cs="Times New Roman"/>
                <w:bCs/>
                <w:color w:val="000000"/>
                <w:sz w:val="20"/>
                <w:szCs w:val="20"/>
                <w:lang w:eastAsia="it-IT"/>
              </w:rPr>
            </w:pPr>
            <w:r w:rsidRPr="00BD36D2">
              <w:rPr>
                <w:rFonts w:ascii="Garamond" w:eastAsia="Times New Roman" w:hAnsi="Garamond" w:cs="Times New Roman"/>
                <w:bCs/>
                <w:color w:val="000000"/>
                <w:sz w:val="20"/>
                <w:szCs w:val="20"/>
                <w:lang w:eastAsia="it-IT"/>
              </w:rPr>
              <w:t>(falsa dichiarazione/documentazione resa in gara  in ordine ai requisiti d’ordine speciale o agli elementi costitutivi dell’offerta )</w:t>
            </w:r>
          </w:p>
        </w:tc>
        <w:tc>
          <w:tcPr>
            <w:tcW w:w="280" w:type="pct"/>
            <w:tcBorders>
              <w:right w:val="single" w:sz="8" w:space="0" w:color="7BA0CD"/>
            </w:tcBorders>
            <w:shd w:val="clear" w:color="auto" w:fill="D3DFEE"/>
            <w:vAlign w:val="center"/>
          </w:tcPr>
          <w:p w:rsidR="00BD36D2" w:rsidRPr="00BD36D2" w:rsidRDefault="00BD36D2" w:rsidP="00BD36D2">
            <w:pPr>
              <w:spacing w:after="0" w:line="240" w:lineRule="auto"/>
              <w:jc w:val="center"/>
              <w:rPr>
                <w:rFonts w:ascii="Garamond" w:eastAsia="Times New Roman" w:hAnsi="Garamond" w:cs="Times New Roman"/>
                <w:sz w:val="20"/>
                <w:szCs w:val="20"/>
                <w:lang w:eastAsia="it-IT"/>
              </w:rPr>
            </w:pPr>
            <w:r w:rsidRPr="00BD36D2">
              <w:rPr>
                <w:rFonts w:ascii="Garamond" w:eastAsia="Times New Roman" w:hAnsi="Garamond" w:cs="Times New Roman"/>
                <w:sz w:val="20"/>
                <w:szCs w:val="20"/>
                <w:lang w:eastAsia="it-IT"/>
              </w:rPr>
              <w:t>189</w:t>
            </w:r>
          </w:p>
        </w:tc>
        <w:tc>
          <w:tcPr>
            <w:tcW w:w="314" w:type="pct"/>
            <w:tcBorders>
              <w:right w:val="single" w:sz="8" w:space="0" w:color="7BA0CD"/>
            </w:tcBorders>
            <w:shd w:val="clear" w:color="auto" w:fill="D3DFEE"/>
            <w:vAlign w:val="center"/>
          </w:tcPr>
          <w:p w:rsidR="00BD36D2" w:rsidRPr="00BD36D2" w:rsidRDefault="00BD36D2" w:rsidP="00BD36D2">
            <w:pPr>
              <w:spacing w:after="0" w:line="240" w:lineRule="auto"/>
              <w:jc w:val="center"/>
              <w:rPr>
                <w:rFonts w:ascii="Garamond" w:eastAsia="Times New Roman" w:hAnsi="Garamond" w:cs="Times New Roman"/>
                <w:sz w:val="20"/>
                <w:szCs w:val="20"/>
                <w:lang w:eastAsia="it-IT"/>
              </w:rPr>
            </w:pPr>
            <w:r w:rsidRPr="00BD36D2">
              <w:rPr>
                <w:rFonts w:ascii="Garamond" w:eastAsia="Times New Roman" w:hAnsi="Garamond" w:cs="Times New Roman"/>
                <w:sz w:val="20"/>
                <w:szCs w:val="20"/>
                <w:lang w:eastAsia="it-IT"/>
              </w:rPr>
              <w:t>123</w:t>
            </w:r>
          </w:p>
        </w:tc>
        <w:tc>
          <w:tcPr>
            <w:tcW w:w="317" w:type="pct"/>
            <w:tcBorders>
              <w:right w:val="single" w:sz="8" w:space="0" w:color="7BA0CD"/>
            </w:tcBorders>
            <w:shd w:val="clear" w:color="auto" w:fill="D3DFEE"/>
            <w:vAlign w:val="center"/>
          </w:tcPr>
          <w:p w:rsidR="00BD36D2" w:rsidRPr="00BD36D2" w:rsidRDefault="00BD36D2" w:rsidP="00BD36D2">
            <w:pPr>
              <w:spacing w:after="0" w:line="240" w:lineRule="auto"/>
              <w:jc w:val="center"/>
              <w:rPr>
                <w:rFonts w:ascii="Garamond" w:eastAsia="Times New Roman" w:hAnsi="Garamond" w:cs="Times New Roman"/>
                <w:sz w:val="20"/>
                <w:szCs w:val="20"/>
                <w:lang w:eastAsia="it-IT"/>
              </w:rPr>
            </w:pPr>
            <w:r w:rsidRPr="00BD36D2">
              <w:rPr>
                <w:rFonts w:ascii="Garamond" w:eastAsia="Times New Roman" w:hAnsi="Garamond" w:cs="Times New Roman"/>
                <w:sz w:val="20"/>
                <w:szCs w:val="20"/>
                <w:lang w:eastAsia="it-IT"/>
              </w:rPr>
              <w:t>66</w:t>
            </w:r>
          </w:p>
        </w:tc>
        <w:tc>
          <w:tcPr>
            <w:tcW w:w="360" w:type="pct"/>
            <w:tcBorders>
              <w:right w:val="single" w:sz="8" w:space="0" w:color="7BA0CD"/>
            </w:tcBorders>
            <w:shd w:val="clear" w:color="auto" w:fill="D3DFEE"/>
            <w:vAlign w:val="center"/>
          </w:tcPr>
          <w:p w:rsidR="00BD36D2" w:rsidRPr="00BD36D2" w:rsidRDefault="00BD36D2" w:rsidP="00BD36D2">
            <w:pPr>
              <w:spacing w:after="0" w:line="240" w:lineRule="auto"/>
              <w:jc w:val="center"/>
              <w:rPr>
                <w:rFonts w:ascii="Garamond" w:eastAsia="Times New Roman" w:hAnsi="Garamond" w:cs="Times New Roman"/>
                <w:sz w:val="20"/>
                <w:szCs w:val="20"/>
                <w:lang w:eastAsia="it-IT"/>
              </w:rPr>
            </w:pPr>
            <w:r w:rsidRPr="00BD36D2">
              <w:rPr>
                <w:rFonts w:ascii="Garamond" w:eastAsia="Times New Roman" w:hAnsi="Garamond" w:cs="Times New Roman"/>
                <w:sz w:val="20"/>
                <w:szCs w:val="20"/>
                <w:lang w:eastAsia="it-IT"/>
              </w:rPr>
              <w:t>35%</w:t>
            </w:r>
          </w:p>
        </w:tc>
        <w:tc>
          <w:tcPr>
            <w:tcW w:w="522" w:type="pct"/>
            <w:shd w:val="clear" w:color="auto" w:fill="D3DFEE"/>
            <w:vAlign w:val="center"/>
          </w:tcPr>
          <w:p w:rsidR="00BD36D2" w:rsidRPr="00BD36D2" w:rsidRDefault="00BD36D2" w:rsidP="00BD36D2">
            <w:pPr>
              <w:spacing w:after="0" w:line="240" w:lineRule="auto"/>
              <w:jc w:val="center"/>
              <w:rPr>
                <w:rFonts w:ascii="Garamond" w:eastAsia="Times New Roman" w:hAnsi="Garamond" w:cs="Times New Roman"/>
                <w:sz w:val="20"/>
                <w:szCs w:val="20"/>
                <w:lang w:eastAsia="it-IT"/>
              </w:rPr>
            </w:pPr>
            <w:r w:rsidRPr="00BD36D2">
              <w:rPr>
                <w:rFonts w:ascii="Garamond" w:eastAsia="Times New Roman" w:hAnsi="Garamond" w:cs="Times New Roman"/>
                <w:sz w:val="20"/>
                <w:szCs w:val="20"/>
                <w:lang w:eastAsia="it-IT"/>
              </w:rPr>
              <w:t>96.900</w:t>
            </w:r>
          </w:p>
        </w:tc>
        <w:tc>
          <w:tcPr>
            <w:tcW w:w="375" w:type="pct"/>
            <w:shd w:val="clear" w:color="auto" w:fill="D3DFEE"/>
            <w:vAlign w:val="center"/>
          </w:tcPr>
          <w:p w:rsidR="00BD36D2" w:rsidRPr="00BD36D2" w:rsidRDefault="00BD36D2" w:rsidP="00BD36D2">
            <w:pPr>
              <w:spacing w:after="0" w:line="240" w:lineRule="auto"/>
              <w:jc w:val="center"/>
              <w:rPr>
                <w:rFonts w:ascii="Garamond" w:eastAsia="Times New Roman" w:hAnsi="Garamond" w:cs="Times New Roman"/>
                <w:sz w:val="20"/>
                <w:szCs w:val="20"/>
                <w:lang w:eastAsia="it-IT"/>
              </w:rPr>
            </w:pPr>
            <w:r w:rsidRPr="00BD36D2">
              <w:rPr>
                <w:rFonts w:ascii="Garamond" w:eastAsia="Times New Roman" w:hAnsi="Garamond" w:cs="Times New Roman"/>
                <w:sz w:val="20"/>
                <w:szCs w:val="20"/>
                <w:lang w:eastAsia="it-IT"/>
              </w:rPr>
              <w:t>1460</w:t>
            </w:r>
          </w:p>
        </w:tc>
        <w:tc>
          <w:tcPr>
            <w:tcW w:w="314" w:type="pct"/>
            <w:shd w:val="clear" w:color="auto" w:fill="D3DFEE"/>
            <w:vAlign w:val="center"/>
          </w:tcPr>
          <w:p w:rsidR="00BD36D2" w:rsidRPr="00BD36D2" w:rsidRDefault="00BD36D2" w:rsidP="00BD36D2">
            <w:pPr>
              <w:spacing w:after="0" w:line="240" w:lineRule="auto"/>
              <w:jc w:val="center"/>
              <w:rPr>
                <w:rFonts w:ascii="Garamond" w:eastAsia="Times New Roman" w:hAnsi="Garamond" w:cs="Times New Roman"/>
                <w:sz w:val="20"/>
                <w:szCs w:val="20"/>
                <w:lang w:eastAsia="it-IT"/>
              </w:rPr>
            </w:pPr>
            <w:r w:rsidRPr="00BD36D2">
              <w:rPr>
                <w:rFonts w:ascii="Garamond" w:eastAsia="Times New Roman" w:hAnsi="Garamond" w:cs="Times New Roman"/>
                <w:sz w:val="20"/>
                <w:szCs w:val="20"/>
                <w:lang w:eastAsia="it-IT"/>
              </w:rPr>
              <w:t>35</w:t>
            </w:r>
          </w:p>
        </w:tc>
        <w:tc>
          <w:tcPr>
            <w:tcW w:w="326" w:type="pct"/>
            <w:shd w:val="clear" w:color="auto" w:fill="D3DFEE"/>
            <w:vAlign w:val="center"/>
          </w:tcPr>
          <w:p w:rsidR="00BD36D2" w:rsidRPr="00BD36D2" w:rsidRDefault="00BD36D2" w:rsidP="00BD36D2">
            <w:pPr>
              <w:spacing w:after="0" w:line="240" w:lineRule="auto"/>
              <w:jc w:val="center"/>
              <w:rPr>
                <w:rFonts w:ascii="Garamond" w:eastAsia="Times New Roman" w:hAnsi="Garamond" w:cs="Times New Roman"/>
                <w:sz w:val="20"/>
                <w:szCs w:val="20"/>
                <w:lang w:eastAsia="it-IT"/>
              </w:rPr>
            </w:pPr>
            <w:r w:rsidRPr="00BD36D2">
              <w:rPr>
                <w:rFonts w:ascii="Garamond" w:eastAsia="Times New Roman" w:hAnsi="Garamond" w:cs="Times New Roman"/>
                <w:sz w:val="20"/>
                <w:szCs w:val="20"/>
                <w:lang w:eastAsia="it-IT"/>
              </w:rPr>
              <w:t>16</w:t>
            </w:r>
          </w:p>
        </w:tc>
        <w:tc>
          <w:tcPr>
            <w:tcW w:w="273" w:type="pct"/>
            <w:tcBorders>
              <w:right w:val="single" w:sz="8" w:space="0" w:color="7BA0CD"/>
            </w:tcBorders>
            <w:shd w:val="clear" w:color="auto" w:fill="D3DFEE"/>
            <w:vAlign w:val="center"/>
          </w:tcPr>
          <w:p w:rsidR="00BD36D2" w:rsidRPr="00BD36D2" w:rsidRDefault="00BD36D2" w:rsidP="00BD36D2">
            <w:pPr>
              <w:spacing w:after="0" w:line="240" w:lineRule="auto"/>
              <w:jc w:val="center"/>
              <w:rPr>
                <w:rFonts w:ascii="Garamond" w:eastAsia="Times New Roman" w:hAnsi="Garamond" w:cs="Times New Roman"/>
                <w:sz w:val="20"/>
                <w:szCs w:val="20"/>
                <w:lang w:eastAsia="it-IT"/>
              </w:rPr>
            </w:pPr>
            <w:r w:rsidRPr="00BD36D2">
              <w:rPr>
                <w:rFonts w:ascii="Garamond" w:eastAsia="Times New Roman" w:hAnsi="Garamond" w:cs="Times New Roman"/>
                <w:sz w:val="20"/>
                <w:szCs w:val="20"/>
                <w:lang w:eastAsia="it-IT"/>
              </w:rPr>
              <w:t>35</w:t>
            </w:r>
          </w:p>
        </w:tc>
        <w:tc>
          <w:tcPr>
            <w:tcW w:w="400" w:type="pct"/>
            <w:tcBorders>
              <w:right w:val="single" w:sz="8" w:space="0" w:color="7BA0CD"/>
            </w:tcBorders>
            <w:shd w:val="clear" w:color="auto" w:fill="D3DFEE"/>
            <w:vAlign w:val="center"/>
          </w:tcPr>
          <w:p w:rsidR="00BD36D2" w:rsidRPr="00BD36D2" w:rsidRDefault="00BD36D2" w:rsidP="00BD36D2">
            <w:pPr>
              <w:spacing w:after="0" w:line="240" w:lineRule="auto"/>
              <w:jc w:val="center"/>
              <w:rPr>
                <w:rFonts w:ascii="Garamond" w:eastAsia="Times New Roman" w:hAnsi="Garamond" w:cs="Times New Roman"/>
                <w:sz w:val="20"/>
                <w:szCs w:val="20"/>
                <w:lang w:eastAsia="it-IT"/>
              </w:rPr>
            </w:pPr>
            <w:r w:rsidRPr="00BD36D2">
              <w:rPr>
                <w:rFonts w:ascii="Garamond" w:eastAsia="Times New Roman" w:hAnsi="Garamond" w:cs="Times New Roman"/>
                <w:sz w:val="20"/>
                <w:szCs w:val="20"/>
                <w:lang w:eastAsia="it-IT"/>
              </w:rPr>
              <w:t>153</w:t>
            </w:r>
          </w:p>
        </w:tc>
      </w:tr>
      <w:tr w:rsidR="00BD36D2" w:rsidRPr="00BD36D2" w:rsidTr="00BD36D2">
        <w:trPr>
          <w:cantSplit/>
          <w:trHeight w:val="358"/>
          <w:jc w:val="center"/>
        </w:trPr>
        <w:tc>
          <w:tcPr>
            <w:tcW w:w="1519" w:type="pct"/>
            <w:shd w:val="clear" w:color="auto" w:fill="A7BFDE"/>
            <w:vAlign w:val="center"/>
          </w:tcPr>
          <w:p w:rsidR="00BD36D2" w:rsidRPr="00BD36D2" w:rsidRDefault="00BD36D2" w:rsidP="00BD36D2">
            <w:pPr>
              <w:spacing w:after="0" w:line="240" w:lineRule="auto"/>
              <w:jc w:val="both"/>
              <w:rPr>
                <w:rFonts w:ascii="Garamond" w:eastAsia="Times New Roman" w:hAnsi="Garamond" w:cs="Times New Roman"/>
                <w:bCs/>
                <w:color w:val="000000"/>
                <w:sz w:val="20"/>
                <w:szCs w:val="20"/>
                <w:lang w:val="en-US" w:eastAsia="it-IT"/>
              </w:rPr>
            </w:pPr>
            <w:r w:rsidRPr="00BD36D2">
              <w:rPr>
                <w:rFonts w:ascii="Garamond" w:eastAsia="Times New Roman" w:hAnsi="Garamond" w:cs="Times New Roman"/>
                <w:bCs/>
                <w:color w:val="000000"/>
                <w:sz w:val="20"/>
                <w:szCs w:val="20"/>
                <w:lang w:val="en-US" w:eastAsia="it-IT"/>
              </w:rPr>
              <w:t xml:space="preserve">Art. 6, </w:t>
            </w:r>
            <w:proofErr w:type="spellStart"/>
            <w:r w:rsidRPr="00BD36D2">
              <w:rPr>
                <w:rFonts w:ascii="Garamond" w:eastAsia="Times New Roman" w:hAnsi="Garamond" w:cs="Times New Roman"/>
                <w:bCs/>
                <w:color w:val="000000"/>
                <w:sz w:val="20"/>
                <w:szCs w:val="20"/>
                <w:lang w:val="en-US" w:eastAsia="it-IT"/>
              </w:rPr>
              <w:t>d.lgs</w:t>
            </w:r>
            <w:proofErr w:type="spellEnd"/>
            <w:r w:rsidRPr="00BD36D2">
              <w:rPr>
                <w:rFonts w:ascii="Garamond" w:eastAsia="Times New Roman" w:hAnsi="Garamond" w:cs="Times New Roman"/>
                <w:bCs/>
                <w:color w:val="000000"/>
                <w:sz w:val="20"/>
                <w:szCs w:val="20"/>
                <w:lang w:val="en-US" w:eastAsia="it-IT"/>
              </w:rPr>
              <w:t>. 163/2006</w:t>
            </w:r>
          </w:p>
          <w:p w:rsidR="00BD36D2" w:rsidRPr="00BD36D2" w:rsidRDefault="00BD36D2" w:rsidP="00BD36D2">
            <w:pPr>
              <w:spacing w:after="0" w:line="240" w:lineRule="auto"/>
              <w:jc w:val="both"/>
              <w:rPr>
                <w:rFonts w:ascii="Garamond" w:eastAsia="Times New Roman" w:hAnsi="Garamond" w:cs="Times New Roman"/>
                <w:bCs/>
                <w:color w:val="000000"/>
                <w:sz w:val="20"/>
                <w:szCs w:val="20"/>
                <w:lang w:val="en-US" w:eastAsia="it-IT"/>
              </w:rPr>
            </w:pPr>
            <w:r w:rsidRPr="00BD36D2">
              <w:rPr>
                <w:rFonts w:ascii="Garamond" w:eastAsia="Times New Roman" w:hAnsi="Garamond" w:cs="Times New Roman"/>
                <w:bCs/>
                <w:color w:val="000000"/>
                <w:sz w:val="20"/>
                <w:szCs w:val="20"/>
                <w:lang w:val="en-US" w:eastAsia="it-IT"/>
              </w:rPr>
              <w:t xml:space="preserve">Art.213,c.1, </w:t>
            </w:r>
            <w:proofErr w:type="spellStart"/>
            <w:r w:rsidRPr="00BD36D2">
              <w:rPr>
                <w:rFonts w:ascii="Garamond" w:eastAsia="Times New Roman" w:hAnsi="Garamond" w:cs="Times New Roman"/>
                <w:bCs/>
                <w:color w:val="000000"/>
                <w:sz w:val="20"/>
                <w:szCs w:val="20"/>
                <w:lang w:val="en-US" w:eastAsia="it-IT"/>
              </w:rPr>
              <w:t>d.lgs</w:t>
            </w:r>
            <w:proofErr w:type="spellEnd"/>
            <w:r w:rsidRPr="00BD36D2">
              <w:rPr>
                <w:rFonts w:ascii="Garamond" w:eastAsia="Times New Roman" w:hAnsi="Garamond" w:cs="Times New Roman"/>
                <w:bCs/>
                <w:color w:val="000000"/>
                <w:sz w:val="20"/>
                <w:szCs w:val="20"/>
                <w:lang w:val="en-US" w:eastAsia="it-IT"/>
              </w:rPr>
              <w:t>. 50/2016</w:t>
            </w:r>
          </w:p>
        </w:tc>
        <w:tc>
          <w:tcPr>
            <w:tcW w:w="280" w:type="pct"/>
            <w:tcBorders>
              <w:right w:val="single" w:sz="8" w:space="0" w:color="7BA0CD"/>
            </w:tcBorders>
            <w:shd w:val="clear" w:color="auto" w:fill="A7BFDE"/>
            <w:vAlign w:val="center"/>
          </w:tcPr>
          <w:p w:rsidR="00BD36D2" w:rsidRPr="00BD36D2" w:rsidRDefault="00BD36D2" w:rsidP="00BD36D2">
            <w:pPr>
              <w:spacing w:after="0" w:line="240" w:lineRule="auto"/>
              <w:jc w:val="center"/>
              <w:rPr>
                <w:rFonts w:ascii="Garamond" w:eastAsia="Times New Roman" w:hAnsi="Garamond" w:cs="Times New Roman"/>
                <w:sz w:val="20"/>
                <w:szCs w:val="20"/>
                <w:lang w:eastAsia="it-IT"/>
              </w:rPr>
            </w:pPr>
            <w:r w:rsidRPr="00BD36D2">
              <w:rPr>
                <w:rFonts w:ascii="Garamond" w:eastAsia="Times New Roman" w:hAnsi="Garamond" w:cs="Times New Roman"/>
                <w:sz w:val="20"/>
                <w:szCs w:val="20"/>
                <w:lang w:eastAsia="it-IT"/>
              </w:rPr>
              <w:t>178</w:t>
            </w:r>
          </w:p>
        </w:tc>
        <w:tc>
          <w:tcPr>
            <w:tcW w:w="314" w:type="pct"/>
            <w:tcBorders>
              <w:right w:val="single" w:sz="8" w:space="0" w:color="7BA0CD"/>
            </w:tcBorders>
            <w:shd w:val="clear" w:color="auto" w:fill="A7BFDE"/>
            <w:vAlign w:val="center"/>
          </w:tcPr>
          <w:p w:rsidR="00BD36D2" w:rsidRPr="00BD36D2" w:rsidRDefault="00BD36D2" w:rsidP="00BD36D2">
            <w:pPr>
              <w:spacing w:after="0" w:line="240" w:lineRule="auto"/>
              <w:jc w:val="center"/>
              <w:rPr>
                <w:rFonts w:ascii="Garamond" w:eastAsia="Times New Roman" w:hAnsi="Garamond" w:cs="Times New Roman"/>
                <w:sz w:val="20"/>
                <w:szCs w:val="20"/>
                <w:lang w:eastAsia="it-IT"/>
              </w:rPr>
            </w:pPr>
            <w:r w:rsidRPr="00BD36D2">
              <w:rPr>
                <w:rFonts w:ascii="Garamond" w:eastAsia="Times New Roman" w:hAnsi="Garamond" w:cs="Times New Roman"/>
                <w:sz w:val="20"/>
                <w:szCs w:val="20"/>
                <w:lang w:eastAsia="it-IT"/>
              </w:rPr>
              <w:t>73</w:t>
            </w:r>
          </w:p>
        </w:tc>
        <w:tc>
          <w:tcPr>
            <w:tcW w:w="317" w:type="pct"/>
            <w:tcBorders>
              <w:right w:val="single" w:sz="8" w:space="0" w:color="7BA0CD"/>
            </w:tcBorders>
            <w:shd w:val="clear" w:color="auto" w:fill="A7BFDE"/>
            <w:vAlign w:val="center"/>
          </w:tcPr>
          <w:p w:rsidR="00BD36D2" w:rsidRPr="00BD36D2" w:rsidRDefault="00BD36D2" w:rsidP="00BD36D2">
            <w:pPr>
              <w:spacing w:after="0" w:line="240" w:lineRule="auto"/>
              <w:jc w:val="center"/>
              <w:rPr>
                <w:rFonts w:ascii="Garamond" w:eastAsia="Times New Roman" w:hAnsi="Garamond" w:cs="Times New Roman"/>
                <w:sz w:val="20"/>
                <w:szCs w:val="20"/>
                <w:lang w:eastAsia="it-IT"/>
              </w:rPr>
            </w:pPr>
            <w:r w:rsidRPr="00BD36D2">
              <w:rPr>
                <w:rFonts w:ascii="Garamond" w:eastAsia="Times New Roman" w:hAnsi="Garamond" w:cs="Times New Roman"/>
                <w:sz w:val="20"/>
                <w:szCs w:val="20"/>
                <w:lang w:eastAsia="it-IT"/>
              </w:rPr>
              <w:t>105</w:t>
            </w:r>
          </w:p>
        </w:tc>
        <w:tc>
          <w:tcPr>
            <w:tcW w:w="360" w:type="pct"/>
            <w:tcBorders>
              <w:right w:val="single" w:sz="8" w:space="0" w:color="7BA0CD"/>
            </w:tcBorders>
            <w:shd w:val="clear" w:color="auto" w:fill="A7BFDE"/>
            <w:vAlign w:val="center"/>
          </w:tcPr>
          <w:p w:rsidR="00BD36D2" w:rsidRPr="00BD36D2" w:rsidRDefault="00BD36D2" w:rsidP="00BD36D2">
            <w:pPr>
              <w:spacing w:after="0" w:line="240" w:lineRule="auto"/>
              <w:jc w:val="center"/>
              <w:rPr>
                <w:rFonts w:ascii="Garamond" w:eastAsia="Times New Roman" w:hAnsi="Garamond" w:cs="Times New Roman"/>
                <w:sz w:val="20"/>
                <w:szCs w:val="20"/>
                <w:lang w:eastAsia="it-IT"/>
              </w:rPr>
            </w:pPr>
            <w:r w:rsidRPr="00BD36D2">
              <w:rPr>
                <w:rFonts w:ascii="Garamond" w:eastAsia="Times New Roman" w:hAnsi="Garamond" w:cs="Times New Roman"/>
                <w:sz w:val="20"/>
                <w:szCs w:val="20"/>
                <w:lang w:eastAsia="it-IT"/>
              </w:rPr>
              <w:t>59%</w:t>
            </w:r>
          </w:p>
        </w:tc>
        <w:tc>
          <w:tcPr>
            <w:tcW w:w="522" w:type="pct"/>
            <w:shd w:val="clear" w:color="auto" w:fill="A7BFDE"/>
            <w:vAlign w:val="center"/>
          </w:tcPr>
          <w:p w:rsidR="00BD36D2" w:rsidRPr="00BD36D2" w:rsidRDefault="00BD36D2" w:rsidP="00BD36D2">
            <w:pPr>
              <w:spacing w:after="0" w:line="240" w:lineRule="auto"/>
              <w:jc w:val="center"/>
              <w:rPr>
                <w:rFonts w:ascii="Garamond" w:eastAsia="Times New Roman" w:hAnsi="Garamond" w:cs="Times New Roman"/>
                <w:sz w:val="20"/>
                <w:szCs w:val="20"/>
                <w:lang w:eastAsia="it-IT"/>
              </w:rPr>
            </w:pPr>
            <w:r w:rsidRPr="00BD36D2">
              <w:rPr>
                <w:rFonts w:ascii="Garamond" w:eastAsia="Times New Roman" w:hAnsi="Garamond" w:cs="Times New Roman"/>
                <w:sz w:val="20"/>
                <w:szCs w:val="20"/>
                <w:lang w:eastAsia="it-IT"/>
              </w:rPr>
              <w:t>24.900</w:t>
            </w:r>
          </w:p>
        </w:tc>
        <w:tc>
          <w:tcPr>
            <w:tcW w:w="375" w:type="pct"/>
            <w:shd w:val="clear" w:color="auto" w:fill="A7BFDE"/>
            <w:vAlign w:val="center"/>
          </w:tcPr>
          <w:p w:rsidR="00BD36D2" w:rsidRPr="00BD36D2" w:rsidRDefault="00BD36D2" w:rsidP="00BD36D2">
            <w:pPr>
              <w:spacing w:after="0" w:line="240" w:lineRule="auto"/>
              <w:jc w:val="center"/>
              <w:rPr>
                <w:rFonts w:ascii="Garamond" w:eastAsia="Times New Roman" w:hAnsi="Garamond" w:cs="Times New Roman"/>
                <w:sz w:val="20"/>
                <w:szCs w:val="20"/>
                <w:lang w:eastAsia="it-IT"/>
              </w:rPr>
            </w:pPr>
            <w:r w:rsidRPr="00BD36D2">
              <w:rPr>
                <w:rFonts w:ascii="Garamond" w:eastAsia="Times New Roman" w:hAnsi="Garamond" w:cs="Times New Roman"/>
                <w:sz w:val="20"/>
                <w:szCs w:val="20"/>
                <w:lang w:eastAsia="it-IT"/>
              </w:rPr>
              <w:t>238</w:t>
            </w:r>
          </w:p>
        </w:tc>
        <w:tc>
          <w:tcPr>
            <w:tcW w:w="314" w:type="pct"/>
            <w:shd w:val="clear" w:color="auto" w:fill="A7BFDE"/>
            <w:vAlign w:val="center"/>
          </w:tcPr>
          <w:p w:rsidR="00BD36D2" w:rsidRPr="00BD36D2" w:rsidRDefault="00BD36D2" w:rsidP="00BD36D2">
            <w:pPr>
              <w:spacing w:after="0" w:line="240" w:lineRule="auto"/>
              <w:jc w:val="center"/>
              <w:rPr>
                <w:rFonts w:ascii="Garamond" w:eastAsia="Times New Roman" w:hAnsi="Garamond" w:cs="Times New Roman"/>
                <w:sz w:val="20"/>
                <w:szCs w:val="20"/>
                <w:lang w:eastAsia="it-IT"/>
              </w:rPr>
            </w:pPr>
          </w:p>
        </w:tc>
        <w:tc>
          <w:tcPr>
            <w:tcW w:w="326" w:type="pct"/>
            <w:shd w:val="clear" w:color="auto" w:fill="A7BFDE"/>
            <w:vAlign w:val="center"/>
          </w:tcPr>
          <w:p w:rsidR="00BD36D2" w:rsidRPr="00BD36D2" w:rsidRDefault="00BD36D2" w:rsidP="00BD36D2">
            <w:pPr>
              <w:spacing w:after="0" w:line="240" w:lineRule="auto"/>
              <w:jc w:val="center"/>
              <w:rPr>
                <w:rFonts w:ascii="Garamond" w:eastAsia="Times New Roman" w:hAnsi="Garamond" w:cs="Times New Roman"/>
                <w:sz w:val="20"/>
                <w:szCs w:val="20"/>
                <w:lang w:eastAsia="it-IT"/>
              </w:rPr>
            </w:pPr>
          </w:p>
        </w:tc>
        <w:tc>
          <w:tcPr>
            <w:tcW w:w="273" w:type="pct"/>
            <w:tcBorders>
              <w:right w:val="single" w:sz="8" w:space="0" w:color="7BA0CD"/>
            </w:tcBorders>
            <w:shd w:val="clear" w:color="auto" w:fill="A7BFDE"/>
            <w:vAlign w:val="center"/>
          </w:tcPr>
          <w:p w:rsidR="00BD36D2" w:rsidRPr="00BD36D2" w:rsidRDefault="00BD36D2" w:rsidP="00BD36D2">
            <w:pPr>
              <w:spacing w:after="0" w:line="240" w:lineRule="auto"/>
              <w:jc w:val="center"/>
              <w:rPr>
                <w:rFonts w:ascii="Garamond" w:eastAsia="Times New Roman" w:hAnsi="Garamond" w:cs="Times New Roman"/>
                <w:sz w:val="20"/>
                <w:szCs w:val="20"/>
                <w:lang w:eastAsia="it-IT"/>
              </w:rPr>
            </w:pPr>
          </w:p>
        </w:tc>
        <w:tc>
          <w:tcPr>
            <w:tcW w:w="400" w:type="pct"/>
            <w:tcBorders>
              <w:right w:val="single" w:sz="8" w:space="0" w:color="7BA0CD"/>
            </w:tcBorders>
            <w:shd w:val="clear" w:color="auto" w:fill="A7BFDE"/>
            <w:vAlign w:val="center"/>
          </w:tcPr>
          <w:p w:rsidR="00BD36D2" w:rsidRPr="00BD36D2" w:rsidRDefault="00BD36D2" w:rsidP="00BD36D2">
            <w:pPr>
              <w:spacing w:after="0" w:line="240" w:lineRule="auto"/>
              <w:jc w:val="center"/>
              <w:rPr>
                <w:rFonts w:ascii="Garamond" w:eastAsia="Times New Roman" w:hAnsi="Garamond" w:cs="Times New Roman"/>
                <w:sz w:val="20"/>
                <w:szCs w:val="20"/>
                <w:lang w:eastAsia="it-IT"/>
              </w:rPr>
            </w:pPr>
            <w:r w:rsidRPr="00BD36D2">
              <w:rPr>
                <w:rFonts w:ascii="Garamond" w:eastAsia="Times New Roman" w:hAnsi="Garamond" w:cs="Times New Roman"/>
                <w:sz w:val="20"/>
                <w:szCs w:val="20"/>
                <w:lang w:eastAsia="it-IT"/>
              </w:rPr>
              <w:t>2</w:t>
            </w:r>
          </w:p>
        </w:tc>
      </w:tr>
      <w:tr w:rsidR="00BD36D2" w:rsidRPr="00BD36D2" w:rsidTr="00BD36D2">
        <w:trPr>
          <w:cantSplit/>
          <w:trHeight w:val="358"/>
          <w:jc w:val="center"/>
        </w:trPr>
        <w:tc>
          <w:tcPr>
            <w:tcW w:w="1519" w:type="pct"/>
            <w:shd w:val="clear" w:color="auto" w:fill="8DB3E2" w:themeFill="text2" w:themeFillTint="66"/>
            <w:vAlign w:val="center"/>
          </w:tcPr>
          <w:p w:rsidR="00BD36D2" w:rsidRPr="00BD36D2" w:rsidRDefault="00BD36D2" w:rsidP="00BD36D2">
            <w:pPr>
              <w:spacing w:after="0" w:line="240" w:lineRule="auto"/>
              <w:jc w:val="center"/>
              <w:rPr>
                <w:rFonts w:ascii="Garamond" w:eastAsia="Times New Roman" w:hAnsi="Garamond" w:cs="Times New Roman"/>
                <w:b/>
                <w:bCs/>
                <w:color w:val="000000"/>
                <w:sz w:val="20"/>
                <w:szCs w:val="20"/>
                <w:lang w:eastAsia="it-IT"/>
              </w:rPr>
            </w:pPr>
            <w:r w:rsidRPr="00BD36D2">
              <w:rPr>
                <w:rFonts w:ascii="Garamond" w:eastAsia="Times New Roman" w:hAnsi="Garamond" w:cs="Times New Roman"/>
                <w:b/>
                <w:bCs/>
                <w:color w:val="000000"/>
                <w:sz w:val="20"/>
                <w:szCs w:val="20"/>
                <w:lang w:eastAsia="it-IT"/>
              </w:rPr>
              <w:t>Totale</w:t>
            </w:r>
          </w:p>
        </w:tc>
        <w:tc>
          <w:tcPr>
            <w:tcW w:w="280" w:type="pct"/>
            <w:tcBorders>
              <w:right w:val="single" w:sz="8" w:space="0" w:color="7BA0CD"/>
            </w:tcBorders>
            <w:shd w:val="clear" w:color="auto" w:fill="8DB3E2" w:themeFill="text2" w:themeFillTint="66"/>
          </w:tcPr>
          <w:p w:rsidR="00BD36D2" w:rsidRPr="00BD36D2" w:rsidRDefault="00BD36D2" w:rsidP="00BD36D2">
            <w:pPr>
              <w:spacing w:after="0" w:line="240" w:lineRule="auto"/>
              <w:jc w:val="center"/>
              <w:rPr>
                <w:rFonts w:ascii="Garamond" w:eastAsia="Times New Roman" w:hAnsi="Garamond" w:cs="Times New Roman"/>
                <w:sz w:val="20"/>
                <w:szCs w:val="20"/>
                <w:lang w:eastAsia="it-IT"/>
              </w:rPr>
            </w:pPr>
            <w:r w:rsidRPr="00BD36D2">
              <w:rPr>
                <w:rFonts w:ascii="Garamond" w:eastAsia="Times New Roman" w:hAnsi="Garamond" w:cs="Times New Roman"/>
                <w:sz w:val="20"/>
                <w:szCs w:val="20"/>
                <w:lang w:eastAsia="it-IT"/>
              </w:rPr>
              <w:t>878</w:t>
            </w:r>
          </w:p>
        </w:tc>
        <w:tc>
          <w:tcPr>
            <w:tcW w:w="314" w:type="pct"/>
            <w:tcBorders>
              <w:right w:val="single" w:sz="8" w:space="0" w:color="7BA0CD"/>
            </w:tcBorders>
            <w:shd w:val="clear" w:color="auto" w:fill="8DB3E2" w:themeFill="text2" w:themeFillTint="66"/>
          </w:tcPr>
          <w:p w:rsidR="00BD36D2" w:rsidRPr="00BD36D2" w:rsidRDefault="00BD36D2" w:rsidP="00BD36D2">
            <w:pPr>
              <w:spacing w:after="0" w:line="240" w:lineRule="auto"/>
              <w:jc w:val="center"/>
              <w:rPr>
                <w:rFonts w:ascii="Garamond" w:eastAsia="Times New Roman" w:hAnsi="Garamond" w:cs="Times New Roman"/>
                <w:sz w:val="20"/>
                <w:szCs w:val="20"/>
                <w:lang w:eastAsia="it-IT"/>
              </w:rPr>
            </w:pPr>
            <w:r w:rsidRPr="00BD36D2">
              <w:rPr>
                <w:rFonts w:ascii="Garamond" w:eastAsia="Times New Roman" w:hAnsi="Garamond" w:cs="Times New Roman"/>
                <w:sz w:val="20"/>
                <w:szCs w:val="20"/>
                <w:lang w:eastAsia="it-IT"/>
              </w:rPr>
              <w:t>376</w:t>
            </w:r>
          </w:p>
        </w:tc>
        <w:tc>
          <w:tcPr>
            <w:tcW w:w="317" w:type="pct"/>
            <w:tcBorders>
              <w:right w:val="single" w:sz="8" w:space="0" w:color="7BA0CD"/>
            </w:tcBorders>
            <w:shd w:val="clear" w:color="auto" w:fill="8DB3E2" w:themeFill="text2" w:themeFillTint="66"/>
          </w:tcPr>
          <w:p w:rsidR="00BD36D2" w:rsidRPr="00BD36D2" w:rsidRDefault="00BD36D2" w:rsidP="00BD36D2">
            <w:pPr>
              <w:spacing w:after="0" w:line="240" w:lineRule="auto"/>
              <w:jc w:val="center"/>
              <w:rPr>
                <w:rFonts w:ascii="Garamond" w:eastAsia="Times New Roman" w:hAnsi="Garamond" w:cs="Times New Roman"/>
                <w:sz w:val="20"/>
                <w:szCs w:val="20"/>
                <w:lang w:eastAsia="it-IT"/>
              </w:rPr>
            </w:pPr>
            <w:r w:rsidRPr="00BD36D2">
              <w:rPr>
                <w:rFonts w:ascii="Garamond" w:eastAsia="Times New Roman" w:hAnsi="Garamond" w:cs="Times New Roman"/>
                <w:sz w:val="20"/>
                <w:szCs w:val="20"/>
                <w:lang w:eastAsia="it-IT"/>
              </w:rPr>
              <w:t>517</w:t>
            </w:r>
          </w:p>
        </w:tc>
        <w:tc>
          <w:tcPr>
            <w:tcW w:w="360" w:type="pct"/>
            <w:tcBorders>
              <w:right w:val="single" w:sz="8" w:space="0" w:color="7BA0CD"/>
            </w:tcBorders>
            <w:shd w:val="clear" w:color="auto" w:fill="8DB3E2" w:themeFill="text2" w:themeFillTint="66"/>
          </w:tcPr>
          <w:p w:rsidR="00BD36D2" w:rsidRPr="00BD36D2" w:rsidRDefault="00BD36D2" w:rsidP="00BD36D2">
            <w:pPr>
              <w:spacing w:after="0" w:line="240" w:lineRule="auto"/>
              <w:jc w:val="center"/>
              <w:rPr>
                <w:rFonts w:ascii="Garamond" w:eastAsia="Times New Roman" w:hAnsi="Garamond" w:cs="Times New Roman"/>
                <w:sz w:val="20"/>
                <w:szCs w:val="20"/>
                <w:lang w:eastAsia="it-IT"/>
              </w:rPr>
            </w:pPr>
            <w:r w:rsidRPr="00BD36D2">
              <w:rPr>
                <w:rFonts w:ascii="Garamond" w:eastAsia="Times New Roman" w:hAnsi="Garamond" w:cs="Times New Roman"/>
                <w:sz w:val="20"/>
                <w:szCs w:val="20"/>
                <w:lang w:eastAsia="it-IT"/>
              </w:rPr>
              <w:t>59%</w:t>
            </w:r>
          </w:p>
        </w:tc>
        <w:tc>
          <w:tcPr>
            <w:tcW w:w="522" w:type="pct"/>
            <w:shd w:val="clear" w:color="auto" w:fill="8DB3E2" w:themeFill="text2" w:themeFillTint="66"/>
          </w:tcPr>
          <w:p w:rsidR="00BD36D2" w:rsidRPr="00BD36D2" w:rsidRDefault="00BD36D2" w:rsidP="00BD36D2">
            <w:pPr>
              <w:spacing w:after="0" w:line="240" w:lineRule="auto"/>
              <w:jc w:val="center"/>
              <w:rPr>
                <w:rFonts w:ascii="Garamond" w:eastAsia="Times New Roman" w:hAnsi="Garamond" w:cs="Times New Roman"/>
                <w:sz w:val="20"/>
                <w:szCs w:val="20"/>
                <w:lang w:eastAsia="it-IT"/>
              </w:rPr>
            </w:pPr>
            <w:r w:rsidRPr="00BD36D2">
              <w:rPr>
                <w:rFonts w:ascii="Garamond" w:eastAsia="Times New Roman" w:hAnsi="Garamond" w:cs="Times New Roman"/>
                <w:sz w:val="20"/>
                <w:szCs w:val="20"/>
                <w:lang w:eastAsia="it-IT"/>
              </w:rPr>
              <w:t>515.750</w:t>
            </w:r>
          </w:p>
        </w:tc>
        <w:tc>
          <w:tcPr>
            <w:tcW w:w="375" w:type="pct"/>
            <w:shd w:val="clear" w:color="auto" w:fill="8DB3E2" w:themeFill="text2" w:themeFillTint="66"/>
          </w:tcPr>
          <w:p w:rsidR="00BD36D2" w:rsidRPr="00BD36D2" w:rsidRDefault="00BD36D2" w:rsidP="00BD36D2">
            <w:pPr>
              <w:spacing w:after="0" w:line="240" w:lineRule="auto"/>
              <w:jc w:val="center"/>
              <w:rPr>
                <w:rFonts w:ascii="Garamond" w:eastAsia="Times New Roman" w:hAnsi="Garamond" w:cs="Times New Roman"/>
                <w:sz w:val="20"/>
                <w:szCs w:val="20"/>
                <w:lang w:eastAsia="it-IT"/>
              </w:rPr>
            </w:pPr>
            <w:r w:rsidRPr="00BD36D2">
              <w:rPr>
                <w:rFonts w:ascii="Garamond" w:eastAsia="Times New Roman" w:hAnsi="Garamond" w:cs="Times New Roman"/>
                <w:sz w:val="20"/>
                <w:szCs w:val="20"/>
                <w:lang w:eastAsia="it-IT"/>
              </w:rPr>
              <w:t>998</w:t>
            </w:r>
          </w:p>
        </w:tc>
        <w:tc>
          <w:tcPr>
            <w:tcW w:w="314" w:type="pct"/>
            <w:shd w:val="clear" w:color="auto" w:fill="8DB3E2" w:themeFill="text2" w:themeFillTint="66"/>
          </w:tcPr>
          <w:p w:rsidR="00BD36D2" w:rsidRPr="00BD36D2" w:rsidRDefault="00BD36D2" w:rsidP="00BD36D2">
            <w:pPr>
              <w:spacing w:after="0" w:line="240" w:lineRule="auto"/>
              <w:jc w:val="center"/>
              <w:rPr>
                <w:rFonts w:ascii="Garamond" w:eastAsia="Times New Roman" w:hAnsi="Garamond" w:cs="Times New Roman"/>
                <w:sz w:val="20"/>
                <w:szCs w:val="20"/>
                <w:lang w:eastAsia="it-IT"/>
              </w:rPr>
            </w:pPr>
            <w:r w:rsidRPr="00BD36D2">
              <w:rPr>
                <w:rFonts w:ascii="Garamond" w:eastAsia="Times New Roman" w:hAnsi="Garamond" w:cs="Times New Roman"/>
                <w:sz w:val="20"/>
                <w:szCs w:val="20"/>
                <w:lang w:eastAsia="it-IT"/>
              </w:rPr>
              <w:t>241</w:t>
            </w:r>
          </w:p>
        </w:tc>
        <w:tc>
          <w:tcPr>
            <w:tcW w:w="326" w:type="pct"/>
            <w:shd w:val="clear" w:color="auto" w:fill="8DB3E2" w:themeFill="text2" w:themeFillTint="66"/>
          </w:tcPr>
          <w:p w:rsidR="00BD36D2" w:rsidRPr="00BD36D2" w:rsidRDefault="00BD36D2" w:rsidP="00BD36D2">
            <w:pPr>
              <w:spacing w:after="0" w:line="240" w:lineRule="auto"/>
              <w:jc w:val="center"/>
              <w:rPr>
                <w:rFonts w:ascii="Garamond" w:eastAsia="Times New Roman" w:hAnsi="Garamond" w:cs="Times New Roman"/>
                <w:sz w:val="20"/>
                <w:szCs w:val="20"/>
                <w:lang w:eastAsia="it-IT"/>
              </w:rPr>
            </w:pPr>
            <w:r w:rsidRPr="00BD36D2">
              <w:rPr>
                <w:rFonts w:ascii="Garamond" w:eastAsia="Times New Roman" w:hAnsi="Garamond" w:cs="Times New Roman"/>
                <w:sz w:val="20"/>
                <w:szCs w:val="20"/>
                <w:lang w:eastAsia="it-IT"/>
              </w:rPr>
              <w:t>36</w:t>
            </w:r>
          </w:p>
        </w:tc>
        <w:tc>
          <w:tcPr>
            <w:tcW w:w="273" w:type="pct"/>
            <w:tcBorders>
              <w:right w:val="single" w:sz="8" w:space="0" w:color="7BA0CD"/>
            </w:tcBorders>
            <w:shd w:val="clear" w:color="auto" w:fill="8DB3E2" w:themeFill="text2" w:themeFillTint="66"/>
          </w:tcPr>
          <w:p w:rsidR="00BD36D2" w:rsidRPr="00BD36D2" w:rsidRDefault="00BD36D2" w:rsidP="00BD36D2">
            <w:pPr>
              <w:spacing w:after="0" w:line="240" w:lineRule="auto"/>
              <w:jc w:val="center"/>
              <w:rPr>
                <w:rFonts w:ascii="Garamond" w:eastAsia="Times New Roman" w:hAnsi="Garamond" w:cs="Times New Roman"/>
                <w:sz w:val="20"/>
                <w:szCs w:val="20"/>
                <w:lang w:eastAsia="it-IT"/>
              </w:rPr>
            </w:pPr>
            <w:r w:rsidRPr="00BD36D2">
              <w:rPr>
                <w:rFonts w:ascii="Garamond" w:eastAsia="Times New Roman" w:hAnsi="Garamond" w:cs="Times New Roman"/>
                <w:sz w:val="20"/>
                <w:szCs w:val="20"/>
                <w:lang w:eastAsia="it-IT"/>
              </w:rPr>
              <w:t>238</w:t>
            </w:r>
          </w:p>
        </w:tc>
        <w:tc>
          <w:tcPr>
            <w:tcW w:w="400" w:type="pct"/>
            <w:tcBorders>
              <w:right w:val="single" w:sz="8" w:space="0" w:color="7BA0CD"/>
            </w:tcBorders>
            <w:shd w:val="clear" w:color="auto" w:fill="8DB3E2" w:themeFill="text2" w:themeFillTint="66"/>
          </w:tcPr>
          <w:p w:rsidR="00BD36D2" w:rsidRPr="00BD36D2" w:rsidRDefault="00BD36D2" w:rsidP="00BD36D2">
            <w:pPr>
              <w:spacing w:after="0" w:line="240" w:lineRule="auto"/>
              <w:jc w:val="center"/>
              <w:rPr>
                <w:rFonts w:ascii="Garamond" w:eastAsia="Times New Roman" w:hAnsi="Garamond" w:cs="Times New Roman"/>
                <w:sz w:val="20"/>
                <w:szCs w:val="20"/>
                <w:lang w:eastAsia="it-IT"/>
              </w:rPr>
            </w:pPr>
            <w:r w:rsidRPr="00BD36D2">
              <w:rPr>
                <w:rFonts w:ascii="Garamond" w:eastAsia="Times New Roman" w:hAnsi="Garamond" w:cs="Times New Roman"/>
                <w:sz w:val="20"/>
                <w:szCs w:val="20"/>
                <w:lang w:eastAsia="it-IT"/>
              </w:rPr>
              <w:t>521</w:t>
            </w:r>
          </w:p>
        </w:tc>
      </w:tr>
    </w:tbl>
    <w:p w:rsidR="00BD36D2" w:rsidRPr="00BD36D2" w:rsidRDefault="00BD36D2" w:rsidP="00BD36D2">
      <w:pPr>
        <w:autoSpaceDE w:val="0"/>
        <w:autoSpaceDN w:val="0"/>
        <w:adjustRightInd w:val="0"/>
        <w:spacing w:after="0" w:line="360" w:lineRule="auto"/>
        <w:jc w:val="both"/>
        <w:rPr>
          <w:rFonts w:ascii="Garamond" w:hAnsi="Garamond" w:cs="Garamond"/>
          <w:color w:val="000000"/>
          <w:sz w:val="24"/>
          <w:szCs w:val="24"/>
        </w:rPr>
      </w:pPr>
    </w:p>
    <w:p w:rsidR="00BD36D2" w:rsidRPr="00BD36D2" w:rsidRDefault="00BD36D2" w:rsidP="00BD36D2">
      <w:pPr>
        <w:autoSpaceDE w:val="0"/>
        <w:autoSpaceDN w:val="0"/>
        <w:adjustRightInd w:val="0"/>
        <w:spacing w:after="0" w:line="360" w:lineRule="auto"/>
        <w:jc w:val="both"/>
        <w:rPr>
          <w:rFonts w:ascii="Garamond" w:hAnsi="Garamond" w:cs="Garamond"/>
          <w:color w:val="000000"/>
          <w:sz w:val="24"/>
          <w:szCs w:val="24"/>
        </w:rPr>
      </w:pPr>
    </w:p>
    <w:p w:rsidR="00BD36D2" w:rsidRPr="00EE4750" w:rsidRDefault="00BD36D2" w:rsidP="00BD36D2">
      <w:pPr>
        <w:autoSpaceDE w:val="0"/>
        <w:autoSpaceDN w:val="0"/>
        <w:adjustRightInd w:val="0"/>
        <w:spacing w:after="0" w:line="360" w:lineRule="auto"/>
        <w:jc w:val="both"/>
        <w:rPr>
          <w:rFonts w:ascii="Times New Roman" w:hAnsi="Times New Roman" w:cs="Times New Roman"/>
          <w:color w:val="000000"/>
          <w:sz w:val="24"/>
          <w:szCs w:val="24"/>
        </w:rPr>
      </w:pPr>
      <w:r w:rsidRPr="00EE4750">
        <w:rPr>
          <w:rFonts w:ascii="Times New Roman" w:hAnsi="Times New Roman" w:cs="Times New Roman"/>
          <w:color w:val="000000"/>
          <w:sz w:val="24"/>
          <w:szCs w:val="24"/>
        </w:rPr>
        <w:t xml:space="preserve">L’importo complessivo delle sanzioni irrogate nell’anno 2017 è stato pari a 515.715,00 euro, mentre l’importo medio comminato è stato pari quasi a 1.000 euro, di entità notevolmente inferiore rispetto al valore medio del 2016 in ragione degli importi di gara a base di riferimento notevolmente più bassi. </w:t>
      </w:r>
    </w:p>
    <w:p w:rsidR="00BD36D2" w:rsidRPr="00EE4750" w:rsidRDefault="00BD36D2" w:rsidP="00BD36D2">
      <w:pPr>
        <w:autoSpaceDE w:val="0"/>
        <w:autoSpaceDN w:val="0"/>
        <w:adjustRightInd w:val="0"/>
        <w:spacing w:after="0" w:line="360" w:lineRule="auto"/>
        <w:jc w:val="both"/>
        <w:rPr>
          <w:rFonts w:ascii="Times New Roman" w:hAnsi="Times New Roman" w:cs="Times New Roman"/>
          <w:color w:val="000000"/>
          <w:sz w:val="24"/>
          <w:szCs w:val="24"/>
        </w:rPr>
      </w:pPr>
      <w:r w:rsidRPr="00EE4750">
        <w:rPr>
          <w:rFonts w:ascii="Times New Roman" w:eastAsia="Times New Roman" w:hAnsi="Times New Roman" w:cs="Times New Roman"/>
          <w:sz w:val="24"/>
          <w:szCs w:val="24"/>
          <w:lang w:eastAsia="it-IT"/>
        </w:rPr>
        <w:t xml:space="preserve">In merito alle segnalazioni pervenute, dalle stazioni appaltanti, di risoluzioni contrattuali per grave inadempimento, e dalle Prefetture per quanto attiene i provvedimenti </w:t>
      </w:r>
      <w:proofErr w:type="spellStart"/>
      <w:r w:rsidRPr="00EE4750">
        <w:rPr>
          <w:rFonts w:ascii="Times New Roman" w:eastAsia="Times New Roman" w:hAnsi="Times New Roman" w:cs="Times New Roman"/>
          <w:sz w:val="24"/>
          <w:szCs w:val="24"/>
          <w:lang w:eastAsia="it-IT"/>
        </w:rPr>
        <w:t>interdittivi</w:t>
      </w:r>
      <w:proofErr w:type="spellEnd"/>
      <w:r w:rsidRPr="00EE4750">
        <w:rPr>
          <w:rFonts w:ascii="Times New Roman" w:eastAsia="Times New Roman" w:hAnsi="Times New Roman" w:cs="Times New Roman"/>
          <w:sz w:val="24"/>
          <w:szCs w:val="24"/>
          <w:lang w:eastAsia="it-IT"/>
        </w:rPr>
        <w:t>, nell’anno 2017 il dato complessivo è pari a 1.765, come meglio illustrato nella tabella 16</w:t>
      </w:r>
    </w:p>
    <w:p w:rsidR="00BD36D2" w:rsidRPr="00BD36D2" w:rsidRDefault="00BD36D2" w:rsidP="00BD36D2">
      <w:pPr>
        <w:spacing w:after="0"/>
        <w:jc w:val="center"/>
        <w:rPr>
          <w:rFonts w:ascii="Garamond" w:eastAsia="Calibri" w:hAnsi="Garamond" w:cs="Times New Roman"/>
          <w:i/>
          <w:color w:val="0070C0"/>
          <w:sz w:val="20"/>
          <w:szCs w:val="20"/>
        </w:rPr>
      </w:pPr>
    </w:p>
    <w:p w:rsidR="00BD36D2" w:rsidRPr="00BD36D2" w:rsidRDefault="00BD36D2" w:rsidP="00BD36D2">
      <w:pPr>
        <w:spacing w:after="0"/>
        <w:rPr>
          <w:rFonts w:ascii="Garamond" w:eastAsia="Times New Roman" w:hAnsi="Garamond" w:cs="Calibri"/>
          <w:b/>
          <w:color w:val="000000"/>
          <w:lang w:eastAsia="it-IT"/>
        </w:rPr>
      </w:pPr>
    </w:p>
    <w:p w:rsidR="00BD36D2" w:rsidRPr="00BD36D2" w:rsidRDefault="00BD36D2" w:rsidP="00BD36D2">
      <w:pPr>
        <w:spacing w:after="0"/>
        <w:jc w:val="center"/>
        <w:rPr>
          <w:rFonts w:ascii="Garamond" w:eastAsia="Times New Roman" w:hAnsi="Garamond" w:cs="Calibri"/>
          <w:b/>
          <w:color w:val="000000"/>
          <w:lang w:eastAsia="it-IT"/>
        </w:rPr>
      </w:pPr>
      <w:r w:rsidRPr="00BD36D2">
        <w:rPr>
          <w:rFonts w:ascii="Garamond" w:eastAsia="Times New Roman" w:hAnsi="Garamond" w:cs="Calibri"/>
          <w:b/>
          <w:color w:val="000000"/>
          <w:lang w:eastAsia="it-IT"/>
        </w:rPr>
        <w:t>Tabella 16 Procedimenti su segnalazioni per annotazione delle notizie utili di cui all’art. 213, co.10 del d.l.gs. 50/2016, come indicate nella delib</w:t>
      </w:r>
      <w:r w:rsidRPr="00BD36D2">
        <w:rPr>
          <w:rFonts w:ascii="Garamond" w:eastAsia="Times New Roman" w:hAnsi="Garamond" w:cs="Calibri"/>
          <w:b/>
          <w:lang w:eastAsia="it-IT"/>
        </w:rPr>
        <w:t>e</w:t>
      </w:r>
      <w:r w:rsidRPr="00BD36D2">
        <w:rPr>
          <w:rFonts w:ascii="Garamond" w:eastAsia="Times New Roman" w:hAnsi="Garamond" w:cs="Calibri"/>
          <w:b/>
          <w:color w:val="000000"/>
          <w:lang w:eastAsia="it-IT"/>
        </w:rPr>
        <w:t>ra ANAC n. 1386 del 21.12.2016</w:t>
      </w:r>
    </w:p>
    <w:tbl>
      <w:tblPr>
        <w:tblW w:w="4942" w:type="pct"/>
        <w:jc w:val="cente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5213"/>
        <w:gridCol w:w="4527"/>
      </w:tblGrid>
      <w:tr w:rsidR="00BD36D2" w:rsidRPr="00BD36D2" w:rsidTr="00BD36D2">
        <w:trPr>
          <w:cantSplit/>
          <w:trHeight w:val="358"/>
          <w:jc w:val="center"/>
        </w:trPr>
        <w:tc>
          <w:tcPr>
            <w:tcW w:w="2676" w:type="pct"/>
            <w:shd w:val="clear" w:color="auto" w:fill="1F497D" w:themeFill="text2"/>
            <w:vAlign w:val="center"/>
          </w:tcPr>
          <w:p w:rsidR="00BD36D2" w:rsidRPr="00BD36D2" w:rsidRDefault="00BD36D2" w:rsidP="00BD36D2">
            <w:pPr>
              <w:spacing w:after="0" w:line="240" w:lineRule="auto"/>
              <w:jc w:val="center"/>
              <w:rPr>
                <w:rFonts w:ascii="Garamond" w:eastAsia="Times New Roman" w:hAnsi="Garamond" w:cs="Times New Roman"/>
                <w:b/>
                <w:bCs/>
                <w:color w:val="FFFFFF" w:themeColor="background1"/>
                <w:sz w:val="20"/>
                <w:lang w:eastAsia="it-IT"/>
              </w:rPr>
            </w:pPr>
            <w:r w:rsidRPr="00BD36D2">
              <w:rPr>
                <w:rFonts w:ascii="Garamond" w:eastAsia="Times New Roman" w:hAnsi="Garamond" w:cs="Times New Roman"/>
                <w:b/>
                <w:bCs/>
                <w:color w:val="FFFFFF" w:themeColor="background1"/>
                <w:sz w:val="20"/>
                <w:lang w:eastAsia="it-IT"/>
              </w:rPr>
              <w:t>fattispecie segnalata</w:t>
            </w:r>
          </w:p>
        </w:tc>
        <w:tc>
          <w:tcPr>
            <w:tcW w:w="2324" w:type="pct"/>
            <w:tcBorders>
              <w:right w:val="single" w:sz="8" w:space="0" w:color="7BA0CD"/>
            </w:tcBorders>
            <w:shd w:val="clear" w:color="auto" w:fill="1F497D" w:themeFill="text2"/>
            <w:vAlign w:val="center"/>
          </w:tcPr>
          <w:p w:rsidR="00BD36D2" w:rsidRPr="00BD36D2" w:rsidRDefault="00BD36D2" w:rsidP="00BD36D2">
            <w:pPr>
              <w:spacing w:after="0" w:line="240" w:lineRule="auto"/>
              <w:jc w:val="center"/>
              <w:rPr>
                <w:rFonts w:ascii="Garamond" w:eastAsia="Times New Roman" w:hAnsi="Garamond" w:cs="Times New Roman"/>
                <w:b/>
                <w:bCs/>
                <w:color w:val="FFFFFF" w:themeColor="background1"/>
                <w:sz w:val="20"/>
                <w:lang w:eastAsia="it-IT"/>
              </w:rPr>
            </w:pPr>
            <w:r w:rsidRPr="00BD36D2">
              <w:rPr>
                <w:rFonts w:ascii="Garamond" w:eastAsia="Times New Roman" w:hAnsi="Garamond" w:cs="Times New Roman"/>
                <w:b/>
                <w:bCs/>
                <w:color w:val="FFFFFF" w:themeColor="background1"/>
                <w:sz w:val="20"/>
                <w:lang w:eastAsia="it-IT"/>
              </w:rPr>
              <w:t>annotazioni inserite nel Casellario</w:t>
            </w:r>
          </w:p>
        </w:tc>
      </w:tr>
      <w:tr w:rsidR="00BD36D2" w:rsidRPr="00BD36D2" w:rsidTr="00BD36D2">
        <w:trPr>
          <w:cantSplit/>
          <w:trHeight w:val="358"/>
          <w:jc w:val="center"/>
        </w:trPr>
        <w:tc>
          <w:tcPr>
            <w:tcW w:w="2676" w:type="pct"/>
            <w:shd w:val="clear" w:color="auto" w:fill="C6D9F1" w:themeFill="text2" w:themeFillTint="33"/>
            <w:vAlign w:val="center"/>
          </w:tcPr>
          <w:p w:rsidR="00BD36D2" w:rsidRPr="00BD36D2" w:rsidRDefault="00BD36D2" w:rsidP="00BD36D2">
            <w:pPr>
              <w:spacing w:after="0" w:line="240" w:lineRule="auto"/>
              <w:rPr>
                <w:rFonts w:ascii="Garamond" w:eastAsia="Times New Roman" w:hAnsi="Garamond" w:cs="Times New Roman"/>
                <w:bCs/>
                <w:color w:val="000000"/>
                <w:sz w:val="20"/>
                <w:lang w:eastAsia="it-IT"/>
              </w:rPr>
            </w:pPr>
            <w:r w:rsidRPr="00BD36D2">
              <w:rPr>
                <w:rFonts w:ascii="Garamond" w:eastAsia="Times New Roman" w:hAnsi="Garamond" w:cs="Times New Roman"/>
                <w:bCs/>
                <w:color w:val="000000"/>
                <w:sz w:val="20"/>
                <w:lang w:eastAsia="it-IT"/>
              </w:rPr>
              <w:t xml:space="preserve">Provvedimenti adottati dalle S.A. destinati a produrre effetti sui contratti in corso o di revoca dell’aggiudicazione </w:t>
            </w:r>
          </w:p>
        </w:tc>
        <w:tc>
          <w:tcPr>
            <w:tcW w:w="2324" w:type="pct"/>
            <w:tcBorders>
              <w:right w:val="single" w:sz="8" w:space="0" w:color="7BA0CD"/>
            </w:tcBorders>
            <w:shd w:val="clear" w:color="auto" w:fill="C6D9F1" w:themeFill="text2" w:themeFillTint="33"/>
            <w:vAlign w:val="center"/>
          </w:tcPr>
          <w:p w:rsidR="00BD36D2" w:rsidRPr="00BD36D2" w:rsidRDefault="00BD36D2" w:rsidP="00BD36D2">
            <w:pPr>
              <w:spacing w:after="0" w:line="240" w:lineRule="auto"/>
              <w:jc w:val="center"/>
              <w:rPr>
                <w:rFonts w:ascii="Garamond" w:eastAsia="Times New Roman" w:hAnsi="Garamond" w:cs="Times New Roman"/>
                <w:sz w:val="20"/>
                <w:lang w:eastAsia="it-IT"/>
              </w:rPr>
            </w:pPr>
            <w:r w:rsidRPr="00BD36D2">
              <w:rPr>
                <w:rFonts w:ascii="Garamond" w:eastAsia="Times New Roman" w:hAnsi="Garamond" w:cs="Times New Roman"/>
                <w:sz w:val="20"/>
                <w:lang w:eastAsia="it-IT"/>
              </w:rPr>
              <w:t xml:space="preserve">560 </w:t>
            </w:r>
          </w:p>
        </w:tc>
      </w:tr>
      <w:tr w:rsidR="00BD36D2" w:rsidRPr="00BD36D2" w:rsidTr="00BD36D2">
        <w:trPr>
          <w:cantSplit/>
          <w:trHeight w:val="358"/>
          <w:jc w:val="center"/>
        </w:trPr>
        <w:tc>
          <w:tcPr>
            <w:tcW w:w="2676" w:type="pct"/>
            <w:shd w:val="clear" w:color="auto" w:fill="C6D9F1" w:themeFill="text2" w:themeFillTint="33"/>
            <w:vAlign w:val="center"/>
          </w:tcPr>
          <w:p w:rsidR="00BD36D2" w:rsidRPr="00BD36D2" w:rsidRDefault="00BD36D2" w:rsidP="00BD36D2">
            <w:pPr>
              <w:spacing w:after="0" w:line="240" w:lineRule="auto"/>
              <w:rPr>
                <w:rFonts w:ascii="Garamond" w:eastAsia="Times New Roman" w:hAnsi="Garamond" w:cs="Times New Roman"/>
                <w:bCs/>
                <w:color w:val="000000"/>
                <w:sz w:val="20"/>
                <w:lang w:eastAsia="it-IT"/>
              </w:rPr>
            </w:pPr>
            <w:r w:rsidRPr="00BD36D2">
              <w:rPr>
                <w:rFonts w:ascii="Garamond" w:eastAsia="Times New Roman" w:hAnsi="Garamond" w:cs="Times New Roman"/>
                <w:bCs/>
                <w:color w:val="000000"/>
                <w:sz w:val="20"/>
                <w:lang w:eastAsia="it-IT"/>
              </w:rPr>
              <w:t xml:space="preserve">Provvedimenti </w:t>
            </w:r>
            <w:proofErr w:type="spellStart"/>
            <w:r w:rsidRPr="00BD36D2">
              <w:rPr>
                <w:rFonts w:ascii="Garamond" w:eastAsia="Times New Roman" w:hAnsi="Garamond" w:cs="Times New Roman"/>
                <w:bCs/>
                <w:color w:val="000000"/>
                <w:sz w:val="20"/>
                <w:lang w:eastAsia="it-IT"/>
              </w:rPr>
              <w:t>interdittivi</w:t>
            </w:r>
            <w:proofErr w:type="spellEnd"/>
            <w:r w:rsidRPr="00BD36D2">
              <w:rPr>
                <w:rFonts w:ascii="Garamond" w:eastAsia="Times New Roman" w:hAnsi="Garamond" w:cs="Times New Roman"/>
                <w:bCs/>
                <w:color w:val="000000"/>
                <w:sz w:val="20"/>
                <w:lang w:eastAsia="it-IT"/>
              </w:rPr>
              <w:t xml:space="preserve"> ex d.lgs.159/2011</w:t>
            </w:r>
          </w:p>
        </w:tc>
        <w:tc>
          <w:tcPr>
            <w:tcW w:w="2324" w:type="pct"/>
            <w:tcBorders>
              <w:right w:val="single" w:sz="8" w:space="0" w:color="7BA0CD"/>
            </w:tcBorders>
            <w:shd w:val="clear" w:color="auto" w:fill="C6D9F1" w:themeFill="text2" w:themeFillTint="33"/>
            <w:vAlign w:val="center"/>
          </w:tcPr>
          <w:p w:rsidR="00BD36D2" w:rsidRPr="00BD36D2" w:rsidRDefault="00BD36D2" w:rsidP="00BD36D2">
            <w:pPr>
              <w:spacing w:after="0" w:line="240" w:lineRule="auto"/>
              <w:jc w:val="center"/>
              <w:rPr>
                <w:rFonts w:ascii="Garamond" w:eastAsia="Times New Roman" w:hAnsi="Garamond" w:cs="Times New Roman"/>
                <w:bCs/>
                <w:color w:val="000000"/>
                <w:sz w:val="20"/>
                <w:lang w:eastAsia="it-IT"/>
              </w:rPr>
            </w:pPr>
            <w:r w:rsidRPr="00BD36D2">
              <w:rPr>
                <w:rFonts w:ascii="Garamond" w:eastAsia="Times New Roman" w:hAnsi="Garamond" w:cs="Times New Roman"/>
                <w:bCs/>
                <w:color w:val="000000"/>
                <w:sz w:val="20"/>
                <w:lang w:eastAsia="it-IT"/>
              </w:rPr>
              <w:t xml:space="preserve">699 </w:t>
            </w:r>
          </w:p>
        </w:tc>
      </w:tr>
      <w:tr w:rsidR="00BD36D2" w:rsidRPr="00BD36D2" w:rsidTr="00BD36D2">
        <w:trPr>
          <w:cantSplit/>
          <w:trHeight w:val="358"/>
          <w:jc w:val="center"/>
        </w:trPr>
        <w:tc>
          <w:tcPr>
            <w:tcW w:w="2676" w:type="pct"/>
            <w:shd w:val="clear" w:color="auto" w:fill="C6D9F1" w:themeFill="text2" w:themeFillTint="33"/>
            <w:vAlign w:val="center"/>
          </w:tcPr>
          <w:p w:rsidR="00BD36D2" w:rsidRPr="00BD36D2" w:rsidRDefault="00BD36D2" w:rsidP="00BD36D2">
            <w:pPr>
              <w:spacing w:after="0" w:line="240" w:lineRule="auto"/>
              <w:rPr>
                <w:rFonts w:ascii="Garamond" w:eastAsia="Times New Roman" w:hAnsi="Garamond" w:cs="Times New Roman"/>
                <w:bCs/>
                <w:color w:val="000000"/>
                <w:sz w:val="20"/>
                <w:lang w:eastAsia="it-IT"/>
              </w:rPr>
            </w:pPr>
            <w:r w:rsidRPr="00BD36D2">
              <w:rPr>
                <w:rFonts w:ascii="Garamond" w:eastAsia="Times New Roman" w:hAnsi="Garamond" w:cs="Times New Roman"/>
                <w:bCs/>
                <w:color w:val="000000"/>
                <w:sz w:val="20"/>
                <w:lang w:eastAsia="it-IT"/>
              </w:rPr>
              <w:t xml:space="preserve">Provvedimenti </w:t>
            </w:r>
            <w:proofErr w:type="spellStart"/>
            <w:r w:rsidRPr="00BD36D2">
              <w:rPr>
                <w:rFonts w:ascii="Garamond" w:eastAsia="Times New Roman" w:hAnsi="Garamond" w:cs="Times New Roman"/>
                <w:bCs/>
                <w:color w:val="000000"/>
                <w:sz w:val="20"/>
                <w:lang w:eastAsia="it-IT"/>
              </w:rPr>
              <w:t>interdittivi</w:t>
            </w:r>
            <w:proofErr w:type="spellEnd"/>
            <w:r w:rsidRPr="00BD36D2">
              <w:rPr>
                <w:rFonts w:ascii="Garamond" w:eastAsia="Times New Roman" w:hAnsi="Garamond" w:cs="Times New Roman"/>
                <w:bCs/>
                <w:color w:val="000000"/>
                <w:sz w:val="20"/>
                <w:lang w:eastAsia="it-IT"/>
              </w:rPr>
              <w:t xml:space="preserve"> ex d.gs. 81/2008</w:t>
            </w:r>
          </w:p>
        </w:tc>
        <w:tc>
          <w:tcPr>
            <w:tcW w:w="2324" w:type="pct"/>
            <w:tcBorders>
              <w:right w:val="single" w:sz="8" w:space="0" w:color="7BA0CD"/>
            </w:tcBorders>
            <w:shd w:val="clear" w:color="auto" w:fill="C6D9F1" w:themeFill="text2" w:themeFillTint="33"/>
            <w:vAlign w:val="center"/>
          </w:tcPr>
          <w:p w:rsidR="00BD36D2" w:rsidRPr="00BD36D2" w:rsidRDefault="00BD36D2" w:rsidP="00BD36D2">
            <w:pPr>
              <w:spacing w:after="0" w:line="240" w:lineRule="auto"/>
              <w:jc w:val="center"/>
              <w:rPr>
                <w:rFonts w:ascii="Garamond" w:eastAsia="Times New Roman" w:hAnsi="Garamond" w:cs="Times New Roman"/>
                <w:bCs/>
                <w:color w:val="000000"/>
                <w:sz w:val="20"/>
                <w:lang w:eastAsia="it-IT"/>
              </w:rPr>
            </w:pPr>
            <w:r w:rsidRPr="00BD36D2">
              <w:rPr>
                <w:rFonts w:ascii="Garamond" w:eastAsia="Times New Roman" w:hAnsi="Garamond" w:cs="Times New Roman"/>
                <w:bCs/>
                <w:color w:val="000000"/>
                <w:sz w:val="20"/>
                <w:lang w:eastAsia="it-IT"/>
              </w:rPr>
              <w:t>506</w:t>
            </w:r>
          </w:p>
        </w:tc>
      </w:tr>
      <w:tr w:rsidR="00BD36D2" w:rsidRPr="00BD36D2" w:rsidTr="00BD36D2">
        <w:trPr>
          <w:cantSplit/>
          <w:trHeight w:val="358"/>
          <w:jc w:val="center"/>
        </w:trPr>
        <w:tc>
          <w:tcPr>
            <w:tcW w:w="2676" w:type="pct"/>
            <w:shd w:val="clear" w:color="auto" w:fill="8DB3E2" w:themeFill="text2" w:themeFillTint="66"/>
            <w:vAlign w:val="center"/>
          </w:tcPr>
          <w:p w:rsidR="00BD36D2" w:rsidRPr="00BD36D2" w:rsidRDefault="00BD36D2" w:rsidP="00BD36D2">
            <w:pPr>
              <w:spacing w:after="0" w:line="240" w:lineRule="auto"/>
              <w:rPr>
                <w:rFonts w:ascii="Garamond" w:eastAsia="Times New Roman" w:hAnsi="Garamond" w:cs="Times New Roman"/>
                <w:b/>
                <w:bCs/>
                <w:color w:val="000000"/>
                <w:sz w:val="20"/>
                <w:lang w:eastAsia="it-IT"/>
              </w:rPr>
            </w:pPr>
            <w:r w:rsidRPr="00BD36D2">
              <w:rPr>
                <w:rFonts w:ascii="Garamond" w:eastAsia="Times New Roman" w:hAnsi="Garamond" w:cs="Times New Roman"/>
                <w:b/>
                <w:bCs/>
                <w:color w:val="000000"/>
                <w:sz w:val="20"/>
                <w:lang w:eastAsia="it-IT"/>
              </w:rPr>
              <w:t>Totale</w:t>
            </w:r>
          </w:p>
        </w:tc>
        <w:tc>
          <w:tcPr>
            <w:tcW w:w="2324" w:type="pct"/>
            <w:tcBorders>
              <w:right w:val="single" w:sz="8" w:space="0" w:color="7BA0CD"/>
            </w:tcBorders>
            <w:shd w:val="clear" w:color="auto" w:fill="8DB3E2" w:themeFill="text2" w:themeFillTint="66"/>
            <w:vAlign w:val="center"/>
          </w:tcPr>
          <w:p w:rsidR="00BD36D2" w:rsidRPr="00BD36D2" w:rsidRDefault="00BD36D2" w:rsidP="00BD36D2">
            <w:pPr>
              <w:spacing w:after="0" w:line="240" w:lineRule="auto"/>
              <w:jc w:val="center"/>
              <w:rPr>
                <w:rFonts w:ascii="Garamond" w:eastAsia="Times New Roman" w:hAnsi="Garamond" w:cs="Times New Roman"/>
                <w:b/>
                <w:sz w:val="20"/>
                <w:lang w:eastAsia="it-IT"/>
              </w:rPr>
            </w:pPr>
            <w:r w:rsidRPr="00BD36D2">
              <w:rPr>
                <w:rFonts w:ascii="Garamond" w:eastAsia="Times New Roman" w:hAnsi="Garamond" w:cs="Times New Roman"/>
                <w:b/>
                <w:sz w:val="20"/>
                <w:lang w:eastAsia="it-IT"/>
              </w:rPr>
              <w:t>1.765</w:t>
            </w:r>
          </w:p>
        </w:tc>
      </w:tr>
    </w:tbl>
    <w:p w:rsidR="00BD36D2" w:rsidRPr="00BD36D2" w:rsidRDefault="00BD36D2" w:rsidP="00BD36D2">
      <w:pPr>
        <w:spacing w:after="0"/>
        <w:rPr>
          <w:rFonts w:ascii="Garamond" w:eastAsia="Times New Roman" w:hAnsi="Garamond" w:cs="Calibri"/>
          <w:b/>
          <w:color w:val="000000"/>
          <w:lang w:eastAsia="it-IT"/>
        </w:rPr>
      </w:pPr>
    </w:p>
    <w:p w:rsidR="00BD36D2" w:rsidRPr="00EE4750" w:rsidRDefault="00BD36D2" w:rsidP="00BD36D2">
      <w:pPr>
        <w:spacing w:after="0" w:line="360" w:lineRule="auto"/>
        <w:jc w:val="both"/>
        <w:rPr>
          <w:rFonts w:ascii="Times New Roman" w:eastAsia="Times New Roman" w:hAnsi="Times New Roman" w:cs="Times New Roman"/>
          <w:sz w:val="24"/>
          <w:szCs w:val="24"/>
          <w:lang w:eastAsia="it-IT"/>
        </w:rPr>
      </w:pPr>
    </w:p>
    <w:p w:rsidR="00BD36D2" w:rsidRPr="00EE4750" w:rsidRDefault="00BD36D2" w:rsidP="00BD36D2">
      <w:pPr>
        <w:spacing w:after="0" w:line="360" w:lineRule="auto"/>
        <w:jc w:val="both"/>
        <w:rPr>
          <w:rFonts w:ascii="Times New Roman" w:eastAsia="Times New Roman" w:hAnsi="Times New Roman" w:cs="Times New Roman"/>
          <w:sz w:val="24"/>
          <w:szCs w:val="24"/>
          <w:lang w:eastAsia="it-IT"/>
        </w:rPr>
      </w:pPr>
      <w:r w:rsidRPr="00EE4750">
        <w:rPr>
          <w:rFonts w:ascii="Times New Roman" w:eastAsia="Times New Roman" w:hAnsi="Times New Roman" w:cs="Times New Roman"/>
          <w:sz w:val="24"/>
          <w:szCs w:val="24"/>
          <w:lang w:eastAsia="it-IT"/>
        </w:rPr>
        <w:t xml:space="preserve">Rispetto al 2016 precedente è più che raddoppiato il numero di segnalazioni concernenti le risoluzioni contrattuali e l’applicazione di penali nei confronti degli operatori economici inadempienti (560 nell’anno 2017 a fronte di 248 nel 2016). Degno di nota è il particolare impatto, in termini incrementali, che ha avuto tale fenomeno sul contenzioso innescato dagli operatori economici sia contro i provvedimenti adottati dalle stazioni appaltanti sia contro i conseguenti procedimenti di annotazione svolti dall’Autorità, in considerazione della rilevanza imposta dall’art. 80, co. 5, </w:t>
      </w:r>
      <w:proofErr w:type="spellStart"/>
      <w:r w:rsidRPr="00EE4750">
        <w:rPr>
          <w:rFonts w:ascii="Times New Roman" w:eastAsia="Times New Roman" w:hAnsi="Times New Roman" w:cs="Times New Roman"/>
          <w:sz w:val="24"/>
          <w:szCs w:val="24"/>
          <w:lang w:eastAsia="it-IT"/>
        </w:rPr>
        <w:t>lett</w:t>
      </w:r>
      <w:proofErr w:type="spellEnd"/>
      <w:r w:rsidRPr="00EE4750">
        <w:rPr>
          <w:rFonts w:ascii="Times New Roman" w:eastAsia="Times New Roman" w:hAnsi="Times New Roman" w:cs="Times New Roman"/>
          <w:sz w:val="24"/>
          <w:szCs w:val="24"/>
          <w:lang w:eastAsia="it-IT"/>
        </w:rPr>
        <w:t xml:space="preserve">. c), del Codice, quale motivo di esclusione, alle risoluzioni anticipate non contestate in giudizio. Si registra anche un significativo incremento del numero dei provvedimenti inerenti le misure </w:t>
      </w:r>
      <w:proofErr w:type="spellStart"/>
      <w:r w:rsidRPr="00EE4750">
        <w:rPr>
          <w:rFonts w:ascii="Times New Roman" w:eastAsia="Times New Roman" w:hAnsi="Times New Roman" w:cs="Times New Roman"/>
          <w:sz w:val="24"/>
          <w:szCs w:val="24"/>
          <w:lang w:eastAsia="it-IT"/>
        </w:rPr>
        <w:t>interdittive</w:t>
      </w:r>
      <w:proofErr w:type="spellEnd"/>
      <w:r w:rsidRPr="00EE4750">
        <w:rPr>
          <w:rFonts w:ascii="Times New Roman" w:eastAsia="Times New Roman" w:hAnsi="Times New Roman" w:cs="Times New Roman"/>
          <w:sz w:val="24"/>
          <w:szCs w:val="24"/>
          <w:lang w:eastAsia="it-IT"/>
        </w:rPr>
        <w:t xml:space="preserve"> adottate dalla Prefetture ai sensi del decreto legislativo 6 settembre 2011, n. 159 (Codice delle leggi antimafia). Per il 2017, infatti, tali provvedimenti hanno riguardato 699 operatori economici, a fronte dei 164 registrati nell’annualità precedente.</w:t>
      </w:r>
    </w:p>
    <w:p w:rsidR="00BD36D2" w:rsidRPr="00EE4750" w:rsidRDefault="00BD36D2" w:rsidP="00BD36D2">
      <w:pPr>
        <w:spacing w:after="0" w:line="360" w:lineRule="auto"/>
        <w:jc w:val="both"/>
        <w:rPr>
          <w:rFonts w:ascii="Times New Roman" w:eastAsia="Times New Roman" w:hAnsi="Times New Roman" w:cs="Times New Roman"/>
          <w:sz w:val="24"/>
          <w:szCs w:val="24"/>
          <w:lang w:eastAsia="it-IT"/>
        </w:rPr>
      </w:pPr>
      <w:r w:rsidRPr="00EE4750">
        <w:rPr>
          <w:rFonts w:ascii="Times New Roman" w:eastAsia="Times New Roman" w:hAnsi="Times New Roman" w:cs="Times New Roman"/>
          <w:sz w:val="24"/>
          <w:szCs w:val="24"/>
          <w:lang w:eastAsia="it-IT"/>
        </w:rPr>
        <w:t xml:space="preserve">Si segnala altresì il notevole numero di provvedimenti </w:t>
      </w:r>
      <w:proofErr w:type="spellStart"/>
      <w:r w:rsidRPr="00EE4750">
        <w:rPr>
          <w:rFonts w:ascii="Times New Roman" w:eastAsia="Times New Roman" w:hAnsi="Times New Roman" w:cs="Times New Roman"/>
          <w:sz w:val="24"/>
          <w:szCs w:val="24"/>
          <w:lang w:eastAsia="it-IT"/>
        </w:rPr>
        <w:t>interdittivi</w:t>
      </w:r>
      <w:proofErr w:type="spellEnd"/>
      <w:r w:rsidRPr="00EE4750">
        <w:rPr>
          <w:rFonts w:ascii="Times New Roman" w:eastAsia="Times New Roman" w:hAnsi="Times New Roman" w:cs="Times New Roman"/>
          <w:sz w:val="24"/>
          <w:szCs w:val="24"/>
          <w:lang w:eastAsia="it-IT"/>
        </w:rPr>
        <w:t xml:space="preserve"> alla contrattazione con le pubbliche amministrazioni e alla partecipazione alle gare pubbliche disposti dal Ministero delle </w:t>
      </w:r>
      <w:r w:rsidR="00EB5605">
        <w:rPr>
          <w:rFonts w:ascii="Times New Roman" w:eastAsia="Times New Roman" w:hAnsi="Times New Roman" w:cs="Times New Roman"/>
          <w:sz w:val="24"/>
          <w:szCs w:val="24"/>
          <w:lang w:eastAsia="it-IT"/>
        </w:rPr>
        <w:t>i</w:t>
      </w:r>
      <w:r w:rsidRPr="00EE4750">
        <w:rPr>
          <w:rFonts w:ascii="Times New Roman" w:eastAsia="Times New Roman" w:hAnsi="Times New Roman" w:cs="Times New Roman"/>
          <w:sz w:val="24"/>
          <w:szCs w:val="24"/>
          <w:lang w:eastAsia="it-IT"/>
        </w:rPr>
        <w:t>nfrastrutture</w:t>
      </w:r>
      <w:r w:rsidR="00EB5605">
        <w:rPr>
          <w:rFonts w:ascii="Times New Roman" w:eastAsia="Times New Roman" w:hAnsi="Times New Roman" w:cs="Times New Roman"/>
          <w:sz w:val="24"/>
          <w:szCs w:val="24"/>
          <w:lang w:eastAsia="it-IT"/>
        </w:rPr>
        <w:t xml:space="preserve"> e dei trasporti</w:t>
      </w:r>
      <w:r w:rsidRPr="00EE4750">
        <w:rPr>
          <w:rFonts w:ascii="Times New Roman" w:eastAsia="Times New Roman" w:hAnsi="Times New Roman" w:cs="Times New Roman"/>
          <w:sz w:val="24"/>
          <w:szCs w:val="24"/>
          <w:lang w:eastAsia="it-IT"/>
        </w:rPr>
        <w:t xml:space="preserve">, ai sensi dell’art. 14 del decreto legislativo 9 aprile 2008, n. 81, per violazioni in materia di tutela della salute e della sicurezza nei luoghi di lavoro, di cui si è data evidenza nel Casellario Informatico nell’annualità in esame. Nella tabella 17 sono invece riepilogate le fattispecie di segnalazione per falsa dichiarazione sui requisiti d’ordine generale, </w:t>
      </w:r>
      <w:r w:rsidRPr="00EE4750">
        <w:rPr>
          <w:rFonts w:ascii="Times New Roman" w:eastAsia="Times New Roman" w:hAnsi="Times New Roman" w:cs="Times New Roman"/>
          <w:sz w:val="24"/>
          <w:szCs w:val="24"/>
          <w:lang w:eastAsia="it-IT"/>
        </w:rPr>
        <w:lastRenderedPageBreak/>
        <w:t>pervenute dalle SA nel corso dell’annualità di riferimento, che hanno dato luogo a provvedimenti di esclusione dalle gare di altrettanti operatori economici.</w:t>
      </w:r>
    </w:p>
    <w:p w:rsidR="00BD36D2" w:rsidRPr="00EE4750" w:rsidRDefault="00BD36D2" w:rsidP="00BD36D2">
      <w:pPr>
        <w:spacing w:after="0" w:line="360" w:lineRule="auto"/>
        <w:jc w:val="both"/>
        <w:rPr>
          <w:rFonts w:ascii="Times New Roman" w:eastAsia="Times New Roman" w:hAnsi="Times New Roman" w:cs="Times New Roman"/>
          <w:sz w:val="24"/>
          <w:szCs w:val="24"/>
          <w:lang w:eastAsia="it-IT"/>
        </w:rPr>
      </w:pPr>
      <w:r w:rsidRPr="00EE4750">
        <w:rPr>
          <w:rFonts w:ascii="Times New Roman" w:eastAsia="Times New Roman" w:hAnsi="Times New Roman" w:cs="Times New Roman"/>
          <w:sz w:val="24"/>
          <w:szCs w:val="24"/>
          <w:lang w:eastAsia="it-IT"/>
        </w:rPr>
        <w:t xml:space="preserve">Le segnalazioni a rilevanza sanzionatoria inerenti </w:t>
      </w:r>
      <w:r w:rsidRPr="00EE4750">
        <w:rPr>
          <w:rFonts w:ascii="Times New Roman" w:hAnsi="Times New Roman" w:cs="Times New Roman"/>
          <w:color w:val="000000"/>
          <w:sz w:val="24"/>
          <w:szCs w:val="24"/>
        </w:rPr>
        <w:t>la mancata comprova del possesso dei requisiti di ordine speciale, nel 2017 sono pervenute nel numero di 315.</w:t>
      </w:r>
    </w:p>
    <w:p w:rsidR="00BD36D2" w:rsidRPr="00BD36D2" w:rsidRDefault="00BD36D2" w:rsidP="00BD36D2">
      <w:pPr>
        <w:spacing w:after="0"/>
        <w:rPr>
          <w:rFonts w:ascii="Garamond" w:eastAsia="Times New Roman" w:hAnsi="Garamond" w:cs="Calibri"/>
          <w:color w:val="000000"/>
          <w:lang w:eastAsia="it-IT"/>
        </w:rPr>
      </w:pPr>
    </w:p>
    <w:p w:rsidR="00BD36D2" w:rsidRPr="00BD36D2" w:rsidRDefault="00BD36D2" w:rsidP="00BD36D2">
      <w:pPr>
        <w:spacing w:after="0"/>
        <w:rPr>
          <w:rFonts w:ascii="Garamond" w:eastAsia="Times New Roman" w:hAnsi="Garamond" w:cs="Calibri"/>
          <w:color w:val="000000"/>
          <w:lang w:eastAsia="it-IT"/>
        </w:rPr>
      </w:pPr>
    </w:p>
    <w:p w:rsidR="00CE5D1F" w:rsidRDefault="00BD36D2" w:rsidP="00BD36D2">
      <w:pPr>
        <w:spacing w:after="0" w:line="240" w:lineRule="auto"/>
        <w:jc w:val="center"/>
        <w:rPr>
          <w:rFonts w:ascii="Garamond" w:eastAsia="Times New Roman" w:hAnsi="Garamond" w:cs="Calibri"/>
          <w:b/>
          <w:color w:val="000000"/>
          <w:lang w:eastAsia="it-IT"/>
        </w:rPr>
      </w:pPr>
      <w:r w:rsidRPr="00BD36D2">
        <w:rPr>
          <w:rFonts w:ascii="Garamond" w:eastAsia="Times New Roman" w:hAnsi="Garamond" w:cs="Calibri"/>
          <w:b/>
          <w:color w:val="000000"/>
          <w:lang w:eastAsia="it-IT"/>
        </w:rPr>
        <w:t>Tabella 17 Segnalazioni nel 2017 per falsa dichiarazione</w:t>
      </w:r>
    </w:p>
    <w:p w:rsidR="00BD36D2" w:rsidRPr="00BD36D2" w:rsidRDefault="00BD36D2" w:rsidP="00BD36D2">
      <w:pPr>
        <w:spacing w:after="0" w:line="240" w:lineRule="auto"/>
        <w:jc w:val="center"/>
        <w:rPr>
          <w:rFonts w:ascii="Garamond" w:eastAsia="Times New Roman" w:hAnsi="Garamond" w:cs="Calibri"/>
          <w:b/>
          <w:color w:val="000000"/>
          <w:lang w:eastAsia="it-IT"/>
        </w:rPr>
      </w:pPr>
      <w:r w:rsidRPr="00BD36D2">
        <w:rPr>
          <w:rFonts w:ascii="Garamond" w:eastAsia="Times New Roman" w:hAnsi="Garamond" w:cs="Calibri"/>
          <w:b/>
          <w:color w:val="000000"/>
          <w:lang w:eastAsia="it-IT"/>
        </w:rPr>
        <w:t>sul possesso requisiti previsti dall’art.80 del Codice</w:t>
      </w:r>
    </w:p>
    <w:tbl>
      <w:tblPr>
        <w:tblStyle w:val="Grigliamedia1-Colore11"/>
        <w:tblW w:w="0" w:type="auto"/>
        <w:tblInd w:w="108" w:type="dxa"/>
        <w:tblLook w:val="04A0" w:firstRow="1" w:lastRow="0" w:firstColumn="1" w:lastColumn="0" w:noHBand="0" w:noVBand="1"/>
      </w:tblPr>
      <w:tblGrid>
        <w:gridCol w:w="7031"/>
        <w:gridCol w:w="1983"/>
      </w:tblGrid>
      <w:tr w:rsidR="00BD36D2" w:rsidRPr="00BD36D2" w:rsidTr="00BD36D2">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0" w:type="auto"/>
            <w:shd w:val="clear" w:color="auto" w:fill="1F497D" w:themeFill="text2"/>
            <w:vAlign w:val="center"/>
          </w:tcPr>
          <w:p w:rsidR="00BD36D2" w:rsidRPr="00BD36D2" w:rsidRDefault="00BD36D2" w:rsidP="00BD36D2">
            <w:pPr>
              <w:jc w:val="center"/>
              <w:rPr>
                <w:rFonts w:ascii="Garamond" w:eastAsia="Times New Roman" w:hAnsi="Garamond"/>
                <w:color w:val="000000"/>
              </w:rPr>
            </w:pPr>
            <w:r w:rsidRPr="00BD36D2">
              <w:rPr>
                <w:rFonts w:ascii="Garamond" w:eastAsia="Times New Roman" w:hAnsi="Garamond"/>
                <w:color w:val="FFFFFF" w:themeColor="background1"/>
              </w:rPr>
              <w:t>fattispecie segnalata</w:t>
            </w:r>
          </w:p>
        </w:tc>
        <w:tc>
          <w:tcPr>
            <w:tcW w:w="0" w:type="auto"/>
            <w:shd w:val="clear" w:color="auto" w:fill="1F497D" w:themeFill="text2"/>
            <w:vAlign w:val="center"/>
          </w:tcPr>
          <w:p w:rsidR="00BD36D2" w:rsidRPr="00BD36D2" w:rsidRDefault="00BD36D2" w:rsidP="00BD36D2">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rPr>
            </w:pPr>
            <w:r w:rsidRPr="00BD36D2">
              <w:rPr>
                <w:rFonts w:ascii="Garamond" w:eastAsia="Times New Roman" w:hAnsi="Garamond"/>
                <w:color w:val="FFFFFF"/>
              </w:rPr>
              <w:t>numero segnalazioni</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0" w:type="auto"/>
          </w:tcPr>
          <w:p w:rsidR="00BD36D2" w:rsidRPr="00BD36D2" w:rsidRDefault="00BD36D2" w:rsidP="00BD36D2">
            <w:pPr>
              <w:rPr>
                <w:rFonts w:ascii="Garamond" w:eastAsia="Times New Roman" w:hAnsi="Garamond"/>
                <w:color w:val="000000"/>
              </w:rPr>
            </w:pPr>
            <w:r w:rsidRPr="00BD36D2">
              <w:rPr>
                <w:rFonts w:ascii="Garamond" w:eastAsia="Times New Roman" w:hAnsi="Garamond"/>
                <w:color w:val="000000"/>
              </w:rPr>
              <w:t>falsa dichiarazione su violazioni norme sulla sicurezza del lavoro</w:t>
            </w:r>
          </w:p>
        </w:tc>
        <w:tc>
          <w:tcPr>
            <w:tcW w:w="0" w:type="auto"/>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rPr>
            </w:pPr>
            <w:r w:rsidRPr="00BD36D2">
              <w:rPr>
                <w:rFonts w:ascii="Garamond" w:eastAsia="Times New Roman" w:hAnsi="Garamond"/>
              </w:rPr>
              <w:t>2</w:t>
            </w:r>
          </w:p>
        </w:tc>
      </w:tr>
      <w:tr w:rsidR="00BD36D2" w:rsidRPr="00BD36D2" w:rsidTr="00BD36D2">
        <w:trPr>
          <w:trHeight w:val="358"/>
        </w:trPr>
        <w:tc>
          <w:tcPr>
            <w:cnfStyle w:val="001000000000" w:firstRow="0" w:lastRow="0" w:firstColumn="1" w:lastColumn="0" w:oddVBand="0" w:evenVBand="0" w:oddHBand="0" w:evenHBand="0" w:firstRowFirstColumn="0" w:firstRowLastColumn="0" w:lastRowFirstColumn="0" w:lastRowLastColumn="0"/>
            <w:tcW w:w="0" w:type="auto"/>
          </w:tcPr>
          <w:p w:rsidR="00BD36D2" w:rsidRPr="00BD36D2" w:rsidRDefault="00BD36D2" w:rsidP="00BD36D2">
            <w:pPr>
              <w:rPr>
                <w:rFonts w:ascii="Garamond" w:eastAsia="Times New Roman" w:hAnsi="Garamond"/>
                <w:color w:val="000000"/>
              </w:rPr>
            </w:pPr>
            <w:r w:rsidRPr="00BD36D2">
              <w:rPr>
                <w:rFonts w:ascii="Garamond" w:eastAsia="Times New Roman" w:hAnsi="Garamond"/>
                <w:color w:val="000000"/>
              </w:rPr>
              <w:t>dichiarazione omissiva circa la presenza di condanne penali</w:t>
            </w:r>
          </w:p>
        </w:tc>
        <w:tc>
          <w:tcPr>
            <w:tcW w:w="0" w:type="auto"/>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rPr>
            </w:pPr>
            <w:r w:rsidRPr="00BD36D2">
              <w:rPr>
                <w:rFonts w:ascii="Garamond" w:eastAsia="Times New Roman" w:hAnsi="Garamond"/>
              </w:rPr>
              <w:t>78</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0" w:type="auto"/>
          </w:tcPr>
          <w:p w:rsidR="00BD36D2" w:rsidRPr="00BD36D2" w:rsidRDefault="00BD36D2" w:rsidP="00BD36D2">
            <w:pPr>
              <w:rPr>
                <w:rFonts w:ascii="Garamond" w:eastAsia="Times New Roman" w:hAnsi="Garamond"/>
                <w:color w:val="000000"/>
              </w:rPr>
            </w:pPr>
            <w:r w:rsidRPr="00BD36D2">
              <w:rPr>
                <w:rFonts w:ascii="Garamond" w:eastAsia="Times New Roman" w:hAnsi="Garamond"/>
                <w:color w:val="000000"/>
              </w:rPr>
              <w:t>falsa dichiarazione su assenza di errori professionali</w:t>
            </w:r>
          </w:p>
        </w:tc>
        <w:tc>
          <w:tcPr>
            <w:tcW w:w="0" w:type="auto"/>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rPr>
            </w:pPr>
            <w:r w:rsidRPr="00BD36D2">
              <w:rPr>
                <w:rFonts w:ascii="Garamond" w:eastAsia="Times New Roman" w:hAnsi="Garamond"/>
              </w:rPr>
              <w:t>19</w:t>
            </w:r>
          </w:p>
        </w:tc>
      </w:tr>
      <w:tr w:rsidR="00BD36D2" w:rsidRPr="00BD36D2" w:rsidTr="00BD36D2">
        <w:trPr>
          <w:trHeight w:val="358"/>
        </w:trPr>
        <w:tc>
          <w:tcPr>
            <w:cnfStyle w:val="001000000000" w:firstRow="0" w:lastRow="0" w:firstColumn="1" w:lastColumn="0" w:oddVBand="0" w:evenVBand="0" w:oddHBand="0" w:evenHBand="0" w:firstRowFirstColumn="0" w:firstRowLastColumn="0" w:lastRowFirstColumn="0" w:lastRowLastColumn="0"/>
            <w:tcW w:w="0" w:type="auto"/>
          </w:tcPr>
          <w:p w:rsidR="00BD36D2" w:rsidRPr="00BD36D2" w:rsidRDefault="00BD36D2" w:rsidP="00BD36D2">
            <w:pPr>
              <w:rPr>
                <w:rFonts w:ascii="Garamond" w:eastAsia="Times New Roman" w:hAnsi="Garamond"/>
                <w:color w:val="000000"/>
              </w:rPr>
            </w:pPr>
            <w:r w:rsidRPr="00BD36D2">
              <w:rPr>
                <w:rFonts w:ascii="Garamond" w:eastAsia="Times New Roman" w:hAnsi="Garamond"/>
                <w:color w:val="000000"/>
              </w:rPr>
              <w:t>dichiarazione omissiva circa  violazione agli obblighi pagamento imposte e tasse</w:t>
            </w:r>
          </w:p>
        </w:tc>
        <w:tc>
          <w:tcPr>
            <w:tcW w:w="0" w:type="auto"/>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rPr>
            </w:pPr>
            <w:r w:rsidRPr="00BD36D2">
              <w:rPr>
                <w:rFonts w:ascii="Garamond" w:eastAsia="Times New Roman" w:hAnsi="Garamond"/>
              </w:rPr>
              <w:t>150</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0" w:type="auto"/>
          </w:tcPr>
          <w:p w:rsidR="00BD36D2" w:rsidRPr="00BD36D2" w:rsidRDefault="00BD36D2" w:rsidP="00BD36D2">
            <w:pPr>
              <w:rPr>
                <w:rFonts w:ascii="Garamond" w:eastAsia="Times New Roman" w:hAnsi="Garamond"/>
                <w:color w:val="000000"/>
              </w:rPr>
            </w:pPr>
            <w:r w:rsidRPr="00BD36D2">
              <w:rPr>
                <w:rFonts w:ascii="Garamond" w:eastAsia="Times New Roman" w:hAnsi="Garamond"/>
                <w:color w:val="000000"/>
              </w:rPr>
              <w:t>dichiarazione omissiva circa irregolarità contributive</w:t>
            </w:r>
          </w:p>
        </w:tc>
        <w:tc>
          <w:tcPr>
            <w:tcW w:w="0" w:type="auto"/>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Cs/>
                <w:color w:val="000000"/>
              </w:rPr>
            </w:pPr>
            <w:r w:rsidRPr="00BD36D2">
              <w:rPr>
                <w:rFonts w:ascii="Garamond" w:eastAsia="Times New Roman" w:hAnsi="Garamond"/>
                <w:bCs/>
                <w:color w:val="000000"/>
              </w:rPr>
              <w:t>69</w:t>
            </w:r>
          </w:p>
        </w:tc>
      </w:tr>
      <w:tr w:rsidR="00BD36D2" w:rsidRPr="00BD36D2" w:rsidTr="00BD36D2">
        <w:trPr>
          <w:trHeight w:val="358"/>
        </w:trPr>
        <w:tc>
          <w:tcPr>
            <w:cnfStyle w:val="001000000000" w:firstRow="0" w:lastRow="0" w:firstColumn="1" w:lastColumn="0" w:oddVBand="0" w:evenVBand="0" w:oddHBand="0" w:evenHBand="0" w:firstRowFirstColumn="0" w:firstRowLastColumn="0" w:lastRowFirstColumn="0" w:lastRowLastColumn="0"/>
            <w:tcW w:w="0" w:type="auto"/>
          </w:tcPr>
          <w:p w:rsidR="00BD36D2" w:rsidRPr="00BD36D2" w:rsidRDefault="00BD36D2" w:rsidP="00BD36D2">
            <w:pPr>
              <w:rPr>
                <w:rFonts w:ascii="Garamond" w:eastAsia="Times New Roman" w:hAnsi="Garamond"/>
                <w:color w:val="000000"/>
              </w:rPr>
            </w:pPr>
            <w:r w:rsidRPr="00BD36D2">
              <w:rPr>
                <w:rFonts w:ascii="Garamond" w:eastAsia="Times New Roman" w:hAnsi="Garamond"/>
                <w:color w:val="000000"/>
              </w:rPr>
              <w:t>dichiarazione omissiva circa collegamento sostanziale</w:t>
            </w:r>
          </w:p>
        </w:tc>
        <w:tc>
          <w:tcPr>
            <w:tcW w:w="0" w:type="auto"/>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rPr>
            </w:pPr>
            <w:r w:rsidRPr="00BD36D2">
              <w:rPr>
                <w:rFonts w:ascii="Garamond" w:eastAsia="Times New Roman" w:hAnsi="Garamond"/>
                <w:bCs/>
                <w:color w:val="000000"/>
              </w:rPr>
              <w:t>30</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0" w:type="auto"/>
          </w:tcPr>
          <w:p w:rsidR="00BD36D2" w:rsidRPr="00BD36D2" w:rsidRDefault="00BD36D2" w:rsidP="00BD36D2">
            <w:pPr>
              <w:rPr>
                <w:rFonts w:ascii="Garamond" w:eastAsia="Times New Roman" w:hAnsi="Garamond"/>
                <w:color w:val="000000"/>
              </w:rPr>
            </w:pPr>
            <w:r w:rsidRPr="00BD36D2">
              <w:rPr>
                <w:rFonts w:ascii="Garamond" w:eastAsia="Times New Roman" w:hAnsi="Garamond"/>
                <w:color w:val="000000"/>
              </w:rPr>
              <w:t>falsa dichiarazione circa multipla partecipazione alla gara</w:t>
            </w:r>
          </w:p>
        </w:tc>
        <w:tc>
          <w:tcPr>
            <w:tcW w:w="0" w:type="auto"/>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Cs/>
                <w:color w:val="000000"/>
              </w:rPr>
            </w:pPr>
            <w:r w:rsidRPr="00BD36D2">
              <w:rPr>
                <w:rFonts w:ascii="Garamond" w:eastAsia="Times New Roman" w:hAnsi="Garamond"/>
                <w:bCs/>
                <w:color w:val="000000"/>
              </w:rPr>
              <w:t>2</w:t>
            </w:r>
          </w:p>
        </w:tc>
      </w:tr>
      <w:tr w:rsidR="00BD36D2" w:rsidRPr="00BD36D2" w:rsidTr="00BD36D2">
        <w:trPr>
          <w:trHeight w:val="358"/>
        </w:trPr>
        <w:tc>
          <w:tcPr>
            <w:cnfStyle w:val="001000000000" w:firstRow="0" w:lastRow="0" w:firstColumn="1" w:lastColumn="0" w:oddVBand="0" w:evenVBand="0" w:oddHBand="0" w:evenHBand="0" w:firstRowFirstColumn="0" w:firstRowLastColumn="0" w:lastRowFirstColumn="0" w:lastRowLastColumn="0"/>
            <w:tcW w:w="0" w:type="auto"/>
          </w:tcPr>
          <w:p w:rsidR="00BD36D2" w:rsidRPr="00BD36D2" w:rsidRDefault="00BD36D2" w:rsidP="00BD36D2">
            <w:pPr>
              <w:rPr>
                <w:rFonts w:ascii="Garamond" w:eastAsia="Times New Roman" w:hAnsi="Garamond"/>
                <w:color w:val="000000"/>
              </w:rPr>
            </w:pPr>
            <w:r w:rsidRPr="00BD36D2">
              <w:rPr>
                <w:rFonts w:ascii="Garamond" w:eastAsia="Times New Roman" w:hAnsi="Garamond"/>
                <w:color w:val="000000"/>
              </w:rPr>
              <w:t>falsa dichiarazione o contraffazione documenti</w:t>
            </w:r>
          </w:p>
        </w:tc>
        <w:tc>
          <w:tcPr>
            <w:tcW w:w="0" w:type="auto"/>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rPr>
            </w:pPr>
            <w:r w:rsidRPr="00BD36D2">
              <w:rPr>
                <w:rFonts w:ascii="Garamond" w:eastAsia="Times New Roman" w:hAnsi="Garamond"/>
                <w:bCs/>
                <w:color w:val="000000"/>
              </w:rPr>
              <w:t>74</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0" w:type="auto"/>
          </w:tcPr>
          <w:p w:rsidR="00BD36D2" w:rsidRPr="00BD36D2" w:rsidRDefault="00BD36D2" w:rsidP="00BD36D2">
            <w:pPr>
              <w:rPr>
                <w:rFonts w:ascii="Garamond" w:eastAsia="Times New Roman" w:hAnsi="Garamond"/>
                <w:color w:val="000000"/>
              </w:rPr>
            </w:pPr>
            <w:r w:rsidRPr="00BD36D2">
              <w:rPr>
                <w:rFonts w:ascii="Garamond" w:eastAsia="Times New Roman" w:hAnsi="Garamond"/>
                <w:color w:val="000000"/>
              </w:rPr>
              <w:t>falsa dichiarazione per mancato rispetto norme lavoro dei disabili</w:t>
            </w:r>
          </w:p>
        </w:tc>
        <w:tc>
          <w:tcPr>
            <w:tcW w:w="0" w:type="auto"/>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Cs/>
                <w:color w:val="000000"/>
              </w:rPr>
            </w:pPr>
            <w:r w:rsidRPr="00BD36D2">
              <w:rPr>
                <w:rFonts w:ascii="Garamond" w:eastAsia="Times New Roman" w:hAnsi="Garamond"/>
                <w:bCs/>
                <w:color w:val="000000"/>
              </w:rPr>
              <w:t>4</w:t>
            </w:r>
          </w:p>
        </w:tc>
      </w:tr>
      <w:tr w:rsidR="00BD36D2" w:rsidRPr="00BD36D2" w:rsidTr="00BD36D2">
        <w:trPr>
          <w:trHeight w:val="349"/>
        </w:trPr>
        <w:tc>
          <w:tcPr>
            <w:cnfStyle w:val="001000000000" w:firstRow="0" w:lastRow="0" w:firstColumn="1" w:lastColumn="0" w:oddVBand="0" w:evenVBand="0" w:oddHBand="0" w:evenHBand="0" w:firstRowFirstColumn="0" w:firstRowLastColumn="0" w:lastRowFirstColumn="0" w:lastRowLastColumn="0"/>
            <w:tcW w:w="0" w:type="auto"/>
          </w:tcPr>
          <w:p w:rsidR="00BD36D2" w:rsidRPr="00BD36D2" w:rsidRDefault="00BD36D2" w:rsidP="00BD36D2">
            <w:pPr>
              <w:rPr>
                <w:rFonts w:ascii="Garamond" w:eastAsia="Times New Roman" w:hAnsi="Garamond"/>
                <w:color w:val="000000"/>
              </w:rPr>
            </w:pPr>
            <w:r w:rsidRPr="00BD36D2">
              <w:rPr>
                <w:rFonts w:ascii="Garamond" w:eastAsia="Times New Roman" w:hAnsi="Garamond"/>
                <w:color w:val="000000"/>
              </w:rPr>
              <w:t>false dichiarazioni per carenza di più di un requisito</w:t>
            </w:r>
          </w:p>
        </w:tc>
        <w:tc>
          <w:tcPr>
            <w:tcW w:w="0" w:type="auto"/>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rPr>
            </w:pPr>
            <w:r w:rsidRPr="00BD36D2">
              <w:rPr>
                <w:rFonts w:ascii="Garamond" w:eastAsia="Times New Roman" w:hAnsi="Garamond"/>
                <w:bCs/>
                <w:color w:val="000000"/>
              </w:rPr>
              <w:t>86</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tcPr>
          <w:p w:rsidR="00BD36D2" w:rsidRPr="00BD36D2" w:rsidRDefault="00BD36D2" w:rsidP="00BD36D2">
            <w:pPr>
              <w:rPr>
                <w:rFonts w:ascii="Garamond" w:eastAsia="Times New Roman" w:hAnsi="Garamond"/>
                <w:color w:val="000000"/>
              </w:rPr>
            </w:pPr>
            <w:r w:rsidRPr="00BD36D2">
              <w:rPr>
                <w:rFonts w:ascii="Garamond" w:eastAsia="Times New Roman" w:hAnsi="Garamond"/>
                <w:color w:val="000000"/>
              </w:rPr>
              <w:t>TOTALE</w:t>
            </w:r>
          </w:p>
        </w:tc>
        <w:tc>
          <w:tcPr>
            <w:tcW w:w="0" w:type="auto"/>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Cs/>
                <w:color w:val="000000"/>
              </w:rPr>
            </w:pPr>
            <w:r w:rsidRPr="00BD36D2">
              <w:rPr>
                <w:rFonts w:ascii="Garamond" w:eastAsia="Times New Roman" w:hAnsi="Garamond"/>
                <w:bCs/>
                <w:color w:val="000000"/>
              </w:rPr>
              <w:t>514</w:t>
            </w:r>
          </w:p>
        </w:tc>
      </w:tr>
    </w:tbl>
    <w:p w:rsidR="00BD36D2" w:rsidRPr="00BD36D2" w:rsidRDefault="00BD36D2" w:rsidP="00BD36D2">
      <w:pPr>
        <w:spacing w:after="0" w:line="360" w:lineRule="auto"/>
        <w:rPr>
          <w:rFonts w:ascii="Garamond" w:eastAsia="Times New Roman" w:hAnsi="Garamond" w:cs="Times New Roman"/>
          <w:sz w:val="24"/>
          <w:szCs w:val="24"/>
          <w:lang w:eastAsia="it-IT"/>
        </w:rPr>
      </w:pPr>
    </w:p>
    <w:p w:rsidR="00BD36D2" w:rsidRPr="00BD36D2" w:rsidRDefault="00BD36D2" w:rsidP="00BD36D2">
      <w:pPr>
        <w:spacing w:after="0" w:line="360" w:lineRule="auto"/>
        <w:rPr>
          <w:rFonts w:ascii="Garamond" w:eastAsia="Times New Roman" w:hAnsi="Garamond" w:cs="Times New Roman"/>
          <w:sz w:val="24"/>
          <w:szCs w:val="24"/>
          <w:lang w:eastAsia="it-IT"/>
        </w:rPr>
      </w:pPr>
    </w:p>
    <w:p w:rsidR="00BD36D2" w:rsidRPr="00EB5605" w:rsidRDefault="00BD36D2" w:rsidP="00EB5605">
      <w:pPr>
        <w:keepNext/>
        <w:keepLines/>
        <w:numPr>
          <w:ilvl w:val="1"/>
          <w:numId w:val="27"/>
        </w:numPr>
        <w:tabs>
          <w:tab w:val="left" w:pos="426"/>
        </w:tabs>
        <w:spacing w:before="200" w:after="0" w:line="240" w:lineRule="auto"/>
        <w:ind w:left="426" w:hanging="426"/>
        <w:contextualSpacing/>
        <w:outlineLvl w:val="2"/>
        <w:rPr>
          <w:rFonts w:ascii="Times New Roman" w:eastAsiaTheme="majorEastAsia" w:hAnsi="Times New Roman" w:cs="Times New Roman"/>
          <w:b/>
          <w:bCs/>
          <w:sz w:val="24"/>
          <w:szCs w:val="24"/>
          <w:lang w:eastAsia="it-IT"/>
        </w:rPr>
      </w:pPr>
      <w:bookmarkStart w:id="19" w:name="_Toc513486464"/>
      <w:bookmarkStart w:id="20" w:name="_Toc515035722"/>
      <w:r w:rsidRPr="00EB5605">
        <w:rPr>
          <w:rFonts w:ascii="Times New Roman" w:eastAsiaTheme="majorEastAsia" w:hAnsi="Times New Roman" w:cs="Times New Roman"/>
          <w:b/>
          <w:bCs/>
          <w:sz w:val="24"/>
          <w:szCs w:val="24"/>
          <w:lang w:eastAsia="it-IT"/>
        </w:rPr>
        <w:t>L’attività di tenuta del Casellario informatico</w:t>
      </w:r>
      <w:bookmarkEnd w:id="19"/>
      <w:bookmarkEnd w:id="20"/>
      <w:r w:rsidR="008F0BDF" w:rsidRPr="00EB5605">
        <w:rPr>
          <w:rFonts w:ascii="Times New Roman" w:eastAsiaTheme="majorEastAsia" w:hAnsi="Times New Roman" w:cs="Times New Roman"/>
          <w:b/>
          <w:bCs/>
          <w:sz w:val="24"/>
          <w:szCs w:val="24"/>
          <w:lang w:eastAsia="it-IT"/>
        </w:rPr>
        <w:t xml:space="preserve"> (dati ANAC)</w:t>
      </w:r>
    </w:p>
    <w:p w:rsidR="00BD36D2" w:rsidRPr="00EE4750" w:rsidRDefault="00BD36D2" w:rsidP="00BD36D2">
      <w:pPr>
        <w:spacing w:after="0" w:line="360" w:lineRule="auto"/>
        <w:jc w:val="both"/>
        <w:rPr>
          <w:rFonts w:ascii="Times New Roman" w:eastAsia="Times New Roman" w:hAnsi="Times New Roman" w:cs="Times New Roman"/>
          <w:sz w:val="24"/>
          <w:szCs w:val="24"/>
          <w:lang w:eastAsia="it-IT"/>
        </w:rPr>
      </w:pPr>
    </w:p>
    <w:p w:rsidR="00BD36D2" w:rsidRPr="00EE4750" w:rsidRDefault="00BD36D2" w:rsidP="00BD36D2">
      <w:pPr>
        <w:spacing w:after="0" w:line="360" w:lineRule="auto"/>
        <w:jc w:val="both"/>
        <w:rPr>
          <w:rFonts w:ascii="Times New Roman" w:eastAsia="Times New Roman" w:hAnsi="Times New Roman" w:cs="Times New Roman"/>
          <w:sz w:val="24"/>
          <w:szCs w:val="24"/>
          <w:lang w:eastAsia="it-IT"/>
        </w:rPr>
      </w:pPr>
      <w:r w:rsidRPr="00EE4750">
        <w:rPr>
          <w:rFonts w:ascii="Times New Roman" w:eastAsia="Times New Roman" w:hAnsi="Times New Roman" w:cs="Times New Roman"/>
          <w:sz w:val="24"/>
          <w:szCs w:val="24"/>
          <w:lang w:eastAsia="it-IT"/>
        </w:rPr>
        <w:t xml:space="preserve">Il Casellario informatico dei contratti pubblici di lavori, servizi e forniture, istituito dall’art. 7, comma 10, del d.lgs. 163/2006, trasfuso nell’art. 213, co. 10 del Codice del 2016, riporta due tipologie di annotazioni: </w:t>
      </w:r>
    </w:p>
    <w:p w:rsidR="00BD36D2" w:rsidRPr="00EE4750" w:rsidRDefault="00BD36D2" w:rsidP="00AA1A94">
      <w:pPr>
        <w:numPr>
          <w:ilvl w:val="0"/>
          <w:numId w:val="14"/>
        </w:numPr>
        <w:spacing w:after="0" w:line="360" w:lineRule="auto"/>
        <w:contextualSpacing/>
        <w:jc w:val="both"/>
        <w:rPr>
          <w:rFonts w:ascii="Times New Roman" w:eastAsia="Times New Roman" w:hAnsi="Times New Roman" w:cs="Times New Roman"/>
          <w:sz w:val="24"/>
          <w:szCs w:val="24"/>
          <w:lang w:eastAsia="it-IT"/>
        </w:rPr>
      </w:pPr>
      <w:r w:rsidRPr="00EE4750">
        <w:rPr>
          <w:rFonts w:ascii="Times New Roman" w:eastAsia="Times New Roman" w:hAnsi="Times New Roman" w:cs="Times New Roman"/>
          <w:sz w:val="24"/>
          <w:szCs w:val="24"/>
          <w:lang w:eastAsia="it-IT"/>
        </w:rPr>
        <w:t>quelle trattate al precedente paragrafo 1.4, che derivano da un procedimento sanzionatorio avviato dall’Autorità (ex art. 80, co. 12, del Codice, già artt. 38, co. 1-</w:t>
      </w:r>
      <w:r w:rsidRPr="00EE4750">
        <w:rPr>
          <w:rFonts w:ascii="Times New Roman" w:eastAsia="Times New Roman" w:hAnsi="Times New Roman" w:cs="Times New Roman"/>
          <w:i/>
          <w:sz w:val="24"/>
          <w:szCs w:val="24"/>
          <w:lang w:eastAsia="it-IT"/>
        </w:rPr>
        <w:t>ter</w:t>
      </w:r>
      <w:r w:rsidRPr="00EE4750">
        <w:rPr>
          <w:rFonts w:ascii="Times New Roman" w:eastAsia="Times New Roman" w:hAnsi="Times New Roman" w:cs="Times New Roman"/>
          <w:sz w:val="24"/>
          <w:szCs w:val="24"/>
          <w:lang w:eastAsia="it-IT"/>
        </w:rPr>
        <w:t xml:space="preserve">, e 48 del d.l.gs. 163/2006) su segnalazione delle stazioni appaltanti, che si conclude con l’irrogazione di una sanzione </w:t>
      </w:r>
      <w:proofErr w:type="spellStart"/>
      <w:r w:rsidRPr="00EE4750">
        <w:rPr>
          <w:rFonts w:ascii="Times New Roman" w:eastAsia="Times New Roman" w:hAnsi="Times New Roman" w:cs="Times New Roman"/>
          <w:sz w:val="24"/>
          <w:szCs w:val="24"/>
          <w:lang w:eastAsia="it-IT"/>
        </w:rPr>
        <w:t>interdittiva</w:t>
      </w:r>
      <w:proofErr w:type="spellEnd"/>
      <w:r w:rsidRPr="00EE4750">
        <w:rPr>
          <w:rFonts w:ascii="Times New Roman" w:eastAsia="Times New Roman" w:hAnsi="Times New Roman" w:cs="Times New Roman"/>
          <w:sz w:val="24"/>
          <w:szCs w:val="24"/>
          <w:lang w:eastAsia="it-IT"/>
        </w:rPr>
        <w:t xml:space="preserve"> dalla partecipazione alle procedure di affidamento delle concessioni e degli appalti di lavori, forniture e servizi, e dall’affidamento di subappalti;</w:t>
      </w:r>
    </w:p>
    <w:p w:rsidR="00BD36D2" w:rsidRPr="00EE4750" w:rsidRDefault="00BD36D2" w:rsidP="00AA1A94">
      <w:pPr>
        <w:numPr>
          <w:ilvl w:val="0"/>
          <w:numId w:val="14"/>
        </w:numPr>
        <w:spacing w:after="0" w:line="360" w:lineRule="auto"/>
        <w:contextualSpacing/>
        <w:jc w:val="both"/>
        <w:rPr>
          <w:rFonts w:ascii="Times New Roman" w:eastAsia="Times New Roman" w:hAnsi="Times New Roman" w:cs="Times New Roman"/>
          <w:sz w:val="24"/>
          <w:szCs w:val="24"/>
          <w:lang w:eastAsia="it-IT"/>
        </w:rPr>
      </w:pPr>
      <w:r w:rsidRPr="00EE4750">
        <w:rPr>
          <w:rFonts w:ascii="Times New Roman" w:eastAsia="Times New Roman" w:hAnsi="Times New Roman" w:cs="Times New Roman"/>
          <w:sz w:val="24"/>
          <w:szCs w:val="24"/>
          <w:lang w:eastAsia="it-IT"/>
        </w:rPr>
        <w:t xml:space="preserve">quelle a contenuto non </w:t>
      </w:r>
      <w:proofErr w:type="spellStart"/>
      <w:r w:rsidRPr="00EE4750">
        <w:rPr>
          <w:rFonts w:ascii="Times New Roman" w:eastAsia="Times New Roman" w:hAnsi="Times New Roman" w:cs="Times New Roman"/>
          <w:sz w:val="24"/>
          <w:szCs w:val="24"/>
          <w:lang w:eastAsia="it-IT"/>
        </w:rPr>
        <w:t>interdittivo</w:t>
      </w:r>
      <w:proofErr w:type="spellEnd"/>
      <w:r w:rsidRPr="00EE4750">
        <w:rPr>
          <w:rFonts w:ascii="Times New Roman" w:eastAsia="Times New Roman" w:hAnsi="Times New Roman" w:cs="Times New Roman"/>
          <w:sz w:val="24"/>
          <w:szCs w:val="24"/>
          <w:lang w:eastAsia="it-IT"/>
        </w:rPr>
        <w:t>, ma che contengono informazioni ricavate, in prevalenza, dalle segnalazioni delle stazioni appaltanti sul comportamento degli operatori economici esecutori di una commessa pubblica.</w:t>
      </w:r>
    </w:p>
    <w:p w:rsidR="00BD36D2" w:rsidRPr="00EE4750" w:rsidRDefault="00BD36D2" w:rsidP="00BD36D2">
      <w:pPr>
        <w:spacing w:after="0" w:line="360" w:lineRule="auto"/>
        <w:jc w:val="both"/>
        <w:rPr>
          <w:rFonts w:ascii="Times New Roman" w:eastAsia="Times New Roman" w:hAnsi="Times New Roman" w:cs="Times New Roman"/>
          <w:sz w:val="24"/>
          <w:szCs w:val="24"/>
          <w:lang w:eastAsia="it-IT"/>
        </w:rPr>
      </w:pPr>
    </w:p>
    <w:p w:rsidR="00BD36D2" w:rsidRPr="00EE4750" w:rsidRDefault="00BD36D2" w:rsidP="00BD36D2">
      <w:pPr>
        <w:spacing w:after="0" w:line="360" w:lineRule="auto"/>
        <w:jc w:val="both"/>
        <w:rPr>
          <w:rFonts w:ascii="Times New Roman" w:eastAsia="Times New Roman" w:hAnsi="Times New Roman" w:cs="Times New Roman"/>
          <w:sz w:val="24"/>
          <w:szCs w:val="24"/>
          <w:lang w:eastAsia="it-IT"/>
        </w:rPr>
      </w:pPr>
      <w:r w:rsidRPr="00EE4750">
        <w:rPr>
          <w:rFonts w:ascii="Times New Roman" w:eastAsia="Times New Roman" w:hAnsi="Times New Roman" w:cs="Times New Roman"/>
          <w:sz w:val="24"/>
          <w:szCs w:val="24"/>
          <w:lang w:eastAsia="it-IT"/>
        </w:rPr>
        <w:lastRenderedPageBreak/>
        <w:t>Queste ultime, al netto di quelle provenienti dalle Società Organismi di Attestazione (SOA) e dagli enti certificatori della qualità, dal Ministero delle infrastrutture e dei trasporti, ovvero inserite direttamente dall’Autorità a seguito di segnalazioni provenienti anche da altri soggetti, sono pervenute nel 2017, nel numero di 716, con un notevole incremento rispetto alle segnalazioni pervenute nel 2016, pari a 379, come si evince dalla tabella 18</w:t>
      </w:r>
    </w:p>
    <w:p w:rsidR="00BD36D2" w:rsidRPr="00BD36D2" w:rsidRDefault="00BD36D2" w:rsidP="00BD36D2">
      <w:pPr>
        <w:spacing w:after="0" w:line="360" w:lineRule="auto"/>
        <w:jc w:val="both"/>
        <w:rPr>
          <w:rFonts w:ascii="Garamond" w:eastAsia="Times New Roman" w:hAnsi="Garamond" w:cs="Times New Roman"/>
          <w:sz w:val="24"/>
          <w:szCs w:val="24"/>
          <w:lang w:eastAsia="it-IT"/>
        </w:rPr>
      </w:pPr>
    </w:p>
    <w:p w:rsidR="00BD36D2" w:rsidRPr="00BD36D2" w:rsidRDefault="00BD36D2" w:rsidP="00BD36D2">
      <w:pPr>
        <w:spacing w:after="0" w:line="240" w:lineRule="auto"/>
        <w:jc w:val="center"/>
        <w:rPr>
          <w:rFonts w:ascii="Garamond" w:eastAsia="Times New Roman" w:hAnsi="Garamond" w:cs="Calibri"/>
          <w:b/>
          <w:color w:val="000000"/>
          <w:lang w:eastAsia="it-IT"/>
        </w:rPr>
      </w:pPr>
      <w:r w:rsidRPr="00BD36D2">
        <w:rPr>
          <w:rFonts w:ascii="Garamond" w:eastAsia="Times New Roman" w:hAnsi="Garamond" w:cs="Calibri"/>
          <w:b/>
          <w:color w:val="000000"/>
          <w:lang w:eastAsia="it-IT"/>
        </w:rPr>
        <w:t xml:space="preserve">Tabella 18 Segnalazioni per annotazioni, a contenuto non </w:t>
      </w:r>
      <w:proofErr w:type="spellStart"/>
      <w:r w:rsidRPr="00BD36D2">
        <w:rPr>
          <w:rFonts w:ascii="Garamond" w:eastAsia="Times New Roman" w:hAnsi="Garamond" w:cs="Calibri"/>
          <w:b/>
          <w:color w:val="000000"/>
          <w:lang w:eastAsia="it-IT"/>
        </w:rPr>
        <w:t>interdittivo</w:t>
      </w:r>
      <w:proofErr w:type="spellEnd"/>
      <w:r w:rsidRPr="00BD36D2">
        <w:rPr>
          <w:rFonts w:ascii="Garamond" w:eastAsia="Times New Roman" w:hAnsi="Garamond" w:cs="Calibri"/>
          <w:b/>
          <w:color w:val="000000"/>
          <w:lang w:eastAsia="it-IT"/>
        </w:rPr>
        <w:t>, di notizie utili per la tenuta Casellario</w:t>
      </w:r>
    </w:p>
    <w:tbl>
      <w:tblPr>
        <w:tblStyle w:val="Grigliamedia1-Colore11"/>
        <w:tblW w:w="0" w:type="auto"/>
        <w:jc w:val="center"/>
        <w:tblLook w:val="04A0" w:firstRow="1" w:lastRow="0" w:firstColumn="1" w:lastColumn="0" w:noHBand="0" w:noVBand="1"/>
      </w:tblPr>
      <w:tblGrid>
        <w:gridCol w:w="5020"/>
        <w:gridCol w:w="2125"/>
      </w:tblGrid>
      <w:tr w:rsidR="00BD36D2" w:rsidRPr="00BD36D2" w:rsidTr="00BD36D2">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5020" w:type="dxa"/>
            <w:shd w:val="clear" w:color="auto" w:fill="1F497D" w:themeFill="text2"/>
          </w:tcPr>
          <w:p w:rsidR="00BD36D2" w:rsidRPr="00BD36D2" w:rsidRDefault="00BD36D2" w:rsidP="00BD36D2">
            <w:pPr>
              <w:jc w:val="center"/>
              <w:rPr>
                <w:rFonts w:ascii="Garamond" w:eastAsia="Times New Roman" w:hAnsi="Garamond"/>
                <w:color w:val="FFFFFF" w:themeColor="background1"/>
              </w:rPr>
            </w:pPr>
            <w:r w:rsidRPr="00BD36D2">
              <w:rPr>
                <w:rFonts w:ascii="Garamond" w:eastAsia="Times New Roman" w:hAnsi="Garamond"/>
                <w:color w:val="FFFFFF" w:themeColor="background1"/>
              </w:rPr>
              <w:t xml:space="preserve">Annotazioni a </w:t>
            </w:r>
            <w:r w:rsidRPr="00BD36D2">
              <w:rPr>
                <w:rFonts w:ascii="Garamond" w:eastAsia="Times New Roman" w:hAnsi="Garamond" w:cs="Calibri"/>
                <w:color w:val="FFFFFF" w:themeColor="background1"/>
              </w:rPr>
              <w:t xml:space="preserve">contenuto non </w:t>
            </w:r>
            <w:proofErr w:type="spellStart"/>
            <w:r w:rsidRPr="00BD36D2">
              <w:rPr>
                <w:rFonts w:ascii="Garamond" w:eastAsia="Times New Roman" w:hAnsi="Garamond" w:cs="Calibri"/>
                <w:color w:val="FFFFFF" w:themeColor="background1"/>
              </w:rPr>
              <w:t>interdittivo</w:t>
            </w:r>
            <w:proofErr w:type="spellEnd"/>
            <w:r w:rsidRPr="00BD36D2">
              <w:rPr>
                <w:rFonts w:ascii="Garamond" w:eastAsia="Times New Roman" w:hAnsi="Garamond"/>
                <w:color w:val="FFFFFF" w:themeColor="background1"/>
              </w:rPr>
              <w:t xml:space="preserve"> </w:t>
            </w:r>
          </w:p>
        </w:tc>
        <w:tc>
          <w:tcPr>
            <w:tcW w:w="2125" w:type="dxa"/>
            <w:shd w:val="clear" w:color="auto" w:fill="1F497D" w:themeFill="text2"/>
          </w:tcPr>
          <w:p w:rsidR="00BD36D2" w:rsidRPr="00BD36D2" w:rsidRDefault="00BD36D2" w:rsidP="00BD36D2">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olor w:val="FFFFFF" w:themeColor="background1"/>
              </w:rPr>
            </w:pPr>
            <w:r w:rsidRPr="00BD36D2">
              <w:rPr>
                <w:rFonts w:ascii="Garamond" w:eastAsia="Times New Roman" w:hAnsi="Garamond"/>
                <w:color w:val="FFFFFF" w:themeColor="background1"/>
              </w:rPr>
              <w:t>numero segnalazioni</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5020" w:type="dxa"/>
          </w:tcPr>
          <w:p w:rsidR="00BD36D2" w:rsidRPr="00BD36D2" w:rsidRDefault="00BD36D2" w:rsidP="00BD36D2">
            <w:pPr>
              <w:rPr>
                <w:rFonts w:ascii="Garamond" w:eastAsia="Times New Roman" w:hAnsi="Garamond"/>
                <w:color w:val="000000"/>
              </w:rPr>
            </w:pPr>
            <w:r w:rsidRPr="00BD36D2">
              <w:rPr>
                <w:rFonts w:ascii="Garamond" w:eastAsia="Times New Roman" w:hAnsi="Garamond"/>
                <w:color w:val="000000"/>
              </w:rPr>
              <w:t>provvedimenti di condanna</w:t>
            </w:r>
          </w:p>
        </w:tc>
        <w:tc>
          <w:tcPr>
            <w:tcW w:w="2125" w:type="dxa"/>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rPr>
            </w:pPr>
            <w:r w:rsidRPr="00BD36D2">
              <w:rPr>
                <w:rFonts w:ascii="Garamond" w:eastAsia="Times New Roman" w:hAnsi="Garamond"/>
              </w:rPr>
              <w:t>16</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5020" w:type="dxa"/>
          </w:tcPr>
          <w:p w:rsidR="00BD36D2" w:rsidRPr="00BD36D2" w:rsidRDefault="00BD36D2" w:rsidP="00BD36D2">
            <w:pPr>
              <w:rPr>
                <w:rFonts w:ascii="Garamond" w:eastAsia="Times New Roman" w:hAnsi="Garamond"/>
                <w:color w:val="000000"/>
              </w:rPr>
            </w:pPr>
            <w:r w:rsidRPr="00BD36D2">
              <w:rPr>
                <w:rFonts w:ascii="Garamond" w:eastAsia="Times New Roman" w:hAnsi="Garamond"/>
                <w:color w:val="000000"/>
              </w:rPr>
              <w:t>violazioni obblighi pagamento imposte e tasse</w:t>
            </w:r>
          </w:p>
        </w:tc>
        <w:tc>
          <w:tcPr>
            <w:tcW w:w="2125" w:type="dxa"/>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rPr>
            </w:pPr>
            <w:r w:rsidRPr="00BD36D2">
              <w:rPr>
                <w:rFonts w:ascii="Garamond" w:eastAsia="Times New Roman" w:hAnsi="Garamond"/>
              </w:rPr>
              <w:t>42</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5020" w:type="dxa"/>
          </w:tcPr>
          <w:p w:rsidR="00BD36D2" w:rsidRPr="00BD36D2" w:rsidRDefault="00BD36D2" w:rsidP="00BD36D2">
            <w:pPr>
              <w:rPr>
                <w:rFonts w:ascii="Garamond" w:eastAsia="Times New Roman" w:hAnsi="Garamond"/>
                <w:color w:val="000000"/>
              </w:rPr>
            </w:pPr>
            <w:r w:rsidRPr="00BD36D2">
              <w:rPr>
                <w:rFonts w:ascii="Garamond" w:eastAsia="Times New Roman" w:hAnsi="Garamond"/>
                <w:color w:val="000000"/>
              </w:rPr>
              <w:t>gravi inadempienze contrattuali o errori gravi</w:t>
            </w:r>
          </w:p>
        </w:tc>
        <w:tc>
          <w:tcPr>
            <w:tcW w:w="2125" w:type="dxa"/>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rPr>
            </w:pPr>
            <w:r w:rsidRPr="00BD36D2">
              <w:rPr>
                <w:rFonts w:ascii="Garamond" w:eastAsia="Times New Roman" w:hAnsi="Garamond"/>
              </w:rPr>
              <w:t>444</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5020" w:type="dxa"/>
          </w:tcPr>
          <w:p w:rsidR="00BD36D2" w:rsidRPr="00BD36D2" w:rsidRDefault="00BD36D2" w:rsidP="00BD36D2">
            <w:pPr>
              <w:rPr>
                <w:rFonts w:ascii="Garamond" w:eastAsia="Times New Roman" w:hAnsi="Garamond"/>
                <w:color w:val="000000"/>
              </w:rPr>
            </w:pPr>
            <w:r w:rsidRPr="00BD36D2">
              <w:rPr>
                <w:rFonts w:ascii="Garamond" w:eastAsia="Times New Roman" w:hAnsi="Garamond"/>
                <w:color w:val="000000"/>
              </w:rPr>
              <w:t>irregolarità contributive</w:t>
            </w:r>
          </w:p>
        </w:tc>
        <w:tc>
          <w:tcPr>
            <w:tcW w:w="2125" w:type="dxa"/>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rPr>
            </w:pPr>
            <w:r w:rsidRPr="00BD36D2">
              <w:rPr>
                <w:rFonts w:ascii="Garamond" w:eastAsia="Times New Roman" w:hAnsi="Garamond"/>
                <w:bCs/>
                <w:color w:val="000000"/>
              </w:rPr>
              <w:t>14</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5020" w:type="dxa"/>
          </w:tcPr>
          <w:p w:rsidR="00BD36D2" w:rsidRPr="00BD36D2" w:rsidRDefault="00BD36D2" w:rsidP="00BD36D2">
            <w:pPr>
              <w:rPr>
                <w:rFonts w:ascii="Garamond" w:eastAsia="Times New Roman" w:hAnsi="Garamond"/>
                <w:color w:val="000000"/>
              </w:rPr>
            </w:pPr>
            <w:r w:rsidRPr="00BD36D2">
              <w:rPr>
                <w:rFonts w:ascii="Garamond" w:eastAsia="Times New Roman" w:hAnsi="Garamond"/>
                <w:color w:val="000000"/>
              </w:rPr>
              <w:t>esclusione per collegamento sostanziale</w:t>
            </w:r>
          </w:p>
        </w:tc>
        <w:tc>
          <w:tcPr>
            <w:tcW w:w="2125" w:type="dxa"/>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Cs/>
                <w:color w:val="000000"/>
              </w:rPr>
            </w:pPr>
            <w:r w:rsidRPr="00BD36D2">
              <w:rPr>
                <w:rFonts w:ascii="Garamond" w:eastAsia="Times New Roman" w:hAnsi="Garamond"/>
                <w:bCs/>
                <w:color w:val="000000"/>
              </w:rPr>
              <w:t>10</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5020" w:type="dxa"/>
          </w:tcPr>
          <w:p w:rsidR="00BD36D2" w:rsidRPr="00BD36D2" w:rsidRDefault="00BD36D2" w:rsidP="00BD36D2">
            <w:pPr>
              <w:rPr>
                <w:rFonts w:ascii="Garamond" w:eastAsia="Times New Roman" w:hAnsi="Garamond"/>
                <w:color w:val="000000"/>
              </w:rPr>
            </w:pPr>
            <w:r w:rsidRPr="00BD36D2">
              <w:rPr>
                <w:rFonts w:ascii="Garamond" w:eastAsia="Times New Roman" w:hAnsi="Garamond"/>
                <w:color w:val="000000"/>
              </w:rPr>
              <w:t xml:space="preserve">esclusione o recesso contratto per </w:t>
            </w:r>
            <w:proofErr w:type="spellStart"/>
            <w:r w:rsidRPr="00BD36D2">
              <w:rPr>
                <w:rFonts w:ascii="Garamond" w:eastAsia="Times New Roman" w:hAnsi="Garamond"/>
                <w:color w:val="000000"/>
              </w:rPr>
              <w:t>interdittiva</w:t>
            </w:r>
            <w:proofErr w:type="spellEnd"/>
            <w:r w:rsidRPr="00BD36D2">
              <w:rPr>
                <w:rFonts w:ascii="Garamond" w:eastAsia="Times New Roman" w:hAnsi="Garamond"/>
                <w:color w:val="000000"/>
              </w:rPr>
              <w:t xml:space="preserve"> antimafia</w:t>
            </w:r>
          </w:p>
        </w:tc>
        <w:tc>
          <w:tcPr>
            <w:tcW w:w="2125" w:type="dxa"/>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rPr>
            </w:pPr>
            <w:r w:rsidRPr="00BD36D2">
              <w:rPr>
                <w:rFonts w:ascii="Garamond" w:eastAsia="Times New Roman" w:hAnsi="Garamond"/>
                <w:bCs/>
                <w:color w:val="000000"/>
              </w:rPr>
              <w:t>26</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5020" w:type="dxa"/>
          </w:tcPr>
          <w:p w:rsidR="00BD36D2" w:rsidRPr="00BD36D2" w:rsidRDefault="00BD36D2" w:rsidP="00BD36D2">
            <w:pPr>
              <w:rPr>
                <w:rFonts w:ascii="Garamond" w:eastAsia="Times New Roman" w:hAnsi="Garamond"/>
                <w:color w:val="000000"/>
              </w:rPr>
            </w:pPr>
            <w:r w:rsidRPr="00BD36D2">
              <w:rPr>
                <w:rFonts w:ascii="Garamond" w:eastAsia="Times New Roman" w:hAnsi="Garamond"/>
                <w:color w:val="000000"/>
              </w:rPr>
              <w:t>mancata stipula contrattuale per responsabilità dell’operatore economico</w:t>
            </w:r>
          </w:p>
        </w:tc>
        <w:tc>
          <w:tcPr>
            <w:tcW w:w="2125" w:type="dxa"/>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Cs/>
                <w:color w:val="000000"/>
              </w:rPr>
            </w:pPr>
            <w:r w:rsidRPr="00BD36D2">
              <w:rPr>
                <w:rFonts w:ascii="Garamond" w:eastAsia="Times New Roman" w:hAnsi="Garamond"/>
                <w:bCs/>
                <w:color w:val="000000"/>
              </w:rPr>
              <w:t>30</w:t>
            </w:r>
          </w:p>
        </w:tc>
      </w:tr>
      <w:tr w:rsidR="00BD36D2" w:rsidRPr="00BD36D2" w:rsidTr="00BD36D2">
        <w:trPr>
          <w:trHeight w:val="358"/>
          <w:jc w:val="center"/>
        </w:trPr>
        <w:tc>
          <w:tcPr>
            <w:cnfStyle w:val="001000000000" w:firstRow="0" w:lastRow="0" w:firstColumn="1" w:lastColumn="0" w:oddVBand="0" w:evenVBand="0" w:oddHBand="0" w:evenHBand="0" w:firstRowFirstColumn="0" w:firstRowLastColumn="0" w:lastRowFirstColumn="0" w:lastRowLastColumn="0"/>
            <w:tcW w:w="5020" w:type="dxa"/>
          </w:tcPr>
          <w:p w:rsidR="00BD36D2" w:rsidRPr="00BD36D2" w:rsidRDefault="00BD36D2" w:rsidP="00BD36D2">
            <w:pPr>
              <w:rPr>
                <w:rFonts w:ascii="Garamond" w:eastAsia="Times New Roman" w:hAnsi="Garamond"/>
                <w:color w:val="000000"/>
              </w:rPr>
            </w:pPr>
            <w:r w:rsidRPr="00BD36D2">
              <w:rPr>
                <w:rFonts w:ascii="Garamond" w:eastAsia="Times New Roman" w:hAnsi="Garamond"/>
                <w:color w:val="000000"/>
              </w:rPr>
              <w:t>esclusione in applicazione del c.d. “soccorso istruttorio”</w:t>
            </w:r>
          </w:p>
        </w:tc>
        <w:tc>
          <w:tcPr>
            <w:tcW w:w="2125" w:type="dxa"/>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rPr>
            </w:pPr>
            <w:r w:rsidRPr="00BD36D2">
              <w:rPr>
                <w:rFonts w:ascii="Garamond" w:eastAsia="Times New Roman" w:hAnsi="Garamond"/>
                <w:bCs/>
                <w:color w:val="000000"/>
              </w:rPr>
              <w:t>23</w:t>
            </w:r>
          </w:p>
        </w:tc>
      </w:tr>
      <w:tr w:rsidR="00BD36D2" w:rsidRPr="00BD36D2" w:rsidTr="00BD36D2">
        <w:trPr>
          <w:cnfStyle w:val="000000100000" w:firstRow="0" w:lastRow="0" w:firstColumn="0" w:lastColumn="0" w:oddVBand="0" w:evenVBand="0" w:oddHBand="1"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5020" w:type="dxa"/>
          </w:tcPr>
          <w:p w:rsidR="00BD36D2" w:rsidRPr="00BD36D2" w:rsidRDefault="00BD36D2" w:rsidP="00BD36D2">
            <w:pPr>
              <w:rPr>
                <w:rFonts w:ascii="Garamond" w:eastAsia="Times New Roman" w:hAnsi="Garamond"/>
                <w:color w:val="000000"/>
              </w:rPr>
            </w:pPr>
            <w:r w:rsidRPr="00BD36D2">
              <w:rPr>
                <w:rFonts w:ascii="Garamond" w:eastAsia="Times New Roman" w:hAnsi="Garamond"/>
                <w:color w:val="000000"/>
              </w:rPr>
              <w:t>Altro</w:t>
            </w:r>
          </w:p>
        </w:tc>
        <w:tc>
          <w:tcPr>
            <w:tcW w:w="2125" w:type="dxa"/>
          </w:tcPr>
          <w:p w:rsidR="00BD36D2" w:rsidRPr="00BD36D2" w:rsidRDefault="00BD36D2" w:rsidP="00BD36D2">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bCs/>
                <w:color w:val="000000"/>
              </w:rPr>
            </w:pPr>
            <w:r w:rsidRPr="00BD36D2">
              <w:rPr>
                <w:rFonts w:ascii="Garamond" w:eastAsia="Times New Roman" w:hAnsi="Garamond"/>
                <w:bCs/>
                <w:color w:val="000000"/>
              </w:rPr>
              <w:t>111</w:t>
            </w:r>
          </w:p>
        </w:tc>
      </w:tr>
      <w:tr w:rsidR="00BD36D2" w:rsidRPr="00BD36D2" w:rsidTr="00BD36D2">
        <w:trPr>
          <w:trHeight w:val="349"/>
          <w:jc w:val="center"/>
        </w:trPr>
        <w:tc>
          <w:tcPr>
            <w:cnfStyle w:val="001000000000" w:firstRow="0" w:lastRow="0" w:firstColumn="1" w:lastColumn="0" w:oddVBand="0" w:evenVBand="0" w:oddHBand="0" w:evenHBand="0" w:firstRowFirstColumn="0" w:firstRowLastColumn="0" w:lastRowFirstColumn="0" w:lastRowLastColumn="0"/>
            <w:tcW w:w="5020" w:type="dxa"/>
          </w:tcPr>
          <w:p w:rsidR="00BD36D2" w:rsidRPr="00BD36D2" w:rsidRDefault="00BD36D2" w:rsidP="00BD36D2">
            <w:pPr>
              <w:rPr>
                <w:rFonts w:ascii="Garamond" w:eastAsia="Times New Roman" w:hAnsi="Garamond"/>
                <w:color w:val="000000"/>
              </w:rPr>
            </w:pPr>
            <w:r w:rsidRPr="00BD36D2">
              <w:rPr>
                <w:rFonts w:ascii="Garamond" w:eastAsia="Times New Roman" w:hAnsi="Garamond"/>
                <w:color w:val="000000"/>
              </w:rPr>
              <w:t>TOTALE</w:t>
            </w:r>
          </w:p>
        </w:tc>
        <w:tc>
          <w:tcPr>
            <w:tcW w:w="2125" w:type="dxa"/>
          </w:tcPr>
          <w:p w:rsidR="00BD36D2" w:rsidRPr="00BD36D2" w:rsidRDefault="00BD36D2" w:rsidP="00BD36D2">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Cs/>
                <w:color w:val="000000"/>
              </w:rPr>
            </w:pPr>
            <w:r w:rsidRPr="00BD36D2">
              <w:rPr>
                <w:rFonts w:ascii="Garamond" w:eastAsia="Times New Roman" w:hAnsi="Garamond"/>
                <w:bCs/>
                <w:color w:val="000000"/>
              </w:rPr>
              <w:t>716</w:t>
            </w:r>
          </w:p>
        </w:tc>
      </w:tr>
    </w:tbl>
    <w:p w:rsidR="00BD36D2" w:rsidRPr="00BD36D2" w:rsidRDefault="00BD36D2" w:rsidP="00BD36D2">
      <w:pPr>
        <w:spacing w:after="0" w:line="360" w:lineRule="auto"/>
        <w:jc w:val="both"/>
        <w:rPr>
          <w:rFonts w:ascii="Garamond" w:eastAsia="Times New Roman" w:hAnsi="Garamond" w:cs="Times New Roman"/>
          <w:sz w:val="24"/>
          <w:szCs w:val="24"/>
          <w:lang w:eastAsia="it-IT"/>
        </w:rPr>
      </w:pPr>
    </w:p>
    <w:p w:rsidR="00BD36D2" w:rsidRPr="00EE4750" w:rsidRDefault="00BD36D2" w:rsidP="00BD36D2">
      <w:pPr>
        <w:spacing w:after="0" w:line="360" w:lineRule="auto"/>
        <w:jc w:val="both"/>
        <w:rPr>
          <w:rFonts w:ascii="Times New Roman" w:eastAsia="Times New Roman" w:hAnsi="Times New Roman" w:cs="Times New Roman"/>
          <w:sz w:val="24"/>
          <w:szCs w:val="24"/>
          <w:lang w:eastAsia="it-IT"/>
        </w:rPr>
      </w:pPr>
      <w:r w:rsidRPr="00EE4750">
        <w:rPr>
          <w:rFonts w:ascii="Times New Roman" w:eastAsia="Times New Roman" w:hAnsi="Times New Roman" w:cs="Times New Roman"/>
          <w:sz w:val="24"/>
          <w:szCs w:val="24"/>
          <w:lang w:eastAsia="it-IT"/>
        </w:rPr>
        <w:t xml:space="preserve">L’Autorità, inoltre, ha proseguito nel 2017 l’attività di iscrizione nel Casellario informatico delle informazioni antimafia </w:t>
      </w:r>
      <w:proofErr w:type="spellStart"/>
      <w:r w:rsidRPr="00EE4750">
        <w:rPr>
          <w:rFonts w:ascii="Times New Roman" w:eastAsia="Times New Roman" w:hAnsi="Times New Roman" w:cs="Times New Roman"/>
          <w:sz w:val="24"/>
          <w:szCs w:val="24"/>
          <w:lang w:eastAsia="it-IT"/>
        </w:rPr>
        <w:t>interdittive</w:t>
      </w:r>
      <w:proofErr w:type="spellEnd"/>
      <w:r w:rsidRPr="00EE4750">
        <w:rPr>
          <w:rFonts w:ascii="Times New Roman" w:eastAsia="Times New Roman" w:hAnsi="Times New Roman" w:cs="Times New Roman"/>
          <w:sz w:val="24"/>
          <w:szCs w:val="24"/>
          <w:lang w:eastAsia="it-IT"/>
        </w:rPr>
        <w:t>.  L’annotazione è inserita nel casellario informatico, con funzione di pubblicità notizia, diretta a informare tutte le amministrazioni aggiudicatrici circa la notizia ostativa alla partecipazione alle procedure di gara ovvero finalizzata alla risoluzione dei contratti in essere.</w:t>
      </w:r>
    </w:p>
    <w:p w:rsidR="00BD36D2" w:rsidRPr="00EE4750" w:rsidRDefault="00BD36D2" w:rsidP="00BD36D2">
      <w:pPr>
        <w:spacing w:after="0" w:line="360" w:lineRule="auto"/>
        <w:jc w:val="both"/>
        <w:rPr>
          <w:rFonts w:ascii="Times New Roman" w:eastAsia="Times New Roman" w:hAnsi="Times New Roman" w:cs="Times New Roman"/>
          <w:sz w:val="24"/>
          <w:szCs w:val="24"/>
          <w:lang w:eastAsia="it-IT"/>
        </w:rPr>
      </w:pPr>
      <w:r w:rsidRPr="00EE4750">
        <w:rPr>
          <w:rFonts w:ascii="Times New Roman" w:eastAsia="Times New Roman" w:hAnsi="Times New Roman" w:cs="Times New Roman"/>
          <w:sz w:val="24"/>
          <w:szCs w:val="24"/>
          <w:lang w:eastAsia="it-IT"/>
        </w:rPr>
        <w:t xml:space="preserve">Nel 2017, come indicato nel precedente paragrafo 1.4, sono state iscritte nel Casellario 699 annotazioni relativamente ai provvedimenti antimafia </w:t>
      </w:r>
      <w:proofErr w:type="spellStart"/>
      <w:r w:rsidRPr="00EE4750">
        <w:rPr>
          <w:rFonts w:ascii="Times New Roman" w:eastAsia="Times New Roman" w:hAnsi="Times New Roman" w:cs="Times New Roman"/>
          <w:sz w:val="24"/>
          <w:szCs w:val="24"/>
          <w:lang w:eastAsia="it-IT"/>
        </w:rPr>
        <w:t>interdittivi</w:t>
      </w:r>
      <w:proofErr w:type="spellEnd"/>
      <w:r w:rsidRPr="00EE4750">
        <w:rPr>
          <w:rFonts w:ascii="Times New Roman" w:eastAsia="Times New Roman" w:hAnsi="Times New Roman" w:cs="Times New Roman"/>
          <w:sz w:val="24"/>
          <w:szCs w:val="24"/>
          <w:lang w:eastAsia="it-IT"/>
        </w:rPr>
        <w:t xml:space="preserve"> pervenuti per la gran parte nel medesimo anno. </w:t>
      </w:r>
    </w:p>
    <w:p w:rsidR="00BD36D2" w:rsidRPr="00EE4750" w:rsidRDefault="00BD36D2" w:rsidP="00BD36D2">
      <w:pPr>
        <w:spacing w:after="0" w:line="360" w:lineRule="auto"/>
        <w:jc w:val="both"/>
        <w:rPr>
          <w:rFonts w:ascii="Times New Roman" w:eastAsia="Times New Roman" w:hAnsi="Times New Roman" w:cs="Times New Roman"/>
          <w:sz w:val="24"/>
          <w:szCs w:val="24"/>
          <w:lang w:eastAsia="it-IT"/>
        </w:rPr>
      </w:pPr>
      <w:r w:rsidRPr="00EE4750">
        <w:rPr>
          <w:rFonts w:ascii="Times New Roman" w:eastAsia="Times New Roman" w:hAnsi="Times New Roman" w:cs="Times New Roman"/>
          <w:sz w:val="24"/>
          <w:szCs w:val="24"/>
          <w:lang w:eastAsia="it-IT"/>
        </w:rPr>
        <w:t xml:space="preserve">Tali annotazioni hanno riguardato anche le misure previste dall’art. 32, co. 10, del </w:t>
      </w:r>
      <w:proofErr w:type="spellStart"/>
      <w:r w:rsidRPr="00EE4750">
        <w:rPr>
          <w:rFonts w:ascii="Times New Roman" w:eastAsia="Times New Roman" w:hAnsi="Times New Roman" w:cs="Times New Roman"/>
          <w:sz w:val="24"/>
          <w:szCs w:val="24"/>
          <w:lang w:eastAsia="it-IT"/>
        </w:rPr>
        <w:t>d.l.</w:t>
      </w:r>
      <w:proofErr w:type="spellEnd"/>
      <w:r w:rsidRPr="00EE4750">
        <w:rPr>
          <w:rFonts w:ascii="Times New Roman" w:eastAsia="Times New Roman" w:hAnsi="Times New Roman" w:cs="Times New Roman"/>
          <w:sz w:val="24"/>
          <w:szCs w:val="24"/>
          <w:lang w:eastAsia="it-IT"/>
        </w:rPr>
        <w:t xml:space="preserve"> 90/2014. Tale norma consente di adottare le misure straordinarie di commissariamento anche nei casi in cui sia stata emessa dal Prefetto un’informazione antimafia </w:t>
      </w:r>
      <w:proofErr w:type="spellStart"/>
      <w:r w:rsidRPr="00EE4750">
        <w:rPr>
          <w:rFonts w:ascii="Times New Roman" w:eastAsia="Times New Roman" w:hAnsi="Times New Roman" w:cs="Times New Roman"/>
          <w:sz w:val="24"/>
          <w:szCs w:val="24"/>
          <w:lang w:eastAsia="it-IT"/>
        </w:rPr>
        <w:t>interdittiva</w:t>
      </w:r>
      <w:proofErr w:type="spellEnd"/>
      <w:r w:rsidRPr="00EE4750">
        <w:rPr>
          <w:rFonts w:ascii="Times New Roman" w:eastAsia="Times New Roman" w:hAnsi="Times New Roman" w:cs="Times New Roman"/>
          <w:sz w:val="24"/>
          <w:szCs w:val="24"/>
          <w:lang w:eastAsia="it-IT"/>
        </w:rPr>
        <w:t xml:space="preserve">. A tal riguardo, l’Autorità ha ravvisato l’obbligo di integrare le annotazioni nei confronti dell’operatore economico interdetto con la notizia dell’adozione dei provvedimento prefettizio, in merito al suo commissariamento, ai sensi dell’art. 32, co. 1, </w:t>
      </w:r>
      <w:proofErr w:type="spellStart"/>
      <w:r w:rsidRPr="00EE4750">
        <w:rPr>
          <w:rFonts w:ascii="Times New Roman" w:eastAsia="Times New Roman" w:hAnsi="Times New Roman" w:cs="Times New Roman"/>
          <w:sz w:val="24"/>
          <w:szCs w:val="24"/>
          <w:lang w:eastAsia="it-IT"/>
        </w:rPr>
        <w:t>lett</w:t>
      </w:r>
      <w:proofErr w:type="spellEnd"/>
      <w:r w:rsidRPr="00EE4750">
        <w:rPr>
          <w:rFonts w:ascii="Times New Roman" w:eastAsia="Times New Roman" w:hAnsi="Times New Roman" w:cs="Times New Roman"/>
          <w:sz w:val="24"/>
          <w:szCs w:val="24"/>
          <w:lang w:eastAsia="it-IT"/>
        </w:rPr>
        <w:t xml:space="preserve">. b), al fine di assicurare la conoscibilità del provvedimento prefettizio alle amministrazioni aggiudicatrici di contratti pubblici e a tutti gli altri soggetti indicati nell’art. 3, co. 1, </w:t>
      </w:r>
      <w:proofErr w:type="spellStart"/>
      <w:r w:rsidRPr="00EE4750">
        <w:rPr>
          <w:rFonts w:ascii="Times New Roman" w:eastAsia="Times New Roman" w:hAnsi="Times New Roman" w:cs="Times New Roman"/>
          <w:sz w:val="24"/>
          <w:szCs w:val="24"/>
          <w:lang w:eastAsia="it-IT"/>
        </w:rPr>
        <w:t>lett</w:t>
      </w:r>
      <w:proofErr w:type="spellEnd"/>
      <w:r w:rsidRPr="00EE4750">
        <w:rPr>
          <w:rFonts w:ascii="Times New Roman" w:eastAsia="Times New Roman" w:hAnsi="Times New Roman" w:cs="Times New Roman"/>
          <w:sz w:val="24"/>
          <w:szCs w:val="24"/>
          <w:lang w:eastAsia="it-IT"/>
        </w:rPr>
        <w:t xml:space="preserve">. b), del </w:t>
      </w:r>
      <w:proofErr w:type="spellStart"/>
      <w:r w:rsidRPr="00EE4750">
        <w:rPr>
          <w:rFonts w:ascii="Times New Roman" w:eastAsia="Times New Roman" w:hAnsi="Times New Roman" w:cs="Times New Roman"/>
          <w:sz w:val="24"/>
          <w:szCs w:val="24"/>
          <w:lang w:eastAsia="it-IT"/>
        </w:rPr>
        <w:t>d.P.R.</w:t>
      </w:r>
      <w:proofErr w:type="spellEnd"/>
      <w:r w:rsidRPr="00EE4750">
        <w:rPr>
          <w:rFonts w:ascii="Times New Roman" w:eastAsia="Times New Roman" w:hAnsi="Times New Roman" w:cs="Times New Roman"/>
          <w:sz w:val="24"/>
          <w:szCs w:val="24"/>
          <w:lang w:eastAsia="it-IT"/>
        </w:rPr>
        <w:t xml:space="preserve"> 207/2010. Riguardo a tale tipo di informazione, nel corso dell’anno 2017, </w:t>
      </w:r>
      <w:r w:rsidRPr="00EE4750">
        <w:rPr>
          <w:rFonts w:ascii="Times New Roman" w:eastAsia="Times New Roman" w:hAnsi="Times New Roman" w:cs="Times New Roman"/>
          <w:sz w:val="24"/>
          <w:szCs w:val="24"/>
          <w:lang w:eastAsia="it-IT"/>
        </w:rPr>
        <w:lastRenderedPageBreak/>
        <w:t xml:space="preserve">l’Autorità ha provveduto all’integrazione di 6 annotazioni relative alle informazioni sui commissariamenti ex art. 32, co. 10, del </w:t>
      </w:r>
      <w:proofErr w:type="spellStart"/>
      <w:r w:rsidRPr="00EE4750">
        <w:rPr>
          <w:rFonts w:ascii="Times New Roman" w:eastAsia="Times New Roman" w:hAnsi="Times New Roman" w:cs="Times New Roman"/>
          <w:sz w:val="24"/>
          <w:szCs w:val="24"/>
          <w:lang w:eastAsia="it-IT"/>
        </w:rPr>
        <w:t>d.l.</w:t>
      </w:r>
      <w:proofErr w:type="spellEnd"/>
      <w:r w:rsidRPr="00EE4750">
        <w:rPr>
          <w:rFonts w:ascii="Times New Roman" w:eastAsia="Times New Roman" w:hAnsi="Times New Roman" w:cs="Times New Roman"/>
          <w:sz w:val="24"/>
          <w:szCs w:val="24"/>
          <w:lang w:eastAsia="it-IT"/>
        </w:rPr>
        <w:t xml:space="preserve"> 90/2014, corrispondenti al numero di operatori economici destinatari delle previste misure di gestione straordinaria. </w:t>
      </w:r>
    </w:p>
    <w:p w:rsidR="00BD36D2" w:rsidRDefault="00BD36D2">
      <w:pPr>
        <w:rPr>
          <w:sz w:val="24"/>
          <w:szCs w:val="24"/>
        </w:rPr>
      </w:pPr>
    </w:p>
    <w:p w:rsidR="00090DC3" w:rsidRPr="00CE5D1F" w:rsidRDefault="008F0BDF" w:rsidP="00CE5D1F">
      <w:pPr>
        <w:keepNext/>
        <w:keepLines/>
        <w:numPr>
          <w:ilvl w:val="1"/>
          <w:numId w:val="27"/>
        </w:numPr>
        <w:tabs>
          <w:tab w:val="left" w:pos="426"/>
        </w:tabs>
        <w:spacing w:before="200" w:after="0" w:line="240" w:lineRule="auto"/>
        <w:ind w:left="426" w:hanging="426"/>
        <w:contextualSpacing/>
        <w:outlineLvl w:val="2"/>
        <w:rPr>
          <w:rFonts w:ascii="Times New Roman" w:eastAsiaTheme="majorEastAsia" w:hAnsi="Times New Roman" w:cs="Times New Roman"/>
          <w:b/>
          <w:bCs/>
          <w:sz w:val="24"/>
          <w:szCs w:val="24"/>
          <w:lang w:eastAsia="it-IT"/>
        </w:rPr>
      </w:pPr>
      <w:r>
        <w:rPr>
          <w:rFonts w:ascii="Times New Roman" w:eastAsiaTheme="majorEastAsia" w:hAnsi="Times New Roman" w:cs="Times New Roman"/>
          <w:b/>
          <w:bCs/>
          <w:sz w:val="24"/>
          <w:szCs w:val="24"/>
          <w:lang w:eastAsia="it-IT"/>
        </w:rPr>
        <w:t>C</w:t>
      </w:r>
      <w:r w:rsidRPr="008F0BDF">
        <w:rPr>
          <w:rFonts w:ascii="Times New Roman" w:eastAsiaTheme="majorEastAsia" w:hAnsi="Times New Roman" w:cs="Times New Roman"/>
          <w:b/>
          <w:bCs/>
          <w:sz w:val="24"/>
          <w:szCs w:val="24"/>
          <w:lang w:eastAsia="it-IT"/>
        </w:rPr>
        <w:t xml:space="preserve">riticità riscontrate da </w:t>
      </w:r>
      <w:r>
        <w:rPr>
          <w:rFonts w:ascii="Times New Roman" w:eastAsiaTheme="majorEastAsia" w:hAnsi="Times New Roman" w:cs="Times New Roman"/>
          <w:b/>
          <w:bCs/>
          <w:sz w:val="24"/>
          <w:szCs w:val="24"/>
          <w:lang w:eastAsia="it-IT"/>
        </w:rPr>
        <w:t>ANAC</w:t>
      </w:r>
      <w:r w:rsidRPr="008F0BDF">
        <w:rPr>
          <w:rFonts w:ascii="Times New Roman" w:eastAsiaTheme="majorEastAsia" w:hAnsi="Times New Roman" w:cs="Times New Roman"/>
          <w:b/>
          <w:bCs/>
          <w:sz w:val="24"/>
          <w:szCs w:val="24"/>
          <w:lang w:eastAsia="it-IT"/>
        </w:rPr>
        <w:t xml:space="preserve"> nel corso della propria attività istituzionale</w:t>
      </w:r>
    </w:p>
    <w:p w:rsidR="00090DC3" w:rsidRPr="00090DC3" w:rsidRDefault="00090DC3" w:rsidP="00090DC3">
      <w:pPr>
        <w:spacing w:after="0" w:line="360" w:lineRule="auto"/>
        <w:jc w:val="both"/>
        <w:rPr>
          <w:rFonts w:ascii="Times New Roman" w:eastAsiaTheme="majorEastAsia" w:hAnsi="Times New Roman" w:cs="Times New Roman"/>
          <w:b/>
          <w:bCs/>
          <w:sz w:val="24"/>
          <w:szCs w:val="24"/>
          <w:lang w:eastAsia="it-IT"/>
        </w:rPr>
      </w:pPr>
    </w:p>
    <w:p w:rsidR="00090DC3" w:rsidRPr="00090DC3" w:rsidRDefault="00090DC3" w:rsidP="00090DC3">
      <w:pPr>
        <w:spacing w:after="0" w:line="360" w:lineRule="auto"/>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 xml:space="preserve">ANAC, per effetto delle disposizioni contenute nel Codice dei contratti pubblici, effettua una serie di attività volte a favorire il corretto funzionamento del mercato. Tra tali attività rientrano quelle di vigilanza (nelle diverse forme, tra cui quella della c.d. “vigilanza collaborativa”), pre-contenzioso, consultiva e di regolazione. Le attività di vigilanza e di pre-contenzioso sono volte a contrastare fenomeni di uso distorto della normativa sulla contrattualistica pubblica. L’attività di vigilanza collaborativa è finalizzata a supportare le stazioni appaltanti, per affidamenti di particolare interesse, nella predisposizione degli atti e nell’attività di gestione dell’intera procedura di gara. Le attività di regolazione e consultiva a fornire interpretazioni della normativa vigente per prevenire incertezze interpretative e, in tal modo, ridurre i rischi di frode, corruzione, conflitto di interessi e altre irregolarità in materia di appalti e concessioni. </w:t>
      </w:r>
    </w:p>
    <w:p w:rsidR="00090DC3" w:rsidRPr="00090DC3" w:rsidRDefault="00090DC3" w:rsidP="00090DC3">
      <w:pPr>
        <w:spacing w:after="0" w:line="360" w:lineRule="auto"/>
        <w:jc w:val="both"/>
        <w:rPr>
          <w:rFonts w:ascii="Times New Roman" w:eastAsiaTheme="majorEastAsia" w:hAnsi="Times New Roman" w:cs="Times New Roman"/>
          <w:bCs/>
          <w:sz w:val="24"/>
          <w:szCs w:val="24"/>
          <w:lang w:eastAsia="it-IT"/>
        </w:rPr>
      </w:pPr>
    </w:p>
    <w:p w:rsidR="00090DC3" w:rsidRPr="00090DC3" w:rsidRDefault="00090DC3" w:rsidP="00090DC3">
      <w:pPr>
        <w:spacing w:after="0" w:line="360" w:lineRule="auto"/>
        <w:jc w:val="both"/>
        <w:rPr>
          <w:rFonts w:ascii="Times New Roman" w:eastAsiaTheme="majorEastAsia" w:hAnsi="Times New Roman" w:cs="Times New Roman"/>
          <w:b/>
          <w:bCs/>
          <w:sz w:val="24"/>
          <w:szCs w:val="24"/>
          <w:lang w:eastAsia="it-IT"/>
        </w:rPr>
      </w:pPr>
    </w:p>
    <w:p w:rsidR="00090DC3" w:rsidRDefault="00090DC3" w:rsidP="003B0944">
      <w:pPr>
        <w:keepNext/>
        <w:keepLines/>
        <w:numPr>
          <w:ilvl w:val="2"/>
          <w:numId w:val="28"/>
        </w:numPr>
        <w:tabs>
          <w:tab w:val="left" w:pos="426"/>
        </w:tabs>
        <w:spacing w:before="200" w:after="0" w:line="240" w:lineRule="auto"/>
        <w:ind w:left="567" w:hanging="567"/>
        <w:contextualSpacing/>
        <w:outlineLvl w:val="2"/>
        <w:rPr>
          <w:rFonts w:ascii="Times New Roman" w:eastAsiaTheme="majorEastAsia" w:hAnsi="Times New Roman" w:cs="Times New Roman"/>
          <w:b/>
          <w:bCs/>
          <w:sz w:val="24"/>
          <w:szCs w:val="24"/>
          <w:lang w:eastAsia="it-IT"/>
        </w:rPr>
      </w:pPr>
      <w:r w:rsidRPr="008F0BDF">
        <w:rPr>
          <w:rFonts w:ascii="Times New Roman" w:eastAsiaTheme="majorEastAsia" w:hAnsi="Times New Roman" w:cs="Times New Roman"/>
          <w:b/>
          <w:bCs/>
          <w:sz w:val="24"/>
          <w:szCs w:val="24"/>
          <w:lang w:eastAsia="it-IT"/>
        </w:rPr>
        <w:t>L’attività di vigilanza</w:t>
      </w:r>
    </w:p>
    <w:p w:rsidR="003B0944" w:rsidRDefault="003B0944" w:rsidP="003B0944">
      <w:pPr>
        <w:keepNext/>
        <w:keepLines/>
        <w:tabs>
          <w:tab w:val="left" w:pos="426"/>
        </w:tabs>
        <w:spacing w:before="200" w:after="0" w:line="240" w:lineRule="auto"/>
        <w:ind w:left="720"/>
        <w:contextualSpacing/>
        <w:outlineLvl w:val="2"/>
        <w:rPr>
          <w:rFonts w:ascii="Times New Roman" w:eastAsiaTheme="majorEastAsia" w:hAnsi="Times New Roman" w:cs="Times New Roman"/>
          <w:b/>
          <w:bCs/>
          <w:sz w:val="24"/>
          <w:szCs w:val="24"/>
          <w:lang w:eastAsia="it-IT"/>
        </w:rPr>
      </w:pPr>
    </w:p>
    <w:p w:rsidR="00090DC3" w:rsidRPr="00090DC3" w:rsidRDefault="00090DC3" w:rsidP="00090DC3">
      <w:pPr>
        <w:spacing w:after="0" w:line="360" w:lineRule="auto"/>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L’attività di vigilanza è svolta annualmente:</w:t>
      </w:r>
    </w:p>
    <w:p w:rsidR="00090DC3" w:rsidRPr="00090DC3" w:rsidRDefault="00090DC3" w:rsidP="00AA1A94">
      <w:pPr>
        <w:numPr>
          <w:ilvl w:val="0"/>
          <w:numId w:val="15"/>
        </w:numPr>
        <w:spacing w:after="0" w:line="360" w:lineRule="auto"/>
        <w:contextualSpacing/>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 xml:space="preserve">sulla base della “direttiva programmatica” di cui all’articolo 3, comma 4, del Regolamento sull’esercizio dell’attività di vigilanza in materia di contratti pubblici; </w:t>
      </w:r>
    </w:p>
    <w:p w:rsidR="00090DC3" w:rsidRPr="00090DC3" w:rsidRDefault="00090DC3" w:rsidP="00AA1A94">
      <w:pPr>
        <w:numPr>
          <w:ilvl w:val="0"/>
          <w:numId w:val="15"/>
        </w:numPr>
        <w:spacing w:after="0" w:line="360" w:lineRule="auto"/>
        <w:contextualSpacing/>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 xml:space="preserve">su iniziativa del Consiglio per i casi di mancato adeguamento delle stazioni appaltanti fornite in sede di vigilanza collaborativo o di pre-contenzioso (articolo 4, comma 2, del citato Regolamento) </w:t>
      </w:r>
    </w:p>
    <w:p w:rsidR="00090DC3" w:rsidRPr="00090DC3" w:rsidRDefault="00090DC3" w:rsidP="005343E5">
      <w:pPr>
        <w:numPr>
          <w:ilvl w:val="0"/>
          <w:numId w:val="15"/>
        </w:numPr>
        <w:spacing w:after="0" w:line="360" w:lineRule="auto"/>
        <w:contextualSpacing/>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a seguito di segnalazioni.</w:t>
      </w:r>
    </w:p>
    <w:p w:rsidR="00090DC3" w:rsidRPr="00090DC3" w:rsidRDefault="00090DC3" w:rsidP="00090DC3">
      <w:pPr>
        <w:spacing w:after="0" w:line="360" w:lineRule="auto"/>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L’attività istruttoria svolta a seguito di segnalazioni, nel corso del 2017, può sintetizzarsi nei numeri che seguono.</w:t>
      </w:r>
    </w:p>
    <w:p w:rsidR="00090DC3" w:rsidRPr="00090DC3" w:rsidRDefault="00090DC3" w:rsidP="00090DC3">
      <w:pPr>
        <w:spacing w:after="0" w:line="360" w:lineRule="auto"/>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Sono pervenute oltre 5190 segnalazioni concernenti appalti di lavori, servizi e forniture, con un ulteriore incremento rispetto ai 4372 del 2016, di cui:</w:t>
      </w:r>
    </w:p>
    <w:p w:rsidR="00090DC3" w:rsidRPr="00090DC3" w:rsidRDefault="00090DC3" w:rsidP="00AA1A94">
      <w:pPr>
        <w:numPr>
          <w:ilvl w:val="0"/>
          <w:numId w:val="16"/>
        </w:numPr>
        <w:spacing w:after="0" w:line="360" w:lineRule="auto"/>
        <w:ind w:left="709" w:hanging="283"/>
        <w:contextualSpacing/>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per il settore dei lavori, risultano pervenuti circa 1.700 esposti ed aperte 500 istruttorie;</w:t>
      </w:r>
    </w:p>
    <w:p w:rsidR="00090DC3" w:rsidRPr="00090DC3" w:rsidRDefault="00090DC3" w:rsidP="00AA1A94">
      <w:pPr>
        <w:numPr>
          <w:ilvl w:val="0"/>
          <w:numId w:val="16"/>
        </w:numPr>
        <w:spacing w:after="0" w:line="360" w:lineRule="auto"/>
        <w:ind w:left="709" w:hanging="283"/>
        <w:contextualSpacing/>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per il settore dei servizi e delle forniture, sono pervenute 3490 segnalazioni con 585 istruttorie aperte.</w:t>
      </w:r>
    </w:p>
    <w:p w:rsidR="00090DC3" w:rsidRPr="00090DC3" w:rsidRDefault="00090DC3" w:rsidP="00090DC3">
      <w:pPr>
        <w:spacing w:after="0" w:line="360" w:lineRule="auto"/>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lastRenderedPageBreak/>
        <w:t>Per quanto concerne le criticità rilevata dagli accertamenti avviati di Ufficio, in genere riguardanti l’attività complessiva in materia di contrattualistica pubblica da parte di singole stazioni appaltanti, e quelli puntuali a seguito di segnalazione su singole procedure di affidamento.</w:t>
      </w:r>
    </w:p>
    <w:p w:rsidR="00090DC3" w:rsidRPr="00090DC3" w:rsidRDefault="00090DC3" w:rsidP="00090DC3">
      <w:pPr>
        <w:spacing w:after="0" w:line="360" w:lineRule="auto"/>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Nel corso del 2017, ANAC ha condotto anche indagini conoscitive in materia di appalti su singole fattispecie. In particolare, si segnala l’indagine conoscitiva sull’avvalimento con numerosi accertamenti ispettivi, condotta in due fasi – la prima nel 2015 in vigenza del previgente Codice degli appalti pubblici, la seconda a fine 2016 in vigenza, quindi, del d.lgs. 50/2017 - dalla quale sono emerse numerose criticità. Innanzitutto, si rileva che nei lavori, l’utilizzo dell’istituto si è concretizzato in un prestito meramente cartellare dell’attestazione di qualificazione nella fase di partecipazione alle gare, non accompagnato da un concreto impiego in fase esecutiva delle risorse necessarie e mezzi facenti capo all’impresa ausiliaria. Gli avvalimenti verificati hanno riguardato contratti di appalto afferenti alla materia dei lavori e dei servizi prospettandosi in numerosi casi il prestito di requisiti attinenti a esperienze pregresse, che le parti hanno inteso configurare come un prestito di “garanzia” che non necessiterebbe di un supporto concreto dell’ausiliaria nella fase esecutiva; ciò nonostante le modifiche introdotte sul punto dal nuovo Codice dei contratti pubblici. Altre criticità riguardano la carenza di verifica sull’esecuzione da parte delle stazioni appaltanti, ovvero sull’attività svolta dall’impresa ausiliaria, nonché la contestualità degli impegni assunti dalla stessa impresa ausiliaria in diverse procedure di affidamento, comportante l’assunzione plurima di impegni nei riguardi di più imprese concorrenti e di più stazioni appaltanti che può comportare, sia per l’oggetto che per le tempistiche dell’appalto, il rischio di duplicazioni di impiego della medesima struttura organizzativa. Al riguardo, non si può sottacere che sono pervenute segnalazioni relative a imprese specializzate nel prestito di requisiti e/o di intermediari specializzati nel far incontrare la domanda e l’offerta di avvalimento.</w:t>
      </w:r>
    </w:p>
    <w:p w:rsidR="00090DC3" w:rsidRPr="00090DC3" w:rsidRDefault="00090DC3" w:rsidP="00090DC3">
      <w:pPr>
        <w:spacing w:after="0" w:line="360" w:lineRule="auto"/>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 xml:space="preserve">Sempre nel corso del 2017, ANAC ha realizzato un’indagine specifica sui soggetti aggregatori regionali che, secondo quanto previsto dalla normativa vigente, dovrebbero contribuire alla aggregazione delle committenze – almeno per alcune specifiche categorie merceologiche – e al contenimento della spesa per l’acquisizione di beni e servizi. L’analisi dei dati e delle informazioni acquisite ha posto in luce un panorama estremamente variegato, caratterizzato dalla presenza di una molteplicità di forme giuridiche e modelli organizzativi, diversa consistenza delle dotazioni di risorse umane e finanziarie e conseguente diversa capacità di espletamento dei compiti ad essi affidati. L’introduzione del nuovo Codice dei contratti pubblici ha, almeno in una fase iniziale, creato incertezza nell’utilizzo di alcuni strumenti come ad esempio quello del Sistema Dinamico di Acquisizione che ha portato alla chiusura di bandi predisposti da alcuni soggetti aggregatori. Alcuni indicatori di performance utilizzati in via sperimentale nell’indagine hanno confermato la presenza </w:t>
      </w:r>
      <w:r w:rsidRPr="00090DC3">
        <w:rPr>
          <w:rFonts w:ascii="Times New Roman" w:eastAsiaTheme="majorEastAsia" w:hAnsi="Times New Roman" w:cs="Times New Roman"/>
          <w:bCs/>
          <w:sz w:val="24"/>
          <w:szCs w:val="24"/>
          <w:lang w:eastAsia="it-IT"/>
        </w:rPr>
        <w:lastRenderedPageBreak/>
        <w:t>di uno scenario sensibilmente diversificato delle varie realtà regionali che dovrà costituire uno stimolo per l’avvio di un processo virtuoso volto nel tempo a consentire di raggiungere benchmark omogenei sul territorio nazionale.</w:t>
      </w:r>
    </w:p>
    <w:p w:rsidR="00090DC3" w:rsidRPr="00090DC3" w:rsidRDefault="00090DC3" w:rsidP="00090DC3">
      <w:pPr>
        <w:spacing w:after="0" w:line="360" w:lineRule="auto"/>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Le criticità rilevata dall’attività di vigilanza nel 2017 sono state evidenziate nella Direttiva programmatica per il 2018, approvata il 14.03.2018</w:t>
      </w:r>
      <w:r w:rsidR="005343E5">
        <w:rPr>
          <w:rFonts w:ascii="Times New Roman" w:eastAsiaTheme="majorEastAsia" w:hAnsi="Times New Roman" w:cs="Times New Roman"/>
          <w:bCs/>
          <w:sz w:val="24"/>
          <w:szCs w:val="24"/>
          <w:lang w:eastAsia="it-IT"/>
        </w:rPr>
        <w:t xml:space="preserve">, </w:t>
      </w:r>
      <w:r w:rsidRPr="00090DC3">
        <w:rPr>
          <w:rFonts w:ascii="Times New Roman" w:eastAsiaTheme="majorEastAsia" w:hAnsi="Times New Roman" w:cs="Times New Roman"/>
          <w:bCs/>
          <w:sz w:val="24"/>
          <w:szCs w:val="24"/>
          <w:lang w:eastAsia="it-IT"/>
        </w:rPr>
        <w:t>che, per gli affidamenti pubblici, indica le seguenti criticità:</w:t>
      </w:r>
    </w:p>
    <w:p w:rsidR="00090DC3" w:rsidRPr="00090DC3" w:rsidRDefault="00090DC3" w:rsidP="00AA1A94">
      <w:pPr>
        <w:numPr>
          <w:ilvl w:val="0"/>
          <w:numId w:val="17"/>
        </w:numPr>
        <w:spacing w:after="0" w:line="360" w:lineRule="auto"/>
        <w:contextualSpacing/>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elevato numero di concessioni per i servizi di energia e gas scadute che vengono prorogate anno per anno e la cui attività è circoscritta a un mero servizio non potendosi più realizzare investimenti di sorta. Per queste concessioni si osserva anche un ruolo marginale del concedente nelle attività di vigilanza e controllo;</w:t>
      </w:r>
    </w:p>
    <w:p w:rsidR="00090DC3" w:rsidRPr="00090DC3" w:rsidRDefault="00090DC3" w:rsidP="00AA1A94">
      <w:pPr>
        <w:numPr>
          <w:ilvl w:val="0"/>
          <w:numId w:val="17"/>
        </w:numPr>
        <w:spacing w:after="0" w:line="360" w:lineRule="auto"/>
        <w:contextualSpacing/>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per l’affidamento della progettazione dei lavor</w:t>
      </w:r>
      <w:r w:rsidR="005343E5">
        <w:rPr>
          <w:rFonts w:ascii="Times New Roman" w:eastAsiaTheme="majorEastAsia" w:hAnsi="Times New Roman" w:cs="Times New Roman"/>
          <w:bCs/>
          <w:sz w:val="24"/>
          <w:szCs w:val="24"/>
          <w:lang w:eastAsia="it-IT"/>
        </w:rPr>
        <w:t>i</w:t>
      </w:r>
      <w:r w:rsidRPr="00090DC3">
        <w:rPr>
          <w:rFonts w:ascii="Times New Roman" w:eastAsiaTheme="majorEastAsia" w:hAnsi="Times New Roman" w:cs="Times New Roman"/>
          <w:bCs/>
          <w:sz w:val="24"/>
          <w:szCs w:val="24"/>
          <w:lang w:eastAsia="it-IT"/>
        </w:rPr>
        <w:t>, il frazionamento degli incarichi, in contrasto con l’esigenza tecnica di un’attività unitaria per la progettazione e conduzione dell’opera, l’utilizzo di criteri di selezione delle gare restrittive della partecipazione, la determinazione del corrispettivo a base di gara, il consolidarsi di rapporti contrattuali solo con alcuni professionisti, in totale spregio del principio di concorrenza;</w:t>
      </w:r>
    </w:p>
    <w:p w:rsidR="00090DC3" w:rsidRPr="00090DC3" w:rsidRDefault="00090DC3" w:rsidP="00AA1A94">
      <w:pPr>
        <w:numPr>
          <w:ilvl w:val="0"/>
          <w:numId w:val="17"/>
        </w:numPr>
        <w:spacing w:after="0" w:line="360" w:lineRule="auto"/>
        <w:contextualSpacing/>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frazionamento degli importi degli affidamenti, per ricorrere a procedure semplificate rispetto a quelle previste per affidamenti di importo maggiore;</w:t>
      </w:r>
    </w:p>
    <w:p w:rsidR="00090DC3" w:rsidRPr="00090DC3" w:rsidRDefault="00090DC3" w:rsidP="00AA1A94">
      <w:pPr>
        <w:numPr>
          <w:ilvl w:val="0"/>
          <w:numId w:val="17"/>
        </w:numPr>
        <w:spacing w:after="0" w:line="360" w:lineRule="auto"/>
        <w:contextualSpacing/>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non corretta applicazione del metodo di aggiudicazione dell’offerta economicamente più vantaggiosa sulla base del rapporto prezzo/qualità, così come declinato da ANAC nelle Linee guida n. 2;</w:t>
      </w:r>
    </w:p>
    <w:p w:rsidR="00090DC3" w:rsidRPr="00090DC3" w:rsidRDefault="00090DC3" w:rsidP="00AA1A94">
      <w:pPr>
        <w:numPr>
          <w:ilvl w:val="0"/>
          <w:numId w:val="17"/>
        </w:numPr>
        <w:spacing w:after="0" w:line="360" w:lineRule="auto"/>
        <w:contextualSpacing/>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sussistenza di anomalie con riferimento all’inquadramento delle categorie di qualificazione e allo scorporo delle categorie a qualificazione obbligatoria, che incidono anche sul regime del subappalto;</w:t>
      </w:r>
    </w:p>
    <w:p w:rsidR="00090DC3" w:rsidRPr="00090DC3" w:rsidRDefault="00090DC3" w:rsidP="00AA1A94">
      <w:pPr>
        <w:numPr>
          <w:ilvl w:val="0"/>
          <w:numId w:val="17"/>
        </w:numPr>
        <w:spacing w:after="0" w:line="360" w:lineRule="auto"/>
        <w:contextualSpacing/>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mancato controllo degli appalti in fase di esecuzione per gli affidamenti in situazioni emergenziali, tesi a superare, prevalentemente, le criticità socio-economiche causate dal sisma del 2016 e 2017;</w:t>
      </w:r>
    </w:p>
    <w:p w:rsidR="00090DC3" w:rsidRPr="00090DC3" w:rsidRDefault="00090DC3" w:rsidP="00AA1A94">
      <w:pPr>
        <w:numPr>
          <w:ilvl w:val="0"/>
          <w:numId w:val="17"/>
        </w:numPr>
        <w:spacing w:after="0" w:line="360" w:lineRule="auto"/>
        <w:contextualSpacing/>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sussistenza di carenze nello svolgimento delle istruttorie sull’ammissibilità delle varianti, non riferibili alle ipotesi di cui all’art. 106 del codice (ex art. 32 del d.lgs. n 163/2006) e relative, in particolare, a contratti di importo superiore ai 30 milioni di euro, in ordine sia alla motivazione del presupposto dell’imprevedibilità, tenuto conto che spesso il ricorso alle varianti in corso d’opera è ascrivibile sia a sopravvenienze oggettive, prevedibili con l’uso dell’ordinaria diligenza in sede di progettazione che alla ricorrenza di esigenze collegate ad errori di progettazione e fatte rientrare nelle altre tipologie;</w:t>
      </w:r>
    </w:p>
    <w:p w:rsidR="00090DC3" w:rsidRPr="00090DC3" w:rsidRDefault="00090DC3" w:rsidP="00AA1A94">
      <w:pPr>
        <w:numPr>
          <w:ilvl w:val="0"/>
          <w:numId w:val="17"/>
        </w:numPr>
        <w:spacing w:after="0" w:line="360" w:lineRule="auto"/>
        <w:contextualSpacing/>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lastRenderedPageBreak/>
        <w:t>lavori caratterizzati da lunghi periodi di sospensione e opere incompiute, spesso legate anche ad estesi contenziosi (si riferiscono però al previgente quadro normativo);</w:t>
      </w:r>
    </w:p>
    <w:p w:rsidR="00090DC3" w:rsidRPr="00090DC3" w:rsidRDefault="00090DC3" w:rsidP="00AA1A94">
      <w:pPr>
        <w:numPr>
          <w:ilvl w:val="0"/>
          <w:numId w:val="17"/>
        </w:numPr>
        <w:spacing w:after="0" w:line="360" w:lineRule="auto"/>
        <w:contextualSpacing/>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 xml:space="preserve">in materia di partenariato pubblico privato e di </w:t>
      </w:r>
      <w:proofErr w:type="spellStart"/>
      <w:r w:rsidRPr="00090DC3">
        <w:rPr>
          <w:rFonts w:ascii="Times New Roman" w:eastAsiaTheme="majorEastAsia" w:hAnsi="Times New Roman" w:cs="Times New Roman"/>
          <w:bCs/>
          <w:sz w:val="24"/>
          <w:szCs w:val="24"/>
          <w:lang w:eastAsia="it-IT"/>
        </w:rPr>
        <w:t>project</w:t>
      </w:r>
      <w:proofErr w:type="spellEnd"/>
      <w:r w:rsidRPr="00090DC3">
        <w:rPr>
          <w:rFonts w:ascii="Times New Roman" w:eastAsiaTheme="majorEastAsia" w:hAnsi="Times New Roman" w:cs="Times New Roman"/>
          <w:bCs/>
          <w:sz w:val="24"/>
          <w:szCs w:val="24"/>
          <w:lang w:eastAsia="it-IT"/>
        </w:rPr>
        <w:t xml:space="preserve"> </w:t>
      </w:r>
      <w:proofErr w:type="spellStart"/>
      <w:r w:rsidRPr="00090DC3">
        <w:rPr>
          <w:rFonts w:ascii="Times New Roman" w:eastAsiaTheme="majorEastAsia" w:hAnsi="Times New Roman" w:cs="Times New Roman"/>
          <w:bCs/>
          <w:sz w:val="24"/>
          <w:szCs w:val="24"/>
          <w:lang w:eastAsia="it-IT"/>
        </w:rPr>
        <w:t>financing</w:t>
      </w:r>
      <w:proofErr w:type="spellEnd"/>
      <w:r w:rsidRPr="00090DC3">
        <w:rPr>
          <w:rFonts w:ascii="Times New Roman" w:eastAsiaTheme="majorEastAsia" w:hAnsi="Times New Roman" w:cs="Times New Roman"/>
          <w:bCs/>
          <w:sz w:val="24"/>
          <w:szCs w:val="24"/>
          <w:lang w:eastAsia="it-IT"/>
        </w:rPr>
        <w:t xml:space="preserve"> si osserva: a) la mancanza di un effettivo trasferimento dei rischi (costruzione, domanda e disponibilità), b) la generalizzata inadeguatezza degli atti e dei contratti sottoscritti, da cui scaturiscono frequenti contenziosi che rallentano lo sviluppo delle iniziative e ne aggravano il peso economico, c) la scarsa attenzione agli indicatori di sostenibilità economico e finanziaria dell’intervento;</w:t>
      </w:r>
    </w:p>
    <w:p w:rsidR="00090DC3" w:rsidRPr="00090DC3" w:rsidRDefault="00090DC3" w:rsidP="00AA1A94">
      <w:pPr>
        <w:numPr>
          <w:ilvl w:val="0"/>
          <w:numId w:val="17"/>
        </w:numPr>
        <w:spacing w:after="0" w:line="360" w:lineRule="auto"/>
        <w:contextualSpacing/>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per i servizi e le forniture si è osservato, il mancato rispetto della tempistica necessaria per garantire il subentro del nuovo fornitore nei tempi previsti dal contratto originario, con il ricorso a proroghe e rinnovi o a procedure di urgenza evitabili;</w:t>
      </w:r>
    </w:p>
    <w:p w:rsidR="00090DC3" w:rsidRPr="00090DC3" w:rsidRDefault="00090DC3" w:rsidP="00AA1A94">
      <w:pPr>
        <w:numPr>
          <w:ilvl w:val="0"/>
          <w:numId w:val="17"/>
        </w:numPr>
        <w:spacing w:after="0" w:line="360" w:lineRule="auto"/>
        <w:contextualSpacing/>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nell’ambito delle attività di “manutenzione” o di attività comunque assimilabili, dei servizi di pulizia, della ristorazione, guardiania e vigilanza armata effettuati dagli enti del servizio sanitario, un frequente ricorso a proroghe e rinnovi contrattuali, anche per tempi molto lunghi, in attesa dell’aggiudicazione di gare da parte dei soggetti aggregatori o delle centrali di committenza che in molti casi non risultano ancora né programmate né bandite.</w:t>
      </w:r>
    </w:p>
    <w:p w:rsidR="00090DC3" w:rsidRPr="00090DC3" w:rsidRDefault="00090DC3" w:rsidP="00090DC3">
      <w:pPr>
        <w:spacing w:after="0" w:line="360" w:lineRule="auto"/>
        <w:jc w:val="both"/>
        <w:rPr>
          <w:rFonts w:ascii="Times New Roman" w:eastAsiaTheme="majorEastAsia" w:hAnsi="Times New Roman" w:cs="Times New Roman"/>
          <w:bCs/>
          <w:sz w:val="24"/>
          <w:szCs w:val="24"/>
          <w:lang w:eastAsia="it-IT"/>
        </w:rPr>
      </w:pPr>
    </w:p>
    <w:p w:rsidR="00090DC3" w:rsidRPr="00090DC3" w:rsidRDefault="00090DC3" w:rsidP="00090DC3">
      <w:pPr>
        <w:spacing w:after="0" w:line="360" w:lineRule="auto"/>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 xml:space="preserve">Non è agevole indicare l’incidenza delle criticità sopra elencate sul numero complessivo di affidamenti. Nell’attività di vigilanza, l’ANAC rileva le patologie nell’attuazione del Codice dei contratti pubblici, ma da ciò non consegue necessariamente la possibilità di generalizzare le anomalie riscontrate all’intero settore. Peraltro, è difficile stabilire quanto le criticità riscontrate siano attribuibili a problematiche presenti nelle direttive comunitarie, nel decreto legislativo di recepimento delle stesse, in difficoltà interpretative delle norme ivi contenute o in un volontario uso distorto o mancato adempimento alle prescrizioni contenute nella norma. </w:t>
      </w:r>
    </w:p>
    <w:p w:rsidR="00090DC3" w:rsidRPr="00090DC3" w:rsidRDefault="00090DC3" w:rsidP="00090DC3">
      <w:pPr>
        <w:spacing w:line="360" w:lineRule="auto"/>
        <w:jc w:val="both"/>
        <w:rPr>
          <w:rFonts w:ascii="Times New Roman" w:eastAsiaTheme="majorEastAsia" w:hAnsi="Times New Roman" w:cs="Times New Roman"/>
          <w:bCs/>
          <w:sz w:val="24"/>
          <w:szCs w:val="24"/>
          <w:lang w:eastAsia="it-IT"/>
        </w:rPr>
      </w:pPr>
    </w:p>
    <w:p w:rsidR="00090DC3" w:rsidRDefault="00090DC3" w:rsidP="00230B47">
      <w:pPr>
        <w:keepNext/>
        <w:keepLines/>
        <w:numPr>
          <w:ilvl w:val="3"/>
          <w:numId w:val="29"/>
        </w:numPr>
        <w:tabs>
          <w:tab w:val="left" w:pos="426"/>
        </w:tabs>
        <w:spacing w:before="200" w:after="0" w:line="240" w:lineRule="auto"/>
        <w:ind w:left="851" w:hanging="851"/>
        <w:contextualSpacing/>
        <w:outlineLvl w:val="2"/>
        <w:rPr>
          <w:rFonts w:ascii="Times New Roman" w:eastAsiaTheme="majorEastAsia" w:hAnsi="Times New Roman" w:cs="Times New Roman"/>
          <w:b/>
          <w:bCs/>
          <w:sz w:val="24"/>
          <w:szCs w:val="24"/>
          <w:lang w:eastAsia="it-IT"/>
        </w:rPr>
      </w:pPr>
      <w:r w:rsidRPr="008F0BDF">
        <w:rPr>
          <w:rFonts w:ascii="Times New Roman" w:eastAsiaTheme="majorEastAsia" w:hAnsi="Times New Roman" w:cs="Times New Roman"/>
          <w:b/>
          <w:bCs/>
          <w:sz w:val="24"/>
          <w:szCs w:val="24"/>
          <w:lang w:eastAsia="it-IT"/>
        </w:rPr>
        <w:t>La vigilanza nella forma “collaborativa”</w:t>
      </w:r>
    </w:p>
    <w:p w:rsidR="00230B47" w:rsidRPr="008F0BDF" w:rsidRDefault="00230B47" w:rsidP="00230B47">
      <w:pPr>
        <w:keepNext/>
        <w:keepLines/>
        <w:tabs>
          <w:tab w:val="left" w:pos="426"/>
        </w:tabs>
        <w:spacing w:before="200" w:after="0" w:line="240" w:lineRule="auto"/>
        <w:ind w:left="567"/>
        <w:contextualSpacing/>
        <w:outlineLvl w:val="2"/>
        <w:rPr>
          <w:rFonts w:ascii="Times New Roman" w:eastAsiaTheme="majorEastAsia" w:hAnsi="Times New Roman" w:cs="Times New Roman"/>
          <w:b/>
          <w:bCs/>
          <w:sz w:val="24"/>
          <w:szCs w:val="24"/>
          <w:lang w:eastAsia="it-IT"/>
        </w:rPr>
      </w:pPr>
    </w:p>
    <w:p w:rsidR="00090DC3" w:rsidRPr="00090DC3" w:rsidRDefault="00090DC3" w:rsidP="00090DC3">
      <w:pPr>
        <w:spacing w:after="0" w:line="360" w:lineRule="auto"/>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 xml:space="preserve">La vigilanza collaborativa rappresenta una forma particolare di verifica preventiva, volta a rafforzare e assicurare la correttezza e la trasparenza delle procedure di affidamento poste in essere dalle stazioni appaltanti, a ridurre il rischio di contenzioso in corso di esecuzione, con efficacia dissuasiva di condotte corruttive o, comunque, contrastanti con le disposizioni di settore. </w:t>
      </w:r>
    </w:p>
    <w:p w:rsidR="00090DC3" w:rsidRPr="00090DC3" w:rsidRDefault="00090DC3" w:rsidP="00090DC3">
      <w:pPr>
        <w:spacing w:after="0" w:line="360" w:lineRule="auto"/>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lastRenderedPageBreak/>
        <w:t xml:space="preserve">Nel periodo compreso tra gennaio 2017 a marzo 2018, sono stati sottoscritti 15 nuovi protocolli di azione per lo svolgimento della vigilanza collaborativa con altrettante stazioni appaltanti e l’attività di vigilanza collaborativa ha riguardato complessivamente 58 procedure di gara. </w:t>
      </w:r>
    </w:p>
    <w:p w:rsidR="00090DC3" w:rsidRPr="00090DC3" w:rsidRDefault="00090DC3" w:rsidP="00090DC3">
      <w:pPr>
        <w:spacing w:after="0" w:line="360" w:lineRule="auto"/>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Nella tabella 19 si fornisce un quadro dei protocolli stipulati a partire dall’anno 2015.</w:t>
      </w:r>
    </w:p>
    <w:p w:rsidR="00090DC3" w:rsidRPr="00090DC3" w:rsidRDefault="00090DC3" w:rsidP="00090DC3">
      <w:pPr>
        <w:spacing w:after="0" w:line="360" w:lineRule="auto"/>
        <w:jc w:val="both"/>
        <w:rPr>
          <w:rFonts w:ascii="Garamond" w:eastAsiaTheme="majorEastAsia" w:hAnsi="Garamond" w:cstheme="majorBidi"/>
          <w:bCs/>
          <w:sz w:val="25"/>
          <w:szCs w:val="25"/>
          <w:lang w:eastAsia="it-IT"/>
        </w:rPr>
      </w:pPr>
    </w:p>
    <w:p w:rsidR="00090DC3" w:rsidRPr="00090DC3" w:rsidRDefault="00090DC3" w:rsidP="00090DC3">
      <w:pPr>
        <w:spacing w:after="0" w:line="360" w:lineRule="auto"/>
        <w:jc w:val="both"/>
        <w:rPr>
          <w:rFonts w:ascii="Garamond" w:eastAsiaTheme="majorEastAsia" w:hAnsi="Garamond" w:cstheme="majorBidi"/>
          <w:bCs/>
          <w:sz w:val="25"/>
          <w:szCs w:val="25"/>
          <w:lang w:eastAsia="it-IT"/>
        </w:rPr>
      </w:pPr>
    </w:p>
    <w:p w:rsidR="00090DC3" w:rsidRPr="00090DC3" w:rsidRDefault="00090DC3" w:rsidP="00090DC3">
      <w:pPr>
        <w:spacing w:after="0" w:line="360" w:lineRule="auto"/>
        <w:jc w:val="center"/>
        <w:rPr>
          <w:rFonts w:ascii="Garamond" w:eastAsiaTheme="majorEastAsia" w:hAnsi="Garamond" w:cstheme="majorBidi"/>
          <w:b/>
          <w:bCs/>
          <w:sz w:val="25"/>
          <w:szCs w:val="25"/>
          <w:lang w:eastAsia="it-IT"/>
        </w:rPr>
      </w:pPr>
      <w:r w:rsidRPr="00090DC3">
        <w:rPr>
          <w:rFonts w:ascii="Garamond" w:eastAsiaTheme="majorEastAsia" w:hAnsi="Garamond" w:cstheme="majorBidi"/>
          <w:b/>
          <w:bCs/>
          <w:sz w:val="25"/>
          <w:szCs w:val="25"/>
          <w:lang w:eastAsia="it-IT"/>
        </w:rPr>
        <w:t xml:space="preserve">Tabella 19 – Protocolli di vigilanza collaborativa </w:t>
      </w:r>
    </w:p>
    <w:tbl>
      <w:tblPr>
        <w:tblW w:w="4818" w:type="pct"/>
        <w:jc w:val="cente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1985"/>
        <w:gridCol w:w="1685"/>
        <w:gridCol w:w="1834"/>
        <w:gridCol w:w="1834"/>
        <w:gridCol w:w="2157"/>
      </w:tblGrid>
      <w:tr w:rsidR="00090DC3" w:rsidRPr="00090DC3" w:rsidTr="00BD36D2">
        <w:trPr>
          <w:cantSplit/>
          <w:trHeight w:val="1793"/>
          <w:jc w:val="center"/>
        </w:trPr>
        <w:tc>
          <w:tcPr>
            <w:tcW w:w="1045" w:type="pct"/>
            <w:tcBorders>
              <w:bottom w:val="single" w:sz="8" w:space="0" w:color="7BA0CD"/>
            </w:tcBorders>
            <w:shd w:val="clear" w:color="auto" w:fill="365F91"/>
            <w:vAlign w:val="center"/>
          </w:tcPr>
          <w:p w:rsidR="00090DC3" w:rsidRPr="00090DC3" w:rsidRDefault="00090DC3" w:rsidP="00090DC3">
            <w:pPr>
              <w:spacing w:after="0" w:line="200" w:lineRule="exact"/>
              <w:jc w:val="center"/>
              <w:rPr>
                <w:rFonts w:ascii="Garamond" w:eastAsia="Times New Roman" w:hAnsi="Garamond" w:cs="Times New Roman"/>
                <w:b/>
                <w:bCs/>
                <w:color w:val="FFFFFF"/>
                <w:sz w:val="20"/>
                <w:szCs w:val="20"/>
                <w:lang w:eastAsia="it-IT"/>
              </w:rPr>
            </w:pPr>
            <w:r w:rsidRPr="00090DC3">
              <w:rPr>
                <w:rFonts w:ascii="Garamond" w:eastAsia="Times New Roman" w:hAnsi="Garamond" w:cs="Times New Roman"/>
                <w:b/>
                <w:bCs/>
                <w:color w:val="FFFFFF"/>
                <w:sz w:val="20"/>
                <w:szCs w:val="20"/>
                <w:lang w:eastAsia="it-IT"/>
              </w:rPr>
              <w:t>Periodo di riferimento</w:t>
            </w:r>
          </w:p>
        </w:tc>
        <w:tc>
          <w:tcPr>
            <w:tcW w:w="887" w:type="pct"/>
            <w:tcBorders>
              <w:bottom w:val="single" w:sz="8" w:space="0" w:color="7BA0CD"/>
              <w:right w:val="single" w:sz="8" w:space="0" w:color="7BA0CD"/>
            </w:tcBorders>
            <w:shd w:val="clear" w:color="auto" w:fill="365F91"/>
            <w:vAlign w:val="center"/>
          </w:tcPr>
          <w:p w:rsidR="00090DC3" w:rsidRPr="00090DC3" w:rsidRDefault="00090DC3" w:rsidP="00090DC3">
            <w:pPr>
              <w:spacing w:after="0" w:line="200" w:lineRule="exact"/>
              <w:jc w:val="center"/>
              <w:rPr>
                <w:rFonts w:ascii="Garamond" w:eastAsia="Times New Roman" w:hAnsi="Garamond" w:cs="Times New Roman"/>
                <w:b/>
                <w:bCs/>
                <w:color w:val="FFFFFF"/>
                <w:sz w:val="20"/>
                <w:szCs w:val="20"/>
                <w:lang w:eastAsia="it-IT"/>
              </w:rPr>
            </w:pPr>
            <w:r w:rsidRPr="00090DC3">
              <w:rPr>
                <w:rFonts w:ascii="Garamond" w:eastAsia="Times New Roman" w:hAnsi="Garamond" w:cs="Times New Roman"/>
                <w:b/>
                <w:bCs/>
                <w:color w:val="FFFFFF"/>
                <w:sz w:val="20"/>
                <w:szCs w:val="20"/>
                <w:lang w:eastAsia="it-IT"/>
              </w:rPr>
              <w:t>Numero Protocolli  di Vigilanza Collaborativa</w:t>
            </w:r>
          </w:p>
        </w:tc>
        <w:tc>
          <w:tcPr>
            <w:tcW w:w="966" w:type="pct"/>
            <w:tcBorders>
              <w:bottom w:val="single" w:sz="8" w:space="0" w:color="7BA0CD"/>
            </w:tcBorders>
            <w:shd w:val="clear" w:color="auto" w:fill="365F91"/>
            <w:vAlign w:val="center"/>
          </w:tcPr>
          <w:p w:rsidR="00090DC3" w:rsidRPr="00090DC3" w:rsidRDefault="00090DC3" w:rsidP="00090DC3">
            <w:pPr>
              <w:spacing w:after="0" w:line="200" w:lineRule="exact"/>
              <w:jc w:val="center"/>
              <w:rPr>
                <w:rFonts w:ascii="Garamond" w:eastAsia="Times New Roman" w:hAnsi="Garamond" w:cs="Times New Roman"/>
                <w:b/>
                <w:bCs/>
                <w:color w:val="FFFFFF"/>
                <w:sz w:val="20"/>
                <w:szCs w:val="20"/>
                <w:lang w:eastAsia="it-IT"/>
              </w:rPr>
            </w:pPr>
            <w:r w:rsidRPr="00090DC3">
              <w:rPr>
                <w:rFonts w:ascii="Garamond" w:eastAsia="Times New Roman" w:hAnsi="Garamond" w:cs="Times New Roman"/>
                <w:b/>
                <w:bCs/>
                <w:color w:val="FFFFFF"/>
                <w:sz w:val="20"/>
                <w:szCs w:val="20"/>
                <w:lang w:eastAsia="it-IT"/>
              </w:rPr>
              <w:t>Variazione Percentuale Annua del numero di Protocolli di Vigilanza Collaborativa</w:t>
            </w:r>
          </w:p>
        </w:tc>
        <w:tc>
          <w:tcPr>
            <w:tcW w:w="966" w:type="pct"/>
            <w:tcBorders>
              <w:bottom w:val="single" w:sz="8" w:space="0" w:color="7BA0CD"/>
              <w:right w:val="single" w:sz="8" w:space="0" w:color="7BA0CD"/>
            </w:tcBorders>
            <w:shd w:val="clear" w:color="auto" w:fill="365F91"/>
            <w:vAlign w:val="center"/>
          </w:tcPr>
          <w:p w:rsidR="00090DC3" w:rsidRPr="00090DC3" w:rsidRDefault="00090DC3" w:rsidP="00090DC3">
            <w:pPr>
              <w:spacing w:after="0" w:line="200" w:lineRule="exact"/>
              <w:jc w:val="center"/>
              <w:rPr>
                <w:rFonts w:ascii="Garamond" w:eastAsia="Times New Roman" w:hAnsi="Garamond" w:cs="Times New Roman"/>
                <w:b/>
                <w:bCs/>
                <w:color w:val="FFFFFF"/>
                <w:sz w:val="20"/>
                <w:szCs w:val="20"/>
                <w:lang w:eastAsia="it-IT"/>
              </w:rPr>
            </w:pPr>
            <w:r w:rsidRPr="00090DC3">
              <w:rPr>
                <w:rFonts w:ascii="Garamond" w:eastAsia="Times New Roman" w:hAnsi="Garamond" w:cs="Times New Roman"/>
                <w:b/>
                <w:bCs/>
                <w:color w:val="FFFFFF"/>
                <w:sz w:val="20"/>
                <w:szCs w:val="20"/>
                <w:lang w:eastAsia="it-IT"/>
              </w:rPr>
              <w:t>Numero Procedure Esaminate</w:t>
            </w:r>
          </w:p>
        </w:tc>
        <w:tc>
          <w:tcPr>
            <w:tcW w:w="1136" w:type="pct"/>
            <w:tcBorders>
              <w:bottom w:val="single" w:sz="8" w:space="0" w:color="7BA0CD"/>
              <w:right w:val="single" w:sz="8" w:space="0" w:color="7BA0CD"/>
            </w:tcBorders>
            <w:shd w:val="clear" w:color="auto" w:fill="365F91"/>
            <w:vAlign w:val="center"/>
          </w:tcPr>
          <w:p w:rsidR="00090DC3" w:rsidRPr="00090DC3" w:rsidRDefault="00090DC3" w:rsidP="00090DC3">
            <w:pPr>
              <w:spacing w:after="0" w:line="200" w:lineRule="exact"/>
              <w:jc w:val="center"/>
              <w:rPr>
                <w:rFonts w:ascii="Garamond" w:eastAsia="Times New Roman" w:hAnsi="Garamond" w:cs="Times New Roman"/>
                <w:b/>
                <w:bCs/>
                <w:color w:val="FFFFFF"/>
                <w:sz w:val="20"/>
                <w:szCs w:val="20"/>
                <w:lang w:eastAsia="it-IT"/>
              </w:rPr>
            </w:pPr>
            <w:r w:rsidRPr="00090DC3">
              <w:rPr>
                <w:rFonts w:ascii="Garamond" w:eastAsia="Times New Roman" w:hAnsi="Garamond" w:cs="Times New Roman"/>
                <w:b/>
                <w:bCs/>
                <w:color w:val="FFFFFF"/>
                <w:sz w:val="20"/>
                <w:szCs w:val="20"/>
                <w:lang w:eastAsia="it-IT"/>
              </w:rPr>
              <w:t>Variazione Percentuale Annua del numero di procedure esaminate</w:t>
            </w:r>
          </w:p>
        </w:tc>
      </w:tr>
      <w:tr w:rsidR="00090DC3" w:rsidRPr="00090DC3" w:rsidTr="00BD36D2">
        <w:trPr>
          <w:cantSplit/>
          <w:trHeight w:val="1100"/>
          <w:jc w:val="center"/>
        </w:trPr>
        <w:tc>
          <w:tcPr>
            <w:tcW w:w="1045" w:type="pct"/>
            <w:shd w:val="clear" w:color="auto" w:fill="8DB3E2" w:themeFill="text2" w:themeFillTint="66"/>
            <w:vAlign w:val="center"/>
          </w:tcPr>
          <w:p w:rsidR="00090DC3" w:rsidRPr="00090DC3" w:rsidRDefault="00090DC3" w:rsidP="00090DC3">
            <w:pPr>
              <w:spacing w:after="0" w:line="240" w:lineRule="auto"/>
              <w:jc w:val="center"/>
              <w:rPr>
                <w:rFonts w:ascii="Garamond" w:eastAsia="Times New Roman" w:hAnsi="Garamond" w:cs="Times New Roman"/>
                <w:bCs/>
                <w:color w:val="000000"/>
                <w:sz w:val="20"/>
                <w:szCs w:val="20"/>
                <w:lang w:eastAsia="it-IT"/>
              </w:rPr>
            </w:pPr>
            <w:r w:rsidRPr="00090DC3">
              <w:rPr>
                <w:rFonts w:ascii="Garamond" w:eastAsia="Times New Roman" w:hAnsi="Garamond" w:cs="Times New Roman"/>
                <w:bCs/>
                <w:color w:val="000000"/>
                <w:sz w:val="20"/>
                <w:szCs w:val="20"/>
                <w:lang w:eastAsia="it-IT"/>
              </w:rPr>
              <w:t>2015</w:t>
            </w:r>
          </w:p>
        </w:tc>
        <w:tc>
          <w:tcPr>
            <w:tcW w:w="887" w:type="pct"/>
            <w:tcBorders>
              <w:right w:val="single" w:sz="8" w:space="0" w:color="7BA0CD"/>
            </w:tcBorders>
            <w:shd w:val="clear" w:color="auto" w:fill="8DB3E2" w:themeFill="text2" w:themeFillTint="66"/>
            <w:vAlign w:val="center"/>
          </w:tcPr>
          <w:p w:rsidR="00090DC3" w:rsidRPr="00090DC3" w:rsidRDefault="00090DC3" w:rsidP="00090DC3">
            <w:pPr>
              <w:spacing w:after="0" w:line="240" w:lineRule="auto"/>
              <w:ind w:left="720"/>
              <w:contextualSpacing/>
              <w:rPr>
                <w:rFonts w:ascii="Garamond" w:eastAsia="Times New Roman" w:hAnsi="Garamond" w:cs="Times New Roman"/>
                <w:sz w:val="20"/>
                <w:szCs w:val="20"/>
                <w:lang w:eastAsia="it-IT"/>
              </w:rPr>
            </w:pPr>
            <w:r w:rsidRPr="00090DC3">
              <w:rPr>
                <w:rFonts w:ascii="Garamond" w:eastAsia="Times New Roman" w:hAnsi="Garamond" w:cs="Times New Roman"/>
                <w:sz w:val="20"/>
                <w:szCs w:val="20"/>
                <w:lang w:eastAsia="it-IT"/>
              </w:rPr>
              <w:t>16</w:t>
            </w:r>
          </w:p>
        </w:tc>
        <w:tc>
          <w:tcPr>
            <w:tcW w:w="966" w:type="pct"/>
            <w:shd w:val="clear" w:color="auto" w:fill="8DB3E2" w:themeFill="text2" w:themeFillTint="66"/>
            <w:vAlign w:val="center"/>
          </w:tcPr>
          <w:p w:rsidR="00090DC3" w:rsidRPr="00090DC3" w:rsidRDefault="00090DC3" w:rsidP="00090DC3">
            <w:pPr>
              <w:spacing w:after="0" w:line="240" w:lineRule="auto"/>
              <w:jc w:val="center"/>
              <w:rPr>
                <w:rFonts w:ascii="Garamond" w:eastAsia="Times New Roman" w:hAnsi="Garamond" w:cs="Times New Roman"/>
                <w:sz w:val="20"/>
                <w:szCs w:val="20"/>
                <w:lang w:eastAsia="it-IT"/>
              </w:rPr>
            </w:pPr>
          </w:p>
          <w:p w:rsidR="00090DC3" w:rsidRPr="00090DC3" w:rsidRDefault="00090DC3" w:rsidP="00090DC3">
            <w:pPr>
              <w:spacing w:after="0" w:line="240" w:lineRule="auto"/>
              <w:jc w:val="center"/>
              <w:rPr>
                <w:rFonts w:ascii="Garamond" w:eastAsia="Times New Roman" w:hAnsi="Garamond" w:cs="Times New Roman"/>
                <w:sz w:val="20"/>
                <w:szCs w:val="20"/>
                <w:lang w:eastAsia="it-IT"/>
              </w:rPr>
            </w:pPr>
            <w:r w:rsidRPr="00090DC3">
              <w:rPr>
                <w:rFonts w:ascii="Garamond" w:eastAsia="Times New Roman" w:hAnsi="Garamond" w:cs="Times New Roman"/>
                <w:sz w:val="20"/>
                <w:szCs w:val="20"/>
                <w:lang w:eastAsia="it-IT"/>
              </w:rPr>
              <w:t>----------</w:t>
            </w:r>
          </w:p>
        </w:tc>
        <w:tc>
          <w:tcPr>
            <w:tcW w:w="966" w:type="pct"/>
            <w:tcBorders>
              <w:right w:val="single" w:sz="8" w:space="0" w:color="7BA0CD"/>
            </w:tcBorders>
            <w:shd w:val="clear" w:color="auto" w:fill="8DB3E2" w:themeFill="text2" w:themeFillTint="66"/>
            <w:vAlign w:val="center"/>
          </w:tcPr>
          <w:p w:rsidR="00090DC3" w:rsidRPr="00090DC3" w:rsidRDefault="00090DC3" w:rsidP="00090DC3">
            <w:pPr>
              <w:spacing w:after="0" w:line="240" w:lineRule="auto"/>
              <w:jc w:val="center"/>
              <w:rPr>
                <w:rFonts w:ascii="Garamond" w:eastAsia="Times New Roman" w:hAnsi="Garamond" w:cs="Times New Roman"/>
                <w:sz w:val="20"/>
                <w:szCs w:val="20"/>
                <w:lang w:eastAsia="it-IT"/>
              </w:rPr>
            </w:pPr>
            <w:r w:rsidRPr="00090DC3">
              <w:rPr>
                <w:rFonts w:ascii="Garamond" w:eastAsia="Times New Roman" w:hAnsi="Garamond" w:cs="Times New Roman"/>
                <w:sz w:val="20"/>
                <w:szCs w:val="20"/>
                <w:lang w:eastAsia="it-IT"/>
              </w:rPr>
              <w:t>29</w:t>
            </w:r>
          </w:p>
        </w:tc>
        <w:tc>
          <w:tcPr>
            <w:tcW w:w="1136" w:type="pct"/>
            <w:tcBorders>
              <w:right w:val="single" w:sz="8" w:space="0" w:color="7BA0CD"/>
            </w:tcBorders>
            <w:shd w:val="clear" w:color="auto" w:fill="8DB3E2" w:themeFill="text2" w:themeFillTint="66"/>
            <w:vAlign w:val="center"/>
          </w:tcPr>
          <w:p w:rsidR="00090DC3" w:rsidRPr="00090DC3" w:rsidRDefault="00090DC3" w:rsidP="00090DC3">
            <w:pPr>
              <w:spacing w:after="0" w:line="240" w:lineRule="auto"/>
              <w:jc w:val="center"/>
              <w:rPr>
                <w:rFonts w:ascii="Garamond" w:eastAsia="Times New Roman" w:hAnsi="Garamond" w:cs="Times New Roman"/>
                <w:sz w:val="20"/>
                <w:szCs w:val="20"/>
                <w:lang w:eastAsia="it-IT"/>
              </w:rPr>
            </w:pPr>
            <w:r w:rsidRPr="00090DC3">
              <w:rPr>
                <w:rFonts w:ascii="Garamond" w:eastAsia="Times New Roman" w:hAnsi="Garamond" w:cs="Times New Roman"/>
                <w:sz w:val="20"/>
                <w:szCs w:val="20"/>
                <w:lang w:eastAsia="it-IT"/>
              </w:rPr>
              <w:t>Anno di istituzione</w:t>
            </w:r>
          </w:p>
          <w:p w:rsidR="00090DC3" w:rsidRPr="00090DC3" w:rsidRDefault="00090DC3" w:rsidP="00090DC3">
            <w:pPr>
              <w:spacing w:after="0" w:line="240" w:lineRule="auto"/>
              <w:jc w:val="center"/>
              <w:rPr>
                <w:rFonts w:ascii="Garamond" w:eastAsia="Times New Roman" w:hAnsi="Garamond" w:cs="Times New Roman"/>
                <w:sz w:val="20"/>
                <w:szCs w:val="20"/>
                <w:lang w:eastAsia="it-IT"/>
              </w:rPr>
            </w:pPr>
            <w:r w:rsidRPr="00090DC3">
              <w:rPr>
                <w:rFonts w:ascii="Garamond" w:eastAsia="Times New Roman" w:hAnsi="Garamond" w:cs="Times New Roman"/>
                <w:sz w:val="20"/>
                <w:szCs w:val="20"/>
                <w:lang w:eastAsia="it-IT"/>
              </w:rPr>
              <w:t>della vigilanza collaborativa</w:t>
            </w:r>
          </w:p>
          <w:p w:rsidR="00090DC3" w:rsidRPr="00090DC3" w:rsidRDefault="00090DC3" w:rsidP="00090DC3">
            <w:pPr>
              <w:spacing w:after="0" w:line="240" w:lineRule="auto"/>
              <w:jc w:val="center"/>
              <w:rPr>
                <w:rFonts w:ascii="Garamond" w:eastAsia="Times New Roman" w:hAnsi="Garamond" w:cs="Times New Roman"/>
                <w:sz w:val="20"/>
                <w:szCs w:val="20"/>
                <w:lang w:eastAsia="it-IT"/>
              </w:rPr>
            </w:pPr>
          </w:p>
        </w:tc>
      </w:tr>
      <w:tr w:rsidR="00090DC3" w:rsidRPr="00090DC3" w:rsidTr="00BD36D2">
        <w:trPr>
          <w:cantSplit/>
          <w:trHeight w:val="455"/>
          <w:jc w:val="center"/>
        </w:trPr>
        <w:tc>
          <w:tcPr>
            <w:tcW w:w="1045" w:type="pct"/>
            <w:tcBorders>
              <w:bottom w:val="single" w:sz="8" w:space="0" w:color="7BA0CD"/>
            </w:tcBorders>
            <w:shd w:val="clear" w:color="auto" w:fill="D3DFEE"/>
            <w:vAlign w:val="center"/>
          </w:tcPr>
          <w:p w:rsidR="00090DC3" w:rsidRPr="00090DC3" w:rsidRDefault="00090DC3" w:rsidP="00090DC3">
            <w:pPr>
              <w:spacing w:after="0" w:line="240" w:lineRule="auto"/>
              <w:jc w:val="center"/>
              <w:rPr>
                <w:rFonts w:ascii="Garamond" w:eastAsia="Calibri" w:hAnsi="Garamond" w:cs="Times New Roman"/>
                <w:sz w:val="20"/>
                <w:szCs w:val="20"/>
                <w:lang w:eastAsia="it-IT"/>
              </w:rPr>
            </w:pPr>
            <w:r w:rsidRPr="00090DC3">
              <w:rPr>
                <w:rFonts w:ascii="Garamond" w:eastAsia="Calibri" w:hAnsi="Garamond" w:cs="Times New Roman"/>
                <w:sz w:val="20"/>
                <w:szCs w:val="20"/>
                <w:lang w:eastAsia="it-IT"/>
              </w:rPr>
              <w:t>2016</w:t>
            </w:r>
          </w:p>
        </w:tc>
        <w:tc>
          <w:tcPr>
            <w:tcW w:w="887" w:type="pct"/>
            <w:tcBorders>
              <w:bottom w:val="single" w:sz="8" w:space="0" w:color="7BA0CD"/>
              <w:right w:val="single" w:sz="8" w:space="0" w:color="7BA0CD"/>
            </w:tcBorders>
            <w:shd w:val="clear" w:color="auto" w:fill="D3DFEE"/>
            <w:vAlign w:val="center"/>
          </w:tcPr>
          <w:p w:rsidR="00090DC3" w:rsidRPr="00090DC3" w:rsidRDefault="00090DC3" w:rsidP="00090DC3">
            <w:pPr>
              <w:spacing w:after="0" w:line="240" w:lineRule="auto"/>
              <w:jc w:val="center"/>
              <w:rPr>
                <w:rFonts w:ascii="Garamond" w:eastAsia="Times New Roman" w:hAnsi="Garamond" w:cs="Times New Roman"/>
                <w:sz w:val="20"/>
                <w:szCs w:val="20"/>
                <w:lang w:eastAsia="it-IT"/>
              </w:rPr>
            </w:pPr>
            <w:r w:rsidRPr="00090DC3">
              <w:rPr>
                <w:rFonts w:ascii="Garamond" w:eastAsia="Times New Roman" w:hAnsi="Garamond" w:cs="Times New Roman"/>
                <w:sz w:val="20"/>
                <w:szCs w:val="20"/>
                <w:lang w:eastAsia="it-IT"/>
              </w:rPr>
              <w:t>27</w:t>
            </w:r>
          </w:p>
        </w:tc>
        <w:tc>
          <w:tcPr>
            <w:tcW w:w="966" w:type="pct"/>
            <w:tcBorders>
              <w:bottom w:val="single" w:sz="8" w:space="0" w:color="7BA0CD"/>
            </w:tcBorders>
            <w:shd w:val="clear" w:color="auto" w:fill="D3DFEE"/>
            <w:vAlign w:val="center"/>
          </w:tcPr>
          <w:p w:rsidR="00090DC3" w:rsidRPr="00090DC3" w:rsidRDefault="00090DC3" w:rsidP="00090DC3">
            <w:pPr>
              <w:spacing w:after="0" w:line="240" w:lineRule="auto"/>
              <w:jc w:val="center"/>
              <w:rPr>
                <w:rFonts w:ascii="Garamond" w:eastAsia="Times New Roman" w:hAnsi="Garamond" w:cs="Times New Roman"/>
                <w:sz w:val="20"/>
                <w:szCs w:val="20"/>
                <w:lang w:eastAsia="it-IT"/>
              </w:rPr>
            </w:pPr>
            <w:r w:rsidRPr="00090DC3">
              <w:rPr>
                <w:rFonts w:ascii="Garamond" w:eastAsia="Times New Roman" w:hAnsi="Garamond" w:cs="Times New Roman"/>
                <w:sz w:val="20"/>
                <w:szCs w:val="20"/>
                <w:lang w:eastAsia="it-IT"/>
              </w:rPr>
              <w:t>+   69%</w:t>
            </w:r>
          </w:p>
        </w:tc>
        <w:tc>
          <w:tcPr>
            <w:tcW w:w="966" w:type="pct"/>
            <w:tcBorders>
              <w:bottom w:val="single" w:sz="8" w:space="0" w:color="7BA0CD"/>
              <w:right w:val="single" w:sz="8" w:space="0" w:color="7BA0CD"/>
            </w:tcBorders>
            <w:shd w:val="clear" w:color="auto" w:fill="D3DFEE"/>
            <w:vAlign w:val="center"/>
          </w:tcPr>
          <w:p w:rsidR="00090DC3" w:rsidRPr="00090DC3" w:rsidRDefault="00090DC3" w:rsidP="00090DC3">
            <w:pPr>
              <w:spacing w:after="0" w:line="240" w:lineRule="auto"/>
              <w:jc w:val="center"/>
              <w:rPr>
                <w:rFonts w:ascii="Garamond" w:eastAsia="Times New Roman" w:hAnsi="Garamond" w:cs="Times New Roman"/>
                <w:sz w:val="20"/>
                <w:szCs w:val="20"/>
                <w:lang w:eastAsia="it-IT"/>
              </w:rPr>
            </w:pPr>
            <w:r w:rsidRPr="00090DC3">
              <w:rPr>
                <w:rFonts w:ascii="Garamond" w:eastAsia="Times New Roman" w:hAnsi="Garamond" w:cs="Times New Roman"/>
                <w:sz w:val="20"/>
                <w:szCs w:val="20"/>
                <w:lang w:eastAsia="it-IT"/>
              </w:rPr>
              <w:t>49</w:t>
            </w:r>
          </w:p>
        </w:tc>
        <w:tc>
          <w:tcPr>
            <w:tcW w:w="1136" w:type="pct"/>
            <w:tcBorders>
              <w:bottom w:val="single" w:sz="8" w:space="0" w:color="7BA0CD"/>
              <w:right w:val="single" w:sz="8" w:space="0" w:color="7BA0CD"/>
            </w:tcBorders>
            <w:shd w:val="clear" w:color="auto" w:fill="D3DFEE"/>
            <w:vAlign w:val="center"/>
          </w:tcPr>
          <w:p w:rsidR="00090DC3" w:rsidRPr="00090DC3" w:rsidRDefault="00090DC3" w:rsidP="00090DC3">
            <w:pPr>
              <w:spacing w:after="0" w:line="240" w:lineRule="auto"/>
              <w:jc w:val="center"/>
              <w:rPr>
                <w:rFonts w:ascii="Garamond" w:eastAsia="Times New Roman" w:hAnsi="Garamond" w:cs="Times New Roman"/>
                <w:sz w:val="20"/>
                <w:szCs w:val="20"/>
                <w:lang w:eastAsia="it-IT"/>
              </w:rPr>
            </w:pPr>
            <w:r w:rsidRPr="00090DC3">
              <w:rPr>
                <w:rFonts w:ascii="Garamond" w:eastAsia="Times New Roman" w:hAnsi="Garamond" w:cs="Times New Roman"/>
                <w:sz w:val="20"/>
                <w:szCs w:val="20"/>
                <w:lang w:eastAsia="it-IT"/>
              </w:rPr>
              <w:t>+ 69%</w:t>
            </w:r>
          </w:p>
        </w:tc>
      </w:tr>
      <w:tr w:rsidR="00090DC3" w:rsidRPr="00090DC3" w:rsidTr="00BD36D2">
        <w:trPr>
          <w:cantSplit/>
          <w:trHeight w:val="455"/>
          <w:jc w:val="center"/>
        </w:trPr>
        <w:tc>
          <w:tcPr>
            <w:tcW w:w="1045" w:type="pct"/>
            <w:shd w:val="clear" w:color="auto" w:fill="8DB3E2" w:themeFill="text2" w:themeFillTint="66"/>
            <w:vAlign w:val="center"/>
          </w:tcPr>
          <w:p w:rsidR="00090DC3" w:rsidRPr="00090DC3" w:rsidRDefault="00090DC3" w:rsidP="00090DC3">
            <w:pPr>
              <w:spacing w:after="0" w:line="240" w:lineRule="auto"/>
              <w:jc w:val="center"/>
              <w:rPr>
                <w:rFonts w:ascii="Garamond" w:eastAsia="Calibri" w:hAnsi="Garamond" w:cs="Times New Roman"/>
                <w:sz w:val="20"/>
                <w:szCs w:val="20"/>
                <w:lang w:eastAsia="it-IT"/>
              </w:rPr>
            </w:pPr>
            <w:r w:rsidRPr="00090DC3">
              <w:rPr>
                <w:rFonts w:ascii="Garamond" w:eastAsia="Calibri" w:hAnsi="Garamond" w:cs="Times New Roman"/>
                <w:sz w:val="20"/>
                <w:szCs w:val="20"/>
                <w:lang w:eastAsia="it-IT"/>
              </w:rPr>
              <w:t>2017 - marzo 2018</w:t>
            </w:r>
          </w:p>
        </w:tc>
        <w:tc>
          <w:tcPr>
            <w:tcW w:w="887" w:type="pct"/>
            <w:tcBorders>
              <w:right w:val="single" w:sz="8" w:space="0" w:color="7BA0CD"/>
            </w:tcBorders>
            <w:shd w:val="clear" w:color="auto" w:fill="8DB3E2" w:themeFill="text2" w:themeFillTint="66"/>
            <w:vAlign w:val="center"/>
          </w:tcPr>
          <w:p w:rsidR="00090DC3" w:rsidRPr="00090DC3" w:rsidRDefault="00090DC3" w:rsidP="00090DC3">
            <w:pPr>
              <w:spacing w:after="0" w:line="240" w:lineRule="auto"/>
              <w:jc w:val="center"/>
              <w:rPr>
                <w:rFonts w:ascii="Garamond" w:eastAsia="Times New Roman" w:hAnsi="Garamond" w:cs="Times New Roman"/>
                <w:sz w:val="20"/>
                <w:szCs w:val="20"/>
                <w:lang w:eastAsia="it-IT"/>
              </w:rPr>
            </w:pPr>
            <w:r w:rsidRPr="00090DC3">
              <w:rPr>
                <w:rFonts w:ascii="Garamond" w:eastAsia="Times New Roman" w:hAnsi="Garamond" w:cs="Times New Roman"/>
                <w:color w:val="000000" w:themeColor="text1"/>
                <w:sz w:val="20"/>
                <w:szCs w:val="20"/>
                <w:lang w:eastAsia="it-IT"/>
              </w:rPr>
              <w:t>15</w:t>
            </w:r>
          </w:p>
        </w:tc>
        <w:tc>
          <w:tcPr>
            <w:tcW w:w="966" w:type="pct"/>
            <w:shd w:val="clear" w:color="auto" w:fill="8DB3E2" w:themeFill="text2" w:themeFillTint="66"/>
            <w:vAlign w:val="center"/>
          </w:tcPr>
          <w:p w:rsidR="00090DC3" w:rsidRPr="00090DC3" w:rsidRDefault="00090DC3" w:rsidP="00AA1A94">
            <w:pPr>
              <w:numPr>
                <w:ilvl w:val="0"/>
                <w:numId w:val="13"/>
              </w:numPr>
              <w:spacing w:after="0" w:line="240" w:lineRule="auto"/>
              <w:contextualSpacing/>
              <w:rPr>
                <w:rFonts w:ascii="Garamond" w:eastAsia="Times New Roman" w:hAnsi="Garamond" w:cs="Times New Roman"/>
                <w:sz w:val="20"/>
                <w:szCs w:val="20"/>
                <w:lang w:eastAsia="it-IT"/>
              </w:rPr>
            </w:pPr>
            <w:r w:rsidRPr="00090DC3">
              <w:rPr>
                <w:rFonts w:ascii="Garamond" w:eastAsia="Times New Roman" w:hAnsi="Garamond" w:cs="Times New Roman"/>
                <w:sz w:val="20"/>
                <w:szCs w:val="20"/>
                <w:lang w:eastAsia="it-IT"/>
              </w:rPr>
              <w:t>44%</w:t>
            </w:r>
          </w:p>
        </w:tc>
        <w:tc>
          <w:tcPr>
            <w:tcW w:w="966" w:type="pct"/>
            <w:tcBorders>
              <w:right w:val="single" w:sz="8" w:space="0" w:color="7BA0CD"/>
            </w:tcBorders>
            <w:shd w:val="clear" w:color="auto" w:fill="8DB3E2" w:themeFill="text2" w:themeFillTint="66"/>
            <w:vAlign w:val="center"/>
          </w:tcPr>
          <w:p w:rsidR="00090DC3" w:rsidRPr="00090DC3" w:rsidRDefault="00090DC3" w:rsidP="00090DC3">
            <w:pPr>
              <w:spacing w:after="0" w:line="240" w:lineRule="auto"/>
              <w:jc w:val="center"/>
              <w:rPr>
                <w:rFonts w:ascii="Garamond" w:eastAsia="Times New Roman" w:hAnsi="Garamond" w:cs="Times New Roman"/>
                <w:sz w:val="20"/>
                <w:szCs w:val="20"/>
                <w:lang w:eastAsia="it-IT"/>
              </w:rPr>
            </w:pPr>
            <w:r w:rsidRPr="00090DC3">
              <w:rPr>
                <w:rFonts w:ascii="Garamond" w:eastAsia="Times New Roman" w:hAnsi="Garamond" w:cs="Times New Roman"/>
                <w:color w:val="000000" w:themeColor="text1"/>
                <w:sz w:val="20"/>
                <w:szCs w:val="20"/>
                <w:lang w:eastAsia="it-IT"/>
              </w:rPr>
              <w:t>59</w:t>
            </w:r>
          </w:p>
        </w:tc>
        <w:tc>
          <w:tcPr>
            <w:tcW w:w="1136" w:type="pct"/>
            <w:tcBorders>
              <w:right w:val="single" w:sz="8" w:space="0" w:color="7BA0CD"/>
            </w:tcBorders>
            <w:shd w:val="clear" w:color="auto" w:fill="8DB3E2" w:themeFill="text2" w:themeFillTint="66"/>
            <w:vAlign w:val="center"/>
          </w:tcPr>
          <w:p w:rsidR="00090DC3" w:rsidRPr="00090DC3" w:rsidRDefault="00090DC3" w:rsidP="00090DC3">
            <w:pPr>
              <w:spacing w:after="0" w:line="240" w:lineRule="auto"/>
              <w:jc w:val="center"/>
              <w:rPr>
                <w:rFonts w:ascii="Garamond" w:eastAsia="Times New Roman" w:hAnsi="Garamond" w:cs="Times New Roman"/>
                <w:sz w:val="20"/>
                <w:szCs w:val="20"/>
                <w:lang w:eastAsia="it-IT"/>
              </w:rPr>
            </w:pPr>
            <w:r w:rsidRPr="00090DC3">
              <w:rPr>
                <w:rFonts w:ascii="Garamond" w:eastAsia="Times New Roman" w:hAnsi="Garamond" w:cs="Times New Roman"/>
                <w:sz w:val="20"/>
                <w:szCs w:val="20"/>
                <w:lang w:eastAsia="it-IT"/>
              </w:rPr>
              <w:t>+ 20%</w:t>
            </w:r>
          </w:p>
        </w:tc>
      </w:tr>
      <w:tr w:rsidR="00090DC3" w:rsidRPr="00090DC3" w:rsidTr="00BD36D2">
        <w:trPr>
          <w:cantSplit/>
          <w:trHeight w:val="787"/>
          <w:jc w:val="center"/>
        </w:trPr>
        <w:tc>
          <w:tcPr>
            <w:tcW w:w="1045" w:type="pct"/>
            <w:shd w:val="clear" w:color="auto" w:fill="8DB3E2" w:themeFill="text2" w:themeFillTint="66"/>
            <w:vAlign w:val="center"/>
          </w:tcPr>
          <w:p w:rsidR="00090DC3" w:rsidRPr="00090DC3" w:rsidRDefault="00090DC3" w:rsidP="00090DC3">
            <w:pPr>
              <w:spacing w:after="0" w:line="240" w:lineRule="auto"/>
              <w:jc w:val="center"/>
              <w:rPr>
                <w:rFonts w:ascii="Garamond" w:eastAsia="Times New Roman" w:hAnsi="Garamond" w:cs="Times New Roman"/>
                <w:b/>
                <w:bCs/>
                <w:color w:val="000000"/>
                <w:sz w:val="20"/>
                <w:szCs w:val="20"/>
                <w:lang w:eastAsia="it-IT"/>
              </w:rPr>
            </w:pPr>
            <w:r w:rsidRPr="00090DC3">
              <w:rPr>
                <w:rFonts w:ascii="Garamond" w:eastAsia="Times New Roman" w:hAnsi="Garamond" w:cs="Times New Roman"/>
                <w:b/>
                <w:bCs/>
                <w:color w:val="000000"/>
                <w:sz w:val="20"/>
                <w:szCs w:val="20"/>
                <w:lang w:eastAsia="it-IT"/>
              </w:rPr>
              <w:t>Totale</w:t>
            </w:r>
          </w:p>
        </w:tc>
        <w:tc>
          <w:tcPr>
            <w:tcW w:w="887" w:type="pct"/>
            <w:tcBorders>
              <w:right w:val="single" w:sz="8" w:space="0" w:color="7BA0CD"/>
            </w:tcBorders>
            <w:shd w:val="clear" w:color="auto" w:fill="8DB3E2" w:themeFill="text2" w:themeFillTint="66"/>
            <w:vAlign w:val="center"/>
          </w:tcPr>
          <w:p w:rsidR="00090DC3" w:rsidRPr="00090DC3" w:rsidRDefault="00090DC3" w:rsidP="00090DC3">
            <w:pPr>
              <w:spacing w:after="0" w:line="240" w:lineRule="auto"/>
              <w:jc w:val="center"/>
              <w:rPr>
                <w:rFonts w:ascii="Garamond" w:eastAsia="Times New Roman" w:hAnsi="Garamond" w:cs="Times New Roman"/>
                <w:b/>
                <w:bCs/>
                <w:color w:val="000000"/>
                <w:sz w:val="20"/>
                <w:szCs w:val="20"/>
                <w:lang w:eastAsia="it-IT"/>
              </w:rPr>
            </w:pPr>
            <w:r w:rsidRPr="00090DC3">
              <w:rPr>
                <w:rFonts w:ascii="Garamond" w:eastAsia="Times New Roman" w:hAnsi="Garamond" w:cs="Times New Roman"/>
                <w:b/>
                <w:bCs/>
                <w:color w:val="000000"/>
                <w:sz w:val="20"/>
                <w:szCs w:val="20"/>
                <w:lang w:eastAsia="it-IT"/>
              </w:rPr>
              <w:t>58</w:t>
            </w:r>
          </w:p>
        </w:tc>
        <w:tc>
          <w:tcPr>
            <w:tcW w:w="966" w:type="pct"/>
            <w:shd w:val="clear" w:color="auto" w:fill="8DB3E2" w:themeFill="text2" w:themeFillTint="66"/>
            <w:vAlign w:val="center"/>
          </w:tcPr>
          <w:p w:rsidR="00090DC3" w:rsidRPr="00090DC3" w:rsidRDefault="00090DC3" w:rsidP="00090DC3">
            <w:pPr>
              <w:spacing w:after="0" w:line="240" w:lineRule="auto"/>
              <w:jc w:val="center"/>
              <w:rPr>
                <w:rFonts w:ascii="Garamond" w:eastAsia="Times New Roman" w:hAnsi="Garamond" w:cs="Times New Roman"/>
                <w:b/>
                <w:bCs/>
                <w:color w:val="000000"/>
                <w:sz w:val="20"/>
                <w:szCs w:val="20"/>
                <w:lang w:eastAsia="it-IT"/>
              </w:rPr>
            </w:pPr>
          </w:p>
        </w:tc>
        <w:tc>
          <w:tcPr>
            <w:tcW w:w="966" w:type="pct"/>
            <w:tcBorders>
              <w:right w:val="single" w:sz="8" w:space="0" w:color="7BA0CD"/>
            </w:tcBorders>
            <w:shd w:val="clear" w:color="auto" w:fill="8DB3E2" w:themeFill="text2" w:themeFillTint="66"/>
            <w:vAlign w:val="center"/>
          </w:tcPr>
          <w:p w:rsidR="00090DC3" w:rsidRPr="00090DC3" w:rsidRDefault="00090DC3" w:rsidP="00090DC3">
            <w:pPr>
              <w:spacing w:after="0" w:line="240" w:lineRule="auto"/>
              <w:jc w:val="center"/>
              <w:rPr>
                <w:rFonts w:ascii="Garamond" w:eastAsia="Times New Roman" w:hAnsi="Garamond" w:cs="Times New Roman"/>
                <w:b/>
                <w:bCs/>
                <w:color w:val="000000"/>
                <w:sz w:val="20"/>
                <w:szCs w:val="20"/>
                <w:lang w:eastAsia="it-IT"/>
              </w:rPr>
            </w:pPr>
            <w:r w:rsidRPr="00090DC3">
              <w:rPr>
                <w:rFonts w:ascii="Garamond" w:eastAsia="Times New Roman" w:hAnsi="Garamond" w:cs="Times New Roman"/>
                <w:b/>
                <w:bCs/>
                <w:color w:val="000000"/>
                <w:sz w:val="20"/>
                <w:szCs w:val="20"/>
                <w:lang w:eastAsia="it-IT"/>
              </w:rPr>
              <w:t>137</w:t>
            </w:r>
          </w:p>
        </w:tc>
        <w:tc>
          <w:tcPr>
            <w:tcW w:w="1136" w:type="pct"/>
            <w:tcBorders>
              <w:right w:val="single" w:sz="8" w:space="0" w:color="7BA0CD"/>
            </w:tcBorders>
            <w:shd w:val="clear" w:color="auto" w:fill="8DB3E2" w:themeFill="text2" w:themeFillTint="66"/>
            <w:vAlign w:val="center"/>
          </w:tcPr>
          <w:p w:rsidR="00090DC3" w:rsidRPr="00090DC3" w:rsidRDefault="00090DC3" w:rsidP="00090DC3">
            <w:pPr>
              <w:spacing w:after="0" w:line="240" w:lineRule="auto"/>
              <w:jc w:val="center"/>
              <w:rPr>
                <w:rFonts w:ascii="Garamond" w:eastAsia="Times New Roman" w:hAnsi="Garamond" w:cs="Times New Roman"/>
                <w:b/>
                <w:bCs/>
                <w:color w:val="000000"/>
                <w:sz w:val="20"/>
                <w:szCs w:val="20"/>
                <w:lang w:eastAsia="it-IT"/>
              </w:rPr>
            </w:pPr>
          </w:p>
        </w:tc>
      </w:tr>
    </w:tbl>
    <w:p w:rsidR="00090DC3" w:rsidRPr="00090DC3" w:rsidRDefault="00090DC3" w:rsidP="00090DC3">
      <w:pPr>
        <w:spacing w:after="0" w:line="360" w:lineRule="auto"/>
        <w:jc w:val="both"/>
        <w:rPr>
          <w:rFonts w:ascii="Garamond" w:eastAsiaTheme="majorEastAsia" w:hAnsi="Garamond" w:cstheme="majorBidi"/>
          <w:bCs/>
          <w:sz w:val="25"/>
          <w:szCs w:val="25"/>
          <w:lang w:eastAsia="it-IT"/>
        </w:rPr>
      </w:pPr>
    </w:p>
    <w:p w:rsidR="00090DC3" w:rsidRPr="00090DC3" w:rsidRDefault="00090DC3" w:rsidP="00090DC3">
      <w:pPr>
        <w:spacing w:after="0" w:line="360" w:lineRule="auto"/>
        <w:jc w:val="both"/>
        <w:rPr>
          <w:rFonts w:ascii="Garamond" w:eastAsiaTheme="majorEastAsia" w:hAnsi="Garamond" w:cstheme="majorBidi"/>
          <w:bCs/>
          <w:sz w:val="25"/>
          <w:szCs w:val="25"/>
          <w:lang w:eastAsia="it-IT"/>
        </w:rPr>
      </w:pPr>
    </w:p>
    <w:p w:rsidR="00090DC3" w:rsidRPr="00090DC3" w:rsidRDefault="00090DC3" w:rsidP="00090DC3">
      <w:pPr>
        <w:spacing w:after="0" w:line="360" w:lineRule="auto"/>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L’Autorità ha anche effettuato un’analisi del contenzioso insorto nell’ambito dei contratti sottoposti a vigilanza collaborativa.  È risultato, in primo luogo, che il numero di contenziosi insorti (35) riguarda il 44% del totale dei bandi sottoposti a vigilanza. Tale percentuale, apparentemente elevata, va comunque letta e analizzata in rapporto del valore degli importi a base di gara elevato dei bandi soggetti a vigilanza e in considerazione dell’ulteriore dato relativo alla percentuale di giudizi al termine dei quali la stazione appaltante è risultata soccombente. Infatti, soltanto nell’11% dei casi esaminati sono stati accolti i ricorsi presentati dagli operatori economici.</w:t>
      </w:r>
    </w:p>
    <w:p w:rsidR="00090DC3" w:rsidRPr="00090DC3" w:rsidRDefault="00090DC3" w:rsidP="00090DC3">
      <w:pPr>
        <w:spacing w:after="0" w:line="360" w:lineRule="auto"/>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In sostanza, quindi, nella maggior parte dei ricorsi l’amministrazione aggiudicataria è risultata vittoriosa; infatti, soltanto nove giudizi si sono conclusi con la soccombenza dell’amministrazione su un totale di 35 ricorsi e su un totale di 12 istanze cautelari presentate, 7 sono state accolte dal giudice amministrativo. Si può pertanto ritenere che la vigilanza collaborativa abbia esplicato concretamente i propri effetti poiché, sebbene non abbia del tutto eliminato il contenzioso in fase di gara, la circostanza che le controversie insorte si siano risolt</w:t>
      </w:r>
      <w:r w:rsidR="00356A5A">
        <w:rPr>
          <w:rFonts w:ascii="Times New Roman" w:eastAsiaTheme="majorEastAsia" w:hAnsi="Times New Roman" w:cs="Times New Roman"/>
          <w:bCs/>
          <w:sz w:val="24"/>
          <w:szCs w:val="24"/>
          <w:lang w:eastAsia="it-IT"/>
        </w:rPr>
        <w:t>e</w:t>
      </w:r>
      <w:r w:rsidRPr="00090DC3">
        <w:rPr>
          <w:rFonts w:ascii="Times New Roman" w:eastAsiaTheme="majorEastAsia" w:hAnsi="Times New Roman" w:cs="Times New Roman"/>
          <w:bCs/>
          <w:sz w:val="24"/>
          <w:szCs w:val="24"/>
          <w:lang w:eastAsia="it-IT"/>
        </w:rPr>
        <w:t xml:space="preserve"> in favore dell’amministrazione indica </w:t>
      </w:r>
      <w:r w:rsidRPr="00090DC3">
        <w:rPr>
          <w:rFonts w:ascii="Times New Roman" w:eastAsiaTheme="majorEastAsia" w:hAnsi="Times New Roman" w:cs="Times New Roman"/>
          <w:bCs/>
          <w:sz w:val="24"/>
          <w:szCs w:val="24"/>
          <w:lang w:eastAsia="it-IT"/>
        </w:rPr>
        <w:lastRenderedPageBreak/>
        <w:t>che la documentazione di gara è stata correttamente redatta sulla base dell’ausilio fornito dall’ANAC</w:t>
      </w:r>
    </w:p>
    <w:p w:rsidR="00090DC3" w:rsidRPr="00090DC3" w:rsidRDefault="00090DC3" w:rsidP="00090DC3">
      <w:pPr>
        <w:spacing w:after="0" w:line="360" w:lineRule="auto"/>
        <w:jc w:val="both"/>
        <w:rPr>
          <w:rFonts w:ascii="Times New Roman" w:eastAsiaTheme="majorEastAsia" w:hAnsi="Times New Roman" w:cs="Times New Roman"/>
          <w:b/>
          <w:bCs/>
          <w:sz w:val="24"/>
          <w:szCs w:val="24"/>
          <w:lang w:eastAsia="it-IT"/>
        </w:rPr>
      </w:pPr>
    </w:p>
    <w:p w:rsidR="00090DC3" w:rsidRDefault="00090DC3" w:rsidP="00CF25A9">
      <w:pPr>
        <w:keepNext/>
        <w:keepLines/>
        <w:numPr>
          <w:ilvl w:val="2"/>
          <w:numId w:val="28"/>
        </w:numPr>
        <w:tabs>
          <w:tab w:val="left" w:pos="426"/>
        </w:tabs>
        <w:spacing w:before="200" w:after="0" w:line="240" w:lineRule="auto"/>
        <w:ind w:left="567" w:hanging="567"/>
        <w:contextualSpacing/>
        <w:outlineLvl w:val="2"/>
        <w:rPr>
          <w:rFonts w:ascii="Times New Roman" w:eastAsiaTheme="majorEastAsia" w:hAnsi="Times New Roman" w:cs="Times New Roman"/>
          <w:b/>
          <w:bCs/>
          <w:sz w:val="24"/>
          <w:szCs w:val="24"/>
          <w:lang w:eastAsia="it-IT"/>
        </w:rPr>
      </w:pPr>
      <w:r w:rsidRPr="008F0BDF">
        <w:rPr>
          <w:rFonts w:ascii="Times New Roman" w:eastAsiaTheme="majorEastAsia" w:hAnsi="Times New Roman" w:cs="Times New Roman"/>
          <w:b/>
          <w:bCs/>
          <w:sz w:val="24"/>
          <w:szCs w:val="24"/>
          <w:lang w:eastAsia="it-IT"/>
        </w:rPr>
        <w:t>Il pre-contenzioso</w:t>
      </w:r>
    </w:p>
    <w:p w:rsidR="00CF25A9" w:rsidRPr="008F0BDF" w:rsidRDefault="00CF25A9" w:rsidP="00356A5A">
      <w:pPr>
        <w:keepNext/>
        <w:keepLines/>
        <w:tabs>
          <w:tab w:val="left" w:pos="426"/>
        </w:tabs>
        <w:spacing w:before="200" w:after="0" w:line="240" w:lineRule="auto"/>
        <w:ind w:left="567"/>
        <w:contextualSpacing/>
        <w:outlineLvl w:val="2"/>
        <w:rPr>
          <w:rFonts w:ascii="Times New Roman" w:eastAsiaTheme="majorEastAsia" w:hAnsi="Times New Roman" w:cs="Times New Roman"/>
          <w:b/>
          <w:bCs/>
          <w:sz w:val="24"/>
          <w:szCs w:val="24"/>
          <w:lang w:eastAsia="it-IT"/>
        </w:rPr>
      </w:pPr>
    </w:p>
    <w:p w:rsidR="00090DC3" w:rsidRPr="00090DC3" w:rsidRDefault="00090DC3" w:rsidP="00090DC3">
      <w:pPr>
        <w:spacing w:after="0" w:line="360" w:lineRule="auto"/>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 xml:space="preserve">Il pre-contenzioso è volto a risolvere eventuali conflitti nell’interpretazione delle norme durante lo svolgimento delle gare (articolo 211 del Codice dei contratti pubblici), e a prevenire in tal modo successive attività di vigilanza o di contenzioso amministrativo. Rientra, quindi, a pieno titolo tra le attività volte a prevenire un uso distorto della normativa. </w:t>
      </w:r>
    </w:p>
    <w:p w:rsidR="00090DC3" w:rsidRPr="00090DC3" w:rsidRDefault="00090DC3" w:rsidP="00090DC3">
      <w:pPr>
        <w:spacing w:after="0" w:line="360" w:lineRule="auto"/>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Nel corso del 2017, a fronte delle istanze di parere congiunte o individualmente sottoposte da soggetti coinvolti in procedimenti di gara, l’Autorità si è espressa con l’adozione di un totale di 471 provvedimenti, sia sotto forma di pareri (alcuni dei quali redatti in forma semplificata, come previsto dall’art. 10 del Regolamento), nei quali l’Autorità ha elaborato un’ipotesi di soluzione del caso concreto sottoposto alla sua valutazione a conclusione di un procedimento aperto alla partecipazione di tutte le parti interessate, sia con decisioni di rito.</w:t>
      </w:r>
    </w:p>
    <w:p w:rsidR="00090DC3" w:rsidRPr="00090DC3" w:rsidRDefault="00090DC3" w:rsidP="00090DC3">
      <w:pPr>
        <w:spacing w:after="0" w:line="360" w:lineRule="auto"/>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 xml:space="preserve">L’attività di monitoraggio delle determinazioni adottate dalle stazioni appaltanti riguardo i pareri tradottisi in giudizi di non conformità alla vigente normativa ha condotto a rilevare, nel periodo compreso tra novembre 2016 e luglio 2017, che in 74 casi le amministrazioni interessate hanno riscontrato nei termini richiesti di essersi adeguate alle decisioni deliberate dall’Autorità, mediante, ad esempio, atto di revoca dell’aggiudicazione o determinazione di riammissione del concorrente illegittimamente escluso. In taluni casi di giudizio di non conformità, le stazioni appaltanti, pur riscontrando entro il termine previsto, hanno ribadito la legittimità del proprio operato, in ragione della completa esecuzione del contratto medio tempore intervenuta o della necessità di proseguire comunque la procedura di gara già avviata al fine di garantire la continuità della prestazione di prossima scadenza. Laddove siano stati ravvisati comunque profili di criticità, è stata disposta la trasmissione ai competenti Uffici di vigilanza per gli eventuali seguiti di competenza. In ipotesi residuali, le amministrazioni coinvolte, pur non aderendo alla deliberazione resa, hanno rappresentato la volontà di tenere in considerazione per il futuro le considerazioni fornite. </w:t>
      </w:r>
    </w:p>
    <w:p w:rsidR="00090DC3" w:rsidRPr="00090DC3" w:rsidRDefault="00090DC3" w:rsidP="00090DC3">
      <w:pPr>
        <w:spacing w:after="0" w:line="360" w:lineRule="auto"/>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L’analisi dei dati per il periodo di riferimento indicato ha evidenziato un tasso di adeguamento medio alle pronunce di precontenzioso pari a circa l’83% da parte delle stazioni appaltanti, che hanno agito in autotutela o hanno proseguito le operazioni di gara precedentemente sospese, conformandosi comunque all’orientamento espresso nelle relative delibere. I dati per il secondo semestre 2017 mostrano tendenze simili.</w:t>
      </w:r>
    </w:p>
    <w:p w:rsidR="00090DC3" w:rsidRPr="00090DC3" w:rsidRDefault="00090DC3" w:rsidP="00090DC3">
      <w:pPr>
        <w:spacing w:after="0" w:line="360" w:lineRule="auto"/>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 xml:space="preserve">Tra i principali temi trattati nel pre-contenzioso (descritti in maggior dettaglio nella Relazione annuale 2017) vi è quello relativo alle modalità di applicazione del soccorso istruttorio, con ben 60 </w:t>
      </w:r>
      <w:r w:rsidRPr="00090DC3">
        <w:rPr>
          <w:rFonts w:ascii="Times New Roman" w:eastAsiaTheme="majorEastAsia" w:hAnsi="Times New Roman" w:cs="Times New Roman"/>
          <w:bCs/>
          <w:sz w:val="24"/>
          <w:szCs w:val="24"/>
          <w:lang w:eastAsia="it-IT"/>
        </w:rPr>
        <w:lastRenderedPageBreak/>
        <w:t>pareri emessi nel corso del 2017. Altro tema ricorrente nei pareri di pre-contenzioso è quello relativo alle modalità di utilizzo dell’istituto dell’avvalimento (29 pareri). Numerosi sono anche i casi relativi alle modalità di gestione dei criteri ambientali minimi, di iscrizione all’Albo dei gestori ambientali (questione sulla quale l’Autorità ha deliberato, nell’adunanza del 27 luglio 2017, di modificare la propria posizione interpretativa e ritenere che il requisito di iscrizione all’albo dei gestori ambientali, richiesto nelle gare di affidamento dei contratti pubblici, sia un requisito di partecipazione e non di esecuzione) o del calcolo della soglia di anomalia.</w:t>
      </w:r>
    </w:p>
    <w:p w:rsidR="00090DC3" w:rsidRPr="00090DC3" w:rsidRDefault="00090DC3" w:rsidP="00090DC3">
      <w:pPr>
        <w:spacing w:after="0" w:line="360" w:lineRule="auto"/>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Nel corso dell’anno 2017, l’Autorità ha emesso 35 pareri vincolanti, la maggioranza dei quali resi a seguito di istanza congiunta in cui entrambe le parti hanno manifestato la volontà di attenersi al parere ab origine nel modulo di presentazione dell’istanza.</w:t>
      </w:r>
    </w:p>
    <w:p w:rsidR="00090DC3" w:rsidRPr="00090DC3" w:rsidRDefault="00090DC3" w:rsidP="00090DC3">
      <w:pPr>
        <w:spacing w:after="0" w:line="360" w:lineRule="auto"/>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Molte delle questioni trattate hanno riguardato il possesso e la dimostrazione dei requisiti di partecipazione, sia di carattere generale che speciale (valutazione di eventuali precedenti comportamenti gravi e significativi del concorrente ai fini dell’esclusione dalla gara, valutazione dell’</w:t>
      </w:r>
      <w:proofErr w:type="spellStart"/>
      <w:r w:rsidRPr="00090DC3">
        <w:rPr>
          <w:rFonts w:ascii="Times New Roman" w:eastAsiaTheme="majorEastAsia" w:hAnsi="Times New Roman" w:cs="Times New Roman"/>
          <w:bCs/>
          <w:sz w:val="24"/>
          <w:szCs w:val="24"/>
          <w:lang w:eastAsia="it-IT"/>
        </w:rPr>
        <w:t>esperibilità</w:t>
      </w:r>
      <w:proofErr w:type="spellEnd"/>
      <w:r w:rsidRPr="00090DC3">
        <w:rPr>
          <w:rFonts w:ascii="Times New Roman" w:eastAsiaTheme="majorEastAsia" w:hAnsi="Times New Roman" w:cs="Times New Roman"/>
          <w:bCs/>
          <w:sz w:val="24"/>
          <w:szCs w:val="24"/>
          <w:lang w:eastAsia="it-IT"/>
        </w:rPr>
        <w:t xml:space="preserve"> del soccorso in sanatoria di carenze nella produzione di dichiarazioni sostitutive attestanti il possesso di requisiti di carattere generale, non tempestivamente rilevate dalla stazione appaltante nella fase di verifica della documentazione amministrativa, certificazione del possesso dei requisiti tramite la qualificazione SOA, divieto di avvalimento per i requisiti di idoneità professionale e ripartizione del possesso dei requisiti in caso di RTI e di consorzi stabili).</w:t>
      </w:r>
    </w:p>
    <w:p w:rsidR="00090DC3" w:rsidRPr="00090DC3" w:rsidRDefault="00090DC3" w:rsidP="00090DC3">
      <w:pPr>
        <w:spacing w:after="0" w:line="360" w:lineRule="auto"/>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Alcune istanze congiunte finalizzate all’emissione di pareri vincolanti hanno sottoposto all’Autorità questioni concernenti l’offerta tecnica e la sua valutazione (legittimità di criteri di valutazione dell’offerta nettamente incentrati sull’esperienza pregressa in lavori di importo analogo o superiore e con caratteristiche specifiche, criterio di valutazione delle migliorie, distinzione tra offerte migliorative e varianti, attribuzione dei punteggi tecnici da parte della commissione giudicatrice).</w:t>
      </w:r>
    </w:p>
    <w:p w:rsidR="00090DC3" w:rsidRPr="00090DC3" w:rsidRDefault="00090DC3" w:rsidP="00090DC3">
      <w:pPr>
        <w:spacing w:after="0" w:line="360" w:lineRule="auto"/>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L’Autorità è stata altresì chiamata ad esprimersi sulla valutazione effettuata dalla stazione appaltante in ordine agli elementi e congruità dell’offerta economica.</w:t>
      </w:r>
    </w:p>
    <w:p w:rsidR="00090DC3" w:rsidRPr="00090DC3" w:rsidRDefault="00090DC3" w:rsidP="00090DC3">
      <w:pPr>
        <w:spacing w:after="0" w:line="360" w:lineRule="auto"/>
        <w:jc w:val="both"/>
        <w:rPr>
          <w:rFonts w:ascii="Times New Roman" w:eastAsiaTheme="majorEastAsia" w:hAnsi="Times New Roman" w:cs="Times New Roman"/>
          <w:bCs/>
          <w:sz w:val="24"/>
          <w:szCs w:val="24"/>
          <w:lang w:eastAsia="it-IT"/>
        </w:rPr>
      </w:pPr>
    </w:p>
    <w:p w:rsidR="00090DC3" w:rsidRDefault="00090DC3" w:rsidP="00356A5A">
      <w:pPr>
        <w:keepNext/>
        <w:keepLines/>
        <w:numPr>
          <w:ilvl w:val="2"/>
          <w:numId w:val="28"/>
        </w:numPr>
        <w:tabs>
          <w:tab w:val="left" w:pos="426"/>
        </w:tabs>
        <w:spacing w:before="200" w:after="0" w:line="240" w:lineRule="auto"/>
        <w:ind w:left="567" w:hanging="567"/>
        <w:contextualSpacing/>
        <w:outlineLvl w:val="2"/>
        <w:rPr>
          <w:rFonts w:ascii="Times New Roman" w:eastAsiaTheme="majorEastAsia" w:hAnsi="Times New Roman" w:cs="Times New Roman"/>
          <w:b/>
          <w:bCs/>
          <w:sz w:val="24"/>
          <w:szCs w:val="24"/>
          <w:lang w:eastAsia="it-IT"/>
        </w:rPr>
      </w:pPr>
      <w:r w:rsidRPr="008F0BDF">
        <w:rPr>
          <w:rFonts w:ascii="Times New Roman" w:eastAsiaTheme="majorEastAsia" w:hAnsi="Times New Roman" w:cs="Times New Roman"/>
          <w:b/>
          <w:bCs/>
          <w:sz w:val="24"/>
          <w:szCs w:val="24"/>
          <w:lang w:eastAsia="it-IT"/>
        </w:rPr>
        <w:t>La funzione consultiva e l’attività di regolazione</w:t>
      </w:r>
    </w:p>
    <w:p w:rsidR="00356A5A" w:rsidRPr="008F0BDF" w:rsidRDefault="00356A5A" w:rsidP="00356A5A">
      <w:pPr>
        <w:keepNext/>
        <w:keepLines/>
        <w:tabs>
          <w:tab w:val="left" w:pos="426"/>
        </w:tabs>
        <w:spacing w:before="200" w:after="0" w:line="240" w:lineRule="auto"/>
        <w:ind w:left="567"/>
        <w:contextualSpacing/>
        <w:outlineLvl w:val="2"/>
        <w:rPr>
          <w:rFonts w:ascii="Times New Roman" w:eastAsiaTheme="majorEastAsia" w:hAnsi="Times New Roman" w:cs="Times New Roman"/>
          <w:b/>
          <w:bCs/>
          <w:sz w:val="24"/>
          <w:szCs w:val="24"/>
          <w:lang w:eastAsia="it-IT"/>
        </w:rPr>
      </w:pPr>
    </w:p>
    <w:p w:rsidR="00090DC3" w:rsidRPr="00090DC3" w:rsidRDefault="00090DC3" w:rsidP="00090DC3">
      <w:pPr>
        <w:spacing w:after="0" w:line="360" w:lineRule="auto"/>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La funzione consultiva è svolta dall’Autorità sia in materia di contratti pubblici sia in materia di prevenzione della corruzione e trasparenza, mediante l’adozione di pareri su singoli casi concreti. Tale attività, resa a favore delle pubbliche amministrazioni e dei privati destinatari di provvedimenti nell’ambito di un procedimento amministrativo, è strettamente correlata alla funzione di vigilanza, essendo finalizzata a fornire indicazioni ex ante e a orientare l’attività delle amministrazioni pubbliche nel rispetto della discrezionalità che le caratterizza.</w:t>
      </w:r>
    </w:p>
    <w:p w:rsidR="00090DC3" w:rsidRPr="00090DC3" w:rsidRDefault="00090DC3" w:rsidP="00090DC3">
      <w:pPr>
        <w:spacing w:after="0" w:line="360" w:lineRule="auto"/>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lastRenderedPageBreak/>
        <w:t>Nel corso del 2017, nell’esercizio dell’attività consultiva sono stati emessi 272 pareri, 18 dei quali resi in forma estesa, in quanto relativi a questioni giuridiche di interesse generale aventi il carattere della novità e utili ad orientare altri soggetti destinatari della normativa (consultabili sul sito istituzionale dell’Autorità) e 254 pareri resi in forma breve, concernenti questioni di pacifica interpretazione, tenuto conto dei precedenti dell’Autorità e/o di indirizzi giurisprudenziali consolidati condivisi dall’Autorità stessa.</w:t>
      </w:r>
    </w:p>
    <w:p w:rsidR="00090DC3" w:rsidRPr="00090DC3" w:rsidRDefault="00090DC3" w:rsidP="00090DC3">
      <w:pPr>
        <w:spacing w:after="0" w:line="360" w:lineRule="auto"/>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Tra i temi trattati nei pareri pubblicati rientrano questioni attinenti all’in-</w:t>
      </w:r>
      <w:proofErr w:type="spellStart"/>
      <w:r w:rsidRPr="00090DC3">
        <w:rPr>
          <w:rFonts w:ascii="Times New Roman" w:eastAsiaTheme="majorEastAsia" w:hAnsi="Times New Roman" w:cs="Times New Roman"/>
          <w:bCs/>
          <w:sz w:val="24"/>
          <w:szCs w:val="24"/>
          <w:lang w:eastAsia="it-IT"/>
        </w:rPr>
        <w:t>house</w:t>
      </w:r>
      <w:proofErr w:type="spellEnd"/>
      <w:r w:rsidRPr="00090DC3">
        <w:rPr>
          <w:rFonts w:ascii="Times New Roman" w:eastAsiaTheme="majorEastAsia" w:hAnsi="Times New Roman" w:cs="Times New Roman"/>
          <w:bCs/>
          <w:sz w:val="24"/>
          <w:szCs w:val="24"/>
          <w:lang w:eastAsia="it-IT"/>
        </w:rPr>
        <w:t xml:space="preserve"> </w:t>
      </w:r>
      <w:proofErr w:type="spellStart"/>
      <w:r w:rsidRPr="00090DC3">
        <w:rPr>
          <w:rFonts w:ascii="Times New Roman" w:eastAsiaTheme="majorEastAsia" w:hAnsi="Times New Roman" w:cs="Times New Roman"/>
          <w:bCs/>
          <w:sz w:val="24"/>
          <w:szCs w:val="24"/>
          <w:lang w:eastAsia="it-IT"/>
        </w:rPr>
        <w:t>providing</w:t>
      </w:r>
      <w:proofErr w:type="spellEnd"/>
      <w:r w:rsidRPr="00090DC3">
        <w:rPr>
          <w:rFonts w:ascii="Times New Roman" w:eastAsiaTheme="majorEastAsia" w:hAnsi="Times New Roman" w:cs="Times New Roman"/>
          <w:bCs/>
          <w:sz w:val="24"/>
          <w:szCs w:val="24"/>
          <w:lang w:eastAsia="it-IT"/>
        </w:rPr>
        <w:t xml:space="preserve">, agli accordi tra amministrazioni, alle modifiche dei contratti in corso di esecuzione.  </w:t>
      </w:r>
    </w:p>
    <w:p w:rsidR="00090DC3" w:rsidRPr="00090DC3" w:rsidRDefault="00090DC3" w:rsidP="00090DC3">
      <w:pPr>
        <w:spacing w:after="0" w:line="360" w:lineRule="auto"/>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 xml:space="preserve">Anche l’attività di regolazione ha una funzione di deflazione del contenzioso e di orientamento ex-ante delle stazioni appaltanti, al fine di prevenire fenomeni di mala </w:t>
      </w:r>
      <w:proofErr w:type="spellStart"/>
      <w:r w:rsidRPr="00090DC3">
        <w:rPr>
          <w:rFonts w:ascii="Times New Roman" w:eastAsiaTheme="majorEastAsia" w:hAnsi="Times New Roman" w:cs="Times New Roman"/>
          <w:bCs/>
          <w:sz w:val="24"/>
          <w:szCs w:val="24"/>
          <w:lang w:eastAsia="it-IT"/>
        </w:rPr>
        <w:t>gestio</w:t>
      </w:r>
      <w:proofErr w:type="spellEnd"/>
      <w:r w:rsidRPr="00090DC3">
        <w:rPr>
          <w:rFonts w:ascii="Times New Roman" w:eastAsiaTheme="majorEastAsia" w:hAnsi="Times New Roman" w:cs="Times New Roman"/>
          <w:bCs/>
          <w:sz w:val="24"/>
          <w:szCs w:val="24"/>
          <w:lang w:eastAsia="it-IT"/>
        </w:rPr>
        <w:t xml:space="preserve"> della cosa pubblica. Il Codice dei contratti pubblici, nel tentativo di superare il Regolamento previsto nel previgente quadro normativo e di fornire ai </w:t>
      </w:r>
      <w:proofErr w:type="spellStart"/>
      <w:r w:rsidRPr="00090DC3">
        <w:rPr>
          <w:rFonts w:ascii="Times New Roman" w:eastAsiaTheme="majorEastAsia" w:hAnsi="Times New Roman" w:cs="Times New Roman"/>
          <w:bCs/>
          <w:sz w:val="24"/>
          <w:szCs w:val="24"/>
          <w:lang w:eastAsia="it-IT"/>
        </w:rPr>
        <w:t>players</w:t>
      </w:r>
      <w:proofErr w:type="spellEnd"/>
      <w:r w:rsidRPr="00090DC3">
        <w:rPr>
          <w:rFonts w:ascii="Times New Roman" w:eastAsiaTheme="majorEastAsia" w:hAnsi="Times New Roman" w:cs="Times New Roman"/>
          <w:bCs/>
          <w:sz w:val="24"/>
          <w:szCs w:val="24"/>
          <w:lang w:eastAsia="it-IT"/>
        </w:rPr>
        <w:t xml:space="preserve"> del mercato strumenti di orientamento flessibile (soft-law) ha attribuito a diversi soggetti il compito di adottare atti di indirizzo; nel caso di ANAC è stata prevista la possibilità o l’obbligo di adottare linee guida a carattere anche vincolante. ANAC, oltre agli specifici atti individuati dal Codice, ai sensi dell’articolo 213, comma 2, dello stesso può adottare atti a carattere generale, comunque denominati, finalizzati a garantire la promozione dell’efficienza, lo sviluppo delle migliori pratiche e la qualità delle stazioni appaltanti.</w:t>
      </w:r>
    </w:p>
    <w:p w:rsidR="00090DC3" w:rsidRPr="00090DC3" w:rsidRDefault="00090DC3" w:rsidP="00090DC3">
      <w:pPr>
        <w:spacing w:after="0" w:line="360" w:lineRule="auto"/>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In attuazione di tale previsione normativa ANAC ha emanato una serie di provvedimenti di carattere generale (prevalentemente linee guida, FAQ e Comunicati del Presidente) per orientare il mercato. In diversi casi, la scelta degli argomenti da trattare è derivata dalla ricorrenza di numerosi quesiti su argomenti simili, mentre in altri casi è stato proprio l’avvio delle procedure per l’adozione o l’emanazione di un atto a carattere generale a stimolare l’invio di ulteriori richieste di chiarimenti e quesiti (sono pervenute diverse centinaia di quesiti su temi quali il ruolo e le funzioni del RUP, gli affidamenti sotto-soglia o l’albo dei commissari di gara), che testimoniano in diversi casi le difficoltà incontrate dagli operatori economici a comprendere le novità presenti nel codice dei contratti pubblici.</w:t>
      </w:r>
    </w:p>
    <w:p w:rsidR="00090DC3" w:rsidRPr="00090DC3" w:rsidRDefault="00090DC3" w:rsidP="00090DC3">
      <w:pPr>
        <w:spacing w:after="0" w:line="360" w:lineRule="auto"/>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Di seguito si riporta l’elenco delle Linee guida approvate, con l’indicazione della data di approvazione e di eventuale aggiornamento a seguito del “correttivo”, non previste dal Codice ed emanate dall’Autorità proprio per fornire un ausilio interpretativo agli operatori del mercato.</w:t>
      </w:r>
    </w:p>
    <w:p w:rsidR="00090DC3" w:rsidRPr="00090DC3" w:rsidRDefault="00090DC3" w:rsidP="00090DC3">
      <w:pPr>
        <w:spacing w:after="0" w:line="360" w:lineRule="auto"/>
        <w:jc w:val="both"/>
        <w:rPr>
          <w:rFonts w:ascii="Times New Roman" w:eastAsiaTheme="majorEastAsia" w:hAnsi="Times New Roman" w:cs="Times New Roman"/>
          <w:bCs/>
          <w:sz w:val="24"/>
          <w:szCs w:val="24"/>
          <w:lang w:eastAsia="it-IT"/>
        </w:rPr>
      </w:pPr>
    </w:p>
    <w:p w:rsidR="00090DC3" w:rsidRPr="00090DC3" w:rsidRDefault="00090DC3" w:rsidP="00090DC3">
      <w:pPr>
        <w:spacing w:after="0" w:line="360" w:lineRule="auto"/>
        <w:jc w:val="both"/>
        <w:rPr>
          <w:rFonts w:ascii="Times New Roman" w:eastAsiaTheme="majorEastAsia" w:hAnsi="Times New Roman" w:cs="Times New Roman"/>
          <w:bCs/>
          <w:sz w:val="24"/>
          <w:szCs w:val="24"/>
          <w:lang w:eastAsia="it-IT"/>
        </w:rPr>
      </w:pPr>
    </w:p>
    <w:p w:rsidR="00090DC3" w:rsidRPr="00090DC3" w:rsidRDefault="00090DC3" w:rsidP="00090DC3">
      <w:pPr>
        <w:spacing w:after="0" w:line="360" w:lineRule="auto"/>
        <w:jc w:val="both"/>
        <w:rPr>
          <w:rFonts w:ascii="Times New Roman" w:eastAsiaTheme="majorEastAsia" w:hAnsi="Times New Roman" w:cs="Times New Roman"/>
          <w:bCs/>
          <w:sz w:val="24"/>
          <w:szCs w:val="24"/>
          <w:lang w:eastAsia="it-IT"/>
        </w:rPr>
      </w:pPr>
    </w:p>
    <w:p w:rsidR="00356A5A" w:rsidRDefault="00356A5A">
      <w:pPr>
        <w:rPr>
          <w:rFonts w:ascii="Times New Roman" w:eastAsiaTheme="majorEastAsia" w:hAnsi="Times New Roman" w:cs="Times New Roman"/>
          <w:bCs/>
          <w:sz w:val="24"/>
          <w:szCs w:val="24"/>
          <w:lang w:eastAsia="it-IT"/>
        </w:rPr>
      </w:pPr>
      <w:r>
        <w:rPr>
          <w:rFonts w:ascii="Times New Roman" w:eastAsiaTheme="majorEastAsia" w:hAnsi="Times New Roman" w:cs="Times New Roman"/>
          <w:bCs/>
          <w:sz w:val="24"/>
          <w:szCs w:val="24"/>
          <w:lang w:eastAsia="it-IT"/>
        </w:rPr>
        <w:br w:type="page"/>
      </w:r>
    </w:p>
    <w:p w:rsidR="00090DC3" w:rsidRPr="00090DC3" w:rsidRDefault="00090DC3" w:rsidP="00090DC3">
      <w:pPr>
        <w:spacing w:after="0" w:line="360" w:lineRule="auto"/>
        <w:jc w:val="center"/>
        <w:rPr>
          <w:rFonts w:ascii="Garamond" w:eastAsiaTheme="majorEastAsia" w:hAnsi="Garamond" w:cstheme="majorBidi"/>
          <w:b/>
          <w:bCs/>
          <w:sz w:val="25"/>
          <w:szCs w:val="25"/>
          <w:lang w:eastAsia="it-IT"/>
        </w:rPr>
      </w:pPr>
      <w:r w:rsidRPr="00090DC3">
        <w:rPr>
          <w:rFonts w:ascii="Garamond" w:eastAsiaTheme="majorEastAsia" w:hAnsi="Garamond" w:cstheme="majorBidi"/>
          <w:b/>
          <w:bCs/>
          <w:sz w:val="25"/>
          <w:szCs w:val="25"/>
          <w:lang w:eastAsia="it-IT"/>
        </w:rPr>
        <w:lastRenderedPageBreak/>
        <w:t xml:space="preserve">Tabella 20 – Linee guida </w:t>
      </w:r>
      <w:proofErr w:type="spellStart"/>
      <w:r w:rsidRPr="00090DC3">
        <w:rPr>
          <w:rFonts w:ascii="Garamond" w:eastAsiaTheme="majorEastAsia" w:hAnsi="Garamond" w:cstheme="majorBidi"/>
          <w:b/>
          <w:bCs/>
          <w:sz w:val="25"/>
          <w:szCs w:val="25"/>
          <w:lang w:eastAsia="it-IT"/>
        </w:rPr>
        <w:t>Anac</w:t>
      </w:r>
      <w:proofErr w:type="spellEnd"/>
      <w:r w:rsidRPr="00090DC3">
        <w:rPr>
          <w:rFonts w:ascii="Garamond" w:eastAsiaTheme="majorEastAsia" w:hAnsi="Garamond" w:cstheme="majorBidi"/>
          <w:b/>
          <w:bCs/>
          <w:sz w:val="25"/>
          <w:szCs w:val="25"/>
          <w:lang w:eastAsia="it-IT"/>
        </w:rPr>
        <w:t xml:space="preserve"> non rientranti tra quelle obbligatorie previste dal Codice</w:t>
      </w:r>
    </w:p>
    <w:tbl>
      <w:tblPr>
        <w:tblStyle w:val="Tabellagriglia4-colore11"/>
        <w:tblW w:w="9776" w:type="dxa"/>
        <w:tblLayout w:type="fixed"/>
        <w:tblLook w:val="04A0" w:firstRow="1" w:lastRow="0" w:firstColumn="1" w:lastColumn="0" w:noHBand="0" w:noVBand="1"/>
      </w:tblPr>
      <w:tblGrid>
        <w:gridCol w:w="761"/>
        <w:gridCol w:w="5471"/>
        <w:gridCol w:w="1418"/>
        <w:gridCol w:w="2126"/>
      </w:tblGrid>
      <w:tr w:rsidR="00090DC3" w:rsidRPr="00090DC3" w:rsidTr="00BD36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dxa"/>
          </w:tcPr>
          <w:p w:rsidR="00090DC3" w:rsidRPr="00090DC3" w:rsidRDefault="00090DC3" w:rsidP="00090DC3">
            <w:pPr>
              <w:jc w:val="center"/>
              <w:rPr>
                <w:rFonts w:ascii="Garamond" w:hAnsi="Garamond"/>
                <w:sz w:val="25"/>
                <w:szCs w:val="25"/>
              </w:rPr>
            </w:pPr>
            <w:r w:rsidRPr="00090DC3">
              <w:rPr>
                <w:rFonts w:ascii="Garamond" w:hAnsi="Garamond"/>
                <w:sz w:val="25"/>
                <w:szCs w:val="25"/>
              </w:rPr>
              <w:t>n.</w:t>
            </w:r>
          </w:p>
        </w:tc>
        <w:tc>
          <w:tcPr>
            <w:tcW w:w="5471" w:type="dxa"/>
          </w:tcPr>
          <w:p w:rsidR="00090DC3" w:rsidRPr="00090DC3" w:rsidRDefault="00090DC3" w:rsidP="00090DC3">
            <w:pPr>
              <w:jc w:val="center"/>
              <w:cnfStyle w:val="100000000000" w:firstRow="1" w:lastRow="0" w:firstColumn="0" w:lastColumn="0" w:oddVBand="0" w:evenVBand="0" w:oddHBand="0" w:evenHBand="0" w:firstRowFirstColumn="0" w:firstRowLastColumn="0" w:lastRowFirstColumn="0" w:lastRowLastColumn="0"/>
              <w:rPr>
                <w:rFonts w:ascii="Garamond" w:hAnsi="Garamond"/>
                <w:sz w:val="25"/>
                <w:szCs w:val="25"/>
              </w:rPr>
            </w:pPr>
            <w:r w:rsidRPr="00090DC3">
              <w:rPr>
                <w:rFonts w:ascii="Garamond" w:hAnsi="Garamond"/>
                <w:sz w:val="25"/>
                <w:szCs w:val="25"/>
              </w:rPr>
              <w:t>Oggetto</w:t>
            </w:r>
          </w:p>
        </w:tc>
        <w:tc>
          <w:tcPr>
            <w:tcW w:w="1418" w:type="dxa"/>
          </w:tcPr>
          <w:p w:rsidR="00090DC3" w:rsidRPr="00090DC3" w:rsidRDefault="00090DC3" w:rsidP="00090DC3">
            <w:pPr>
              <w:jc w:val="center"/>
              <w:cnfStyle w:val="100000000000" w:firstRow="1" w:lastRow="0" w:firstColumn="0" w:lastColumn="0" w:oddVBand="0" w:evenVBand="0" w:oddHBand="0" w:evenHBand="0" w:firstRowFirstColumn="0" w:firstRowLastColumn="0" w:lastRowFirstColumn="0" w:lastRowLastColumn="0"/>
              <w:rPr>
                <w:rFonts w:ascii="Garamond" w:hAnsi="Garamond"/>
                <w:sz w:val="25"/>
                <w:szCs w:val="25"/>
              </w:rPr>
            </w:pPr>
            <w:r w:rsidRPr="00090DC3">
              <w:rPr>
                <w:rFonts w:ascii="Garamond" w:hAnsi="Garamond"/>
                <w:sz w:val="25"/>
                <w:szCs w:val="25"/>
              </w:rPr>
              <w:t>Data approva-zione</w:t>
            </w:r>
          </w:p>
        </w:tc>
        <w:tc>
          <w:tcPr>
            <w:tcW w:w="2126" w:type="dxa"/>
          </w:tcPr>
          <w:p w:rsidR="00090DC3" w:rsidRPr="00090DC3" w:rsidRDefault="00090DC3" w:rsidP="00090DC3">
            <w:pPr>
              <w:jc w:val="center"/>
              <w:cnfStyle w:val="100000000000" w:firstRow="1" w:lastRow="0" w:firstColumn="0" w:lastColumn="0" w:oddVBand="0" w:evenVBand="0" w:oddHBand="0" w:evenHBand="0" w:firstRowFirstColumn="0" w:firstRowLastColumn="0" w:lastRowFirstColumn="0" w:lastRowLastColumn="0"/>
              <w:rPr>
                <w:rFonts w:ascii="Garamond" w:hAnsi="Garamond"/>
                <w:sz w:val="25"/>
                <w:szCs w:val="25"/>
              </w:rPr>
            </w:pPr>
            <w:r w:rsidRPr="00090DC3">
              <w:rPr>
                <w:rFonts w:ascii="Garamond" w:hAnsi="Garamond"/>
                <w:sz w:val="25"/>
                <w:szCs w:val="25"/>
              </w:rPr>
              <w:t>Data aggiorna-mento post-correttivo</w:t>
            </w:r>
          </w:p>
        </w:tc>
      </w:tr>
      <w:tr w:rsidR="00090DC3" w:rsidRPr="00090DC3" w:rsidTr="00BD3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dxa"/>
          </w:tcPr>
          <w:p w:rsidR="00090DC3" w:rsidRPr="00090DC3" w:rsidRDefault="00090DC3" w:rsidP="00090DC3">
            <w:pPr>
              <w:jc w:val="center"/>
              <w:rPr>
                <w:rFonts w:ascii="Garamond" w:hAnsi="Garamond"/>
                <w:sz w:val="25"/>
                <w:szCs w:val="25"/>
              </w:rPr>
            </w:pPr>
            <w:r w:rsidRPr="00090DC3">
              <w:rPr>
                <w:rFonts w:ascii="Garamond" w:hAnsi="Garamond"/>
                <w:sz w:val="25"/>
                <w:szCs w:val="25"/>
              </w:rPr>
              <w:t>1</w:t>
            </w:r>
          </w:p>
        </w:tc>
        <w:tc>
          <w:tcPr>
            <w:tcW w:w="5471" w:type="dxa"/>
          </w:tcPr>
          <w:p w:rsidR="00090DC3" w:rsidRPr="00090DC3" w:rsidRDefault="00090DC3" w:rsidP="00090DC3">
            <w:pPr>
              <w:cnfStyle w:val="000000100000" w:firstRow="0" w:lastRow="0" w:firstColumn="0" w:lastColumn="0" w:oddVBand="0" w:evenVBand="0" w:oddHBand="1" w:evenHBand="0" w:firstRowFirstColumn="0" w:firstRowLastColumn="0" w:lastRowFirstColumn="0" w:lastRowLastColumn="0"/>
              <w:rPr>
                <w:rFonts w:ascii="Garamond" w:hAnsi="Garamond"/>
                <w:sz w:val="25"/>
                <w:szCs w:val="25"/>
              </w:rPr>
            </w:pPr>
            <w:r w:rsidRPr="00090DC3">
              <w:rPr>
                <w:rFonts w:ascii="Garamond" w:hAnsi="Garamond"/>
                <w:sz w:val="25"/>
                <w:szCs w:val="25"/>
              </w:rPr>
              <w:t>Indirizzi generali sull’affidamento dei servizi attinenti all’architettura e all’ingegneria</w:t>
            </w:r>
          </w:p>
        </w:tc>
        <w:tc>
          <w:tcPr>
            <w:tcW w:w="1418" w:type="dxa"/>
          </w:tcPr>
          <w:p w:rsidR="00090DC3" w:rsidRPr="00090DC3" w:rsidRDefault="00090DC3" w:rsidP="00090DC3">
            <w:pPr>
              <w:jc w:val="right"/>
              <w:cnfStyle w:val="000000100000" w:firstRow="0" w:lastRow="0" w:firstColumn="0" w:lastColumn="0" w:oddVBand="0" w:evenVBand="0" w:oddHBand="1" w:evenHBand="0" w:firstRowFirstColumn="0" w:firstRowLastColumn="0" w:lastRowFirstColumn="0" w:lastRowLastColumn="0"/>
              <w:rPr>
                <w:rFonts w:ascii="Garamond" w:hAnsi="Garamond"/>
                <w:sz w:val="25"/>
                <w:szCs w:val="25"/>
              </w:rPr>
            </w:pPr>
            <w:r w:rsidRPr="00090DC3">
              <w:rPr>
                <w:rFonts w:ascii="Garamond" w:hAnsi="Garamond"/>
                <w:sz w:val="25"/>
                <w:szCs w:val="25"/>
              </w:rPr>
              <w:t>14.09.2016</w:t>
            </w:r>
          </w:p>
        </w:tc>
        <w:tc>
          <w:tcPr>
            <w:tcW w:w="2126" w:type="dxa"/>
          </w:tcPr>
          <w:p w:rsidR="00090DC3" w:rsidRPr="00090DC3" w:rsidRDefault="00090DC3" w:rsidP="00090DC3">
            <w:pPr>
              <w:jc w:val="right"/>
              <w:cnfStyle w:val="000000100000" w:firstRow="0" w:lastRow="0" w:firstColumn="0" w:lastColumn="0" w:oddVBand="0" w:evenVBand="0" w:oddHBand="1" w:evenHBand="0" w:firstRowFirstColumn="0" w:firstRowLastColumn="0" w:lastRowFirstColumn="0" w:lastRowLastColumn="0"/>
              <w:rPr>
                <w:rFonts w:ascii="Garamond" w:hAnsi="Garamond"/>
                <w:sz w:val="25"/>
                <w:szCs w:val="25"/>
              </w:rPr>
            </w:pPr>
            <w:r w:rsidRPr="00090DC3">
              <w:rPr>
                <w:rFonts w:ascii="Garamond" w:hAnsi="Garamond"/>
                <w:sz w:val="25"/>
                <w:szCs w:val="25"/>
              </w:rPr>
              <w:t>21.02.2018</w:t>
            </w:r>
          </w:p>
        </w:tc>
      </w:tr>
      <w:tr w:rsidR="00090DC3" w:rsidRPr="00090DC3" w:rsidTr="00BD36D2">
        <w:tc>
          <w:tcPr>
            <w:cnfStyle w:val="001000000000" w:firstRow="0" w:lastRow="0" w:firstColumn="1" w:lastColumn="0" w:oddVBand="0" w:evenVBand="0" w:oddHBand="0" w:evenHBand="0" w:firstRowFirstColumn="0" w:firstRowLastColumn="0" w:lastRowFirstColumn="0" w:lastRowLastColumn="0"/>
            <w:tcW w:w="761" w:type="dxa"/>
          </w:tcPr>
          <w:p w:rsidR="00090DC3" w:rsidRPr="00090DC3" w:rsidRDefault="00090DC3" w:rsidP="00090DC3">
            <w:pPr>
              <w:jc w:val="center"/>
              <w:rPr>
                <w:rFonts w:ascii="Garamond" w:hAnsi="Garamond"/>
                <w:sz w:val="25"/>
                <w:szCs w:val="25"/>
              </w:rPr>
            </w:pPr>
            <w:r w:rsidRPr="00090DC3">
              <w:rPr>
                <w:rFonts w:ascii="Garamond" w:hAnsi="Garamond"/>
                <w:sz w:val="25"/>
                <w:szCs w:val="25"/>
              </w:rPr>
              <w:t>2</w:t>
            </w:r>
          </w:p>
        </w:tc>
        <w:tc>
          <w:tcPr>
            <w:tcW w:w="5471" w:type="dxa"/>
          </w:tcPr>
          <w:p w:rsidR="00090DC3" w:rsidRPr="00090DC3" w:rsidRDefault="00090DC3" w:rsidP="00090DC3">
            <w:pPr>
              <w:cnfStyle w:val="000000000000" w:firstRow="0" w:lastRow="0" w:firstColumn="0" w:lastColumn="0" w:oddVBand="0" w:evenVBand="0" w:oddHBand="0" w:evenHBand="0" w:firstRowFirstColumn="0" w:firstRowLastColumn="0" w:lastRowFirstColumn="0" w:lastRowLastColumn="0"/>
              <w:rPr>
                <w:rFonts w:ascii="Garamond" w:hAnsi="Garamond"/>
                <w:sz w:val="25"/>
                <w:szCs w:val="25"/>
              </w:rPr>
            </w:pPr>
            <w:r w:rsidRPr="00090DC3">
              <w:rPr>
                <w:rFonts w:ascii="Garamond" w:hAnsi="Garamond"/>
                <w:sz w:val="25"/>
                <w:szCs w:val="25"/>
              </w:rPr>
              <w:t>Offerta economicamente più vantaggiosa</w:t>
            </w:r>
          </w:p>
        </w:tc>
        <w:tc>
          <w:tcPr>
            <w:tcW w:w="1418" w:type="dxa"/>
          </w:tcPr>
          <w:p w:rsidR="00090DC3" w:rsidRPr="00090DC3" w:rsidRDefault="00090DC3" w:rsidP="00090DC3">
            <w:pPr>
              <w:jc w:val="right"/>
              <w:cnfStyle w:val="000000000000" w:firstRow="0" w:lastRow="0" w:firstColumn="0" w:lastColumn="0" w:oddVBand="0" w:evenVBand="0" w:oddHBand="0" w:evenHBand="0" w:firstRowFirstColumn="0" w:firstRowLastColumn="0" w:lastRowFirstColumn="0" w:lastRowLastColumn="0"/>
              <w:rPr>
                <w:rFonts w:ascii="Garamond" w:hAnsi="Garamond"/>
                <w:sz w:val="25"/>
                <w:szCs w:val="25"/>
              </w:rPr>
            </w:pPr>
            <w:r w:rsidRPr="00090DC3">
              <w:rPr>
                <w:rFonts w:ascii="Garamond" w:hAnsi="Garamond"/>
                <w:sz w:val="25"/>
                <w:szCs w:val="25"/>
              </w:rPr>
              <w:t>21.09.2016</w:t>
            </w:r>
          </w:p>
        </w:tc>
        <w:tc>
          <w:tcPr>
            <w:tcW w:w="2126" w:type="dxa"/>
          </w:tcPr>
          <w:p w:rsidR="00090DC3" w:rsidRPr="00090DC3" w:rsidRDefault="00090DC3" w:rsidP="00090DC3">
            <w:pPr>
              <w:jc w:val="right"/>
              <w:cnfStyle w:val="000000000000" w:firstRow="0" w:lastRow="0" w:firstColumn="0" w:lastColumn="0" w:oddVBand="0" w:evenVBand="0" w:oddHBand="0" w:evenHBand="0" w:firstRowFirstColumn="0" w:firstRowLastColumn="0" w:lastRowFirstColumn="0" w:lastRowLastColumn="0"/>
              <w:rPr>
                <w:rFonts w:ascii="Garamond" w:hAnsi="Garamond"/>
                <w:sz w:val="25"/>
                <w:szCs w:val="25"/>
              </w:rPr>
            </w:pPr>
            <w:r w:rsidRPr="00090DC3">
              <w:rPr>
                <w:rFonts w:ascii="Garamond" w:hAnsi="Garamond"/>
                <w:sz w:val="25"/>
                <w:szCs w:val="25"/>
              </w:rPr>
              <w:t>02.05.2018</w:t>
            </w:r>
          </w:p>
        </w:tc>
      </w:tr>
      <w:tr w:rsidR="00090DC3" w:rsidRPr="00090DC3" w:rsidTr="00BD3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dxa"/>
          </w:tcPr>
          <w:p w:rsidR="00090DC3" w:rsidRPr="00090DC3" w:rsidRDefault="00090DC3" w:rsidP="00090DC3">
            <w:pPr>
              <w:jc w:val="center"/>
              <w:rPr>
                <w:rFonts w:ascii="Garamond" w:hAnsi="Garamond"/>
                <w:sz w:val="25"/>
                <w:szCs w:val="25"/>
              </w:rPr>
            </w:pPr>
            <w:r w:rsidRPr="00090DC3">
              <w:rPr>
                <w:rFonts w:ascii="Garamond" w:hAnsi="Garamond"/>
                <w:sz w:val="25"/>
                <w:szCs w:val="25"/>
              </w:rPr>
              <w:t>8</w:t>
            </w:r>
          </w:p>
        </w:tc>
        <w:tc>
          <w:tcPr>
            <w:tcW w:w="5471" w:type="dxa"/>
          </w:tcPr>
          <w:p w:rsidR="00090DC3" w:rsidRPr="00090DC3" w:rsidRDefault="00090DC3" w:rsidP="00090DC3">
            <w:pPr>
              <w:cnfStyle w:val="000000100000" w:firstRow="0" w:lastRow="0" w:firstColumn="0" w:lastColumn="0" w:oddVBand="0" w:evenVBand="0" w:oddHBand="1" w:evenHBand="0" w:firstRowFirstColumn="0" w:firstRowLastColumn="0" w:lastRowFirstColumn="0" w:lastRowLastColumn="0"/>
              <w:rPr>
                <w:rFonts w:ascii="Garamond" w:hAnsi="Garamond"/>
                <w:sz w:val="25"/>
                <w:szCs w:val="25"/>
              </w:rPr>
            </w:pPr>
            <w:r w:rsidRPr="00090DC3">
              <w:rPr>
                <w:rFonts w:ascii="Garamond" w:hAnsi="Garamond"/>
                <w:sz w:val="25"/>
                <w:szCs w:val="25"/>
              </w:rPr>
              <w:t>Ricorso a procedure negoziate senza previa pubblicazione di un bando nel caso di forniture e servizi ritenuti infungibili</w:t>
            </w:r>
          </w:p>
        </w:tc>
        <w:tc>
          <w:tcPr>
            <w:tcW w:w="1418" w:type="dxa"/>
          </w:tcPr>
          <w:p w:rsidR="00090DC3" w:rsidRPr="00090DC3" w:rsidRDefault="00090DC3" w:rsidP="00090DC3">
            <w:pPr>
              <w:jc w:val="right"/>
              <w:cnfStyle w:val="000000100000" w:firstRow="0" w:lastRow="0" w:firstColumn="0" w:lastColumn="0" w:oddVBand="0" w:evenVBand="0" w:oddHBand="1" w:evenHBand="0" w:firstRowFirstColumn="0" w:firstRowLastColumn="0" w:lastRowFirstColumn="0" w:lastRowLastColumn="0"/>
              <w:rPr>
                <w:rFonts w:ascii="Garamond" w:hAnsi="Garamond"/>
                <w:sz w:val="25"/>
                <w:szCs w:val="25"/>
              </w:rPr>
            </w:pPr>
            <w:r w:rsidRPr="00090DC3">
              <w:rPr>
                <w:rFonts w:ascii="Garamond" w:hAnsi="Garamond"/>
                <w:sz w:val="25"/>
                <w:szCs w:val="25"/>
              </w:rPr>
              <w:t>13.09.2017</w:t>
            </w:r>
          </w:p>
        </w:tc>
        <w:tc>
          <w:tcPr>
            <w:tcW w:w="2126" w:type="dxa"/>
          </w:tcPr>
          <w:p w:rsidR="00090DC3" w:rsidRPr="00090DC3" w:rsidRDefault="00090DC3" w:rsidP="00090DC3">
            <w:pPr>
              <w:jc w:val="right"/>
              <w:cnfStyle w:val="000000100000" w:firstRow="0" w:lastRow="0" w:firstColumn="0" w:lastColumn="0" w:oddVBand="0" w:evenVBand="0" w:oddHBand="1" w:evenHBand="0" w:firstRowFirstColumn="0" w:firstRowLastColumn="0" w:lastRowFirstColumn="0" w:lastRowLastColumn="0"/>
              <w:rPr>
                <w:rFonts w:ascii="Garamond" w:hAnsi="Garamond"/>
                <w:sz w:val="25"/>
                <w:szCs w:val="25"/>
              </w:rPr>
            </w:pPr>
          </w:p>
        </w:tc>
      </w:tr>
      <w:tr w:rsidR="00090DC3" w:rsidRPr="00090DC3" w:rsidTr="00BD36D2">
        <w:tc>
          <w:tcPr>
            <w:cnfStyle w:val="001000000000" w:firstRow="0" w:lastRow="0" w:firstColumn="1" w:lastColumn="0" w:oddVBand="0" w:evenVBand="0" w:oddHBand="0" w:evenHBand="0" w:firstRowFirstColumn="0" w:firstRowLastColumn="0" w:lastRowFirstColumn="0" w:lastRowLastColumn="0"/>
            <w:tcW w:w="761" w:type="dxa"/>
          </w:tcPr>
          <w:p w:rsidR="00090DC3" w:rsidRPr="00090DC3" w:rsidRDefault="00090DC3" w:rsidP="00090DC3">
            <w:pPr>
              <w:jc w:val="center"/>
              <w:rPr>
                <w:rFonts w:ascii="Garamond" w:hAnsi="Garamond"/>
                <w:sz w:val="25"/>
                <w:szCs w:val="25"/>
              </w:rPr>
            </w:pPr>
            <w:r w:rsidRPr="00090DC3">
              <w:rPr>
                <w:rFonts w:ascii="Garamond" w:hAnsi="Garamond"/>
                <w:sz w:val="25"/>
                <w:szCs w:val="25"/>
              </w:rPr>
              <w:t>10</w:t>
            </w:r>
          </w:p>
        </w:tc>
        <w:tc>
          <w:tcPr>
            <w:tcW w:w="5471" w:type="dxa"/>
          </w:tcPr>
          <w:p w:rsidR="00090DC3" w:rsidRPr="00090DC3" w:rsidRDefault="00090DC3" w:rsidP="00090DC3">
            <w:pPr>
              <w:cnfStyle w:val="000000000000" w:firstRow="0" w:lastRow="0" w:firstColumn="0" w:lastColumn="0" w:oddVBand="0" w:evenVBand="0" w:oddHBand="0" w:evenHBand="0" w:firstRowFirstColumn="0" w:firstRowLastColumn="0" w:lastRowFirstColumn="0" w:lastRowLastColumn="0"/>
              <w:rPr>
                <w:rFonts w:ascii="Garamond" w:hAnsi="Garamond"/>
                <w:sz w:val="25"/>
                <w:szCs w:val="25"/>
              </w:rPr>
            </w:pPr>
            <w:r w:rsidRPr="00090DC3">
              <w:rPr>
                <w:rFonts w:ascii="Garamond" w:hAnsi="Garamond"/>
                <w:sz w:val="25"/>
                <w:szCs w:val="25"/>
              </w:rPr>
              <w:t>Affidamento del servizio di vigilanza privata</w:t>
            </w:r>
          </w:p>
        </w:tc>
        <w:tc>
          <w:tcPr>
            <w:tcW w:w="1418" w:type="dxa"/>
          </w:tcPr>
          <w:p w:rsidR="00090DC3" w:rsidRPr="00090DC3" w:rsidRDefault="00090DC3" w:rsidP="00090DC3">
            <w:pPr>
              <w:jc w:val="right"/>
              <w:cnfStyle w:val="000000000000" w:firstRow="0" w:lastRow="0" w:firstColumn="0" w:lastColumn="0" w:oddVBand="0" w:evenVBand="0" w:oddHBand="0" w:evenHBand="0" w:firstRowFirstColumn="0" w:firstRowLastColumn="0" w:lastRowFirstColumn="0" w:lastRowLastColumn="0"/>
              <w:rPr>
                <w:rFonts w:ascii="Garamond" w:hAnsi="Garamond"/>
                <w:sz w:val="25"/>
                <w:szCs w:val="25"/>
              </w:rPr>
            </w:pPr>
            <w:r w:rsidRPr="00090DC3">
              <w:rPr>
                <w:rFonts w:ascii="Garamond" w:hAnsi="Garamond"/>
                <w:sz w:val="25"/>
                <w:szCs w:val="25"/>
              </w:rPr>
              <w:t>23.05.2018</w:t>
            </w:r>
          </w:p>
        </w:tc>
        <w:tc>
          <w:tcPr>
            <w:tcW w:w="2126" w:type="dxa"/>
          </w:tcPr>
          <w:p w:rsidR="00090DC3" w:rsidRPr="00090DC3" w:rsidRDefault="00090DC3" w:rsidP="00090DC3">
            <w:pPr>
              <w:jc w:val="right"/>
              <w:cnfStyle w:val="000000000000" w:firstRow="0" w:lastRow="0" w:firstColumn="0" w:lastColumn="0" w:oddVBand="0" w:evenVBand="0" w:oddHBand="0" w:evenHBand="0" w:firstRowFirstColumn="0" w:firstRowLastColumn="0" w:lastRowFirstColumn="0" w:lastRowLastColumn="0"/>
              <w:rPr>
                <w:rFonts w:ascii="Garamond" w:hAnsi="Garamond"/>
                <w:sz w:val="25"/>
                <w:szCs w:val="25"/>
              </w:rPr>
            </w:pPr>
          </w:p>
        </w:tc>
      </w:tr>
      <w:tr w:rsidR="00090DC3" w:rsidRPr="00090DC3" w:rsidTr="00BD3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dxa"/>
          </w:tcPr>
          <w:p w:rsidR="00090DC3" w:rsidRPr="00090DC3" w:rsidRDefault="00090DC3" w:rsidP="00090DC3">
            <w:pPr>
              <w:jc w:val="center"/>
              <w:rPr>
                <w:rFonts w:ascii="Garamond" w:hAnsi="Garamond"/>
                <w:sz w:val="25"/>
                <w:szCs w:val="25"/>
              </w:rPr>
            </w:pPr>
            <w:r w:rsidRPr="00090DC3">
              <w:rPr>
                <w:rFonts w:ascii="Garamond" w:hAnsi="Garamond"/>
                <w:sz w:val="25"/>
                <w:szCs w:val="25"/>
              </w:rPr>
              <w:t>12</w:t>
            </w:r>
          </w:p>
        </w:tc>
        <w:tc>
          <w:tcPr>
            <w:tcW w:w="5471" w:type="dxa"/>
          </w:tcPr>
          <w:p w:rsidR="00090DC3" w:rsidRPr="00090DC3" w:rsidRDefault="00090DC3" w:rsidP="00090DC3">
            <w:pPr>
              <w:cnfStyle w:val="000000100000" w:firstRow="0" w:lastRow="0" w:firstColumn="0" w:lastColumn="0" w:oddVBand="0" w:evenVBand="0" w:oddHBand="1" w:evenHBand="0" w:firstRowFirstColumn="0" w:firstRowLastColumn="0" w:lastRowFirstColumn="0" w:lastRowLastColumn="0"/>
              <w:rPr>
                <w:rFonts w:ascii="Garamond" w:hAnsi="Garamond"/>
                <w:sz w:val="25"/>
                <w:szCs w:val="25"/>
              </w:rPr>
            </w:pPr>
            <w:r w:rsidRPr="00090DC3">
              <w:rPr>
                <w:rFonts w:ascii="Garamond" w:hAnsi="Garamond"/>
                <w:sz w:val="25"/>
                <w:szCs w:val="25"/>
              </w:rPr>
              <w:t>Affidamento dei servizi legali</w:t>
            </w:r>
          </w:p>
        </w:tc>
        <w:tc>
          <w:tcPr>
            <w:tcW w:w="1418" w:type="dxa"/>
          </w:tcPr>
          <w:p w:rsidR="00090DC3" w:rsidRPr="00090DC3" w:rsidRDefault="00090DC3" w:rsidP="00090DC3">
            <w:pPr>
              <w:jc w:val="right"/>
              <w:cnfStyle w:val="000000100000" w:firstRow="0" w:lastRow="0" w:firstColumn="0" w:lastColumn="0" w:oddVBand="0" w:evenVBand="0" w:oddHBand="1" w:evenHBand="0" w:firstRowFirstColumn="0" w:firstRowLastColumn="0" w:lastRowFirstColumn="0" w:lastRowLastColumn="0"/>
              <w:rPr>
                <w:rFonts w:ascii="Garamond" w:hAnsi="Garamond"/>
                <w:sz w:val="25"/>
                <w:szCs w:val="25"/>
              </w:rPr>
            </w:pPr>
            <w:r w:rsidRPr="00090DC3">
              <w:rPr>
                <w:rFonts w:ascii="Garamond" w:hAnsi="Garamond"/>
                <w:sz w:val="25"/>
                <w:szCs w:val="25"/>
              </w:rPr>
              <w:t xml:space="preserve">24.10.2018 </w:t>
            </w:r>
          </w:p>
        </w:tc>
        <w:tc>
          <w:tcPr>
            <w:tcW w:w="2126" w:type="dxa"/>
          </w:tcPr>
          <w:p w:rsidR="00090DC3" w:rsidRPr="00090DC3" w:rsidRDefault="00090DC3" w:rsidP="00090DC3">
            <w:pPr>
              <w:jc w:val="right"/>
              <w:cnfStyle w:val="000000100000" w:firstRow="0" w:lastRow="0" w:firstColumn="0" w:lastColumn="0" w:oddVBand="0" w:evenVBand="0" w:oddHBand="1" w:evenHBand="0" w:firstRowFirstColumn="0" w:firstRowLastColumn="0" w:lastRowFirstColumn="0" w:lastRowLastColumn="0"/>
              <w:rPr>
                <w:rFonts w:ascii="Garamond" w:hAnsi="Garamond"/>
                <w:sz w:val="25"/>
                <w:szCs w:val="25"/>
              </w:rPr>
            </w:pPr>
          </w:p>
        </w:tc>
      </w:tr>
    </w:tbl>
    <w:p w:rsidR="00090DC3" w:rsidRPr="00090DC3" w:rsidRDefault="00090DC3" w:rsidP="00090DC3">
      <w:pPr>
        <w:spacing w:after="0" w:line="360" w:lineRule="auto"/>
        <w:jc w:val="both"/>
        <w:rPr>
          <w:rFonts w:ascii="Garamond" w:eastAsiaTheme="majorEastAsia" w:hAnsi="Garamond" w:cstheme="majorBidi"/>
          <w:b/>
          <w:bCs/>
          <w:sz w:val="25"/>
          <w:szCs w:val="25"/>
          <w:lang w:eastAsia="it-IT"/>
        </w:rPr>
      </w:pPr>
    </w:p>
    <w:p w:rsidR="00090DC3" w:rsidRPr="00090DC3" w:rsidRDefault="00090DC3" w:rsidP="00090DC3">
      <w:pPr>
        <w:spacing w:after="0" w:line="360" w:lineRule="auto"/>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Altre Linee guida non previste dal Codice in fase di predisposizione riguardano:</w:t>
      </w:r>
    </w:p>
    <w:p w:rsidR="00090DC3" w:rsidRPr="00090DC3" w:rsidRDefault="00090DC3" w:rsidP="00AA1A94">
      <w:pPr>
        <w:numPr>
          <w:ilvl w:val="0"/>
          <w:numId w:val="18"/>
        </w:numPr>
        <w:spacing w:after="0" w:line="360" w:lineRule="auto"/>
        <w:contextualSpacing/>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le clausole sociali;</w:t>
      </w:r>
    </w:p>
    <w:p w:rsidR="00090DC3" w:rsidRPr="00090DC3" w:rsidRDefault="00090DC3" w:rsidP="00AA1A94">
      <w:pPr>
        <w:numPr>
          <w:ilvl w:val="0"/>
          <w:numId w:val="18"/>
        </w:numPr>
        <w:spacing w:after="0" w:line="360" w:lineRule="auto"/>
        <w:contextualSpacing/>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il BIM e equo compenso per i professionisti (da inserire nelle Linee guida n. 1);</w:t>
      </w:r>
    </w:p>
    <w:p w:rsidR="00090DC3" w:rsidRPr="00090DC3" w:rsidRDefault="00090DC3" w:rsidP="00AA1A94">
      <w:pPr>
        <w:numPr>
          <w:ilvl w:val="0"/>
          <w:numId w:val="18"/>
        </w:numPr>
        <w:spacing w:after="0" w:line="360" w:lineRule="auto"/>
        <w:contextualSpacing/>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gli affidamenti di servizi sociali (revisione della determinazione n. 32/2016);</w:t>
      </w:r>
    </w:p>
    <w:p w:rsidR="00090DC3" w:rsidRPr="00090DC3" w:rsidRDefault="00090DC3" w:rsidP="00AA1A94">
      <w:pPr>
        <w:numPr>
          <w:ilvl w:val="0"/>
          <w:numId w:val="18"/>
        </w:numPr>
        <w:spacing w:after="0" w:line="360" w:lineRule="auto"/>
        <w:contextualSpacing/>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i conflitti di interesse in materia di contratti pubblici;</w:t>
      </w:r>
    </w:p>
    <w:p w:rsidR="00090DC3" w:rsidRPr="00090DC3" w:rsidRDefault="00090DC3" w:rsidP="00AA1A94">
      <w:pPr>
        <w:numPr>
          <w:ilvl w:val="0"/>
          <w:numId w:val="18"/>
        </w:numPr>
        <w:spacing w:after="0" w:line="360" w:lineRule="auto"/>
        <w:contextualSpacing/>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le consultazioni preliminari del mercato.</w:t>
      </w:r>
    </w:p>
    <w:p w:rsidR="00090DC3" w:rsidRPr="00090DC3" w:rsidRDefault="00090DC3" w:rsidP="00090DC3">
      <w:pPr>
        <w:spacing w:after="0" w:line="360" w:lineRule="auto"/>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Rientrano tra le attività di regolazione e sono finalizzate ad offrire un supporto operativo alle stazioni appaltanti nella predisposizione dei bandi di gara i cosiddetti bandi-tipo. Finora l’Autorità ne ha prodotti 3:</w:t>
      </w:r>
    </w:p>
    <w:p w:rsidR="00090DC3" w:rsidRPr="00090DC3" w:rsidRDefault="00090DC3" w:rsidP="00AA1A94">
      <w:pPr>
        <w:numPr>
          <w:ilvl w:val="0"/>
          <w:numId w:val="16"/>
        </w:numPr>
        <w:spacing w:after="0" w:line="360" w:lineRule="auto"/>
        <w:contextualSpacing/>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 xml:space="preserve">Bando-tipo n. 1 – Servizi e forniture in generale </w:t>
      </w:r>
    </w:p>
    <w:p w:rsidR="00090DC3" w:rsidRPr="00090DC3" w:rsidRDefault="00090DC3" w:rsidP="00AA1A94">
      <w:pPr>
        <w:numPr>
          <w:ilvl w:val="0"/>
          <w:numId w:val="16"/>
        </w:numPr>
        <w:spacing w:after="0" w:line="360" w:lineRule="auto"/>
        <w:contextualSpacing/>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Bando tipo n. 2 – Servizi di pulizia</w:t>
      </w:r>
    </w:p>
    <w:p w:rsidR="00090DC3" w:rsidRPr="00090DC3" w:rsidRDefault="00090DC3" w:rsidP="00AA1A94">
      <w:pPr>
        <w:numPr>
          <w:ilvl w:val="0"/>
          <w:numId w:val="16"/>
        </w:numPr>
        <w:spacing w:after="0" w:line="360" w:lineRule="auto"/>
        <w:contextualSpacing/>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Bando tipo n. 3 – Servizi di architettura e ingegneria</w:t>
      </w:r>
    </w:p>
    <w:p w:rsidR="00090DC3" w:rsidRPr="00090DC3" w:rsidRDefault="00090DC3" w:rsidP="00090DC3">
      <w:pPr>
        <w:spacing w:after="0" w:line="360" w:lineRule="auto"/>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Inoltre, ANAC, in quanto Autorità Nazionale Anticorruzione emana il Piano Nazionale Anticorruzione e i relativi aggiornamenti annuali. Il Piano, ai sensi dell’art. 1, comma 2-bis della legge 190/2012, rappresenta un atto di indirizzo a favore delle Pubbliche Amministrazioni per l’adozione dei Piani triennali di prevenzione della corruzione. Fin dall’adozione del primo Piano, la materia della contrattualistica pubblica è stata individuata tra le aree a rischio corruzione e negli aggiornamenti successivi la materia, oltre ad essere trattata tra le aree di rischio e tra gli elementi su cui deve vigilare il responsabile della prevenzione della corruzione, è stata oggetto di appositi approfondimenti.</w:t>
      </w:r>
      <w:r w:rsidRPr="00090DC3">
        <w:rPr>
          <w:rFonts w:ascii="Times New Roman" w:eastAsiaTheme="majorEastAsia" w:hAnsi="Times New Roman" w:cs="Times New Roman"/>
          <w:b/>
          <w:bCs/>
          <w:sz w:val="24"/>
          <w:szCs w:val="24"/>
          <w:lang w:eastAsia="it-IT"/>
        </w:rPr>
        <w:t xml:space="preserve"> </w:t>
      </w:r>
      <w:r w:rsidRPr="00090DC3">
        <w:rPr>
          <w:rFonts w:ascii="Times New Roman" w:eastAsiaTheme="majorEastAsia" w:hAnsi="Times New Roman" w:cs="Times New Roman"/>
          <w:bCs/>
          <w:sz w:val="24"/>
          <w:szCs w:val="24"/>
          <w:lang w:eastAsia="it-IT"/>
        </w:rPr>
        <w:t>Si segnalano, in particolare, a titolo di esempio:</w:t>
      </w:r>
    </w:p>
    <w:p w:rsidR="00090DC3" w:rsidRPr="00090DC3" w:rsidRDefault="00090DC3" w:rsidP="00AA1A94">
      <w:pPr>
        <w:numPr>
          <w:ilvl w:val="0"/>
          <w:numId w:val="16"/>
        </w:numPr>
        <w:spacing w:after="0" w:line="360" w:lineRule="auto"/>
        <w:contextualSpacing/>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Aggiornamento 2015, la sessione dedicata all’Area di Rischio Contratti Pubblici;</w:t>
      </w:r>
    </w:p>
    <w:p w:rsidR="00090DC3" w:rsidRPr="00090DC3" w:rsidRDefault="00090DC3" w:rsidP="00AA1A94">
      <w:pPr>
        <w:numPr>
          <w:ilvl w:val="0"/>
          <w:numId w:val="16"/>
        </w:numPr>
        <w:spacing w:after="0" w:line="360" w:lineRule="auto"/>
        <w:contextualSpacing/>
        <w:jc w:val="both"/>
        <w:rPr>
          <w:rFonts w:ascii="Times New Roman" w:eastAsiaTheme="majorEastAsia" w:hAnsi="Times New Roman" w:cs="Times New Roman"/>
          <w:bCs/>
          <w:sz w:val="24"/>
          <w:szCs w:val="24"/>
          <w:lang w:eastAsia="it-IT"/>
        </w:rPr>
      </w:pPr>
      <w:r w:rsidRPr="00090DC3">
        <w:rPr>
          <w:rFonts w:ascii="Times New Roman" w:eastAsiaTheme="majorEastAsia" w:hAnsi="Times New Roman" w:cs="Times New Roman"/>
          <w:bCs/>
          <w:sz w:val="24"/>
          <w:szCs w:val="24"/>
          <w:lang w:eastAsia="it-IT"/>
        </w:rPr>
        <w:t>Aggiornamento 2016, la sessione dedicata agli Acquisti in ambito sanitario;</w:t>
      </w:r>
    </w:p>
    <w:p w:rsidR="00090DC3" w:rsidRPr="00356A5A" w:rsidRDefault="00090DC3" w:rsidP="00356A5A">
      <w:pPr>
        <w:numPr>
          <w:ilvl w:val="0"/>
          <w:numId w:val="16"/>
        </w:numPr>
        <w:spacing w:after="0" w:line="360" w:lineRule="auto"/>
        <w:contextualSpacing/>
        <w:jc w:val="both"/>
        <w:rPr>
          <w:sz w:val="24"/>
          <w:szCs w:val="24"/>
        </w:rPr>
      </w:pPr>
      <w:r w:rsidRPr="00356A5A">
        <w:rPr>
          <w:rFonts w:ascii="Times New Roman" w:eastAsiaTheme="majorEastAsia" w:hAnsi="Times New Roman" w:cs="Times New Roman"/>
          <w:bCs/>
          <w:sz w:val="24"/>
          <w:szCs w:val="24"/>
          <w:lang w:eastAsia="it-IT"/>
        </w:rPr>
        <w:t>Aggiornamento 2017, la sessione dedicata alle attività delle Autorità di Sistema Portuale per quanto concerne le concessioni e autorizzazioni.</w:t>
      </w:r>
      <w:r w:rsidRPr="00356A5A">
        <w:rPr>
          <w:sz w:val="24"/>
          <w:szCs w:val="24"/>
        </w:rPr>
        <w:br w:type="page"/>
      </w:r>
    </w:p>
    <w:p w:rsidR="008F0BDF" w:rsidRPr="008F0BDF" w:rsidRDefault="008F0BDF" w:rsidP="008F0BDF">
      <w:pPr>
        <w:jc w:val="center"/>
        <w:rPr>
          <w:rFonts w:ascii="Times New Roman" w:hAnsi="Times New Roman" w:cs="Times New Roman"/>
          <w:sz w:val="24"/>
          <w:szCs w:val="24"/>
        </w:rPr>
      </w:pPr>
      <w:r w:rsidRPr="008F0BDF">
        <w:rPr>
          <w:rFonts w:ascii="Times New Roman" w:hAnsi="Times New Roman" w:cs="Times New Roman"/>
          <w:sz w:val="24"/>
          <w:szCs w:val="24"/>
        </w:rPr>
        <w:lastRenderedPageBreak/>
        <w:t>PARTE IV</w:t>
      </w:r>
    </w:p>
    <w:p w:rsidR="009D6B8C" w:rsidRPr="008F0BDF" w:rsidRDefault="00BD36D2" w:rsidP="008F0BDF">
      <w:pPr>
        <w:jc w:val="center"/>
        <w:rPr>
          <w:rFonts w:ascii="Times New Roman" w:hAnsi="Times New Roman" w:cs="Times New Roman"/>
          <w:sz w:val="24"/>
          <w:szCs w:val="24"/>
        </w:rPr>
      </w:pPr>
      <w:r w:rsidRPr="008F0BDF">
        <w:rPr>
          <w:rFonts w:ascii="Times New Roman" w:hAnsi="Times New Roman" w:cs="Times New Roman"/>
          <w:sz w:val="24"/>
          <w:szCs w:val="24"/>
        </w:rPr>
        <w:t>ANALISI SU</w:t>
      </w:r>
      <w:r w:rsidR="00245DCB">
        <w:rPr>
          <w:rFonts w:ascii="Times New Roman" w:hAnsi="Times New Roman" w:cs="Times New Roman"/>
          <w:sz w:val="24"/>
          <w:szCs w:val="24"/>
        </w:rPr>
        <w:t>L</w:t>
      </w:r>
      <w:r w:rsidRPr="008F0BDF">
        <w:rPr>
          <w:rFonts w:ascii="Times New Roman" w:hAnsi="Times New Roman" w:cs="Times New Roman"/>
          <w:sz w:val="24"/>
          <w:szCs w:val="24"/>
        </w:rPr>
        <w:t xml:space="preserve"> CONTENZIOSO</w:t>
      </w:r>
    </w:p>
    <w:p w:rsidR="009D6B8C" w:rsidRDefault="009D6B8C" w:rsidP="0036773D">
      <w:pPr>
        <w:jc w:val="both"/>
        <w:rPr>
          <w:rFonts w:ascii="Times New Roman" w:hAnsi="Times New Roman" w:cs="Times New Roman"/>
          <w:b/>
          <w:sz w:val="24"/>
          <w:szCs w:val="24"/>
          <w:u w:val="single"/>
        </w:rPr>
      </w:pPr>
    </w:p>
    <w:p w:rsidR="00655E8E" w:rsidRDefault="00655E8E" w:rsidP="0036773D">
      <w:pPr>
        <w:jc w:val="both"/>
        <w:rPr>
          <w:rFonts w:ascii="Times New Roman" w:hAnsi="Times New Roman" w:cs="Times New Roman"/>
          <w:b/>
          <w:sz w:val="24"/>
          <w:szCs w:val="24"/>
          <w:u w:val="single"/>
        </w:rPr>
      </w:pPr>
    </w:p>
    <w:p w:rsidR="00655E8E" w:rsidRDefault="00655E8E" w:rsidP="00B170B3">
      <w:pPr>
        <w:keepNext/>
        <w:keepLines/>
        <w:numPr>
          <w:ilvl w:val="1"/>
          <w:numId w:val="33"/>
        </w:numPr>
        <w:tabs>
          <w:tab w:val="left" w:pos="426"/>
        </w:tabs>
        <w:spacing w:before="200" w:after="0" w:line="240" w:lineRule="auto"/>
        <w:ind w:left="426" w:hanging="426"/>
        <w:contextualSpacing/>
        <w:outlineLvl w:val="2"/>
        <w:rPr>
          <w:rFonts w:ascii="Times New Roman" w:eastAsiaTheme="majorEastAsia" w:hAnsi="Times New Roman" w:cs="Times New Roman"/>
          <w:b/>
          <w:bCs/>
          <w:sz w:val="24"/>
          <w:szCs w:val="24"/>
          <w:lang w:eastAsia="it-IT"/>
        </w:rPr>
      </w:pPr>
      <w:r w:rsidRPr="00B170B3">
        <w:rPr>
          <w:rFonts w:ascii="Times New Roman" w:eastAsiaTheme="majorEastAsia" w:hAnsi="Times New Roman" w:cs="Times New Roman"/>
          <w:b/>
          <w:bCs/>
          <w:sz w:val="24"/>
          <w:szCs w:val="24"/>
          <w:lang w:eastAsia="it-IT"/>
        </w:rPr>
        <w:t>Premessa</w:t>
      </w:r>
    </w:p>
    <w:p w:rsidR="00B170B3" w:rsidRPr="00B170B3" w:rsidRDefault="00B170B3" w:rsidP="00B170B3">
      <w:pPr>
        <w:keepNext/>
        <w:keepLines/>
        <w:tabs>
          <w:tab w:val="left" w:pos="426"/>
        </w:tabs>
        <w:spacing w:before="200" w:after="0" w:line="240" w:lineRule="auto"/>
        <w:ind w:left="426"/>
        <w:contextualSpacing/>
        <w:outlineLvl w:val="2"/>
        <w:rPr>
          <w:rFonts w:ascii="Times New Roman" w:eastAsiaTheme="majorEastAsia" w:hAnsi="Times New Roman" w:cs="Times New Roman"/>
          <w:b/>
          <w:bCs/>
          <w:sz w:val="24"/>
          <w:szCs w:val="24"/>
          <w:lang w:eastAsia="it-IT"/>
        </w:rPr>
      </w:pPr>
    </w:p>
    <w:p w:rsidR="0036773D" w:rsidRPr="009D6B8C" w:rsidRDefault="00F52998" w:rsidP="009D6B8C">
      <w:pPr>
        <w:jc w:val="both"/>
        <w:rPr>
          <w:rFonts w:ascii="Times New Roman" w:hAnsi="Times New Roman" w:cs="Times New Roman"/>
          <w:sz w:val="24"/>
          <w:szCs w:val="24"/>
        </w:rPr>
      </w:pPr>
      <w:r>
        <w:rPr>
          <w:rFonts w:ascii="Times New Roman" w:hAnsi="Times New Roman" w:cs="Times New Roman"/>
          <w:sz w:val="24"/>
          <w:szCs w:val="24"/>
        </w:rPr>
        <w:t>L</w:t>
      </w:r>
      <w:r w:rsidRPr="00F52998">
        <w:rPr>
          <w:rFonts w:ascii="Times New Roman" w:hAnsi="Times New Roman" w:cs="Times New Roman"/>
          <w:sz w:val="24"/>
          <w:szCs w:val="24"/>
        </w:rPr>
        <w:t xml:space="preserve">’Ufficio studi massimario e formazione della Giustizia amministrativa </w:t>
      </w:r>
      <w:r w:rsidR="009D6B8C" w:rsidRPr="009D6B8C">
        <w:rPr>
          <w:rFonts w:ascii="Times New Roman" w:hAnsi="Times New Roman" w:cs="Times New Roman"/>
          <w:sz w:val="24"/>
          <w:szCs w:val="24"/>
        </w:rPr>
        <w:t>ha realizzato</w:t>
      </w:r>
      <w:r w:rsidR="00652715">
        <w:rPr>
          <w:rFonts w:ascii="Times New Roman" w:hAnsi="Times New Roman" w:cs="Times New Roman"/>
          <w:sz w:val="24"/>
          <w:szCs w:val="24"/>
        </w:rPr>
        <w:t>, nel 2017,</w:t>
      </w:r>
      <w:r w:rsidR="009D6B8C" w:rsidRPr="009D6B8C">
        <w:rPr>
          <w:rFonts w:ascii="Times New Roman" w:hAnsi="Times New Roman" w:cs="Times New Roman"/>
          <w:sz w:val="24"/>
          <w:szCs w:val="24"/>
        </w:rPr>
        <w:t xml:space="preserve"> una serie di analisi </w:t>
      </w:r>
      <w:r>
        <w:rPr>
          <w:rFonts w:ascii="Times New Roman" w:hAnsi="Times New Roman" w:cs="Times New Roman"/>
          <w:sz w:val="24"/>
          <w:szCs w:val="24"/>
        </w:rPr>
        <w:t>su</w:t>
      </w:r>
      <w:r w:rsidR="009D6B8C" w:rsidRPr="009D6B8C">
        <w:rPr>
          <w:rFonts w:ascii="Times New Roman" w:hAnsi="Times New Roman" w:cs="Times New Roman"/>
          <w:sz w:val="24"/>
          <w:szCs w:val="24"/>
        </w:rPr>
        <w:t>l rapporto tra giustizia amministrativa ed economia, poi raccolte nel volume “Giustizia amministrativa ed economia: efficienza del sistema e soddisfazione dei cittadini”.</w:t>
      </w:r>
      <w:r w:rsidR="009D6B8C">
        <w:rPr>
          <w:rFonts w:ascii="Times New Roman" w:hAnsi="Times New Roman" w:cs="Times New Roman"/>
          <w:sz w:val="24"/>
          <w:szCs w:val="24"/>
        </w:rPr>
        <w:t xml:space="preserve"> </w:t>
      </w:r>
      <w:r w:rsidR="009D6B8C" w:rsidRPr="009D6B8C">
        <w:rPr>
          <w:rFonts w:ascii="Times New Roman" w:hAnsi="Times New Roman" w:cs="Times New Roman"/>
          <w:sz w:val="24"/>
          <w:szCs w:val="24"/>
        </w:rPr>
        <w:t>Il volume contiene analisi, approfondimenti e considerazioni, svolte anche in chiave comparativa sul sistema di giustizia amministrativa ed in particolare sul suo livello di efficienza, ricavato da fattori quali la durata dei procedimenti, la prevedibilità delle decisioni, l’immediatezza della tutela cautelare, la celerità del rito nei settori economicamente più sensibili.</w:t>
      </w:r>
    </w:p>
    <w:p w:rsidR="009D6B8C" w:rsidRPr="009D6B8C" w:rsidRDefault="009D6B8C" w:rsidP="009D6B8C">
      <w:pPr>
        <w:jc w:val="both"/>
        <w:rPr>
          <w:rFonts w:ascii="Times New Roman" w:hAnsi="Times New Roman" w:cs="Times New Roman"/>
          <w:sz w:val="24"/>
          <w:szCs w:val="24"/>
        </w:rPr>
      </w:pPr>
      <w:r w:rsidRPr="009D6B8C">
        <w:rPr>
          <w:rFonts w:ascii="Times New Roman" w:hAnsi="Times New Roman" w:cs="Times New Roman"/>
          <w:sz w:val="24"/>
          <w:szCs w:val="24"/>
        </w:rPr>
        <w:t xml:space="preserve">Nel </w:t>
      </w:r>
      <w:r>
        <w:rPr>
          <w:rFonts w:ascii="Times New Roman" w:hAnsi="Times New Roman" w:cs="Times New Roman"/>
          <w:sz w:val="24"/>
          <w:szCs w:val="24"/>
        </w:rPr>
        <w:t>predetto</w:t>
      </w:r>
      <w:r w:rsidRPr="009D6B8C">
        <w:rPr>
          <w:rFonts w:ascii="Times New Roman" w:hAnsi="Times New Roman" w:cs="Times New Roman"/>
          <w:sz w:val="24"/>
          <w:szCs w:val="24"/>
        </w:rPr>
        <w:t xml:space="preserve"> studio</w:t>
      </w:r>
      <w:r>
        <w:rPr>
          <w:rFonts w:ascii="Times New Roman" w:hAnsi="Times New Roman" w:cs="Times New Roman"/>
          <w:sz w:val="24"/>
          <w:szCs w:val="24"/>
        </w:rPr>
        <w:t xml:space="preserve"> è stata posta particolare attenzione </w:t>
      </w:r>
      <w:r w:rsidRPr="009D6B8C">
        <w:rPr>
          <w:rFonts w:ascii="Times New Roman" w:hAnsi="Times New Roman" w:cs="Times New Roman"/>
          <w:sz w:val="24"/>
          <w:szCs w:val="24"/>
        </w:rPr>
        <w:t xml:space="preserve">ai ricorsi recenti con il nuovo </w:t>
      </w:r>
      <w:proofErr w:type="spellStart"/>
      <w:r w:rsidRPr="009D6B8C">
        <w:rPr>
          <w:rFonts w:ascii="Times New Roman" w:hAnsi="Times New Roman" w:cs="Times New Roman"/>
          <w:sz w:val="24"/>
          <w:szCs w:val="24"/>
        </w:rPr>
        <w:t>c.p.a</w:t>
      </w:r>
      <w:proofErr w:type="spellEnd"/>
      <w:r w:rsidRPr="009D6B8C">
        <w:rPr>
          <w:rFonts w:ascii="Times New Roman" w:hAnsi="Times New Roman" w:cs="Times New Roman"/>
          <w:sz w:val="24"/>
          <w:szCs w:val="24"/>
        </w:rPr>
        <w:t xml:space="preserve">. </w:t>
      </w:r>
      <w:r>
        <w:rPr>
          <w:rFonts w:ascii="Times New Roman" w:hAnsi="Times New Roman" w:cs="Times New Roman"/>
          <w:sz w:val="24"/>
          <w:szCs w:val="24"/>
        </w:rPr>
        <w:t xml:space="preserve">(codice del processo amministrativo) </w:t>
      </w:r>
      <w:r w:rsidRPr="009D6B8C">
        <w:rPr>
          <w:rFonts w:ascii="Times New Roman" w:hAnsi="Times New Roman" w:cs="Times New Roman"/>
          <w:sz w:val="24"/>
          <w:szCs w:val="24"/>
        </w:rPr>
        <w:t>del 2010</w:t>
      </w:r>
      <w:r>
        <w:rPr>
          <w:rFonts w:ascii="Times New Roman" w:hAnsi="Times New Roman" w:cs="Times New Roman"/>
          <w:sz w:val="24"/>
          <w:szCs w:val="24"/>
        </w:rPr>
        <w:t>. In tale ambito si è potuto verificare</w:t>
      </w:r>
      <w:r w:rsidRPr="009D6B8C">
        <w:rPr>
          <w:rFonts w:ascii="Times New Roman" w:hAnsi="Times New Roman" w:cs="Times New Roman"/>
          <w:sz w:val="24"/>
          <w:szCs w:val="24"/>
        </w:rPr>
        <w:t xml:space="preserve"> la costante diminuzione dei tempi di definizione</w:t>
      </w:r>
      <w:r>
        <w:rPr>
          <w:rFonts w:ascii="Times New Roman" w:hAnsi="Times New Roman" w:cs="Times New Roman"/>
          <w:sz w:val="24"/>
          <w:szCs w:val="24"/>
        </w:rPr>
        <w:t xml:space="preserve"> dei ricorsi</w:t>
      </w:r>
      <w:r w:rsidRPr="009D6B8C">
        <w:rPr>
          <w:rFonts w:ascii="Times New Roman" w:hAnsi="Times New Roman" w:cs="Times New Roman"/>
          <w:sz w:val="24"/>
          <w:szCs w:val="24"/>
        </w:rPr>
        <w:t xml:space="preserve">, grazie dalle innovazioni processuali ed organizzative introdotte proprio da questa riforma. </w:t>
      </w:r>
    </w:p>
    <w:p w:rsidR="009D6B8C" w:rsidRPr="009D6B8C" w:rsidRDefault="009D6B8C" w:rsidP="009D6B8C">
      <w:pPr>
        <w:jc w:val="both"/>
        <w:rPr>
          <w:rFonts w:ascii="Times New Roman" w:hAnsi="Times New Roman" w:cs="Times New Roman"/>
          <w:sz w:val="24"/>
          <w:szCs w:val="24"/>
        </w:rPr>
      </w:pPr>
      <w:r w:rsidRPr="009D6B8C">
        <w:rPr>
          <w:rFonts w:ascii="Times New Roman" w:hAnsi="Times New Roman" w:cs="Times New Roman"/>
          <w:sz w:val="24"/>
          <w:szCs w:val="24"/>
        </w:rPr>
        <w:t>Dal 2011 in poi, infatti, i tempi di definizione delle cause introdotte si stanno riducendo progressivamente. Nell’ambito di tali tempi medi di decisione occorre evidenziare i tempi, ancora più celeri, di definizione delle cause relative a questioni economicamente e socialmente più sensibili, quali quelle in materia di procedimenti elettorali, appalti, immigrazione. In questi settori, caratterizzati da esigenze di tutela urgente, connesse alla delicatezza degli interessi incisi, i tempi sono più bassi in virtù dei riti speciali ed abbreviati previsti dallo stesso codice, e si riducono progressivamente man mano che l’indagine interessa le annualità più recenti (</w:t>
      </w:r>
      <w:proofErr w:type="spellStart"/>
      <w:r w:rsidRPr="009D6B8C">
        <w:rPr>
          <w:rFonts w:ascii="Times New Roman" w:hAnsi="Times New Roman" w:cs="Times New Roman"/>
          <w:sz w:val="24"/>
          <w:szCs w:val="24"/>
        </w:rPr>
        <w:t>tab</w:t>
      </w:r>
      <w:proofErr w:type="spellEnd"/>
      <w:r w:rsidRPr="009D6B8C">
        <w:rPr>
          <w:rFonts w:ascii="Times New Roman" w:hAnsi="Times New Roman" w:cs="Times New Roman"/>
          <w:sz w:val="24"/>
          <w:szCs w:val="24"/>
        </w:rPr>
        <w:t xml:space="preserve">. </w:t>
      </w:r>
      <w:r>
        <w:rPr>
          <w:rFonts w:ascii="Times New Roman" w:hAnsi="Times New Roman" w:cs="Times New Roman"/>
          <w:sz w:val="24"/>
          <w:szCs w:val="24"/>
        </w:rPr>
        <w:t>1</w:t>
      </w:r>
      <w:r w:rsidRPr="009D6B8C">
        <w:rPr>
          <w:rFonts w:ascii="Times New Roman" w:hAnsi="Times New Roman" w:cs="Times New Roman"/>
          <w:sz w:val="24"/>
          <w:szCs w:val="24"/>
        </w:rPr>
        <w:t xml:space="preserve"> </w:t>
      </w:r>
      <w:r>
        <w:rPr>
          <w:rFonts w:ascii="Times New Roman" w:hAnsi="Times New Roman" w:cs="Times New Roman"/>
          <w:sz w:val="24"/>
          <w:szCs w:val="24"/>
        </w:rPr>
        <w:t>e</w:t>
      </w:r>
      <w:r w:rsidRPr="009D6B8C">
        <w:rPr>
          <w:rFonts w:ascii="Times New Roman" w:hAnsi="Times New Roman" w:cs="Times New Roman"/>
          <w:sz w:val="24"/>
          <w:szCs w:val="24"/>
        </w:rPr>
        <w:t xml:space="preserve"> </w:t>
      </w:r>
      <w:r>
        <w:rPr>
          <w:rFonts w:ascii="Times New Roman" w:hAnsi="Times New Roman" w:cs="Times New Roman"/>
          <w:sz w:val="24"/>
          <w:szCs w:val="24"/>
        </w:rPr>
        <w:t>2</w:t>
      </w:r>
      <w:r w:rsidRPr="009D6B8C">
        <w:rPr>
          <w:rFonts w:ascii="Times New Roman" w:hAnsi="Times New Roman" w:cs="Times New Roman"/>
          <w:sz w:val="24"/>
          <w:szCs w:val="24"/>
        </w:rPr>
        <w:t>), sino a fermarsi a tre giorni per i giudizi concernenti  provvedimenti di esclusione di liste o candidati in occasione delle competizioni elettorali comunali, provinciali, regionali ed europee.</w:t>
      </w:r>
    </w:p>
    <w:p w:rsidR="009D6B8C" w:rsidRPr="009D6B8C" w:rsidRDefault="009D6B8C" w:rsidP="009D6B8C">
      <w:pPr>
        <w:jc w:val="both"/>
        <w:rPr>
          <w:rFonts w:ascii="Times New Roman" w:hAnsi="Times New Roman" w:cs="Times New Roman"/>
          <w:sz w:val="24"/>
          <w:szCs w:val="24"/>
        </w:rPr>
      </w:pPr>
      <w:r w:rsidRPr="009D6B8C">
        <w:rPr>
          <w:rFonts w:ascii="Times New Roman" w:hAnsi="Times New Roman" w:cs="Times New Roman"/>
          <w:sz w:val="24"/>
          <w:szCs w:val="24"/>
        </w:rPr>
        <w:t xml:space="preserve">Il dato illustrato in </w:t>
      </w:r>
      <w:proofErr w:type="spellStart"/>
      <w:r w:rsidRPr="009D6B8C">
        <w:rPr>
          <w:rFonts w:ascii="Times New Roman" w:hAnsi="Times New Roman" w:cs="Times New Roman"/>
          <w:sz w:val="24"/>
          <w:szCs w:val="24"/>
        </w:rPr>
        <w:t>Tab</w:t>
      </w:r>
      <w:proofErr w:type="spellEnd"/>
      <w:r w:rsidRPr="009D6B8C">
        <w:rPr>
          <w:rFonts w:ascii="Times New Roman" w:hAnsi="Times New Roman" w:cs="Times New Roman"/>
          <w:sz w:val="24"/>
          <w:szCs w:val="24"/>
        </w:rPr>
        <w:t xml:space="preserve">. </w:t>
      </w:r>
      <w:r>
        <w:rPr>
          <w:rFonts w:ascii="Times New Roman" w:hAnsi="Times New Roman" w:cs="Times New Roman"/>
          <w:sz w:val="24"/>
          <w:szCs w:val="24"/>
        </w:rPr>
        <w:t>1</w:t>
      </w:r>
      <w:r w:rsidRPr="009D6B8C">
        <w:rPr>
          <w:rFonts w:ascii="Times New Roman" w:hAnsi="Times New Roman" w:cs="Times New Roman"/>
          <w:sz w:val="24"/>
          <w:szCs w:val="24"/>
        </w:rPr>
        <w:t xml:space="preserve"> e </w:t>
      </w:r>
      <w:r>
        <w:rPr>
          <w:rFonts w:ascii="Times New Roman" w:hAnsi="Times New Roman" w:cs="Times New Roman"/>
          <w:sz w:val="24"/>
          <w:szCs w:val="24"/>
        </w:rPr>
        <w:t>2</w:t>
      </w:r>
      <w:r w:rsidRPr="009D6B8C">
        <w:rPr>
          <w:rFonts w:ascii="Times New Roman" w:hAnsi="Times New Roman" w:cs="Times New Roman"/>
          <w:sz w:val="24"/>
          <w:szCs w:val="24"/>
        </w:rPr>
        <w:t xml:space="preserve"> aggrega le decisioni sinora intervenute in relazione all’anno di deposito del relativo ricorso.</w:t>
      </w:r>
    </w:p>
    <w:p w:rsidR="00697413" w:rsidRDefault="00697413">
      <w:pPr>
        <w:rPr>
          <w:rFonts w:ascii="Times New Roman" w:hAnsi="Times New Roman" w:cs="Times New Roman"/>
          <w:sz w:val="24"/>
          <w:szCs w:val="24"/>
        </w:rPr>
      </w:pPr>
      <w:r>
        <w:rPr>
          <w:rFonts w:ascii="Times New Roman" w:hAnsi="Times New Roman" w:cs="Times New Roman"/>
          <w:sz w:val="24"/>
          <w:szCs w:val="24"/>
        </w:rPr>
        <w:br w:type="page"/>
      </w:r>
    </w:p>
    <w:p w:rsidR="009D6B8C" w:rsidRPr="009D6B8C" w:rsidRDefault="009D6B8C" w:rsidP="009D6B8C">
      <w:pPr>
        <w:spacing w:after="160" w:line="259" w:lineRule="auto"/>
        <w:jc w:val="both"/>
        <w:rPr>
          <w:rFonts w:ascii="Calibri" w:eastAsia="Calibri" w:hAnsi="Calibri" w:cs="Times New Roman"/>
          <w:i/>
        </w:rPr>
      </w:pPr>
      <w:proofErr w:type="spellStart"/>
      <w:r w:rsidRPr="009D6B8C">
        <w:rPr>
          <w:rFonts w:ascii="Calibri" w:eastAsia="Calibri" w:hAnsi="Calibri" w:cs="Times New Roman"/>
          <w:i/>
        </w:rPr>
        <w:lastRenderedPageBreak/>
        <w:t>Tab</w:t>
      </w:r>
      <w:proofErr w:type="spellEnd"/>
      <w:r w:rsidRPr="009D6B8C">
        <w:rPr>
          <w:rFonts w:ascii="Calibri" w:eastAsia="Calibri" w:hAnsi="Calibri" w:cs="Times New Roman"/>
          <w:i/>
        </w:rPr>
        <w:t xml:space="preserve">. </w:t>
      </w:r>
      <w:r>
        <w:rPr>
          <w:rFonts w:ascii="Calibri" w:eastAsia="Calibri" w:hAnsi="Calibri" w:cs="Times New Roman"/>
          <w:i/>
        </w:rPr>
        <w:t>1</w:t>
      </w:r>
      <w:r w:rsidRPr="009D6B8C">
        <w:rPr>
          <w:rFonts w:ascii="Calibri" w:eastAsia="Calibri" w:hAnsi="Calibri" w:cs="Times New Roman"/>
          <w:i/>
        </w:rPr>
        <w:t xml:space="preserve"> (tempi medi di definizione TAR rilevati per anno di deposito su materie sensibili- periodo 2013/ giugno 2017)</w:t>
      </w:r>
    </w:p>
    <w:tbl>
      <w:tblPr>
        <w:tblW w:w="8842" w:type="dxa"/>
        <w:tblInd w:w="-5" w:type="dxa"/>
        <w:tblCellMar>
          <w:left w:w="70" w:type="dxa"/>
          <w:right w:w="70" w:type="dxa"/>
        </w:tblCellMar>
        <w:tblLook w:val="00A0" w:firstRow="1" w:lastRow="0" w:firstColumn="1" w:lastColumn="0" w:noHBand="0" w:noVBand="0"/>
      </w:tblPr>
      <w:tblGrid>
        <w:gridCol w:w="5907"/>
        <w:gridCol w:w="587"/>
        <w:gridCol w:w="587"/>
        <w:gridCol w:w="587"/>
        <w:gridCol w:w="587"/>
        <w:gridCol w:w="588"/>
      </w:tblGrid>
      <w:tr w:rsidR="009D6B8C" w:rsidRPr="009D6B8C" w:rsidTr="0082044A">
        <w:trPr>
          <w:trHeight w:val="300"/>
        </w:trPr>
        <w:tc>
          <w:tcPr>
            <w:tcW w:w="5907" w:type="dxa"/>
            <w:tcBorders>
              <w:top w:val="single" w:sz="4" w:space="0" w:color="auto"/>
              <w:left w:val="single" w:sz="4" w:space="0" w:color="auto"/>
              <w:bottom w:val="single" w:sz="4" w:space="0" w:color="auto"/>
              <w:right w:val="single" w:sz="4" w:space="0" w:color="auto"/>
            </w:tcBorders>
            <w:shd w:val="clear" w:color="000000" w:fill="F2F2F2"/>
            <w:noWrap/>
            <w:vAlign w:val="bottom"/>
          </w:tcPr>
          <w:p w:rsidR="009D6B8C" w:rsidRPr="009D6B8C" w:rsidRDefault="009D6B8C" w:rsidP="009D6B8C">
            <w:pPr>
              <w:spacing w:after="160" w:line="259" w:lineRule="auto"/>
              <w:jc w:val="both"/>
              <w:rPr>
                <w:rFonts w:ascii="Calibri" w:eastAsia="Calibri" w:hAnsi="Calibri" w:cs="Times New Roman"/>
                <w:b/>
                <w:bCs/>
              </w:rPr>
            </w:pPr>
          </w:p>
        </w:tc>
        <w:tc>
          <w:tcPr>
            <w:tcW w:w="2935" w:type="dxa"/>
            <w:gridSpan w:val="5"/>
            <w:tcBorders>
              <w:top w:val="single" w:sz="4" w:space="0" w:color="auto"/>
              <w:left w:val="nil"/>
              <w:bottom w:val="single" w:sz="4" w:space="0" w:color="auto"/>
              <w:right w:val="single" w:sz="4" w:space="0" w:color="auto"/>
            </w:tcBorders>
            <w:shd w:val="clear" w:color="000000" w:fill="F2F2F2"/>
            <w:noWrap/>
            <w:vAlign w:val="bottom"/>
          </w:tcPr>
          <w:p w:rsidR="009D6B8C" w:rsidRPr="009D6B8C" w:rsidRDefault="009D6B8C" w:rsidP="009D6B8C">
            <w:pPr>
              <w:spacing w:after="160" w:line="259" w:lineRule="auto"/>
              <w:jc w:val="center"/>
              <w:rPr>
                <w:rFonts w:ascii="Calibri" w:eastAsia="Calibri" w:hAnsi="Calibri" w:cs="Times New Roman"/>
                <w:b/>
                <w:bCs/>
              </w:rPr>
            </w:pPr>
            <w:r w:rsidRPr="009D6B8C">
              <w:rPr>
                <w:rFonts w:ascii="Calibri" w:eastAsia="Calibri" w:hAnsi="Calibri" w:cs="Times New Roman"/>
                <w:b/>
                <w:bCs/>
              </w:rPr>
              <w:t>Anno di deposito del ricorso definito</w:t>
            </w:r>
          </w:p>
        </w:tc>
      </w:tr>
      <w:tr w:rsidR="009D6B8C" w:rsidRPr="009D6B8C" w:rsidTr="0082044A">
        <w:trPr>
          <w:trHeight w:val="300"/>
        </w:trPr>
        <w:tc>
          <w:tcPr>
            <w:tcW w:w="5907" w:type="dxa"/>
            <w:tcBorders>
              <w:top w:val="single" w:sz="4" w:space="0" w:color="auto"/>
              <w:left w:val="single" w:sz="4" w:space="0" w:color="auto"/>
              <w:bottom w:val="single" w:sz="4" w:space="0" w:color="auto"/>
              <w:right w:val="single" w:sz="4" w:space="0" w:color="auto"/>
            </w:tcBorders>
            <w:shd w:val="clear" w:color="000000" w:fill="F2F2F2"/>
            <w:noWrap/>
            <w:vAlign w:val="bottom"/>
          </w:tcPr>
          <w:p w:rsidR="009D6B8C" w:rsidRPr="009D6B8C" w:rsidRDefault="009D6B8C" w:rsidP="009D6B8C">
            <w:pPr>
              <w:spacing w:after="160" w:line="259" w:lineRule="auto"/>
              <w:jc w:val="both"/>
              <w:rPr>
                <w:rFonts w:ascii="Calibri" w:eastAsia="Calibri" w:hAnsi="Calibri" w:cs="Times New Roman"/>
                <w:b/>
                <w:bCs/>
              </w:rPr>
            </w:pPr>
            <w:r w:rsidRPr="009D6B8C">
              <w:rPr>
                <w:rFonts w:ascii="Calibri" w:eastAsia="Calibri" w:hAnsi="Calibri" w:cs="Times New Roman"/>
                <w:b/>
                <w:bCs/>
              </w:rPr>
              <w:t>Primo Grado</w:t>
            </w:r>
          </w:p>
        </w:tc>
        <w:tc>
          <w:tcPr>
            <w:tcW w:w="587" w:type="dxa"/>
            <w:tcBorders>
              <w:top w:val="single" w:sz="4" w:space="0" w:color="auto"/>
              <w:left w:val="nil"/>
              <w:bottom w:val="single" w:sz="4" w:space="0" w:color="auto"/>
              <w:right w:val="single" w:sz="4" w:space="0" w:color="auto"/>
            </w:tcBorders>
            <w:shd w:val="clear" w:color="000000" w:fill="F2F2F2"/>
            <w:noWrap/>
            <w:vAlign w:val="bottom"/>
          </w:tcPr>
          <w:p w:rsidR="009D6B8C" w:rsidRPr="009D6B8C" w:rsidRDefault="009D6B8C" w:rsidP="009D6B8C">
            <w:pPr>
              <w:spacing w:after="160" w:line="259" w:lineRule="auto"/>
              <w:jc w:val="both"/>
              <w:rPr>
                <w:rFonts w:ascii="Calibri" w:eastAsia="Calibri" w:hAnsi="Calibri" w:cs="Times New Roman"/>
                <w:b/>
                <w:bCs/>
              </w:rPr>
            </w:pPr>
            <w:r w:rsidRPr="009D6B8C">
              <w:rPr>
                <w:rFonts w:ascii="Calibri" w:eastAsia="Calibri" w:hAnsi="Calibri" w:cs="Times New Roman"/>
                <w:b/>
                <w:bCs/>
              </w:rPr>
              <w:t>2013</w:t>
            </w:r>
          </w:p>
        </w:tc>
        <w:tc>
          <w:tcPr>
            <w:tcW w:w="587" w:type="dxa"/>
            <w:tcBorders>
              <w:top w:val="single" w:sz="4" w:space="0" w:color="auto"/>
              <w:left w:val="nil"/>
              <w:bottom w:val="single" w:sz="4" w:space="0" w:color="auto"/>
              <w:right w:val="single" w:sz="4" w:space="0" w:color="auto"/>
            </w:tcBorders>
            <w:shd w:val="clear" w:color="000000" w:fill="F2F2F2"/>
            <w:noWrap/>
            <w:vAlign w:val="bottom"/>
          </w:tcPr>
          <w:p w:rsidR="009D6B8C" w:rsidRPr="009D6B8C" w:rsidRDefault="009D6B8C" w:rsidP="009D6B8C">
            <w:pPr>
              <w:spacing w:after="160" w:line="259" w:lineRule="auto"/>
              <w:jc w:val="both"/>
              <w:rPr>
                <w:rFonts w:ascii="Calibri" w:eastAsia="Calibri" w:hAnsi="Calibri" w:cs="Times New Roman"/>
                <w:b/>
                <w:bCs/>
              </w:rPr>
            </w:pPr>
            <w:r w:rsidRPr="009D6B8C">
              <w:rPr>
                <w:rFonts w:ascii="Calibri" w:eastAsia="Calibri" w:hAnsi="Calibri" w:cs="Times New Roman"/>
                <w:b/>
                <w:bCs/>
              </w:rPr>
              <w:t>2014</w:t>
            </w:r>
          </w:p>
        </w:tc>
        <w:tc>
          <w:tcPr>
            <w:tcW w:w="587" w:type="dxa"/>
            <w:tcBorders>
              <w:top w:val="single" w:sz="4" w:space="0" w:color="auto"/>
              <w:left w:val="nil"/>
              <w:bottom w:val="single" w:sz="4" w:space="0" w:color="auto"/>
              <w:right w:val="single" w:sz="4" w:space="0" w:color="auto"/>
            </w:tcBorders>
            <w:shd w:val="clear" w:color="000000" w:fill="F2F2F2"/>
            <w:noWrap/>
            <w:vAlign w:val="bottom"/>
          </w:tcPr>
          <w:p w:rsidR="009D6B8C" w:rsidRPr="009D6B8C" w:rsidRDefault="009D6B8C" w:rsidP="009D6B8C">
            <w:pPr>
              <w:spacing w:after="160" w:line="259" w:lineRule="auto"/>
              <w:jc w:val="both"/>
              <w:rPr>
                <w:rFonts w:ascii="Calibri" w:eastAsia="Calibri" w:hAnsi="Calibri" w:cs="Times New Roman"/>
                <w:b/>
                <w:bCs/>
              </w:rPr>
            </w:pPr>
            <w:r w:rsidRPr="009D6B8C">
              <w:rPr>
                <w:rFonts w:ascii="Calibri" w:eastAsia="Calibri" w:hAnsi="Calibri" w:cs="Times New Roman"/>
                <w:b/>
                <w:bCs/>
              </w:rPr>
              <w:t>2015</w:t>
            </w:r>
          </w:p>
        </w:tc>
        <w:tc>
          <w:tcPr>
            <w:tcW w:w="587" w:type="dxa"/>
            <w:tcBorders>
              <w:top w:val="single" w:sz="4" w:space="0" w:color="auto"/>
              <w:left w:val="nil"/>
              <w:bottom w:val="single" w:sz="4" w:space="0" w:color="auto"/>
              <w:right w:val="single" w:sz="4" w:space="0" w:color="auto"/>
            </w:tcBorders>
            <w:shd w:val="clear" w:color="000000" w:fill="F2F2F2"/>
            <w:noWrap/>
            <w:vAlign w:val="bottom"/>
          </w:tcPr>
          <w:p w:rsidR="009D6B8C" w:rsidRPr="009D6B8C" w:rsidRDefault="009D6B8C" w:rsidP="009D6B8C">
            <w:pPr>
              <w:spacing w:after="160" w:line="259" w:lineRule="auto"/>
              <w:jc w:val="both"/>
              <w:rPr>
                <w:rFonts w:ascii="Calibri" w:eastAsia="Calibri" w:hAnsi="Calibri" w:cs="Times New Roman"/>
                <w:b/>
                <w:bCs/>
              </w:rPr>
            </w:pPr>
            <w:r w:rsidRPr="009D6B8C">
              <w:rPr>
                <w:rFonts w:ascii="Calibri" w:eastAsia="Calibri" w:hAnsi="Calibri" w:cs="Times New Roman"/>
                <w:b/>
                <w:bCs/>
              </w:rPr>
              <w:t>2016</w:t>
            </w:r>
          </w:p>
        </w:tc>
        <w:tc>
          <w:tcPr>
            <w:tcW w:w="587" w:type="dxa"/>
            <w:tcBorders>
              <w:top w:val="single" w:sz="4" w:space="0" w:color="auto"/>
              <w:left w:val="nil"/>
              <w:bottom w:val="single" w:sz="4" w:space="0" w:color="auto"/>
              <w:right w:val="single" w:sz="4" w:space="0" w:color="auto"/>
            </w:tcBorders>
            <w:shd w:val="clear" w:color="000000" w:fill="F2F2F2"/>
            <w:noWrap/>
            <w:vAlign w:val="bottom"/>
          </w:tcPr>
          <w:p w:rsidR="009D6B8C" w:rsidRPr="009D6B8C" w:rsidRDefault="009D6B8C" w:rsidP="009D6B8C">
            <w:pPr>
              <w:spacing w:after="0" w:line="259" w:lineRule="auto"/>
              <w:jc w:val="both"/>
              <w:rPr>
                <w:rFonts w:ascii="Calibri" w:eastAsia="Calibri" w:hAnsi="Calibri" w:cs="Times New Roman"/>
                <w:b/>
                <w:bCs/>
              </w:rPr>
            </w:pPr>
            <w:r w:rsidRPr="009D6B8C">
              <w:rPr>
                <w:rFonts w:ascii="Calibri" w:eastAsia="Calibri" w:hAnsi="Calibri" w:cs="Times New Roman"/>
                <w:b/>
                <w:bCs/>
              </w:rPr>
              <w:t>2017</w:t>
            </w:r>
          </w:p>
          <w:p w:rsidR="009D6B8C" w:rsidRPr="009D6B8C" w:rsidRDefault="009D6B8C" w:rsidP="009D6B8C">
            <w:pPr>
              <w:spacing w:after="0" w:line="259" w:lineRule="auto"/>
              <w:jc w:val="center"/>
              <w:rPr>
                <w:rFonts w:ascii="Calibri" w:eastAsia="Calibri" w:hAnsi="Calibri" w:cs="Times New Roman"/>
                <w:b/>
                <w:bCs/>
              </w:rPr>
            </w:pPr>
            <w:r w:rsidRPr="009D6B8C">
              <w:rPr>
                <w:rFonts w:ascii="Calibri" w:eastAsia="Calibri" w:hAnsi="Calibri" w:cs="Times New Roman"/>
                <w:b/>
                <w:bCs/>
                <w:sz w:val="18"/>
              </w:rPr>
              <w:t xml:space="preserve">Primo </w:t>
            </w:r>
            <w:proofErr w:type="spellStart"/>
            <w:r w:rsidRPr="009D6B8C">
              <w:rPr>
                <w:rFonts w:ascii="Calibri" w:eastAsia="Calibri" w:hAnsi="Calibri" w:cs="Times New Roman"/>
                <w:b/>
                <w:bCs/>
                <w:sz w:val="18"/>
              </w:rPr>
              <w:t>sem</w:t>
            </w:r>
            <w:proofErr w:type="spellEnd"/>
            <w:r w:rsidRPr="009D6B8C">
              <w:rPr>
                <w:rFonts w:ascii="Calibri" w:eastAsia="Calibri" w:hAnsi="Calibri" w:cs="Times New Roman"/>
                <w:b/>
                <w:bCs/>
                <w:sz w:val="18"/>
              </w:rPr>
              <w:t>.</w:t>
            </w:r>
          </w:p>
        </w:tc>
      </w:tr>
      <w:tr w:rsidR="009D6B8C" w:rsidRPr="009D6B8C" w:rsidTr="0082044A">
        <w:trPr>
          <w:trHeight w:val="300"/>
        </w:trPr>
        <w:tc>
          <w:tcPr>
            <w:tcW w:w="5907" w:type="dxa"/>
            <w:tcBorders>
              <w:top w:val="nil"/>
              <w:left w:val="single" w:sz="4" w:space="0" w:color="auto"/>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APPALTI PUBBLICI DI LAVORI, SERVIZI E FORNITURE</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331</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223</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193</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149</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78</w:t>
            </w:r>
          </w:p>
        </w:tc>
      </w:tr>
      <w:tr w:rsidR="009D6B8C" w:rsidRPr="009D6B8C" w:rsidTr="0082044A">
        <w:trPr>
          <w:trHeight w:val="300"/>
        </w:trPr>
        <w:tc>
          <w:tcPr>
            <w:tcW w:w="5907" w:type="dxa"/>
            <w:tcBorders>
              <w:top w:val="nil"/>
              <w:left w:val="single" w:sz="4" w:space="0" w:color="auto"/>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AUTORITA' INDIPENDENTI (ATTIVITA', ORGANIZZAZIONE)</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549</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439</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309</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263</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80</w:t>
            </w:r>
          </w:p>
        </w:tc>
      </w:tr>
      <w:tr w:rsidR="009D6B8C" w:rsidRPr="009D6B8C" w:rsidTr="0082044A">
        <w:trPr>
          <w:trHeight w:val="300"/>
        </w:trPr>
        <w:tc>
          <w:tcPr>
            <w:tcW w:w="5907" w:type="dxa"/>
            <w:tcBorders>
              <w:top w:val="nil"/>
              <w:left w:val="single" w:sz="4" w:space="0" w:color="auto"/>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ELEZIONI (provvedimenti successivi alla proclamazione eletti)</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142</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94</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113</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66</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21</w:t>
            </w:r>
          </w:p>
        </w:tc>
      </w:tr>
      <w:tr w:rsidR="009D6B8C" w:rsidRPr="009D6B8C" w:rsidTr="0082044A">
        <w:trPr>
          <w:trHeight w:val="300"/>
        </w:trPr>
        <w:tc>
          <w:tcPr>
            <w:tcW w:w="5907" w:type="dxa"/>
            <w:tcBorders>
              <w:top w:val="nil"/>
              <w:left w:val="single" w:sz="4" w:space="0" w:color="auto"/>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ELEZIONI (provvedimenti di esclusione)</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3</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3</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2</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2</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3</w:t>
            </w:r>
          </w:p>
        </w:tc>
      </w:tr>
      <w:tr w:rsidR="009D6B8C" w:rsidRPr="009D6B8C" w:rsidTr="0082044A">
        <w:trPr>
          <w:trHeight w:val="300"/>
        </w:trPr>
        <w:tc>
          <w:tcPr>
            <w:tcW w:w="5907" w:type="dxa"/>
            <w:tcBorders>
              <w:top w:val="single" w:sz="4" w:space="0" w:color="auto"/>
              <w:left w:val="single" w:sz="4" w:space="0" w:color="auto"/>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STRANIERI</w:t>
            </w:r>
          </w:p>
        </w:tc>
        <w:tc>
          <w:tcPr>
            <w:tcW w:w="587" w:type="dxa"/>
            <w:tcBorders>
              <w:top w:val="single" w:sz="4" w:space="0" w:color="auto"/>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289</w:t>
            </w:r>
          </w:p>
        </w:tc>
        <w:tc>
          <w:tcPr>
            <w:tcW w:w="587" w:type="dxa"/>
            <w:tcBorders>
              <w:top w:val="single" w:sz="4" w:space="0" w:color="auto"/>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261</w:t>
            </w:r>
          </w:p>
        </w:tc>
        <w:tc>
          <w:tcPr>
            <w:tcW w:w="587" w:type="dxa"/>
            <w:tcBorders>
              <w:top w:val="single" w:sz="4" w:space="0" w:color="auto"/>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242</w:t>
            </w:r>
          </w:p>
        </w:tc>
        <w:tc>
          <w:tcPr>
            <w:tcW w:w="587" w:type="dxa"/>
            <w:tcBorders>
              <w:top w:val="single" w:sz="4" w:space="0" w:color="auto"/>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150</w:t>
            </w:r>
          </w:p>
        </w:tc>
        <w:tc>
          <w:tcPr>
            <w:tcW w:w="587" w:type="dxa"/>
            <w:tcBorders>
              <w:top w:val="single" w:sz="4" w:space="0" w:color="auto"/>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55</w:t>
            </w:r>
          </w:p>
        </w:tc>
      </w:tr>
    </w:tbl>
    <w:p w:rsidR="009D6B8C" w:rsidRPr="009D6B8C" w:rsidRDefault="009D6B8C" w:rsidP="009D6B8C">
      <w:pPr>
        <w:spacing w:after="160" w:line="259" w:lineRule="auto"/>
        <w:jc w:val="both"/>
        <w:rPr>
          <w:rFonts w:ascii="Calibri" w:eastAsia="Calibri" w:hAnsi="Calibri" w:cs="Times New Roman"/>
        </w:rPr>
      </w:pPr>
    </w:p>
    <w:p w:rsidR="009D6B8C" w:rsidRDefault="009D6B8C" w:rsidP="0036773D">
      <w:pPr>
        <w:jc w:val="both"/>
        <w:rPr>
          <w:rFonts w:ascii="Times New Roman" w:hAnsi="Times New Roman" w:cs="Times New Roman"/>
          <w:sz w:val="24"/>
          <w:szCs w:val="24"/>
        </w:rPr>
      </w:pPr>
    </w:p>
    <w:p w:rsidR="009D6B8C" w:rsidRPr="009D6B8C" w:rsidRDefault="009D6B8C" w:rsidP="009D6B8C">
      <w:pPr>
        <w:spacing w:after="160" w:line="259" w:lineRule="auto"/>
        <w:jc w:val="both"/>
        <w:rPr>
          <w:rFonts w:ascii="Calibri" w:eastAsia="Calibri" w:hAnsi="Calibri" w:cs="Times New Roman"/>
          <w:i/>
        </w:rPr>
      </w:pPr>
      <w:proofErr w:type="spellStart"/>
      <w:r w:rsidRPr="009D6B8C">
        <w:rPr>
          <w:rFonts w:ascii="Calibri" w:eastAsia="Calibri" w:hAnsi="Calibri" w:cs="Times New Roman"/>
          <w:i/>
        </w:rPr>
        <w:t>Tab</w:t>
      </w:r>
      <w:proofErr w:type="spellEnd"/>
      <w:r w:rsidRPr="009D6B8C">
        <w:rPr>
          <w:rFonts w:ascii="Calibri" w:eastAsia="Calibri" w:hAnsi="Calibri" w:cs="Times New Roman"/>
          <w:i/>
        </w:rPr>
        <w:t xml:space="preserve">. </w:t>
      </w:r>
      <w:r>
        <w:rPr>
          <w:rFonts w:ascii="Calibri" w:eastAsia="Calibri" w:hAnsi="Calibri" w:cs="Times New Roman"/>
          <w:i/>
        </w:rPr>
        <w:t>2</w:t>
      </w:r>
      <w:r w:rsidRPr="009D6B8C">
        <w:rPr>
          <w:rFonts w:ascii="Calibri" w:eastAsia="Calibri" w:hAnsi="Calibri" w:cs="Times New Roman"/>
          <w:i/>
        </w:rPr>
        <w:t xml:space="preserve"> (tempi medi di definizione CDS rilevati per anno di deposito su materie sensibili - periodo 2013/ giugno 2017)</w:t>
      </w:r>
    </w:p>
    <w:tbl>
      <w:tblPr>
        <w:tblW w:w="8842" w:type="dxa"/>
        <w:tblInd w:w="-5" w:type="dxa"/>
        <w:tblCellMar>
          <w:left w:w="70" w:type="dxa"/>
          <w:right w:w="70" w:type="dxa"/>
        </w:tblCellMar>
        <w:tblLook w:val="00A0" w:firstRow="1" w:lastRow="0" w:firstColumn="1" w:lastColumn="0" w:noHBand="0" w:noVBand="0"/>
      </w:tblPr>
      <w:tblGrid>
        <w:gridCol w:w="5907"/>
        <w:gridCol w:w="587"/>
        <w:gridCol w:w="587"/>
        <w:gridCol w:w="587"/>
        <w:gridCol w:w="587"/>
        <w:gridCol w:w="588"/>
      </w:tblGrid>
      <w:tr w:rsidR="009D6B8C" w:rsidRPr="009D6B8C" w:rsidTr="0082044A">
        <w:trPr>
          <w:trHeight w:val="300"/>
        </w:trPr>
        <w:tc>
          <w:tcPr>
            <w:tcW w:w="5907" w:type="dxa"/>
            <w:tcBorders>
              <w:top w:val="single" w:sz="4" w:space="0" w:color="auto"/>
              <w:left w:val="single" w:sz="4" w:space="0" w:color="auto"/>
              <w:bottom w:val="single" w:sz="4" w:space="0" w:color="auto"/>
              <w:right w:val="single" w:sz="4" w:space="0" w:color="auto"/>
            </w:tcBorders>
            <w:shd w:val="clear" w:color="000000" w:fill="F2F2F2"/>
            <w:noWrap/>
            <w:vAlign w:val="bottom"/>
          </w:tcPr>
          <w:p w:rsidR="009D6B8C" w:rsidRPr="009D6B8C" w:rsidRDefault="009D6B8C" w:rsidP="009D6B8C">
            <w:pPr>
              <w:spacing w:after="160" w:line="259" w:lineRule="auto"/>
              <w:jc w:val="both"/>
              <w:rPr>
                <w:rFonts w:ascii="Calibri" w:eastAsia="Calibri" w:hAnsi="Calibri" w:cs="Times New Roman"/>
                <w:b/>
                <w:bCs/>
              </w:rPr>
            </w:pPr>
          </w:p>
        </w:tc>
        <w:tc>
          <w:tcPr>
            <w:tcW w:w="2935" w:type="dxa"/>
            <w:gridSpan w:val="5"/>
            <w:tcBorders>
              <w:top w:val="single" w:sz="4" w:space="0" w:color="auto"/>
              <w:left w:val="nil"/>
              <w:bottom w:val="single" w:sz="4" w:space="0" w:color="auto"/>
              <w:right w:val="single" w:sz="4" w:space="0" w:color="auto"/>
            </w:tcBorders>
            <w:shd w:val="clear" w:color="000000" w:fill="F2F2F2"/>
            <w:noWrap/>
            <w:vAlign w:val="bottom"/>
          </w:tcPr>
          <w:p w:rsidR="009D6B8C" w:rsidRPr="009D6B8C" w:rsidRDefault="009D6B8C" w:rsidP="009D6B8C">
            <w:pPr>
              <w:spacing w:after="160" w:line="259" w:lineRule="auto"/>
              <w:jc w:val="center"/>
              <w:rPr>
                <w:rFonts w:ascii="Calibri" w:eastAsia="Calibri" w:hAnsi="Calibri" w:cs="Times New Roman"/>
                <w:b/>
                <w:bCs/>
              </w:rPr>
            </w:pPr>
            <w:r w:rsidRPr="009D6B8C">
              <w:rPr>
                <w:rFonts w:ascii="Calibri" w:eastAsia="Calibri" w:hAnsi="Calibri" w:cs="Times New Roman"/>
                <w:b/>
                <w:bCs/>
              </w:rPr>
              <w:t>Anno di deposito del ricorso definito</w:t>
            </w:r>
          </w:p>
        </w:tc>
      </w:tr>
      <w:tr w:rsidR="009D6B8C" w:rsidRPr="009D6B8C" w:rsidTr="0082044A">
        <w:trPr>
          <w:trHeight w:val="300"/>
        </w:trPr>
        <w:tc>
          <w:tcPr>
            <w:tcW w:w="5907" w:type="dxa"/>
            <w:tcBorders>
              <w:top w:val="single" w:sz="4" w:space="0" w:color="auto"/>
              <w:left w:val="single" w:sz="4" w:space="0" w:color="auto"/>
              <w:bottom w:val="single" w:sz="4" w:space="0" w:color="auto"/>
              <w:right w:val="single" w:sz="4" w:space="0" w:color="auto"/>
            </w:tcBorders>
            <w:shd w:val="clear" w:color="000000" w:fill="F2F2F2"/>
            <w:noWrap/>
            <w:vAlign w:val="bottom"/>
          </w:tcPr>
          <w:p w:rsidR="009D6B8C" w:rsidRPr="009D6B8C" w:rsidRDefault="009D6B8C" w:rsidP="009D6B8C">
            <w:pPr>
              <w:spacing w:after="160" w:line="259" w:lineRule="auto"/>
              <w:jc w:val="both"/>
              <w:rPr>
                <w:rFonts w:ascii="Calibri" w:eastAsia="Calibri" w:hAnsi="Calibri" w:cs="Times New Roman"/>
                <w:b/>
                <w:bCs/>
              </w:rPr>
            </w:pPr>
            <w:r w:rsidRPr="009D6B8C">
              <w:rPr>
                <w:rFonts w:ascii="Calibri" w:eastAsia="Calibri" w:hAnsi="Calibri" w:cs="Times New Roman"/>
                <w:b/>
                <w:bCs/>
              </w:rPr>
              <w:t>Secondo Grado</w:t>
            </w:r>
          </w:p>
        </w:tc>
        <w:tc>
          <w:tcPr>
            <w:tcW w:w="587" w:type="dxa"/>
            <w:tcBorders>
              <w:top w:val="single" w:sz="4" w:space="0" w:color="auto"/>
              <w:left w:val="nil"/>
              <w:bottom w:val="single" w:sz="4" w:space="0" w:color="auto"/>
              <w:right w:val="single" w:sz="4" w:space="0" w:color="auto"/>
            </w:tcBorders>
            <w:shd w:val="clear" w:color="000000" w:fill="F2F2F2"/>
            <w:noWrap/>
            <w:vAlign w:val="bottom"/>
          </w:tcPr>
          <w:p w:rsidR="009D6B8C" w:rsidRPr="009D6B8C" w:rsidRDefault="009D6B8C" w:rsidP="009D6B8C">
            <w:pPr>
              <w:spacing w:after="160" w:line="259" w:lineRule="auto"/>
              <w:jc w:val="both"/>
              <w:rPr>
                <w:rFonts w:ascii="Calibri" w:eastAsia="Calibri" w:hAnsi="Calibri" w:cs="Times New Roman"/>
                <w:b/>
                <w:bCs/>
              </w:rPr>
            </w:pPr>
            <w:r w:rsidRPr="009D6B8C">
              <w:rPr>
                <w:rFonts w:ascii="Calibri" w:eastAsia="Calibri" w:hAnsi="Calibri" w:cs="Times New Roman"/>
                <w:b/>
                <w:bCs/>
              </w:rPr>
              <w:t>2013</w:t>
            </w:r>
          </w:p>
        </w:tc>
        <w:tc>
          <w:tcPr>
            <w:tcW w:w="587" w:type="dxa"/>
            <w:tcBorders>
              <w:top w:val="single" w:sz="4" w:space="0" w:color="auto"/>
              <w:left w:val="nil"/>
              <w:bottom w:val="single" w:sz="4" w:space="0" w:color="auto"/>
              <w:right w:val="single" w:sz="4" w:space="0" w:color="auto"/>
            </w:tcBorders>
            <w:shd w:val="clear" w:color="000000" w:fill="F2F2F2"/>
            <w:noWrap/>
            <w:vAlign w:val="bottom"/>
          </w:tcPr>
          <w:p w:rsidR="009D6B8C" w:rsidRPr="009D6B8C" w:rsidRDefault="009D6B8C" w:rsidP="009D6B8C">
            <w:pPr>
              <w:spacing w:after="160" w:line="259" w:lineRule="auto"/>
              <w:jc w:val="both"/>
              <w:rPr>
                <w:rFonts w:ascii="Calibri" w:eastAsia="Calibri" w:hAnsi="Calibri" w:cs="Times New Roman"/>
                <w:b/>
                <w:bCs/>
              </w:rPr>
            </w:pPr>
            <w:r w:rsidRPr="009D6B8C">
              <w:rPr>
                <w:rFonts w:ascii="Calibri" w:eastAsia="Calibri" w:hAnsi="Calibri" w:cs="Times New Roman"/>
                <w:b/>
                <w:bCs/>
              </w:rPr>
              <w:t>2014</w:t>
            </w:r>
          </w:p>
        </w:tc>
        <w:tc>
          <w:tcPr>
            <w:tcW w:w="587" w:type="dxa"/>
            <w:tcBorders>
              <w:top w:val="single" w:sz="4" w:space="0" w:color="auto"/>
              <w:left w:val="nil"/>
              <w:bottom w:val="single" w:sz="4" w:space="0" w:color="auto"/>
              <w:right w:val="single" w:sz="4" w:space="0" w:color="auto"/>
            </w:tcBorders>
            <w:shd w:val="clear" w:color="000000" w:fill="F2F2F2"/>
            <w:noWrap/>
            <w:vAlign w:val="bottom"/>
          </w:tcPr>
          <w:p w:rsidR="009D6B8C" w:rsidRPr="009D6B8C" w:rsidRDefault="009D6B8C" w:rsidP="009D6B8C">
            <w:pPr>
              <w:spacing w:after="160" w:line="259" w:lineRule="auto"/>
              <w:jc w:val="both"/>
              <w:rPr>
                <w:rFonts w:ascii="Calibri" w:eastAsia="Calibri" w:hAnsi="Calibri" w:cs="Times New Roman"/>
                <w:b/>
                <w:bCs/>
              </w:rPr>
            </w:pPr>
            <w:r w:rsidRPr="009D6B8C">
              <w:rPr>
                <w:rFonts w:ascii="Calibri" w:eastAsia="Calibri" w:hAnsi="Calibri" w:cs="Times New Roman"/>
                <w:b/>
                <w:bCs/>
              </w:rPr>
              <w:t>2015</w:t>
            </w:r>
          </w:p>
        </w:tc>
        <w:tc>
          <w:tcPr>
            <w:tcW w:w="587" w:type="dxa"/>
            <w:tcBorders>
              <w:top w:val="single" w:sz="4" w:space="0" w:color="auto"/>
              <w:left w:val="nil"/>
              <w:bottom w:val="single" w:sz="4" w:space="0" w:color="auto"/>
              <w:right w:val="single" w:sz="4" w:space="0" w:color="auto"/>
            </w:tcBorders>
            <w:shd w:val="clear" w:color="000000" w:fill="F2F2F2"/>
            <w:noWrap/>
            <w:vAlign w:val="bottom"/>
          </w:tcPr>
          <w:p w:rsidR="009D6B8C" w:rsidRPr="009D6B8C" w:rsidRDefault="009D6B8C" w:rsidP="009D6B8C">
            <w:pPr>
              <w:spacing w:after="160" w:line="259" w:lineRule="auto"/>
              <w:jc w:val="both"/>
              <w:rPr>
                <w:rFonts w:ascii="Calibri" w:eastAsia="Calibri" w:hAnsi="Calibri" w:cs="Times New Roman"/>
                <w:b/>
                <w:bCs/>
              </w:rPr>
            </w:pPr>
            <w:r w:rsidRPr="009D6B8C">
              <w:rPr>
                <w:rFonts w:ascii="Calibri" w:eastAsia="Calibri" w:hAnsi="Calibri" w:cs="Times New Roman"/>
                <w:b/>
                <w:bCs/>
              </w:rPr>
              <w:t>2016</w:t>
            </w:r>
          </w:p>
        </w:tc>
        <w:tc>
          <w:tcPr>
            <w:tcW w:w="587" w:type="dxa"/>
            <w:tcBorders>
              <w:top w:val="single" w:sz="4" w:space="0" w:color="auto"/>
              <w:left w:val="nil"/>
              <w:bottom w:val="single" w:sz="4" w:space="0" w:color="auto"/>
              <w:right w:val="single" w:sz="4" w:space="0" w:color="auto"/>
            </w:tcBorders>
            <w:shd w:val="clear" w:color="000000" w:fill="F2F2F2"/>
            <w:noWrap/>
            <w:vAlign w:val="bottom"/>
          </w:tcPr>
          <w:p w:rsidR="009D6B8C" w:rsidRPr="009D6B8C" w:rsidRDefault="009D6B8C" w:rsidP="009D6B8C">
            <w:pPr>
              <w:spacing w:after="0" w:line="259" w:lineRule="auto"/>
              <w:jc w:val="center"/>
              <w:rPr>
                <w:rFonts w:ascii="Calibri" w:eastAsia="Calibri" w:hAnsi="Calibri" w:cs="Times New Roman"/>
                <w:b/>
                <w:bCs/>
              </w:rPr>
            </w:pPr>
            <w:r w:rsidRPr="009D6B8C">
              <w:rPr>
                <w:rFonts w:ascii="Calibri" w:eastAsia="Calibri" w:hAnsi="Calibri" w:cs="Times New Roman"/>
                <w:b/>
                <w:bCs/>
              </w:rPr>
              <w:t>2017</w:t>
            </w:r>
          </w:p>
          <w:p w:rsidR="009D6B8C" w:rsidRPr="009D6B8C" w:rsidRDefault="009D6B8C" w:rsidP="009D6B8C">
            <w:pPr>
              <w:spacing w:after="0" w:line="259" w:lineRule="auto"/>
              <w:jc w:val="center"/>
              <w:rPr>
                <w:rFonts w:ascii="Calibri" w:eastAsia="Calibri" w:hAnsi="Calibri" w:cs="Times New Roman"/>
                <w:b/>
                <w:bCs/>
              </w:rPr>
            </w:pPr>
            <w:r w:rsidRPr="009D6B8C">
              <w:rPr>
                <w:rFonts w:ascii="Calibri" w:eastAsia="Calibri" w:hAnsi="Calibri" w:cs="Times New Roman"/>
                <w:b/>
                <w:bCs/>
                <w:sz w:val="18"/>
              </w:rPr>
              <w:t xml:space="preserve">Primo </w:t>
            </w:r>
            <w:proofErr w:type="spellStart"/>
            <w:r w:rsidRPr="009D6B8C">
              <w:rPr>
                <w:rFonts w:ascii="Calibri" w:eastAsia="Calibri" w:hAnsi="Calibri" w:cs="Times New Roman"/>
                <w:b/>
                <w:bCs/>
                <w:sz w:val="18"/>
              </w:rPr>
              <w:t>sem</w:t>
            </w:r>
            <w:proofErr w:type="spellEnd"/>
            <w:r w:rsidRPr="009D6B8C">
              <w:rPr>
                <w:rFonts w:ascii="Calibri" w:eastAsia="Calibri" w:hAnsi="Calibri" w:cs="Times New Roman"/>
                <w:b/>
                <w:bCs/>
                <w:sz w:val="18"/>
              </w:rPr>
              <w:t>.</w:t>
            </w:r>
          </w:p>
        </w:tc>
      </w:tr>
      <w:tr w:rsidR="009D6B8C" w:rsidRPr="009D6B8C" w:rsidTr="0082044A">
        <w:trPr>
          <w:trHeight w:val="300"/>
        </w:trPr>
        <w:tc>
          <w:tcPr>
            <w:tcW w:w="5907" w:type="dxa"/>
            <w:tcBorders>
              <w:top w:val="nil"/>
              <w:left w:val="single" w:sz="4" w:space="0" w:color="auto"/>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APPALTI PUBBLICI DI LAVORI, SERVIZI E FORNITURE</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469</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248</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209</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225</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125</w:t>
            </w:r>
          </w:p>
        </w:tc>
      </w:tr>
      <w:tr w:rsidR="009D6B8C" w:rsidRPr="009D6B8C" w:rsidTr="0082044A">
        <w:trPr>
          <w:trHeight w:val="300"/>
        </w:trPr>
        <w:tc>
          <w:tcPr>
            <w:tcW w:w="5907" w:type="dxa"/>
            <w:tcBorders>
              <w:top w:val="nil"/>
              <w:left w:val="single" w:sz="4" w:space="0" w:color="auto"/>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AUTORITA' INDIPENDENTI (ATTIVITA', ORGANIZZAZIONE)</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480</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386</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348</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232</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106</w:t>
            </w:r>
          </w:p>
        </w:tc>
      </w:tr>
      <w:tr w:rsidR="009D6B8C" w:rsidRPr="009D6B8C" w:rsidTr="0082044A">
        <w:trPr>
          <w:trHeight w:val="300"/>
        </w:trPr>
        <w:tc>
          <w:tcPr>
            <w:tcW w:w="5907" w:type="dxa"/>
            <w:tcBorders>
              <w:top w:val="nil"/>
              <w:left w:val="single" w:sz="4" w:space="0" w:color="auto"/>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ELEZIONI (provvedimenti successivi alla proclamazione eletti)</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112</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113</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167</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38</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60</w:t>
            </w:r>
          </w:p>
        </w:tc>
      </w:tr>
      <w:tr w:rsidR="009D6B8C" w:rsidRPr="009D6B8C" w:rsidTr="0082044A">
        <w:trPr>
          <w:trHeight w:val="300"/>
        </w:trPr>
        <w:tc>
          <w:tcPr>
            <w:tcW w:w="5907" w:type="dxa"/>
            <w:tcBorders>
              <w:top w:val="nil"/>
              <w:left w:val="single" w:sz="4" w:space="0" w:color="auto"/>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ELEZIONI (provvedimenti di esclusione)</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3</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2</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2</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3</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7</w:t>
            </w:r>
          </w:p>
        </w:tc>
      </w:tr>
      <w:tr w:rsidR="009D6B8C" w:rsidRPr="009D6B8C" w:rsidTr="0082044A">
        <w:trPr>
          <w:trHeight w:val="315"/>
        </w:trPr>
        <w:tc>
          <w:tcPr>
            <w:tcW w:w="5907" w:type="dxa"/>
            <w:tcBorders>
              <w:top w:val="nil"/>
              <w:left w:val="single" w:sz="4" w:space="0" w:color="auto"/>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STRANIERI</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246</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237</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221</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168</w:t>
            </w:r>
          </w:p>
        </w:tc>
        <w:tc>
          <w:tcPr>
            <w:tcW w:w="587" w:type="dxa"/>
            <w:tcBorders>
              <w:top w:val="nil"/>
              <w:left w:val="nil"/>
              <w:bottom w:val="single" w:sz="4" w:space="0" w:color="auto"/>
              <w:right w:val="single" w:sz="4" w:space="0" w:color="auto"/>
            </w:tcBorders>
            <w:noWrap/>
            <w:vAlign w:val="bottom"/>
          </w:tcPr>
          <w:p w:rsidR="009D6B8C" w:rsidRPr="009D6B8C" w:rsidRDefault="009D6B8C" w:rsidP="009D6B8C">
            <w:pPr>
              <w:spacing w:after="160" w:line="259" w:lineRule="auto"/>
              <w:jc w:val="both"/>
              <w:rPr>
                <w:rFonts w:ascii="Calibri" w:eastAsia="Calibri" w:hAnsi="Calibri" w:cs="Times New Roman"/>
              </w:rPr>
            </w:pPr>
            <w:r w:rsidRPr="009D6B8C">
              <w:rPr>
                <w:rFonts w:ascii="Calibri" w:eastAsia="Calibri" w:hAnsi="Calibri" w:cs="Times New Roman"/>
              </w:rPr>
              <w:t>79</w:t>
            </w:r>
          </w:p>
        </w:tc>
      </w:tr>
    </w:tbl>
    <w:p w:rsidR="009D6B8C" w:rsidRPr="009D6B8C" w:rsidRDefault="009D6B8C" w:rsidP="009D6B8C">
      <w:pPr>
        <w:spacing w:after="160" w:line="259" w:lineRule="auto"/>
        <w:jc w:val="both"/>
        <w:rPr>
          <w:rFonts w:ascii="Calibri" w:eastAsia="Calibri" w:hAnsi="Calibri" w:cs="Times New Roman"/>
          <w:noProof/>
          <w:lang w:eastAsia="it-IT"/>
        </w:rPr>
      </w:pPr>
    </w:p>
    <w:p w:rsidR="0082044A" w:rsidRPr="0082044A" w:rsidRDefault="0082044A" w:rsidP="0082044A">
      <w:pPr>
        <w:jc w:val="both"/>
        <w:rPr>
          <w:rFonts w:ascii="Times New Roman" w:hAnsi="Times New Roman" w:cs="Times New Roman"/>
          <w:sz w:val="24"/>
          <w:szCs w:val="24"/>
          <w:u w:val="single"/>
        </w:rPr>
      </w:pPr>
      <w:r w:rsidRPr="0082044A">
        <w:rPr>
          <w:rFonts w:ascii="Times New Roman" w:hAnsi="Times New Roman" w:cs="Times New Roman"/>
          <w:sz w:val="24"/>
          <w:szCs w:val="24"/>
          <w:u w:val="single"/>
        </w:rPr>
        <w:t>I tempi rapidi della fase cautelare</w:t>
      </w:r>
    </w:p>
    <w:p w:rsidR="0082044A" w:rsidRPr="0082044A" w:rsidRDefault="0082044A" w:rsidP="0082044A">
      <w:pPr>
        <w:jc w:val="both"/>
        <w:rPr>
          <w:rFonts w:ascii="Times New Roman" w:hAnsi="Times New Roman" w:cs="Times New Roman"/>
          <w:sz w:val="24"/>
          <w:szCs w:val="24"/>
        </w:rPr>
      </w:pPr>
      <w:r w:rsidRPr="0082044A">
        <w:rPr>
          <w:rFonts w:ascii="Times New Roman" w:hAnsi="Times New Roman" w:cs="Times New Roman"/>
          <w:sz w:val="24"/>
          <w:szCs w:val="24"/>
        </w:rPr>
        <w:t>Nei giudizi cautelari la tempestività di risposta alla domanda di giustizia amministrativa costituisce ormai una consolidata peculiarità.</w:t>
      </w:r>
    </w:p>
    <w:p w:rsidR="009D6B8C" w:rsidRDefault="0082044A" w:rsidP="0082044A">
      <w:pPr>
        <w:jc w:val="both"/>
        <w:rPr>
          <w:rFonts w:ascii="Times New Roman" w:hAnsi="Times New Roman" w:cs="Times New Roman"/>
          <w:sz w:val="24"/>
          <w:szCs w:val="24"/>
        </w:rPr>
      </w:pPr>
      <w:r w:rsidRPr="0082044A">
        <w:rPr>
          <w:rFonts w:ascii="Times New Roman" w:hAnsi="Times New Roman" w:cs="Times New Roman"/>
          <w:sz w:val="24"/>
          <w:szCs w:val="24"/>
        </w:rPr>
        <w:t>Grazie alle riforme degli ultimi anni (su tutte, il codice del processo amministrativo) e agli sforzi organizzativi per garantirne una piena e puntuale applicazione, nel 2016 (anno in cui hanno inciso le forti scoperture di organico) e nel 2017 (dato parziale), la durata del giudizio cautelare si è attestata su una media di 38 e 33 giorni presso le Sedi TAR e di 65 e 49 giorni presso il Consiglio di Stato.</w:t>
      </w:r>
    </w:p>
    <w:p w:rsidR="0082044A" w:rsidRDefault="0082044A" w:rsidP="0082044A">
      <w:pPr>
        <w:jc w:val="both"/>
        <w:rPr>
          <w:rFonts w:ascii="Times New Roman" w:hAnsi="Times New Roman" w:cs="Times New Roman"/>
          <w:sz w:val="24"/>
          <w:szCs w:val="24"/>
        </w:rPr>
      </w:pPr>
      <w:r w:rsidRPr="0082044A">
        <w:rPr>
          <w:rFonts w:ascii="Times New Roman" w:hAnsi="Times New Roman" w:cs="Times New Roman"/>
          <w:sz w:val="24"/>
          <w:szCs w:val="24"/>
        </w:rPr>
        <w:t>Una sensibile riduzione rispetto ai tempi medi della tutela cautelare si registra nel giudizio in materia di appalti.</w:t>
      </w:r>
    </w:p>
    <w:p w:rsidR="0082044A" w:rsidRDefault="0082044A" w:rsidP="0082044A">
      <w:pPr>
        <w:jc w:val="both"/>
        <w:rPr>
          <w:rFonts w:ascii="Times New Roman" w:hAnsi="Times New Roman" w:cs="Times New Roman"/>
          <w:sz w:val="24"/>
          <w:szCs w:val="24"/>
        </w:rPr>
      </w:pPr>
    </w:p>
    <w:p w:rsidR="0082044A" w:rsidRDefault="00697413" w:rsidP="00B170B3">
      <w:pPr>
        <w:keepNext/>
        <w:keepLines/>
        <w:numPr>
          <w:ilvl w:val="1"/>
          <w:numId w:val="33"/>
        </w:numPr>
        <w:tabs>
          <w:tab w:val="left" w:pos="426"/>
        </w:tabs>
        <w:spacing w:before="200" w:after="0" w:line="240" w:lineRule="auto"/>
        <w:ind w:left="426" w:hanging="426"/>
        <w:contextualSpacing/>
        <w:outlineLvl w:val="2"/>
        <w:rPr>
          <w:rFonts w:ascii="Times New Roman" w:eastAsiaTheme="majorEastAsia" w:hAnsi="Times New Roman" w:cs="Times New Roman"/>
          <w:b/>
          <w:bCs/>
          <w:sz w:val="24"/>
          <w:szCs w:val="24"/>
          <w:lang w:eastAsia="it-IT"/>
        </w:rPr>
      </w:pPr>
      <w:r w:rsidRPr="00B170B3">
        <w:rPr>
          <w:rFonts w:ascii="Times New Roman" w:eastAsiaTheme="majorEastAsia" w:hAnsi="Times New Roman" w:cs="Times New Roman"/>
          <w:b/>
          <w:bCs/>
          <w:sz w:val="24"/>
          <w:szCs w:val="24"/>
          <w:lang w:eastAsia="it-IT"/>
        </w:rPr>
        <w:t>A</w:t>
      </w:r>
      <w:r w:rsidR="00655E8E" w:rsidRPr="00B170B3">
        <w:rPr>
          <w:rFonts w:ascii="Times New Roman" w:eastAsiaTheme="majorEastAsia" w:hAnsi="Times New Roman" w:cs="Times New Roman"/>
          <w:b/>
          <w:bCs/>
          <w:sz w:val="24"/>
          <w:szCs w:val="24"/>
          <w:lang w:eastAsia="it-IT"/>
        </w:rPr>
        <w:t>nalisi di impatto del contenzioso amministrativo in materia di appalti</w:t>
      </w:r>
    </w:p>
    <w:p w:rsidR="00B170B3" w:rsidRPr="00B170B3" w:rsidRDefault="00B170B3" w:rsidP="00B170B3">
      <w:pPr>
        <w:keepNext/>
        <w:keepLines/>
        <w:tabs>
          <w:tab w:val="left" w:pos="426"/>
        </w:tabs>
        <w:spacing w:before="200" w:after="0" w:line="240" w:lineRule="auto"/>
        <w:ind w:left="426"/>
        <w:contextualSpacing/>
        <w:outlineLvl w:val="2"/>
        <w:rPr>
          <w:rFonts w:ascii="Times New Roman" w:eastAsiaTheme="majorEastAsia" w:hAnsi="Times New Roman" w:cs="Times New Roman"/>
          <w:b/>
          <w:bCs/>
          <w:sz w:val="24"/>
          <w:szCs w:val="24"/>
          <w:lang w:eastAsia="it-IT"/>
        </w:rPr>
      </w:pPr>
    </w:p>
    <w:p w:rsidR="0082044A" w:rsidRDefault="0082044A" w:rsidP="0082044A">
      <w:pPr>
        <w:jc w:val="both"/>
        <w:rPr>
          <w:rFonts w:ascii="Times New Roman" w:hAnsi="Times New Roman" w:cs="Times New Roman"/>
          <w:sz w:val="24"/>
          <w:szCs w:val="24"/>
        </w:rPr>
      </w:pPr>
      <w:r>
        <w:rPr>
          <w:rFonts w:ascii="Times New Roman" w:hAnsi="Times New Roman" w:cs="Times New Roman"/>
          <w:sz w:val="24"/>
          <w:szCs w:val="24"/>
        </w:rPr>
        <w:t xml:space="preserve">Si riporta di seguito lo studio </w:t>
      </w:r>
      <w:r w:rsidR="00F52998" w:rsidRPr="00F52998">
        <w:rPr>
          <w:rFonts w:ascii="Times New Roman" w:hAnsi="Times New Roman" w:cs="Times New Roman"/>
          <w:sz w:val="24"/>
          <w:szCs w:val="24"/>
        </w:rPr>
        <w:t xml:space="preserve">dell’Ufficio studi massimario e formazione della Giustizia amministrativa </w:t>
      </w:r>
      <w:r>
        <w:rPr>
          <w:rFonts w:ascii="Times New Roman" w:hAnsi="Times New Roman" w:cs="Times New Roman"/>
          <w:sz w:val="24"/>
          <w:szCs w:val="24"/>
        </w:rPr>
        <w:t xml:space="preserve">in materia di </w:t>
      </w:r>
      <w:r w:rsidRPr="0082044A">
        <w:rPr>
          <w:rFonts w:ascii="Times New Roman" w:hAnsi="Times New Roman" w:cs="Times New Roman"/>
          <w:sz w:val="24"/>
          <w:szCs w:val="24"/>
        </w:rPr>
        <w:t>impatto del contenzioso amministrativo in materia di appalti</w:t>
      </w:r>
      <w:r w:rsidR="00652715">
        <w:rPr>
          <w:rFonts w:ascii="Times New Roman" w:hAnsi="Times New Roman" w:cs="Times New Roman"/>
          <w:sz w:val="24"/>
          <w:szCs w:val="24"/>
        </w:rPr>
        <w:t xml:space="preserve"> pubblicato nel dicembre 2017.</w:t>
      </w:r>
    </w:p>
    <w:p w:rsidR="0082044A" w:rsidRDefault="0082044A" w:rsidP="0082044A">
      <w:pPr>
        <w:jc w:val="both"/>
        <w:rPr>
          <w:rFonts w:ascii="Times New Roman" w:hAnsi="Times New Roman" w:cs="Times New Roman"/>
          <w:sz w:val="24"/>
          <w:szCs w:val="24"/>
        </w:rPr>
      </w:pPr>
    </w:p>
    <w:p w:rsidR="0082044A" w:rsidRPr="0082044A" w:rsidRDefault="0082044A" w:rsidP="0082044A">
      <w:pPr>
        <w:spacing w:after="0" w:line="240" w:lineRule="auto"/>
        <w:jc w:val="both"/>
        <w:rPr>
          <w:rFonts w:ascii="Times New Roman" w:eastAsia="Calibri" w:hAnsi="Times New Roman" w:cs="Times New Roman"/>
          <w:b/>
          <w:i/>
          <w:lang w:eastAsia="it-IT"/>
        </w:rPr>
      </w:pPr>
      <w:r w:rsidRPr="0082044A">
        <w:rPr>
          <w:rFonts w:ascii="Times New Roman" w:eastAsia="Calibri" w:hAnsi="Times New Roman" w:cs="Times New Roman"/>
          <w:b/>
          <w:iCs/>
          <w:color w:val="212121"/>
          <w:lang w:eastAsia="it-IT"/>
        </w:rPr>
        <w:t xml:space="preserve">SOMMARIO: </w:t>
      </w:r>
      <w:r w:rsidRPr="0005607D">
        <w:rPr>
          <w:rFonts w:ascii="Times New Roman" w:eastAsia="Calibri" w:hAnsi="Times New Roman" w:cs="Times New Roman"/>
          <w:i/>
          <w:lang w:eastAsia="it-IT"/>
        </w:rPr>
        <w:t>1. Scopo dell’indagine; 2. I dati complessivi sulle procedure di appalto bandite; 3. I dati sul contenzioso amministrativo; 4. disaggregazione del dato per ambiti e per importi; 5. La suddivisione del contenzioso per fasce di importo; 6. L’impatto delle decisioni giurisdizionali: dati; 7. L’impatto delle decisioni giurisdizionali: analisi; 8. Un ulteriore approfondimento degli esiti, per soglie d’importo; 9. I tempi del giudizio cautelare; 10.  Focus sui grandi appalti gestiti da CONSIP (forniture e servizi) e da ANAS (lavori) 11. Considerazioni finali</w:t>
      </w:r>
    </w:p>
    <w:p w:rsidR="0082044A" w:rsidRPr="0082044A" w:rsidRDefault="0082044A" w:rsidP="0082044A">
      <w:pPr>
        <w:spacing w:after="0" w:line="240" w:lineRule="auto"/>
        <w:rPr>
          <w:rFonts w:ascii="Times New Roman" w:eastAsia="Calibri" w:hAnsi="Times New Roman" w:cs="Times New Roman"/>
          <w:b/>
          <w:i/>
          <w:lang w:eastAsia="it-IT"/>
        </w:rPr>
      </w:pPr>
      <w:r w:rsidRPr="0082044A">
        <w:rPr>
          <w:rFonts w:ascii="Times New Roman" w:eastAsia="Calibri" w:hAnsi="Times New Roman" w:cs="Times New Roman"/>
          <w:b/>
          <w:i/>
          <w:lang w:eastAsia="it-IT"/>
        </w:rPr>
        <w:t xml:space="preserve"> </w:t>
      </w:r>
    </w:p>
    <w:p w:rsidR="0082044A" w:rsidRPr="0082044A" w:rsidRDefault="0082044A" w:rsidP="0082044A">
      <w:pPr>
        <w:spacing w:after="0" w:line="240" w:lineRule="auto"/>
        <w:jc w:val="both"/>
        <w:rPr>
          <w:rFonts w:ascii="Times New Roman" w:eastAsia="Calibri" w:hAnsi="Times New Roman" w:cs="Times New Roman"/>
          <w:b/>
          <w:i/>
          <w:color w:val="212121"/>
          <w:lang w:eastAsia="it-IT"/>
        </w:rPr>
      </w:pPr>
    </w:p>
    <w:p w:rsidR="0082044A" w:rsidRPr="0082044A" w:rsidRDefault="0082044A" w:rsidP="0082044A">
      <w:pPr>
        <w:spacing w:after="0" w:line="240" w:lineRule="auto"/>
        <w:jc w:val="both"/>
        <w:rPr>
          <w:rFonts w:ascii="Times New Roman" w:eastAsia="Calibri" w:hAnsi="Times New Roman" w:cs="Times New Roman"/>
          <w:b/>
          <w:i/>
          <w:color w:val="212121"/>
          <w:sz w:val="24"/>
          <w:szCs w:val="24"/>
          <w:lang w:eastAsia="it-IT"/>
        </w:rPr>
      </w:pPr>
      <w:r w:rsidRPr="0082044A">
        <w:rPr>
          <w:rFonts w:ascii="Times New Roman" w:eastAsia="Calibri" w:hAnsi="Times New Roman" w:cs="Times New Roman"/>
          <w:b/>
          <w:i/>
          <w:color w:val="212121"/>
          <w:sz w:val="24"/>
          <w:szCs w:val="24"/>
          <w:lang w:eastAsia="it-IT"/>
        </w:rPr>
        <w:t>1. Scopo dell’indagine</w:t>
      </w:r>
    </w:p>
    <w:p w:rsidR="0082044A" w:rsidRPr="0082044A" w:rsidRDefault="0082044A" w:rsidP="0082044A">
      <w:pPr>
        <w:spacing w:after="0" w:line="240" w:lineRule="auto"/>
        <w:ind w:left="142"/>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color w:val="212121"/>
          <w:sz w:val="24"/>
          <w:szCs w:val="24"/>
          <w:lang w:eastAsia="it-IT"/>
        </w:rPr>
        <w:t>L’indagine statistica si avvale di dati ANAC, elaborati su richiesta del Consiglio di Stato, e di dati presenti nel sistema informativo della Giustizia amministrativa.</w:t>
      </w:r>
    </w:p>
    <w:p w:rsidR="0082044A" w:rsidRPr="0082044A" w:rsidRDefault="0082044A" w:rsidP="0082044A">
      <w:pPr>
        <w:spacing w:after="0" w:line="240" w:lineRule="auto"/>
        <w:ind w:left="142"/>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color w:val="212121"/>
          <w:sz w:val="24"/>
          <w:szCs w:val="24"/>
          <w:lang w:eastAsia="it-IT"/>
        </w:rPr>
        <w:t xml:space="preserve">I </w:t>
      </w:r>
      <w:r w:rsidRPr="0082044A">
        <w:rPr>
          <w:rFonts w:ascii="Times New Roman" w:eastAsia="Calibri" w:hAnsi="Times New Roman" w:cs="Times New Roman"/>
          <w:b/>
          <w:color w:val="212121"/>
          <w:sz w:val="24"/>
          <w:szCs w:val="24"/>
          <w:lang w:eastAsia="it-IT"/>
        </w:rPr>
        <w:t>dati ANAC</w:t>
      </w:r>
      <w:r w:rsidRPr="0082044A">
        <w:rPr>
          <w:rFonts w:ascii="Times New Roman" w:eastAsia="Calibri" w:hAnsi="Times New Roman" w:cs="Times New Roman"/>
          <w:color w:val="212121"/>
          <w:sz w:val="24"/>
          <w:szCs w:val="24"/>
          <w:lang w:eastAsia="it-IT"/>
        </w:rPr>
        <w:t>, che costituiscono la base di partenza della ricerca, forniscono, grazie alla pressoché totale registrazione delle procedure di gara, la sintesi dell’attività complessiva della PA in materia di procedure di affidamento di lavori, servizi e forniture.</w:t>
      </w:r>
    </w:p>
    <w:p w:rsidR="0082044A" w:rsidRPr="0082044A" w:rsidRDefault="0082044A" w:rsidP="0082044A">
      <w:pPr>
        <w:spacing w:after="0" w:line="240" w:lineRule="auto"/>
        <w:ind w:left="142"/>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color w:val="212121"/>
          <w:sz w:val="24"/>
          <w:szCs w:val="24"/>
          <w:lang w:eastAsia="it-IT"/>
        </w:rPr>
        <w:t xml:space="preserve">I </w:t>
      </w:r>
      <w:r w:rsidRPr="0082044A">
        <w:rPr>
          <w:rFonts w:ascii="Times New Roman" w:eastAsia="Calibri" w:hAnsi="Times New Roman" w:cs="Times New Roman"/>
          <w:b/>
          <w:color w:val="212121"/>
          <w:sz w:val="24"/>
          <w:szCs w:val="24"/>
          <w:lang w:eastAsia="it-IT"/>
        </w:rPr>
        <w:t>dati presenti nel sistema informativo della Giustizia amministrativa</w:t>
      </w:r>
      <w:r w:rsidRPr="0082044A" w:rsidDel="001136CC">
        <w:rPr>
          <w:rFonts w:ascii="Times New Roman" w:eastAsia="Calibri" w:hAnsi="Times New Roman" w:cs="Times New Roman"/>
          <w:color w:val="212121"/>
          <w:sz w:val="24"/>
          <w:szCs w:val="24"/>
          <w:lang w:eastAsia="it-IT"/>
        </w:rPr>
        <w:t xml:space="preserve"> </w:t>
      </w:r>
      <w:r w:rsidRPr="0082044A">
        <w:rPr>
          <w:rFonts w:ascii="Times New Roman" w:eastAsia="Calibri" w:hAnsi="Times New Roman" w:cs="Times New Roman"/>
          <w:color w:val="212121"/>
          <w:sz w:val="24"/>
          <w:szCs w:val="24"/>
          <w:lang w:eastAsia="it-IT"/>
        </w:rPr>
        <w:t>sono utili a verificare quanta parte di tali procedure sono oggetto di contenzioso amministrativo e quale sia l’impatto delle decisioni giurisdizionali su di esse, in guisa da comprendere se i processi produttivi pubblici risentano di eccezionali fattori di blocco o, piuttosto, di un fisiologico momento di controllo e correzione.</w:t>
      </w:r>
    </w:p>
    <w:p w:rsidR="0082044A" w:rsidRPr="0082044A" w:rsidRDefault="0082044A" w:rsidP="0082044A">
      <w:pPr>
        <w:spacing w:after="0" w:line="240" w:lineRule="auto"/>
        <w:ind w:left="142"/>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b/>
          <w:color w:val="212121"/>
          <w:sz w:val="24"/>
          <w:szCs w:val="24"/>
          <w:lang w:eastAsia="it-IT"/>
        </w:rPr>
        <w:t>L’analisi è focalizzata sull’impatto della decisione della domanda cautelare (cd sospensiva)</w:t>
      </w:r>
      <w:r w:rsidRPr="0082044A">
        <w:rPr>
          <w:rFonts w:ascii="Times New Roman" w:eastAsia="Calibri" w:hAnsi="Times New Roman" w:cs="Times New Roman"/>
          <w:color w:val="212121"/>
          <w:sz w:val="24"/>
          <w:szCs w:val="24"/>
          <w:lang w:eastAsia="it-IT"/>
        </w:rPr>
        <w:t xml:space="preserve">, che di fatto decide le sorti della realizzazione - immediata o meno - dell’appalto, decretandone la sospensione nelle more della decisione di merito, o consentendone lo svolgimento con salvezza della eventuale risarcimento del danno per l’impresa ingiustamente pretermessa. </w:t>
      </w:r>
    </w:p>
    <w:p w:rsidR="0082044A" w:rsidRPr="0082044A" w:rsidRDefault="0082044A" w:rsidP="0082044A">
      <w:pPr>
        <w:spacing w:after="0" w:line="240" w:lineRule="auto"/>
        <w:ind w:left="142"/>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b/>
          <w:color w:val="212121"/>
          <w:sz w:val="24"/>
          <w:szCs w:val="24"/>
          <w:lang w:eastAsia="it-IT"/>
        </w:rPr>
        <w:t>L’indagine è stata condotta per il biennio 2015/2016</w:t>
      </w:r>
      <w:r w:rsidRPr="0082044A">
        <w:rPr>
          <w:rFonts w:ascii="Times New Roman" w:eastAsia="Calibri" w:hAnsi="Times New Roman" w:cs="Times New Roman"/>
          <w:color w:val="212121"/>
          <w:sz w:val="24"/>
          <w:szCs w:val="24"/>
          <w:lang w:eastAsia="it-IT"/>
        </w:rPr>
        <w:t>, in modo da avere un arco temporale sufficientemente ampio da essere rappresentativo in termini contenziosi e da evidenziare un trend significativo.</w:t>
      </w:r>
    </w:p>
    <w:p w:rsidR="0082044A" w:rsidRPr="0082044A" w:rsidRDefault="0082044A" w:rsidP="0082044A">
      <w:pPr>
        <w:spacing w:after="0" w:line="240" w:lineRule="auto"/>
        <w:jc w:val="both"/>
        <w:rPr>
          <w:rFonts w:ascii="Times New Roman" w:eastAsia="Calibri" w:hAnsi="Times New Roman" w:cs="Times New Roman"/>
          <w:color w:val="212121"/>
          <w:sz w:val="24"/>
          <w:szCs w:val="24"/>
          <w:lang w:eastAsia="it-IT"/>
        </w:rPr>
      </w:pPr>
    </w:p>
    <w:p w:rsidR="0082044A" w:rsidRPr="0082044A" w:rsidRDefault="0082044A" w:rsidP="0082044A">
      <w:pPr>
        <w:spacing w:after="0" w:line="240" w:lineRule="auto"/>
        <w:jc w:val="both"/>
        <w:rPr>
          <w:rFonts w:ascii="Times New Roman" w:eastAsia="Calibri" w:hAnsi="Times New Roman" w:cs="Times New Roman"/>
          <w:b/>
          <w:i/>
          <w:color w:val="212121"/>
          <w:sz w:val="24"/>
          <w:szCs w:val="24"/>
          <w:lang w:eastAsia="it-IT"/>
        </w:rPr>
      </w:pPr>
      <w:r w:rsidRPr="0082044A">
        <w:rPr>
          <w:rFonts w:ascii="Times New Roman" w:eastAsia="Calibri" w:hAnsi="Times New Roman" w:cs="Times New Roman"/>
          <w:b/>
          <w:i/>
          <w:color w:val="212121"/>
          <w:sz w:val="24"/>
          <w:szCs w:val="24"/>
          <w:lang w:eastAsia="it-IT"/>
        </w:rPr>
        <w:t>2. I dati complessivi sulle procedure di appalto bandite</w:t>
      </w:r>
    </w:p>
    <w:p w:rsidR="0082044A" w:rsidRPr="0082044A" w:rsidRDefault="0082044A" w:rsidP="0082044A">
      <w:pPr>
        <w:spacing w:after="0" w:line="240" w:lineRule="auto"/>
        <w:ind w:left="142"/>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color w:val="212121"/>
          <w:sz w:val="24"/>
          <w:szCs w:val="24"/>
          <w:lang w:eastAsia="it-IT"/>
        </w:rPr>
        <w:t xml:space="preserve">Dai dati ANAC emerge che </w:t>
      </w:r>
      <w:r w:rsidRPr="0082044A">
        <w:rPr>
          <w:rFonts w:ascii="Times New Roman" w:eastAsia="Calibri" w:hAnsi="Times New Roman" w:cs="Times New Roman"/>
          <w:b/>
          <w:color w:val="212121"/>
          <w:sz w:val="24"/>
          <w:szCs w:val="24"/>
          <w:lang w:eastAsia="it-IT"/>
        </w:rPr>
        <w:t>nel 2015 sono state bandite n. 136.645 procedure</w:t>
      </w:r>
      <w:r w:rsidRPr="0082044A">
        <w:rPr>
          <w:rFonts w:ascii="Times New Roman" w:eastAsia="Calibri" w:hAnsi="Times New Roman" w:cs="Times New Roman"/>
          <w:color w:val="212121"/>
          <w:sz w:val="24"/>
          <w:szCs w:val="24"/>
          <w:lang w:eastAsia="it-IT"/>
        </w:rPr>
        <w:t xml:space="preserve"> per un ammontare complessivo posto a base di gara di €. 121.976.997.204</w:t>
      </w:r>
    </w:p>
    <w:p w:rsidR="0082044A" w:rsidRPr="0082044A" w:rsidRDefault="0082044A" w:rsidP="0082044A">
      <w:pPr>
        <w:spacing w:after="0" w:line="240" w:lineRule="auto"/>
        <w:ind w:left="142"/>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b/>
          <w:color w:val="212121"/>
          <w:sz w:val="24"/>
          <w:szCs w:val="24"/>
          <w:lang w:eastAsia="it-IT"/>
        </w:rPr>
        <w:t>Nel 2016 le procedure bandite sono state 120.628</w:t>
      </w:r>
      <w:r w:rsidRPr="0082044A">
        <w:rPr>
          <w:rFonts w:ascii="Times New Roman" w:eastAsia="Calibri" w:hAnsi="Times New Roman" w:cs="Times New Roman"/>
          <w:color w:val="212121"/>
          <w:sz w:val="24"/>
          <w:szCs w:val="24"/>
          <w:lang w:eastAsia="it-IT"/>
        </w:rPr>
        <w:t xml:space="preserve"> per un ammontare complessivo di €. 110.327.176.475.</w:t>
      </w:r>
    </w:p>
    <w:p w:rsidR="0082044A" w:rsidRPr="0082044A" w:rsidRDefault="0082044A" w:rsidP="0082044A">
      <w:pPr>
        <w:spacing w:after="0" w:line="240" w:lineRule="auto"/>
        <w:ind w:left="142"/>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color w:val="212121"/>
          <w:sz w:val="24"/>
          <w:szCs w:val="24"/>
          <w:lang w:eastAsia="it-IT"/>
        </w:rPr>
        <w:t>Questo il dettaglio suddiviso territorialmente e per tipologia di appalto:</w:t>
      </w:r>
    </w:p>
    <w:p w:rsidR="0005607D" w:rsidRDefault="0005607D">
      <w:pPr>
        <w:rPr>
          <w:rFonts w:ascii="Calibri" w:eastAsia="Calibri" w:hAnsi="Calibri" w:cs="Calibri"/>
          <w:color w:val="212121"/>
          <w:lang w:eastAsia="it-IT"/>
        </w:rPr>
      </w:pPr>
      <w:r>
        <w:rPr>
          <w:rFonts w:ascii="Calibri" w:eastAsia="Calibri" w:hAnsi="Calibri" w:cs="Calibri"/>
          <w:color w:val="212121"/>
          <w:lang w:eastAsia="it-IT"/>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2633"/>
        <w:gridCol w:w="916"/>
        <w:gridCol w:w="916"/>
        <w:gridCol w:w="1589"/>
        <w:gridCol w:w="1637"/>
      </w:tblGrid>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lastRenderedPageBreak/>
              <w:t> </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1832" w:type="dxa"/>
            <w:gridSpan w:val="2"/>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Nr. Procedure </w:t>
            </w:r>
          </w:p>
        </w:tc>
        <w:tc>
          <w:tcPr>
            <w:tcW w:w="3226" w:type="dxa"/>
            <w:gridSpan w:val="2"/>
            <w:hideMark/>
          </w:tcPr>
          <w:p w:rsidR="0082044A" w:rsidRPr="0082044A" w:rsidRDefault="0082044A" w:rsidP="0082044A">
            <w:pPr>
              <w:spacing w:after="0" w:line="240" w:lineRule="auto"/>
              <w:rPr>
                <w:rFonts w:ascii="Times New Roman" w:eastAsia="Calibri" w:hAnsi="Times New Roman" w:cs="Times New Roman"/>
                <w:caps/>
                <w:color w:val="212121"/>
                <w:sz w:val="16"/>
                <w:szCs w:val="16"/>
                <w:lang w:eastAsia="it-IT"/>
              </w:rPr>
            </w:pPr>
            <w:r w:rsidRPr="0082044A">
              <w:rPr>
                <w:rFonts w:ascii="Times New Roman" w:eastAsia="Calibri" w:hAnsi="Times New Roman" w:cs="Times New Roman"/>
                <w:color w:val="212121"/>
                <w:sz w:val="16"/>
                <w:szCs w:val="16"/>
                <w:lang w:eastAsia="it-IT"/>
              </w:rPr>
              <w:t xml:space="preserve"> Importo Base Asta </w:t>
            </w:r>
            <w:r w:rsidRPr="0082044A">
              <w:rPr>
                <w:rFonts w:ascii="Times New Roman" w:eastAsia="Calibri" w:hAnsi="Times New Roman" w:cs="Times New Roman"/>
                <w:caps/>
                <w:color w:val="212121"/>
                <w:sz w:val="16"/>
                <w:szCs w:val="16"/>
                <w:lang w:eastAsia="it-IT"/>
              </w:rPr>
              <w:t>€.</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Tipo Procedura</w:t>
            </w:r>
          </w:p>
        </w:tc>
        <w:tc>
          <w:tcPr>
            <w:tcW w:w="916"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2015</w:t>
            </w:r>
          </w:p>
        </w:tc>
        <w:tc>
          <w:tcPr>
            <w:tcW w:w="916"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2016</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2015</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2016</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 CENTRALE</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Affidamento diretto</w:t>
            </w:r>
          </w:p>
        </w:tc>
        <w:tc>
          <w:tcPr>
            <w:tcW w:w="916"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8.760 </w:t>
            </w:r>
          </w:p>
        </w:tc>
        <w:tc>
          <w:tcPr>
            <w:tcW w:w="916"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7.670 </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1.549.401.006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1.007.375.965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Altro</w:t>
            </w:r>
          </w:p>
        </w:tc>
        <w:tc>
          <w:tcPr>
            <w:tcW w:w="916"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2.947 </w:t>
            </w:r>
          </w:p>
        </w:tc>
        <w:tc>
          <w:tcPr>
            <w:tcW w:w="916"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2.412 </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1.270.001.737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978.899.246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aperta</w:t>
            </w:r>
          </w:p>
        </w:tc>
        <w:tc>
          <w:tcPr>
            <w:tcW w:w="916"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3.757 </w:t>
            </w:r>
          </w:p>
        </w:tc>
        <w:tc>
          <w:tcPr>
            <w:tcW w:w="916"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3.284 </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19.852.767.002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15.463.366.035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previa pubblicazione del bando</w:t>
            </w:r>
          </w:p>
        </w:tc>
        <w:tc>
          <w:tcPr>
            <w:tcW w:w="916"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920 </w:t>
            </w:r>
          </w:p>
        </w:tc>
        <w:tc>
          <w:tcPr>
            <w:tcW w:w="916"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809 </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9.755.746.022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4.413.466.345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senza previa pubblicazione del bando</w:t>
            </w:r>
          </w:p>
        </w:tc>
        <w:tc>
          <w:tcPr>
            <w:tcW w:w="916"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8.113 </w:t>
            </w:r>
          </w:p>
        </w:tc>
        <w:tc>
          <w:tcPr>
            <w:tcW w:w="916"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8.041 </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10.147.469.981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6.653.225.374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ristretta</w:t>
            </w:r>
          </w:p>
        </w:tc>
        <w:tc>
          <w:tcPr>
            <w:tcW w:w="916"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1.078 </w:t>
            </w:r>
          </w:p>
        </w:tc>
        <w:tc>
          <w:tcPr>
            <w:tcW w:w="916"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876 </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5.115.082.046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6.774.878.687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Sistema dinamico di acquisizione</w:t>
            </w:r>
          </w:p>
        </w:tc>
        <w:tc>
          <w:tcPr>
            <w:tcW w:w="916"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127 </w:t>
            </w:r>
          </w:p>
        </w:tc>
        <w:tc>
          <w:tcPr>
            <w:tcW w:w="916"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148 </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38.211.255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60.198.259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 CENTRALE Totale</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916"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25.702 </w:t>
            </w:r>
          </w:p>
        </w:tc>
        <w:tc>
          <w:tcPr>
            <w:tcW w:w="916"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23.240 </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47.728.679.050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35.351.409.910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 ABRUZZO</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Affidamento diretto</w:t>
            </w:r>
          </w:p>
        </w:tc>
        <w:tc>
          <w:tcPr>
            <w:tcW w:w="916"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551 </w:t>
            </w:r>
          </w:p>
        </w:tc>
        <w:tc>
          <w:tcPr>
            <w:tcW w:w="916"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405 </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107.272.159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118.154.129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Altro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17</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12</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2.452.279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2.488.795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aperta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1.213</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368</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1.666.269.608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538.435.468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45</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54</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8.825.939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11.666.035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senza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1.231</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874</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373.554.639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201.668.599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ristretta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91</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25</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24.728.252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8.470.796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Sistema dinamico di acquisizione</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7</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342</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1.033.373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176.844.300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 ABRUZZO Totale</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3.155</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2.080</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2.184.136.249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1.057.728.122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 BASILICATA</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Affidamento diretto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339</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193</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40.561.281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33.648.853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Altro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84.000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180.528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aperta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308</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305</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472.519.862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409.032.334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39</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28</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8.034.100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3.856.399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senza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792</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510</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166.119.662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106.973.138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ristretta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9</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5</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1.581.208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1.720.129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Sistema dinamico di acquisizione</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714</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327.500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301.258.951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 BASILICATA Totale</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1.490</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1.757</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689.227.613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856.670.332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 CALABRIA</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Affidamento diretto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375</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288</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349.897.069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40.678.986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Altro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460.645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111.000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10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aperta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1.403</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772</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785.630.537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536.763.293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68</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42</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7.664.644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5.061.694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senza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829</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374</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212.742.771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85.709.483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ristretta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20</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21</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4.314.505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11.788.999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Sistema dinamico di acquisizione</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136</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82</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99.086.898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93.334.171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 CALABRIA Totale</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2.833</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1.580</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1.459.797.069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773.447.626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lastRenderedPageBreak/>
              <w:t>SEZIONE REGIONALE CAMPANIA</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Affidamento diretto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1.500</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1.302</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199.164.370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277.849.778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Altro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150</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131</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21.972.684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20.465.638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aperta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2.914</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1.875</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3.491.163.676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2.330.806.942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111</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145</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62.940.369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45.395.057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10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senza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1.374</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1.255</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573.943.726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631.728.875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ristretta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278</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52</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563.305.919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104.354.604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Sistema dinamico di acquisizione</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453</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692</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810.707.645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2.825.006.814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 CAMPANIA Totale</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6.780</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5.452</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5.723.198.388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6.235.607.708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 EMILIA ROMAGNA</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Affidamento diretto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2.689</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2.094</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344.535.053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292.624.580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Altro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708</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656</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148.677.173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124.752.596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aperta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1.138</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1.301</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2.571.109.955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2.024.640.864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189</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317</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50.959.203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101.540.366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senza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2.776</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2.795</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1.056.832.162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1.363.702.327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ristretta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87</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69</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399.006.814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125.749.880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Sistema dinamico di acquisizione</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45</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116</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40.890.597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126.164.497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 EMILIA ROMAGNA Totale</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7.632</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7.348</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4.612.010.958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4.159.175.109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 FRIULI VENEZIA GIULIA</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Affidamento diretto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645</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386</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80.810.277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112.843.317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Altro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251</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282</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51.627.792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52.075.163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aperta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257</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310</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469.519.319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386.858.223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89</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144</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23.162.469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33.711.471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senza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1.022</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828</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283.215.111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216.453.119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ristretta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31</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21</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216.320.539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172.887.917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Sistema dinamico di acquisizione</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5</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516.658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198.000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 FRIULI VENEZIA GIULIA Totale</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2.300</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1.972</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1.125.172.164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975.027.210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 LAZIO</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Affidamento diretto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2.245</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1.505</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475.688.113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279.815.139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Altro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139</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107</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120.553.927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106.831.055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aperta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1.899</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1.474</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3.126.643.935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1.439.921.386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142</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169</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39.610.330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39.189.677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senza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2.872</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2.624</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975.698.091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1.242.171.209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ristretta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228</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205</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118.734.940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45.085.562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Sistema dinamico di acquisizione</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26</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1.067</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6.369.741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4.220.842.119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 LAZIO Totale</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7.551</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7.151</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4.863.299.076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7.373.856.146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 LIGURIA</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Affidamento diretto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862</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633</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150.961.211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164.027.458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Altro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251</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93</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157.219.805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19.322.883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aperta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685</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355</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643.894.892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1.264.176.015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60</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91</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40.602.987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54.230.318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senza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1.180</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1.040</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318.811.312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322.690.853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ristretta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32</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22</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27.122.050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23.160.923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Sistema dinamico di acquisizione</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134</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936</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32.575.627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925.692.935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 LIGURIA Totale</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3.204</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3.170</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1.371.187.884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2.773.301.386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 LOMBARDIA</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Affidamento diretto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4.417</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2.990</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557.604.689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409.091.107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Altro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877</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765</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397.348.590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208.127.668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aperta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5.044</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3.184</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9.800.142.907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6.292.723.209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417</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711</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304.796.926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466.311.846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senza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6.699</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5.666</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6.090.207.439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1.996.129.874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ristretta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175</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900</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840.560.162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1.768.677.519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Sistema dinamico di acquisizione</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311</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42</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93.453.813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22.060.109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 LOMBARDIA Totale</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17.940</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14.258</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18.084.114.526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11.163.121.331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 MARCHE</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Affidamento diretto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744</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567</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92.081.883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166.343.993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Altro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421.684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aperta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510</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362</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497.675.492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340.593.679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147</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106</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24.757.171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12.474.042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senza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933</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791</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371.538.032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640.300.431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ristretta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19</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24</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10.701.671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36.013.728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Sistema dinamico di acquisizione</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9</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13</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1.238.914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1.454.124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 MARCHE Totale</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2.362</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1.866</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997.993.163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1.197.601.682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 MOLISE</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Affidamento diretto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63</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52</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9.521.779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11.411.917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Altro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50.000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aperta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108</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132</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60.818.223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87.220.157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8</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13</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1.179.725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2.384.291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senza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333</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227</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70.273.462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40.460.471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ristretta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9</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970.017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1.799.682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Sistema dinamico di acquisizione</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10</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6</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1.241.791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1.068.292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 MOLISE Totale</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526</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439</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144.054.997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144.344.809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 PIEMONTE</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Affidamento diretto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1.921</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1.839</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240.180.028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214.762.273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Altro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71</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55</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32.913.635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13.268.595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aperta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2.165</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1.508</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2.101.460.098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1.692.027.381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240</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327</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92.476.783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63.063.321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senza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3.134</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2.938</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842.476.652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829.746.633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ristretta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149</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76</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423.950.022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55.566.060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Sistema dinamico di acquisizione</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999</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228</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1.332.952.756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151.353.685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 PIEMONTE Totale</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8.679</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6.971</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5.066.409.976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3.019.787.948 </w:t>
            </w:r>
          </w:p>
        </w:tc>
      </w:tr>
      <w:tr w:rsidR="0082044A" w:rsidRPr="0082044A" w:rsidTr="0005607D">
        <w:trPr>
          <w:trHeight w:val="78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 PROVINCIA AUTONOMA DI BOLZANO</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Affidamento diretto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861</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695</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106.513.407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327.939.457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Altro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150</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56</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31.845.252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5.277.052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aperta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353</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241</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354.925.941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580.190.283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33</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30</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36.058.396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6.855.624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senza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1.584</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1.755</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355.233.894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555.208.188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ristretta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11</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8</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3.187.600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2.618.985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Sistema dinamico di acquisizione</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207.320 </w:t>
            </w:r>
          </w:p>
        </w:tc>
      </w:tr>
      <w:tr w:rsidR="0082044A" w:rsidRPr="0082044A" w:rsidTr="0005607D">
        <w:trPr>
          <w:trHeight w:val="78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 PROVINCIA AUTONOMA DI BOLZANO Totale</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2.992</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2.786</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887.764.490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1.478.296.908 </w:t>
            </w:r>
          </w:p>
        </w:tc>
      </w:tr>
      <w:tr w:rsidR="0082044A" w:rsidRPr="0082044A" w:rsidTr="0005607D">
        <w:trPr>
          <w:trHeight w:val="78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 PROVINCIA AUTONOMA DI TRENTO</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Affidamento diretto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1.559</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1.353</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500.676.008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387.249.613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Altro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8</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4.054.317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332.450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aperta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167</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188</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206.554.361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248.960.302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25</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40</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41.571.924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96.552.484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senza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1.194</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1.202</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457.816.552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339.560.014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ristretta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43</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32</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11.738.441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41.108.444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Sistema dinamico di acquisizione</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14</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8</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1.033.666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927.112 </w:t>
            </w:r>
          </w:p>
        </w:tc>
      </w:tr>
      <w:tr w:rsidR="0082044A" w:rsidRPr="0082044A" w:rsidTr="0005607D">
        <w:trPr>
          <w:trHeight w:val="78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 PROVINCIA AUTONOMA DI TRENTO Totale</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3.010</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2.826</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1.223.445.269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1.114.690.419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 PUGLIA</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Affidamento diretto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1.358</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862</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240.503.793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144.608.777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Altro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110</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14</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13.916.225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1.403.266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aperta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2.479</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1.178</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2.657.915.585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1.250.472.900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227</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167</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62.681.414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48.163.621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senza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2.302</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1.928</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1.026.999.059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605.909.823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ristretta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107</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33</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169.448.002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8.451.301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Sistema dinamico di acquisizione</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16</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18</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2.197.892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2.621.141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 PUGLIA Totale</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6.599</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4.200</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4.173.661.970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2.061.630.829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 SARDEGNA</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Affidamento diretto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1.092</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759</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586.793.072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149.335.218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Altro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11</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199.089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1.633.207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aperta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1.393</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1.230</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1.328.143.964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1.095.904.700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174</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960</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31.104.408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1.362.229.498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senza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2.055</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1.652</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521.078.104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455.714.066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ristretta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57</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63</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386.772.911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37.997.796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Sistema dinamico di acquisizione</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51</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90</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11.327.815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15.575.509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 SARDEGNA Totale</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4.825</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4.765</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2.865.419.363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3.118.389.995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 SICILIA</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Affidamento diretto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1.665</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1.177</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496.657.940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165.974.339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Altro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9</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11</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14.401.704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2.307.191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aperta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2.378</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1.378</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2.210.417.531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1.898.700.521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143</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144</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33.359.286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51.397.705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senza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1.175</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1.111</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359.257.852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256.701.993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ristretta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131</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85</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61.856.465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11.078.956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Sistema dinamico di acquisizione</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110</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960</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48.866.378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3.917.533.762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 SICILIA Totale</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5.611</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4.866</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3.224.817.156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6.303.694.468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 TOSCANA</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Affidamento diretto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1.682</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1.064</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292.790.655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310.084.446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Altro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311</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293</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107.851.116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80.570.374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aperta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1.173</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1.017</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1.524.712.416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3.153.993.264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261</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395</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112.867.525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126.987.344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senza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2.541</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2.281</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1.071.400.624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756.516.923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ristretta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56</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40</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202.459.392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351.395.969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Sistema dinamico di acquisizione</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137</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97</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168.712.856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25.926.858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 TOSCANA Totale</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6.161</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5.187</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3.480.794.584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4.805.475.178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 UMBRIA</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Affidamento diretto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468</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298</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58.147.732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48.578.766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Altro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6</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7</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4.828.467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2.675.000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aperta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247</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202</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216.257.202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194.776.501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43</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51</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24.628.328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12.329.096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senza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865</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674</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326.638.040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163.753.150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ristretta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37</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192</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286.090.599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234.209.221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Sistema dinamico di acquisizione</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89</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39</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58.394.552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8.891.681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 UMBRIA Totale</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1.755</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1.463</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974.984.920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665.213.416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 VALLE D'AOSTA</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Affidamento diretto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289</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152</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29.827.374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16.205.700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Altro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30</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44</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5.187.356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6.996.887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aperta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143</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191</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90.388.566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196.068.078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17</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44</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2.455.730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5.585.932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senza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212</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251</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228.172.364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39.448.895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ristretta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10</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43.271.434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239.000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Sistema dinamico di acquisizione</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334.560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 VALLE D'AOSTA Totale</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701</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688</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399.302.826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264.879.053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 VENETO</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Affidamento diretto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3.064</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2.128</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423.347.662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300.667.155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Altro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560</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512</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119.466.808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132.181.368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aperta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1.338</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1.063</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2.224.716.913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1.580.239.994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278</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374</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153.287.079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97.268.308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senza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3.379</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3.226</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1.180.310.547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2.657.393.535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ristretta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144</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97</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752.923.723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1.001.314.592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Sistema dinamico di acquisizione</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24</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28</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3.290.664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7.771.845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SEZIONE REGIONALE VENETO Totale</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8.787</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7.428</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4.857.343.396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5.776.836.797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NON CLASSIFICATO</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Affidamento diretto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1.643</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1.762</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217.239.817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263.074.333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Altro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549</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1.056</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205.693.354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448.203.353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aperta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1.408</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2.373</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1.969.939.205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3.097.551.799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324</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653</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527.593.363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1.222.738.542 </w:t>
            </w:r>
          </w:p>
        </w:tc>
      </w:tr>
      <w:tr w:rsidR="0082044A" w:rsidRPr="0082044A" w:rsidTr="0005607D">
        <w:trPr>
          <w:trHeight w:val="525"/>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negoziata senza previa pubblicazione del bando</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1.972</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3.124</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993.255.365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1.035.042.198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Procedura ristretta</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143</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149</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1.925.398.906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3.587.312.705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Sistema dinamico di acquisizione</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11</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18</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1.062.106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3.067.164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NON CLASSIFICATO Totale</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6.050</w:t>
            </w:r>
          </w:p>
        </w:tc>
        <w:tc>
          <w:tcPr>
            <w:tcW w:w="916" w:type="dxa"/>
            <w:hideMark/>
          </w:tcPr>
          <w:p w:rsidR="0082044A" w:rsidRPr="0082044A" w:rsidRDefault="0082044A" w:rsidP="0082044A">
            <w:pPr>
              <w:spacing w:after="0" w:line="240" w:lineRule="auto"/>
              <w:jc w:val="center"/>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9.135</w:t>
            </w:r>
          </w:p>
        </w:tc>
        <w:tc>
          <w:tcPr>
            <w:tcW w:w="1589"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5.840.182.117 </w:t>
            </w:r>
          </w:p>
        </w:tc>
        <w:tc>
          <w:tcPr>
            <w:tcW w:w="1637"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xml:space="preserve">         9.656.990.093 </w:t>
            </w:r>
          </w:p>
        </w:tc>
      </w:tr>
      <w:tr w:rsidR="0082044A" w:rsidRPr="0082044A" w:rsidTr="0005607D">
        <w:trPr>
          <w:trHeight w:val="300"/>
        </w:trPr>
        <w:tc>
          <w:tcPr>
            <w:tcW w:w="216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Totale complessivo</w:t>
            </w:r>
          </w:p>
        </w:tc>
        <w:tc>
          <w:tcPr>
            <w:tcW w:w="2633" w:type="dxa"/>
            <w:hideMark/>
          </w:tcPr>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r w:rsidRPr="0082044A">
              <w:rPr>
                <w:rFonts w:ascii="Times New Roman" w:eastAsia="Calibri" w:hAnsi="Times New Roman" w:cs="Times New Roman"/>
                <w:color w:val="212121"/>
                <w:sz w:val="16"/>
                <w:szCs w:val="16"/>
                <w:lang w:eastAsia="it-IT"/>
              </w:rPr>
              <w:t> </w:t>
            </w:r>
          </w:p>
        </w:tc>
        <w:tc>
          <w:tcPr>
            <w:tcW w:w="916" w:type="dxa"/>
            <w:hideMark/>
          </w:tcPr>
          <w:p w:rsidR="0082044A" w:rsidRPr="0082044A" w:rsidRDefault="0082044A" w:rsidP="0082044A">
            <w:pPr>
              <w:spacing w:after="0" w:line="240" w:lineRule="auto"/>
              <w:rPr>
                <w:rFonts w:ascii="Times New Roman" w:eastAsia="Calibri" w:hAnsi="Times New Roman" w:cs="Times New Roman"/>
                <w:b/>
                <w:color w:val="212121"/>
                <w:sz w:val="16"/>
                <w:szCs w:val="16"/>
                <w:lang w:eastAsia="it-IT"/>
              </w:rPr>
            </w:pPr>
            <w:r w:rsidRPr="0082044A">
              <w:rPr>
                <w:rFonts w:ascii="Times New Roman" w:eastAsia="Calibri" w:hAnsi="Times New Roman" w:cs="Times New Roman"/>
                <w:b/>
                <w:color w:val="212121"/>
                <w:sz w:val="16"/>
                <w:szCs w:val="16"/>
                <w:lang w:eastAsia="it-IT"/>
              </w:rPr>
              <w:t xml:space="preserve">   136.645 </w:t>
            </w:r>
          </w:p>
        </w:tc>
        <w:tc>
          <w:tcPr>
            <w:tcW w:w="916" w:type="dxa"/>
            <w:hideMark/>
          </w:tcPr>
          <w:p w:rsidR="0082044A" w:rsidRPr="0082044A" w:rsidRDefault="0082044A" w:rsidP="0082044A">
            <w:pPr>
              <w:spacing w:after="0" w:line="240" w:lineRule="auto"/>
              <w:rPr>
                <w:rFonts w:ascii="Times New Roman" w:eastAsia="Calibri" w:hAnsi="Times New Roman" w:cs="Times New Roman"/>
                <w:b/>
                <w:color w:val="212121"/>
                <w:sz w:val="16"/>
                <w:szCs w:val="16"/>
                <w:lang w:eastAsia="it-IT"/>
              </w:rPr>
            </w:pPr>
            <w:r w:rsidRPr="0082044A">
              <w:rPr>
                <w:rFonts w:ascii="Times New Roman" w:eastAsia="Calibri" w:hAnsi="Times New Roman" w:cs="Times New Roman"/>
                <w:b/>
                <w:color w:val="212121"/>
                <w:sz w:val="16"/>
                <w:szCs w:val="16"/>
                <w:lang w:eastAsia="it-IT"/>
              </w:rPr>
              <w:t xml:space="preserve">   120.628 </w:t>
            </w:r>
          </w:p>
        </w:tc>
        <w:tc>
          <w:tcPr>
            <w:tcW w:w="1589" w:type="dxa"/>
            <w:hideMark/>
          </w:tcPr>
          <w:p w:rsidR="0082044A" w:rsidRPr="0082044A" w:rsidRDefault="0082044A" w:rsidP="0082044A">
            <w:pPr>
              <w:spacing w:after="0" w:line="240" w:lineRule="auto"/>
              <w:rPr>
                <w:rFonts w:ascii="Times New Roman" w:eastAsia="Calibri" w:hAnsi="Times New Roman" w:cs="Times New Roman"/>
                <w:b/>
                <w:color w:val="212121"/>
                <w:sz w:val="16"/>
                <w:szCs w:val="16"/>
                <w:lang w:eastAsia="it-IT"/>
              </w:rPr>
            </w:pPr>
            <w:r w:rsidRPr="0082044A">
              <w:rPr>
                <w:rFonts w:ascii="Times New Roman" w:eastAsia="Calibri" w:hAnsi="Times New Roman" w:cs="Times New Roman"/>
                <w:b/>
                <w:color w:val="212121"/>
                <w:sz w:val="16"/>
                <w:szCs w:val="16"/>
                <w:lang w:eastAsia="it-IT"/>
              </w:rPr>
              <w:t xml:space="preserve">   121.976.997.204 </w:t>
            </w:r>
          </w:p>
        </w:tc>
        <w:tc>
          <w:tcPr>
            <w:tcW w:w="1637" w:type="dxa"/>
            <w:hideMark/>
          </w:tcPr>
          <w:p w:rsidR="0082044A" w:rsidRPr="0082044A" w:rsidRDefault="0082044A" w:rsidP="0082044A">
            <w:pPr>
              <w:spacing w:after="0" w:line="240" w:lineRule="auto"/>
              <w:rPr>
                <w:rFonts w:ascii="Times New Roman" w:eastAsia="Calibri" w:hAnsi="Times New Roman" w:cs="Times New Roman"/>
                <w:b/>
                <w:color w:val="212121"/>
                <w:sz w:val="16"/>
                <w:szCs w:val="16"/>
                <w:lang w:eastAsia="it-IT"/>
              </w:rPr>
            </w:pPr>
            <w:r w:rsidRPr="0082044A">
              <w:rPr>
                <w:rFonts w:ascii="Times New Roman" w:eastAsia="Calibri" w:hAnsi="Times New Roman" w:cs="Times New Roman"/>
                <w:b/>
                <w:color w:val="212121"/>
                <w:sz w:val="16"/>
                <w:szCs w:val="16"/>
                <w:lang w:eastAsia="it-IT"/>
              </w:rPr>
              <w:t xml:space="preserve">    110.327.176.475 </w:t>
            </w:r>
          </w:p>
        </w:tc>
      </w:tr>
    </w:tbl>
    <w:p w:rsidR="0082044A" w:rsidRPr="0082044A" w:rsidRDefault="0082044A" w:rsidP="0082044A">
      <w:pPr>
        <w:spacing w:after="0" w:line="240" w:lineRule="auto"/>
        <w:rPr>
          <w:rFonts w:ascii="Calibri" w:eastAsia="Calibri" w:hAnsi="Calibri" w:cs="Calibri"/>
          <w:color w:val="FF0000"/>
          <w:lang w:eastAsia="it-IT"/>
        </w:rPr>
      </w:pPr>
    </w:p>
    <w:p w:rsidR="0082044A" w:rsidRPr="0082044A" w:rsidRDefault="0082044A" w:rsidP="0082044A">
      <w:pPr>
        <w:spacing w:after="0" w:line="240" w:lineRule="auto"/>
        <w:rPr>
          <w:rFonts w:ascii="Calibri" w:eastAsia="Calibri" w:hAnsi="Calibri" w:cs="Calibri"/>
          <w:color w:val="212121"/>
          <w:lang w:eastAsia="it-IT"/>
        </w:rPr>
      </w:pPr>
    </w:p>
    <w:p w:rsidR="0082044A" w:rsidRPr="0082044A" w:rsidRDefault="0082044A" w:rsidP="0082044A">
      <w:pPr>
        <w:spacing w:after="0" w:line="240" w:lineRule="auto"/>
        <w:rPr>
          <w:rFonts w:ascii="Calibri" w:eastAsia="Calibri" w:hAnsi="Calibri" w:cs="Calibri"/>
          <w:color w:val="212121"/>
          <w:lang w:eastAsia="it-IT"/>
        </w:rPr>
      </w:pPr>
    </w:p>
    <w:p w:rsidR="0082044A" w:rsidRPr="0082044A" w:rsidRDefault="0082044A" w:rsidP="0082044A">
      <w:pPr>
        <w:spacing w:after="0" w:line="240" w:lineRule="auto"/>
        <w:rPr>
          <w:rFonts w:ascii="Calibri" w:eastAsia="Calibri" w:hAnsi="Calibri" w:cs="Calibri"/>
          <w:color w:val="212121"/>
          <w:lang w:eastAsia="it-IT"/>
        </w:rPr>
      </w:pPr>
    </w:p>
    <w:p w:rsidR="0082044A" w:rsidRPr="0082044A" w:rsidRDefault="0082044A" w:rsidP="0082044A">
      <w:pPr>
        <w:spacing w:after="0" w:line="240" w:lineRule="auto"/>
        <w:rPr>
          <w:rFonts w:ascii="Calibri" w:eastAsia="Calibri" w:hAnsi="Calibri" w:cs="Calibri"/>
          <w:color w:val="212121"/>
          <w:lang w:eastAsia="it-IT"/>
        </w:rPr>
      </w:pPr>
      <w:r w:rsidRPr="0082044A">
        <w:rPr>
          <w:rFonts w:ascii="Calibri" w:eastAsia="Calibri" w:hAnsi="Calibri" w:cs="Calibri"/>
          <w:noProof/>
          <w:color w:val="FF0000"/>
          <w:lang w:eastAsia="it-IT"/>
        </w:rPr>
        <w:lastRenderedPageBreak/>
        <w:drawing>
          <wp:inline distT="0" distB="0" distL="0" distR="0" wp14:anchorId="2E387BF6" wp14:editId="47F8478F">
            <wp:extent cx="6119495" cy="287655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1497" cy="2877491"/>
                    </a:xfrm>
                    <a:prstGeom prst="rect">
                      <a:avLst/>
                    </a:prstGeom>
                    <a:noFill/>
                  </pic:spPr>
                </pic:pic>
              </a:graphicData>
            </a:graphic>
          </wp:inline>
        </w:drawing>
      </w:r>
    </w:p>
    <w:p w:rsidR="0082044A" w:rsidRDefault="0082044A" w:rsidP="0082044A">
      <w:pPr>
        <w:spacing w:after="0" w:line="240" w:lineRule="auto"/>
        <w:rPr>
          <w:rFonts w:ascii="Calibri" w:eastAsia="Calibri" w:hAnsi="Calibri" w:cs="Calibri"/>
          <w:color w:val="212121"/>
          <w:lang w:eastAsia="it-IT"/>
        </w:rPr>
      </w:pPr>
    </w:p>
    <w:p w:rsidR="00237A5C" w:rsidRDefault="00237A5C" w:rsidP="0082044A">
      <w:pPr>
        <w:spacing w:after="0" w:line="240" w:lineRule="auto"/>
        <w:rPr>
          <w:rFonts w:ascii="Calibri" w:eastAsia="Calibri" w:hAnsi="Calibri" w:cs="Calibri"/>
          <w:color w:val="212121"/>
          <w:lang w:eastAsia="it-IT"/>
        </w:rPr>
      </w:pPr>
    </w:p>
    <w:p w:rsidR="00237A5C" w:rsidRPr="0082044A" w:rsidRDefault="00237A5C" w:rsidP="0082044A">
      <w:pPr>
        <w:spacing w:after="0" w:line="240" w:lineRule="auto"/>
        <w:rPr>
          <w:rFonts w:ascii="Calibri" w:eastAsia="Calibri" w:hAnsi="Calibri" w:cs="Calibri"/>
          <w:color w:val="212121"/>
          <w:lang w:eastAsia="it-IT"/>
        </w:rPr>
      </w:pPr>
    </w:p>
    <w:p w:rsidR="0082044A" w:rsidRPr="0082044A" w:rsidRDefault="0082044A" w:rsidP="0082044A">
      <w:pPr>
        <w:spacing w:after="0" w:line="240" w:lineRule="auto"/>
        <w:rPr>
          <w:rFonts w:ascii="Calibri" w:eastAsia="Calibri" w:hAnsi="Calibri" w:cs="Calibri"/>
          <w:color w:val="212121"/>
          <w:lang w:eastAsia="it-IT"/>
        </w:rPr>
      </w:pPr>
      <w:r w:rsidRPr="0082044A">
        <w:rPr>
          <w:rFonts w:ascii="Calibri" w:eastAsia="Calibri" w:hAnsi="Calibri" w:cs="Calibri"/>
          <w:noProof/>
          <w:color w:val="FF0000"/>
          <w:lang w:eastAsia="it-IT"/>
        </w:rPr>
        <w:drawing>
          <wp:inline distT="0" distB="0" distL="0" distR="0" wp14:anchorId="1ADE25D3" wp14:editId="575DC034">
            <wp:extent cx="6115050" cy="29718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1063" cy="2974722"/>
                    </a:xfrm>
                    <a:prstGeom prst="rect">
                      <a:avLst/>
                    </a:prstGeom>
                    <a:noFill/>
                  </pic:spPr>
                </pic:pic>
              </a:graphicData>
            </a:graphic>
          </wp:inline>
        </w:drawing>
      </w:r>
    </w:p>
    <w:p w:rsidR="0082044A" w:rsidRPr="0082044A" w:rsidRDefault="0082044A" w:rsidP="0082044A">
      <w:pPr>
        <w:spacing w:after="0" w:line="240" w:lineRule="auto"/>
        <w:rPr>
          <w:rFonts w:ascii="Calibri" w:eastAsia="Calibri" w:hAnsi="Calibri" w:cs="Calibri"/>
          <w:color w:val="212121"/>
          <w:lang w:eastAsia="it-IT"/>
        </w:rPr>
      </w:pPr>
    </w:p>
    <w:p w:rsidR="0082044A" w:rsidRPr="0082044A" w:rsidRDefault="0082044A" w:rsidP="0082044A">
      <w:pPr>
        <w:spacing w:after="0" w:line="240" w:lineRule="auto"/>
        <w:rPr>
          <w:rFonts w:ascii="Calibri" w:eastAsia="Calibri" w:hAnsi="Calibri" w:cs="Calibri"/>
          <w:color w:val="212121"/>
          <w:lang w:eastAsia="it-IT"/>
        </w:rPr>
      </w:pPr>
      <w:r w:rsidRPr="0082044A">
        <w:rPr>
          <w:rFonts w:ascii="Calibri" w:eastAsia="Calibri" w:hAnsi="Calibri" w:cs="Calibri"/>
          <w:noProof/>
          <w:color w:val="212121"/>
          <w:lang w:eastAsia="it-IT"/>
        </w:rPr>
        <w:lastRenderedPageBreak/>
        <w:drawing>
          <wp:inline distT="0" distB="0" distL="0" distR="0" wp14:anchorId="42A37FB4" wp14:editId="1566FD0D">
            <wp:extent cx="6119495" cy="283845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1349" cy="2839310"/>
                    </a:xfrm>
                    <a:prstGeom prst="rect">
                      <a:avLst/>
                    </a:prstGeom>
                    <a:noFill/>
                  </pic:spPr>
                </pic:pic>
              </a:graphicData>
            </a:graphic>
          </wp:inline>
        </w:drawing>
      </w:r>
    </w:p>
    <w:p w:rsidR="0082044A" w:rsidRDefault="0082044A" w:rsidP="0082044A">
      <w:pPr>
        <w:spacing w:after="0" w:line="240" w:lineRule="auto"/>
        <w:rPr>
          <w:rFonts w:ascii="Calibri" w:eastAsia="Calibri" w:hAnsi="Calibri" w:cs="Calibri"/>
          <w:color w:val="212121"/>
          <w:lang w:eastAsia="it-IT"/>
        </w:rPr>
      </w:pPr>
    </w:p>
    <w:p w:rsidR="00237A5C" w:rsidRDefault="00237A5C" w:rsidP="0082044A">
      <w:pPr>
        <w:spacing w:after="0" w:line="240" w:lineRule="auto"/>
        <w:rPr>
          <w:rFonts w:ascii="Calibri" w:eastAsia="Calibri" w:hAnsi="Calibri" w:cs="Calibri"/>
          <w:color w:val="212121"/>
          <w:lang w:eastAsia="it-IT"/>
        </w:rPr>
      </w:pPr>
    </w:p>
    <w:p w:rsidR="00237A5C" w:rsidRPr="0082044A" w:rsidRDefault="00237A5C" w:rsidP="0082044A">
      <w:pPr>
        <w:spacing w:after="0" w:line="240" w:lineRule="auto"/>
        <w:rPr>
          <w:rFonts w:ascii="Calibri" w:eastAsia="Calibri" w:hAnsi="Calibri" w:cs="Calibri"/>
          <w:color w:val="212121"/>
          <w:lang w:eastAsia="it-IT"/>
        </w:rPr>
      </w:pPr>
    </w:p>
    <w:p w:rsidR="0082044A" w:rsidRPr="0082044A" w:rsidRDefault="0082044A" w:rsidP="0082044A">
      <w:pPr>
        <w:spacing w:after="0" w:line="240" w:lineRule="auto"/>
        <w:rPr>
          <w:rFonts w:ascii="Calibri" w:eastAsia="Calibri" w:hAnsi="Calibri" w:cs="Calibri"/>
          <w:color w:val="212121"/>
          <w:lang w:eastAsia="it-IT"/>
        </w:rPr>
      </w:pPr>
      <w:r w:rsidRPr="0082044A">
        <w:rPr>
          <w:rFonts w:ascii="Calibri" w:eastAsia="Calibri" w:hAnsi="Calibri" w:cs="Calibri"/>
          <w:noProof/>
          <w:color w:val="212121"/>
          <w:lang w:eastAsia="it-IT"/>
        </w:rPr>
        <w:drawing>
          <wp:inline distT="0" distB="0" distL="0" distR="0" wp14:anchorId="2B069B57" wp14:editId="37821440">
            <wp:extent cx="6119495" cy="2886075"/>
            <wp:effectExtent l="0" t="0" r="0" b="952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40735" cy="2896092"/>
                    </a:xfrm>
                    <a:prstGeom prst="rect">
                      <a:avLst/>
                    </a:prstGeom>
                    <a:noFill/>
                  </pic:spPr>
                </pic:pic>
              </a:graphicData>
            </a:graphic>
          </wp:inline>
        </w:drawing>
      </w:r>
    </w:p>
    <w:p w:rsidR="0082044A" w:rsidRPr="0082044A" w:rsidRDefault="0082044A" w:rsidP="0082044A">
      <w:pPr>
        <w:spacing w:after="0" w:line="240" w:lineRule="auto"/>
        <w:rPr>
          <w:rFonts w:ascii="Calibri" w:eastAsia="Calibri" w:hAnsi="Calibri" w:cs="Calibri"/>
          <w:b/>
          <w:i/>
          <w:color w:val="212121"/>
          <w:lang w:eastAsia="it-IT"/>
        </w:rPr>
      </w:pPr>
    </w:p>
    <w:p w:rsidR="00237A5C" w:rsidRDefault="00237A5C">
      <w:pPr>
        <w:rPr>
          <w:rFonts w:ascii="Calibri" w:eastAsia="Calibri" w:hAnsi="Calibri" w:cs="Calibri"/>
          <w:b/>
          <w:i/>
          <w:color w:val="212121"/>
          <w:lang w:eastAsia="it-IT"/>
        </w:rPr>
      </w:pPr>
      <w:r>
        <w:rPr>
          <w:rFonts w:ascii="Calibri" w:eastAsia="Calibri" w:hAnsi="Calibri" w:cs="Calibri"/>
          <w:b/>
          <w:i/>
          <w:color w:val="212121"/>
          <w:lang w:eastAsia="it-IT"/>
        </w:rPr>
        <w:br w:type="page"/>
      </w:r>
    </w:p>
    <w:p w:rsidR="0082044A" w:rsidRPr="0082044A" w:rsidRDefault="0082044A" w:rsidP="0082044A">
      <w:pPr>
        <w:spacing w:after="0" w:line="240" w:lineRule="auto"/>
        <w:rPr>
          <w:rFonts w:ascii="Calibri" w:eastAsia="Calibri" w:hAnsi="Calibri" w:cs="Calibri"/>
          <w:b/>
          <w:i/>
          <w:color w:val="212121"/>
          <w:lang w:eastAsia="it-IT"/>
        </w:rPr>
      </w:pPr>
    </w:p>
    <w:p w:rsidR="0082044A" w:rsidRPr="0082044A" w:rsidRDefault="0082044A" w:rsidP="0082044A">
      <w:pPr>
        <w:spacing w:after="0" w:line="240" w:lineRule="auto"/>
        <w:rPr>
          <w:rFonts w:ascii="Times New Roman" w:eastAsia="Calibri" w:hAnsi="Times New Roman" w:cs="Times New Roman"/>
          <w:b/>
          <w:i/>
          <w:sz w:val="24"/>
          <w:szCs w:val="24"/>
          <w:lang w:eastAsia="it-IT"/>
        </w:rPr>
      </w:pPr>
      <w:r w:rsidRPr="0082044A">
        <w:rPr>
          <w:rFonts w:ascii="Times New Roman" w:eastAsia="Calibri" w:hAnsi="Times New Roman" w:cs="Times New Roman"/>
          <w:b/>
          <w:i/>
          <w:sz w:val="24"/>
          <w:szCs w:val="24"/>
          <w:lang w:eastAsia="it-IT"/>
        </w:rPr>
        <w:t>3. I dati sul contenzioso</w:t>
      </w:r>
    </w:p>
    <w:p w:rsidR="0082044A" w:rsidRPr="0082044A" w:rsidRDefault="0082044A" w:rsidP="0082044A">
      <w:pPr>
        <w:spacing w:after="0" w:line="240" w:lineRule="auto"/>
        <w:jc w:val="both"/>
        <w:rPr>
          <w:rFonts w:ascii="Times New Roman" w:eastAsia="Calibri" w:hAnsi="Times New Roman" w:cs="Times New Roman"/>
          <w:sz w:val="24"/>
          <w:szCs w:val="24"/>
          <w:lang w:eastAsia="it-IT"/>
        </w:rPr>
      </w:pPr>
      <w:r w:rsidRPr="0082044A">
        <w:rPr>
          <w:rFonts w:ascii="Times New Roman" w:eastAsia="Calibri" w:hAnsi="Times New Roman" w:cs="Times New Roman"/>
          <w:sz w:val="24"/>
          <w:szCs w:val="24"/>
          <w:lang w:eastAsia="it-IT"/>
        </w:rPr>
        <w:t xml:space="preserve">Il </w:t>
      </w:r>
      <w:r w:rsidRPr="0082044A">
        <w:rPr>
          <w:rFonts w:ascii="Times New Roman" w:eastAsia="Calibri" w:hAnsi="Times New Roman" w:cs="Times New Roman"/>
          <w:b/>
          <w:sz w:val="24"/>
          <w:szCs w:val="24"/>
          <w:lang w:eastAsia="it-IT"/>
        </w:rPr>
        <w:t>numero dei ricorsi in materia di appalti depositati dinanzi ai TAR</w:t>
      </w:r>
      <w:r w:rsidRPr="0082044A">
        <w:rPr>
          <w:rFonts w:ascii="Times New Roman" w:eastAsia="Calibri" w:hAnsi="Times New Roman" w:cs="Times New Roman"/>
          <w:sz w:val="24"/>
          <w:szCs w:val="24"/>
          <w:lang w:eastAsia="it-IT"/>
        </w:rPr>
        <w:t xml:space="preserve">, ricavabile dal sistema informatico della giustizia amministrativa, è </w:t>
      </w:r>
      <w:r w:rsidRPr="0082044A">
        <w:rPr>
          <w:rFonts w:ascii="Times New Roman" w:eastAsia="Calibri" w:hAnsi="Times New Roman" w:cs="Times New Roman"/>
          <w:b/>
          <w:bCs/>
          <w:color w:val="000000"/>
          <w:sz w:val="24"/>
          <w:szCs w:val="24"/>
          <w:lang w:eastAsia="it-IT"/>
        </w:rPr>
        <w:t xml:space="preserve">3.565 ricorsi </w:t>
      </w:r>
      <w:r w:rsidRPr="0082044A">
        <w:rPr>
          <w:rFonts w:ascii="Times New Roman" w:eastAsia="Calibri" w:hAnsi="Times New Roman" w:cs="Times New Roman"/>
          <w:b/>
          <w:sz w:val="24"/>
          <w:szCs w:val="24"/>
          <w:lang w:eastAsia="it-IT"/>
        </w:rPr>
        <w:t>nel 2015</w:t>
      </w:r>
      <w:r w:rsidRPr="0082044A">
        <w:rPr>
          <w:rFonts w:ascii="Times New Roman" w:eastAsia="Calibri" w:hAnsi="Times New Roman" w:cs="Times New Roman"/>
          <w:sz w:val="24"/>
          <w:szCs w:val="24"/>
          <w:lang w:eastAsia="it-IT"/>
        </w:rPr>
        <w:t xml:space="preserve"> e di </w:t>
      </w:r>
      <w:r w:rsidRPr="0082044A">
        <w:rPr>
          <w:rFonts w:ascii="Times New Roman" w:eastAsia="Calibri" w:hAnsi="Times New Roman" w:cs="Times New Roman"/>
          <w:b/>
          <w:bCs/>
          <w:color w:val="000000"/>
          <w:sz w:val="24"/>
          <w:szCs w:val="24"/>
          <w:lang w:eastAsia="it-IT"/>
        </w:rPr>
        <w:t>3.329</w:t>
      </w:r>
      <w:r w:rsidRPr="0082044A">
        <w:rPr>
          <w:rFonts w:ascii="Times New Roman" w:eastAsia="Calibri" w:hAnsi="Times New Roman" w:cs="Times New Roman"/>
          <w:b/>
          <w:sz w:val="24"/>
          <w:szCs w:val="24"/>
          <w:lang w:eastAsia="it-IT"/>
        </w:rPr>
        <w:t xml:space="preserve"> ricorsi nel 2016, </w:t>
      </w:r>
      <w:r w:rsidRPr="0082044A">
        <w:rPr>
          <w:rFonts w:ascii="Times New Roman" w:eastAsia="Calibri" w:hAnsi="Times New Roman" w:cs="Times New Roman"/>
          <w:sz w:val="24"/>
          <w:szCs w:val="24"/>
          <w:lang w:eastAsia="it-IT"/>
        </w:rPr>
        <w:t>come analiticamente</w:t>
      </w:r>
      <w:r w:rsidRPr="0082044A">
        <w:rPr>
          <w:rFonts w:ascii="Times New Roman" w:eastAsia="Calibri" w:hAnsi="Times New Roman" w:cs="Times New Roman"/>
          <w:b/>
          <w:sz w:val="24"/>
          <w:szCs w:val="24"/>
          <w:lang w:eastAsia="it-IT"/>
        </w:rPr>
        <w:t xml:space="preserve"> </w:t>
      </w:r>
      <w:r w:rsidRPr="0082044A">
        <w:rPr>
          <w:rFonts w:ascii="Times New Roman" w:eastAsia="Calibri" w:hAnsi="Times New Roman" w:cs="Times New Roman"/>
          <w:sz w:val="24"/>
          <w:szCs w:val="24"/>
          <w:lang w:eastAsia="it-IT"/>
        </w:rPr>
        <w:t>rappresentato nella seguente tabella:</w:t>
      </w:r>
    </w:p>
    <w:p w:rsidR="0082044A" w:rsidRPr="0082044A" w:rsidRDefault="0082044A" w:rsidP="0082044A">
      <w:pPr>
        <w:spacing w:after="0" w:line="240" w:lineRule="auto"/>
        <w:ind w:left="142"/>
        <w:rPr>
          <w:rFonts w:ascii="Times New Roman" w:eastAsia="Calibri" w:hAnsi="Times New Roman" w:cs="Times New Roman"/>
          <w:color w:val="212121"/>
          <w:sz w:val="24"/>
          <w:szCs w:val="24"/>
          <w:lang w:eastAsia="it-IT"/>
        </w:rPr>
      </w:pPr>
    </w:p>
    <w:p w:rsidR="0082044A" w:rsidRPr="0082044A" w:rsidRDefault="0082044A" w:rsidP="0082044A">
      <w:pPr>
        <w:spacing w:after="0" w:line="240" w:lineRule="auto"/>
        <w:ind w:left="142"/>
        <w:rPr>
          <w:rFonts w:ascii="Times New Roman" w:eastAsia="Calibri" w:hAnsi="Times New Roman" w:cs="Times New Roman"/>
          <w:color w:val="212121"/>
          <w:sz w:val="24"/>
          <w:szCs w:val="24"/>
          <w:lang w:eastAsia="it-IT"/>
        </w:rPr>
      </w:pPr>
    </w:p>
    <w:p w:rsidR="0082044A" w:rsidRPr="0082044A" w:rsidRDefault="0082044A" w:rsidP="0082044A">
      <w:pPr>
        <w:spacing w:after="0" w:line="240" w:lineRule="auto"/>
        <w:rPr>
          <w:rFonts w:ascii="Times New Roman" w:eastAsia="Times New Roman" w:hAnsi="Times New Roman" w:cs="Times New Roman"/>
          <w:color w:val="000000"/>
          <w:lang w:eastAsia="it-IT"/>
        </w:rPr>
      </w:pPr>
      <w:proofErr w:type="spellStart"/>
      <w:r w:rsidRPr="0082044A">
        <w:rPr>
          <w:rFonts w:ascii="Times New Roman" w:eastAsia="Calibri" w:hAnsi="Times New Roman" w:cs="Times New Roman"/>
          <w:lang w:eastAsia="it-IT"/>
        </w:rPr>
        <w:t>T</w:t>
      </w:r>
      <w:r w:rsidRPr="0082044A">
        <w:rPr>
          <w:rFonts w:ascii="Times New Roman" w:eastAsia="Times New Roman" w:hAnsi="Times New Roman" w:cs="Times New Roman"/>
          <w:color w:val="000000"/>
          <w:lang w:eastAsia="it-IT"/>
        </w:rPr>
        <w:t>ab</w:t>
      </w:r>
      <w:proofErr w:type="spellEnd"/>
      <w:r w:rsidRPr="0082044A">
        <w:rPr>
          <w:rFonts w:ascii="Times New Roman" w:eastAsia="Times New Roman" w:hAnsi="Times New Roman" w:cs="Times New Roman"/>
          <w:color w:val="000000"/>
          <w:lang w:eastAsia="it-IT"/>
        </w:rPr>
        <w:t>. 1 – Ricorsi depositati in materia di appalti nel 2015 e nel 2016</w:t>
      </w:r>
    </w:p>
    <w:p w:rsidR="0082044A" w:rsidRPr="0082044A" w:rsidRDefault="0082044A" w:rsidP="0082044A">
      <w:pPr>
        <w:spacing w:after="0" w:line="240" w:lineRule="auto"/>
        <w:rPr>
          <w:rFonts w:ascii="Calibri" w:eastAsia="Calibri" w:hAnsi="Calibri" w:cs="Calibri"/>
          <w:lang w:eastAsia="it-IT"/>
        </w:rPr>
      </w:pPr>
    </w:p>
    <w:tbl>
      <w:tblPr>
        <w:tblW w:w="97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FFFFFF" w:themeColor="background1" w:fill="auto"/>
        <w:tblCellMar>
          <w:left w:w="70" w:type="dxa"/>
          <w:right w:w="70" w:type="dxa"/>
        </w:tblCellMar>
        <w:tblLook w:val="04A0" w:firstRow="1" w:lastRow="0" w:firstColumn="1" w:lastColumn="0" w:noHBand="0" w:noVBand="1"/>
      </w:tblPr>
      <w:tblGrid>
        <w:gridCol w:w="140"/>
        <w:gridCol w:w="140"/>
        <w:gridCol w:w="6553"/>
        <w:gridCol w:w="997"/>
        <w:gridCol w:w="996"/>
        <w:gridCol w:w="1099"/>
      </w:tblGrid>
      <w:tr w:rsidR="0082044A" w:rsidRPr="0082044A" w:rsidTr="0082044A">
        <w:trPr>
          <w:gridBefore w:val="1"/>
          <w:gridAfter w:val="1"/>
          <w:wBefore w:w="140" w:type="dxa"/>
          <w:wAfter w:w="1903" w:type="dxa"/>
          <w:trHeight w:val="300"/>
        </w:trPr>
        <w:tc>
          <w:tcPr>
            <w:tcW w:w="5663" w:type="dxa"/>
            <w:gridSpan w:val="2"/>
            <w:vMerge w:val="restart"/>
            <w:shd w:val="pct5" w:color="FFFFFF" w:themeColor="background1" w:fill="auto"/>
            <w:noWrap/>
            <w:vAlign w:val="center"/>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Sedi TAR</w:t>
            </w:r>
          </w:p>
        </w:tc>
        <w:tc>
          <w:tcPr>
            <w:tcW w:w="2069" w:type="dxa"/>
            <w:gridSpan w:val="2"/>
            <w:shd w:val="pct5" w:color="FFFFFF" w:themeColor="background1" w:fill="auto"/>
          </w:tcPr>
          <w:p w:rsidR="0082044A" w:rsidRPr="0082044A" w:rsidRDefault="0082044A" w:rsidP="0082044A">
            <w:pPr>
              <w:spacing w:after="0" w:line="240" w:lineRule="auto"/>
              <w:jc w:val="center"/>
              <w:rPr>
                <w:rFonts w:ascii="Calibri" w:eastAsia="Times New Roman" w:hAnsi="Calibri" w:cs="Calibri"/>
                <w:b/>
                <w:lang w:eastAsia="it-IT"/>
              </w:rPr>
            </w:pPr>
            <w:r w:rsidRPr="0082044A">
              <w:rPr>
                <w:rFonts w:ascii="Calibri" w:eastAsia="Times New Roman" w:hAnsi="Calibri" w:cs="Calibri"/>
                <w:b/>
                <w:lang w:eastAsia="it-IT"/>
              </w:rPr>
              <w:t>Ricorsi depositati in materia di appalti</w:t>
            </w:r>
          </w:p>
        </w:tc>
      </w:tr>
      <w:tr w:rsidR="0082044A" w:rsidRPr="0082044A" w:rsidTr="0082044A">
        <w:trPr>
          <w:gridBefore w:val="1"/>
          <w:gridAfter w:val="1"/>
          <w:wBefore w:w="140" w:type="dxa"/>
          <w:wAfter w:w="1903" w:type="dxa"/>
          <w:trHeight w:val="300"/>
        </w:trPr>
        <w:tc>
          <w:tcPr>
            <w:tcW w:w="5663" w:type="dxa"/>
            <w:gridSpan w:val="2"/>
            <w:vMerge/>
            <w:shd w:val="pct5" w:color="FFFFFF" w:themeColor="background1" w:fill="auto"/>
            <w:noWrap/>
            <w:vAlign w:val="bottom"/>
          </w:tcPr>
          <w:p w:rsidR="0082044A" w:rsidRPr="0082044A" w:rsidRDefault="0082044A" w:rsidP="0082044A">
            <w:pPr>
              <w:spacing w:after="0" w:line="240" w:lineRule="auto"/>
              <w:jc w:val="center"/>
              <w:rPr>
                <w:rFonts w:ascii="Calibri" w:eastAsia="Times New Roman" w:hAnsi="Calibri" w:cs="Calibri"/>
                <w:b/>
                <w:bCs/>
                <w:color w:val="000000"/>
                <w:highlight w:val="lightGray"/>
                <w:lang w:eastAsia="it-IT"/>
              </w:rPr>
            </w:pPr>
          </w:p>
        </w:tc>
        <w:tc>
          <w:tcPr>
            <w:tcW w:w="1035" w:type="dxa"/>
            <w:shd w:val="pct5" w:color="FFFFFF" w:themeColor="background1" w:fill="auto"/>
          </w:tcPr>
          <w:p w:rsidR="0082044A" w:rsidRPr="0082044A" w:rsidRDefault="0082044A" w:rsidP="0082044A">
            <w:pPr>
              <w:spacing w:after="0" w:line="240" w:lineRule="auto"/>
              <w:jc w:val="center"/>
              <w:rPr>
                <w:rFonts w:ascii="Calibri" w:eastAsia="Times New Roman" w:hAnsi="Calibri" w:cs="Calibri"/>
                <w:b/>
                <w:lang w:eastAsia="it-IT"/>
              </w:rPr>
            </w:pPr>
            <w:r w:rsidRPr="0082044A">
              <w:rPr>
                <w:rFonts w:ascii="Calibri" w:eastAsia="Times New Roman" w:hAnsi="Calibri" w:cs="Calibri"/>
                <w:b/>
                <w:lang w:eastAsia="it-IT"/>
              </w:rPr>
              <w:t>2015</w:t>
            </w:r>
          </w:p>
        </w:tc>
        <w:tc>
          <w:tcPr>
            <w:tcW w:w="1034" w:type="dxa"/>
            <w:shd w:val="pct5" w:color="FFFFFF" w:themeColor="background1" w:fill="auto"/>
          </w:tcPr>
          <w:p w:rsidR="0082044A" w:rsidRPr="0082044A" w:rsidRDefault="0082044A" w:rsidP="0082044A">
            <w:pPr>
              <w:spacing w:after="0" w:line="240" w:lineRule="auto"/>
              <w:jc w:val="center"/>
              <w:rPr>
                <w:rFonts w:ascii="Calibri" w:eastAsia="Times New Roman" w:hAnsi="Calibri" w:cs="Calibri"/>
                <w:b/>
                <w:lang w:eastAsia="it-IT"/>
              </w:rPr>
            </w:pPr>
            <w:r w:rsidRPr="0082044A">
              <w:rPr>
                <w:rFonts w:ascii="Calibri" w:eastAsia="Times New Roman" w:hAnsi="Calibri" w:cs="Calibri"/>
                <w:b/>
                <w:lang w:eastAsia="it-IT"/>
              </w:rPr>
              <w:t>2016</w:t>
            </w:r>
          </w:p>
        </w:tc>
      </w:tr>
      <w:tr w:rsidR="0082044A" w:rsidRPr="0082044A" w:rsidTr="0082044A">
        <w:trPr>
          <w:gridBefore w:val="1"/>
          <w:gridAfter w:val="1"/>
          <w:wBefore w:w="140" w:type="dxa"/>
          <w:wAfter w:w="1903" w:type="dxa"/>
          <w:trHeight w:val="286"/>
        </w:trPr>
        <w:tc>
          <w:tcPr>
            <w:tcW w:w="5663" w:type="dxa"/>
            <w:gridSpan w:val="2"/>
            <w:shd w:val="pct5" w:color="FFFFFF" w:themeColor="background1"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TAR ANCONA</w:t>
            </w:r>
          </w:p>
        </w:tc>
        <w:tc>
          <w:tcPr>
            <w:tcW w:w="1035"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52</w:t>
            </w:r>
          </w:p>
        </w:tc>
        <w:tc>
          <w:tcPr>
            <w:tcW w:w="1034"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52</w:t>
            </w:r>
          </w:p>
        </w:tc>
      </w:tr>
      <w:tr w:rsidR="0082044A" w:rsidRPr="0082044A" w:rsidTr="0082044A">
        <w:trPr>
          <w:gridBefore w:val="1"/>
          <w:gridAfter w:val="1"/>
          <w:wBefore w:w="140" w:type="dxa"/>
          <w:wAfter w:w="1903" w:type="dxa"/>
          <w:trHeight w:val="286"/>
        </w:trPr>
        <w:tc>
          <w:tcPr>
            <w:tcW w:w="5663" w:type="dxa"/>
            <w:gridSpan w:val="2"/>
            <w:shd w:val="pct5" w:color="FFFFFF" w:themeColor="background1"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TAR AOSTA</w:t>
            </w:r>
          </w:p>
        </w:tc>
        <w:tc>
          <w:tcPr>
            <w:tcW w:w="1035"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12</w:t>
            </w:r>
          </w:p>
        </w:tc>
        <w:tc>
          <w:tcPr>
            <w:tcW w:w="1034"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12</w:t>
            </w:r>
          </w:p>
        </w:tc>
      </w:tr>
      <w:tr w:rsidR="0082044A" w:rsidRPr="0082044A" w:rsidTr="0082044A">
        <w:trPr>
          <w:gridBefore w:val="1"/>
          <w:gridAfter w:val="1"/>
          <w:wBefore w:w="140" w:type="dxa"/>
          <w:wAfter w:w="1903" w:type="dxa"/>
          <w:trHeight w:val="286"/>
        </w:trPr>
        <w:tc>
          <w:tcPr>
            <w:tcW w:w="5663" w:type="dxa"/>
            <w:gridSpan w:val="2"/>
            <w:shd w:val="pct5" w:color="FFFFFF" w:themeColor="background1"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TAR BARI</w:t>
            </w:r>
          </w:p>
        </w:tc>
        <w:tc>
          <w:tcPr>
            <w:tcW w:w="1035"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193</w:t>
            </w:r>
          </w:p>
        </w:tc>
        <w:tc>
          <w:tcPr>
            <w:tcW w:w="1034"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176</w:t>
            </w:r>
          </w:p>
        </w:tc>
      </w:tr>
      <w:tr w:rsidR="0082044A" w:rsidRPr="0082044A" w:rsidTr="0082044A">
        <w:trPr>
          <w:gridBefore w:val="1"/>
          <w:gridAfter w:val="1"/>
          <w:wBefore w:w="140" w:type="dxa"/>
          <w:wAfter w:w="1903" w:type="dxa"/>
          <w:trHeight w:val="286"/>
        </w:trPr>
        <w:tc>
          <w:tcPr>
            <w:tcW w:w="5663" w:type="dxa"/>
            <w:gridSpan w:val="2"/>
            <w:shd w:val="pct5" w:color="FFFFFF" w:themeColor="background1"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TAR BOLOGNA</w:t>
            </w:r>
          </w:p>
        </w:tc>
        <w:tc>
          <w:tcPr>
            <w:tcW w:w="1035"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89</w:t>
            </w:r>
          </w:p>
        </w:tc>
        <w:tc>
          <w:tcPr>
            <w:tcW w:w="1034"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115</w:t>
            </w:r>
          </w:p>
        </w:tc>
      </w:tr>
      <w:tr w:rsidR="0082044A" w:rsidRPr="0082044A" w:rsidTr="0082044A">
        <w:trPr>
          <w:gridBefore w:val="1"/>
          <w:gridAfter w:val="1"/>
          <w:wBefore w:w="140" w:type="dxa"/>
          <w:wAfter w:w="1903" w:type="dxa"/>
          <w:trHeight w:val="286"/>
        </w:trPr>
        <w:tc>
          <w:tcPr>
            <w:tcW w:w="5663" w:type="dxa"/>
            <w:gridSpan w:val="2"/>
            <w:shd w:val="pct5" w:color="FFFFFF" w:themeColor="background1"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TAR BOLZANO</w:t>
            </w:r>
          </w:p>
        </w:tc>
        <w:tc>
          <w:tcPr>
            <w:tcW w:w="1035"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35</w:t>
            </w:r>
          </w:p>
        </w:tc>
        <w:tc>
          <w:tcPr>
            <w:tcW w:w="1034"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18</w:t>
            </w:r>
          </w:p>
        </w:tc>
      </w:tr>
      <w:tr w:rsidR="0082044A" w:rsidRPr="0082044A" w:rsidTr="0082044A">
        <w:trPr>
          <w:gridBefore w:val="1"/>
          <w:gridAfter w:val="1"/>
          <w:wBefore w:w="140" w:type="dxa"/>
          <w:wAfter w:w="1903" w:type="dxa"/>
          <w:trHeight w:val="286"/>
        </w:trPr>
        <w:tc>
          <w:tcPr>
            <w:tcW w:w="5663" w:type="dxa"/>
            <w:gridSpan w:val="2"/>
            <w:shd w:val="pct5" w:color="FFFFFF" w:themeColor="background1"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TAR BRESCIA</w:t>
            </w:r>
          </w:p>
        </w:tc>
        <w:tc>
          <w:tcPr>
            <w:tcW w:w="1035"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80</w:t>
            </w:r>
          </w:p>
        </w:tc>
        <w:tc>
          <w:tcPr>
            <w:tcW w:w="1034"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54</w:t>
            </w:r>
          </w:p>
        </w:tc>
      </w:tr>
      <w:tr w:rsidR="0082044A" w:rsidRPr="0082044A" w:rsidTr="0082044A">
        <w:trPr>
          <w:gridBefore w:val="1"/>
          <w:gridAfter w:val="1"/>
          <w:wBefore w:w="140" w:type="dxa"/>
          <w:wAfter w:w="1903" w:type="dxa"/>
          <w:trHeight w:val="286"/>
        </w:trPr>
        <w:tc>
          <w:tcPr>
            <w:tcW w:w="5663" w:type="dxa"/>
            <w:gridSpan w:val="2"/>
            <w:shd w:val="pct5" w:color="FFFFFF" w:themeColor="background1"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TAR CAGLIARI</w:t>
            </w:r>
          </w:p>
        </w:tc>
        <w:tc>
          <w:tcPr>
            <w:tcW w:w="1035"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127</w:t>
            </w:r>
          </w:p>
        </w:tc>
        <w:tc>
          <w:tcPr>
            <w:tcW w:w="1034"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115</w:t>
            </w:r>
          </w:p>
        </w:tc>
      </w:tr>
      <w:tr w:rsidR="0082044A" w:rsidRPr="0082044A" w:rsidTr="0082044A">
        <w:trPr>
          <w:gridBefore w:val="1"/>
          <w:gridAfter w:val="1"/>
          <w:wBefore w:w="140" w:type="dxa"/>
          <w:wAfter w:w="1903" w:type="dxa"/>
          <w:trHeight w:val="286"/>
        </w:trPr>
        <w:tc>
          <w:tcPr>
            <w:tcW w:w="5663" w:type="dxa"/>
            <w:gridSpan w:val="2"/>
            <w:shd w:val="pct5" w:color="FFFFFF" w:themeColor="background1"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TAR CAMPOBASSO</w:t>
            </w:r>
          </w:p>
        </w:tc>
        <w:tc>
          <w:tcPr>
            <w:tcW w:w="1035"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23</w:t>
            </w:r>
          </w:p>
        </w:tc>
        <w:tc>
          <w:tcPr>
            <w:tcW w:w="1034"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20</w:t>
            </w:r>
          </w:p>
        </w:tc>
      </w:tr>
      <w:tr w:rsidR="0082044A" w:rsidRPr="0082044A" w:rsidTr="0082044A">
        <w:trPr>
          <w:gridBefore w:val="1"/>
          <w:gridAfter w:val="1"/>
          <w:wBefore w:w="140" w:type="dxa"/>
          <w:wAfter w:w="1903" w:type="dxa"/>
          <w:trHeight w:val="286"/>
        </w:trPr>
        <w:tc>
          <w:tcPr>
            <w:tcW w:w="5663" w:type="dxa"/>
            <w:gridSpan w:val="2"/>
            <w:shd w:val="pct5" w:color="FFFFFF" w:themeColor="background1"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TAR CATANIA</w:t>
            </w:r>
          </w:p>
        </w:tc>
        <w:tc>
          <w:tcPr>
            <w:tcW w:w="1035"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187</w:t>
            </w:r>
          </w:p>
        </w:tc>
        <w:tc>
          <w:tcPr>
            <w:tcW w:w="1034"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185</w:t>
            </w:r>
          </w:p>
        </w:tc>
      </w:tr>
      <w:tr w:rsidR="0082044A" w:rsidRPr="0082044A" w:rsidTr="0082044A">
        <w:trPr>
          <w:gridBefore w:val="1"/>
          <w:gridAfter w:val="1"/>
          <w:wBefore w:w="140" w:type="dxa"/>
          <w:wAfter w:w="1903" w:type="dxa"/>
          <w:trHeight w:val="286"/>
        </w:trPr>
        <w:tc>
          <w:tcPr>
            <w:tcW w:w="5663" w:type="dxa"/>
            <w:gridSpan w:val="2"/>
            <w:shd w:val="pct5" w:color="FFFFFF" w:themeColor="background1"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TAR CATANZARO</w:t>
            </w:r>
          </w:p>
        </w:tc>
        <w:tc>
          <w:tcPr>
            <w:tcW w:w="1035"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98</w:t>
            </w:r>
          </w:p>
        </w:tc>
        <w:tc>
          <w:tcPr>
            <w:tcW w:w="1034"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101</w:t>
            </w:r>
          </w:p>
        </w:tc>
      </w:tr>
      <w:tr w:rsidR="0082044A" w:rsidRPr="0082044A" w:rsidTr="0082044A">
        <w:trPr>
          <w:gridBefore w:val="1"/>
          <w:gridAfter w:val="1"/>
          <w:wBefore w:w="140" w:type="dxa"/>
          <w:wAfter w:w="1903" w:type="dxa"/>
          <w:trHeight w:val="286"/>
        </w:trPr>
        <w:tc>
          <w:tcPr>
            <w:tcW w:w="5663" w:type="dxa"/>
            <w:gridSpan w:val="2"/>
            <w:shd w:val="pct5" w:color="FFFFFF" w:themeColor="background1"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TAR FIRENZE</w:t>
            </w:r>
          </w:p>
        </w:tc>
        <w:tc>
          <w:tcPr>
            <w:tcW w:w="1035"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152</w:t>
            </w:r>
          </w:p>
        </w:tc>
        <w:tc>
          <w:tcPr>
            <w:tcW w:w="1034"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141</w:t>
            </w:r>
          </w:p>
        </w:tc>
      </w:tr>
      <w:tr w:rsidR="0082044A" w:rsidRPr="0082044A" w:rsidTr="0082044A">
        <w:trPr>
          <w:gridBefore w:val="1"/>
          <w:gridAfter w:val="1"/>
          <w:wBefore w:w="140" w:type="dxa"/>
          <w:wAfter w:w="1903" w:type="dxa"/>
          <w:trHeight w:val="286"/>
        </w:trPr>
        <w:tc>
          <w:tcPr>
            <w:tcW w:w="5663" w:type="dxa"/>
            <w:gridSpan w:val="2"/>
            <w:shd w:val="pct5" w:color="FFFFFF" w:themeColor="background1"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TAR GENOVA</w:t>
            </w:r>
          </w:p>
        </w:tc>
        <w:tc>
          <w:tcPr>
            <w:tcW w:w="1035"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51</w:t>
            </w:r>
          </w:p>
        </w:tc>
        <w:tc>
          <w:tcPr>
            <w:tcW w:w="1034"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65</w:t>
            </w:r>
          </w:p>
        </w:tc>
      </w:tr>
      <w:tr w:rsidR="0082044A" w:rsidRPr="0082044A" w:rsidTr="0082044A">
        <w:trPr>
          <w:gridBefore w:val="1"/>
          <w:gridAfter w:val="1"/>
          <w:wBefore w:w="140" w:type="dxa"/>
          <w:wAfter w:w="1903" w:type="dxa"/>
          <w:trHeight w:val="286"/>
        </w:trPr>
        <w:tc>
          <w:tcPr>
            <w:tcW w:w="5663" w:type="dxa"/>
            <w:gridSpan w:val="2"/>
            <w:shd w:val="pct5" w:color="FFFFFF" w:themeColor="background1"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TAR L'AQUILA</w:t>
            </w:r>
          </w:p>
        </w:tc>
        <w:tc>
          <w:tcPr>
            <w:tcW w:w="1035"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51</w:t>
            </w:r>
          </w:p>
        </w:tc>
        <w:tc>
          <w:tcPr>
            <w:tcW w:w="1034"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54</w:t>
            </w:r>
          </w:p>
        </w:tc>
      </w:tr>
      <w:tr w:rsidR="0082044A" w:rsidRPr="0082044A" w:rsidTr="0082044A">
        <w:trPr>
          <w:gridBefore w:val="1"/>
          <w:gridAfter w:val="1"/>
          <w:wBefore w:w="140" w:type="dxa"/>
          <w:wAfter w:w="1903" w:type="dxa"/>
          <w:trHeight w:val="286"/>
        </w:trPr>
        <w:tc>
          <w:tcPr>
            <w:tcW w:w="5663" w:type="dxa"/>
            <w:gridSpan w:val="2"/>
            <w:shd w:val="pct5" w:color="FFFFFF" w:themeColor="background1"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TAR LATINA</w:t>
            </w:r>
          </w:p>
        </w:tc>
        <w:tc>
          <w:tcPr>
            <w:tcW w:w="1035"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48</w:t>
            </w:r>
          </w:p>
        </w:tc>
        <w:tc>
          <w:tcPr>
            <w:tcW w:w="1034"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41</w:t>
            </w:r>
          </w:p>
        </w:tc>
      </w:tr>
      <w:tr w:rsidR="0082044A" w:rsidRPr="0082044A" w:rsidTr="0082044A">
        <w:trPr>
          <w:gridBefore w:val="1"/>
          <w:gridAfter w:val="1"/>
          <w:wBefore w:w="140" w:type="dxa"/>
          <w:wAfter w:w="1903" w:type="dxa"/>
          <w:trHeight w:val="286"/>
        </w:trPr>
        <w:tc>
          <w:tcPr>
            <w:tcW w:w="5663" w:type="dxa"/>
            <w:gridSpan w:val="2"/>
            <w:shd w:val="pct5" w:color="FFFFFF" w:themeColor="background1"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TAR LECCE</w:t>
            </w:r>
          </w:p>
        </w:tc>
        <w:tc>
          <w:tcPr>
            <w:tcW w:w="1035"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135</w:t>
            </w:r>
          </w:p>
        </w:tc>
        <w:tc>
          <w:tcPr>
            <w:tcW w:w="1034"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129</w:t>
            </w:r>
          </w:p>
        </w:tc>
      </w:tr>
      <w:tr w:rsidR="0082044A" w:rsidRPr="0082044A" w:rsidTr="0082044A">
        <w:trPr>
          <w:gridBefore w:val="1"/>
          <w:gridAfter w:val="1"/>
          <w:wBefore w:w="140" w:type="dxa"/>
          <w:wAfter w:w="1903" w:type="dxa"/>
          <w:trHeight w:val="286"/>
        </w:trPr>
        <w:tc>
          <w:tcPr>
            <w:tcW w:w="5663" w:type="dxa"/>
            <w:gridSpan w:val="2"/>
            <w:shd w:val="pct5" w:color="FFFFFF" w:themeColor="background1"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TAR MILANO</w:t>
            </w:r>
          </w:p>
        </w:tc>
        <w:tc>
          <w:tcPr>
            <w:tcW w:w="1035"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337</w:t>
            </w:r>
          </w:p>
        </w:tc>
        <w:tc>
          <w:tcPr>
            <w:tcW w:w="1034"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297</w:t>
            </w:r>
          </w:p>
        </w:tc>
      </w:tr>
      <w:tr w:rsidR="0082044A" w:rsidRPr="0082044A" w:rsidTr="0082044A">
        <w:trPr>
          <w:gridBefore w:val="1"/>
          <w:gridAfter w:val="1"/>
          <w:wBefore w:w="140" w:type="dxa"/>
          <w:wAfter w:w="1903" w:type="dxa"/>
          <w:trHeight w:val="286"/>
        </w:trPr>
        <w:tc>
          <w:tcPr>
            <w:tcW w:w="5663" w:type="dxa"/>
            <w:gridSpan w:val="2"/>
            <w:shd w:val="pct5" w:color="FFFFFF" w:themeColor="background1"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TAR NAPOLI</w:t>
            </w:r>
          </w:p>
        </w:tc>
        <w:tc>
          <w:tcPr>
            <w:tcW w:w="1035"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477</w:t>
            </w:r>
          </w:p>
        </w:tc>
        <w:tc>
          <w:tcPr>
            <w:tcW w:w="1034"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320</w:t>
            </w:r>
          </w:p>
        </w:tc>
      </w:tr>
      <w:tr w:rsidR="0082044A" w:rsidRPr="0082044A" w:rsidTr="0082044A">
        <w:trPr>
          <w:gridBefore w:val="1"/>
          <w:gridAfter w:val="1"/>
          <w:wBefore w:w="140" w:type="dxa"/>
          <w:wAfter w:w="1903" w:type="dxa"/>
          <w:trHeight w:val="286"/>
        </w:trPr>
        <w:tc>
          <w:tcPr>
            <w:tcW w:w="5663" w:type="dxa"/>
            <w:gridSpan w:val="2"/>
            <w:shd w:val="pct5" w:color="FFFFFF" w:themeColor="background1"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TAR PALERMO</w:t>
            </w:r>
          </w:p>
        </w:tc>
        <w:tc>
          <w:tcPr>
            <w:tcW w:w="1035"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142</w:t>
            </w:r>
          </w:p>
        </w:tc>
        <w:tc>
          <w:tcPr>
            <w:tcW w:w="1034"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135</w:t>
            </w:r>
          </w:p>
        </w:tc>
      </w:tr>
      <w:tr w:rsidR="0082044A" w:rsidRPr="0082044A" w:rsidTr="0082044A">
        <w:trPr>
          <w:gridBefore w:val="1"/>
          <w:gridAfter w:val="1"/>
          <w:wBefore w:w="140" w:type="dxa"/>
          <w:wAfter w:w="1903" w:type="dxa"/>
          <w:trHeight w:val="286"/>
        </w:trPr>
        <w:tc>
          <w:tcPr>
            <w:tcW w:w="5663" w:type="dxa"/>
            <w:gridSpan w:val="2"/>
            <w:shd w:val="pct5" w:color="FFFFFF" w:themeColor="background1"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TAR PARMA</w:t>
            </w:r>
          </w:p>
        </w:tc>
        <w:tc>
          <w:tcPr>
            <w:tcW w:w="1035"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21</w:t>
            </w:r>
          </w:p>
        </w:tc>
        <w:tc>
          <w:tcPr>
            <w:tcW w:w="1034"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26</w:t>
            </w:r>
          </w:p>
        </w:tc>
      </w:tr>
      <w:tr w:rsidR="0082044A" w:rsidRPr="0082044A" w:rsidTr="0082044A">
        <w:trPr>
          <w:gridBefore w:val="1"/>
          <w:gridAfter w:val="1"/>
          <w:wBefore w:w="140" w:type="dxa"/>
          <w:wAfter w:w="1903" w:type="dxa"/>
          <w:trHeight w:val="286"/>
        </w:trPr>
        <w:tc>
          <w:tcPr>
            <w:tcW w:w="5663" w:type="dxa"/>
            <w:gridSpan w:val="2"/>
            <w:shd w:val="pct5" w:color="FFFFFF" w:themeColor="background1"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TAR PERUGIA</w:t>
            </w:r>
          </w:p>
        </w:tc>
        <w:tc>
          <w:tcPr>
            <w:tcW w:w="1035"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38</w:t>
            </w:r>
          </w:p>
        </w:tc>
        <w:tc>
          <w:tcPr>
            <w:tcW w:w="1034"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39</w:t>
            </w:r>
          </w:p>
        </w:tc>
      </w:tr>
      <w:tr w:rsidR="0082044A" w:rsidRPr="0082044A" w:rsidTr="0082044A">
        <w:trPr>
          <w:gridBefore w:val="1"/>
          <w:gridAfter w:val="1"/>
          <w:wBefore w:w="140" w:type="dxa"/>
          <w:wAfter w:w="1903" w:type="dxa"/>
          <w:trHeight w:val="286"/>
        </w:trPr>
        <w:tc>
          <w:tcPr>
            <w:tcW w:w="5663" w:type="dxa"/>
            <w:gridSpan w:val="2"/>
            <w:shd w:val="pct5" w:color="FFFFFF" w:themeColor="background1"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TAR PESCARA</w:t>
            </w:r>
          </w:p>
        </w:tc>
        <w:tc>
          <w:tcPr>
            <w:tcW w:w="1035"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51</w:t>
            </w:r>
          </w:p>
        </w:tc>
        <w:tc>
          <w:tcPr>
            <w:tcW w:w="1034"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61</w:t>
            </w:r>
          </w:p>
        </w:tc>
      </w:tr>
      <w:tr w:rsidR="0082044A" w:rsidRPr="0082044A" w:rsidTr="0082044A">
        <w:trPr>
          <w:gridBefore w:val="1"/>
          <w:gridAfter w:val="1"/>
          <w:wBefore w:w="140" w:type="dxa"/>
          <w:wAfter w:w="1903" w:type="dxa"/>
          <w:trHeight w:val="286"/>
        </w:trPr>
        <w:tc>
          <w:tcPr>
            <w:tcW w:w="5663" w:type="dxa"/>
            <w:gridSpan w:val="2"/>
            <w:shd w:val="pct5" w:color="FFFFFF" w:themeColor="background1"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TAR POTENZA</w:t>
            </w:r>
          </w:p>
        </w:tc>
        <w:tc>
          <w:tcPr>
            <w:tcW w:w="1035"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55</w:t>
            </w:r>
          </w:p>
        </w:tc>
        <w:tc>
          <w:tcPr>
            <w:tcW w:w="1034"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68</w:t>
            </w:r>
          </w:p>
        </w:tc>
      </w:tr>
      <w:tr w:rsidR="0082044A" w:rsidRPr="0082044A" w:rsidTr="0082044A">
        <w:trPr>
          <w:gridBefore w:val="1"/>
          <w:gridAfter w:val="1"/>
          <w:wBefore w:w="140" w:type="dxa"/>
          <w:wAfter w:w="1903" w:type="dxa"/>
          <w:trHeight w:val="286"/>
        </w:trPr>
        <w:tc>
          <w:tcPr>
            <w:tcW w:w="5663" w:type="dxa"/>
            <w:gridSpan w:val="2"/>
            <w:shd w:val="pct5" w:color="FFFFFF" w:themeColor="background1"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TAR REGGIO CALABRIA</w:t>
            </w:r>
          </w:p>
        </w:tc>
        <w:tc>
          <w:tcPr>
            <w:tcW w:w="1035"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46</w:t>
            </w:r>
          </w:p>
        </w:tc>
        <w:tc>
          <w:tcPr>
            <w:tcW w:w="1034"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33</w:t>
            </w:r>
          </w:p>
        </w:tc>
      </w:tr>
      <w:tr w:rsidR="0082044A" w:rsidRPr="0082044A" w:rsidTr="0082044A">
        <w:trPr>
          <w:gridBefore w:val="1"/>
          <w:gridAfter w:val="1"/>
          <w:wBefore w:w="140" w:type="dxa"/>
          <w:wAfter w:w="1903" w:type="dxa"/>
          <w:trHeight w:val="286"/>
        </w:trPr>
        <w:tc>
          <w:tcPr>
            <w:tcW w:w="5663" w:type="dxa"/>
            <w:gridSpan w:val="2"/>
            <w:shd w:val="pct5" w:color="FFFFFF" w:themeColor="background1"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TAR ROMA</w:t>
            </w:r>
          </w:p>
        </w:tc>
        <w:tc>
          <w:tcPr>
            <w:tcW w:w="1035"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550</w:t>
            </w:r>
          </w:p>
        </w:tc>
        <w:tc>
          <w:tcPr>
            <w:tcW w:w="1034"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568</w:t>
            </w:r>
          </w:p>
        </w:tc>
      </w:tr>
      <w:tr w:rsidR="0082044A" w:rsidRPr="0082044A" w:rsidTr="0082044A">
        <w:trPr>
          <w:gridBefore w:val="1"/>
          <w:gridAfter w:val="1"/>
          <w:wBefore w:w="140" w:type="dxa"/>
          <w:wAfter w:w="1903" w:type="dxa"/>
          <w:trHeight w:val="286"/>
        </w:trPr>
        <w:tc>
          <w:tcPr>
            <w:tcW w:w="5663" w:type="dxa"/>
            <w:gridSpan w:val="2"/>
            <w:shd w:val="pct5" w:color="FFFFFF" w:themeColor="background1"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TAR SALERNO</w:t>
            </w:r>
          </w:p>
        </w:tc>
        <w:tc>
          <w:tcPr>
            <w:tcW w:w="1035"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178</w:t>
            </w:r>
          </w:p>
        </w:tc>
        <w:tc>
          <w:tcPr>
            <w:tcW w:w="1034"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115</w:t>
            </w:r>
          </w:p>
        </w:tc>
      </w:tr>
      <w:tr w:rsidR="0082044A" w:rsidRPr="0082044A" w:rsidTr="0082044A">
        <w:trPr>
          <w:gridBefore w:val="1"/>
          <w:gridAfter w:val="1"/>
          <w:wBefore w:w="140" w:type="dxa"/>
          <w:wAfter w:w="1903" w:type="dxa"/>
          <w:trHeight w:val="286"/>
        </w:trPr>
        <w:tc>
          <w:tcPr>
            <w:tcW w:w="5663" w:type="dxa"/>
            <w:gridSpan w:val="2"/>
            <w:shd w:val="pct5" w:color="FFFFFF" w:themeColor="background1"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TAR TORINO</w:t>
            </w:r>
          </w:p>
        </w:tc>
        <w:tc>
          <w:tcPr>
            <w:tcW w:w="1035"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121</w:t>
            </w:r>
          </w:p>
        </w:tc>
        <w:tc>
          <w:tcPr>
            <w:tcW w:w="1034"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138</w:t>
            </w:r>
          </w:p>
        </w:tc>
      </w:tr>
      <w:tr w:rsidR="0082044A" w:rsidRPr="0082044A" w:rsidTr="0082044A">
        <w:trPr>
          <w:gridBefore w:val="1"/>
          <w:gridAfter w:val="1"/>
          <w:wBefore w:w="140" w:type="dxa"/>
          <w:wAfter w:w="1903" w:type="dxa"/>
          <w:trHeight w:val="286"/>
        </w:trPr>
        <w:tc>
          <w:tcPr>
            <w:tcW w:w="5663" w:type="dxa"/>
            <w:gridSpan w:val="2"/>
            <w:shd w:val="pct5" w:color="FFFFFF" w:themeColor="background1"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TAR TRENTO</w:t>
            </w:r>
          </w:p>
        </w:tc>
        <w:tc>
          <w:tcPr>
            <w:tcW w:w="1035"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25</w:t>
            </w:r>
          </w:p>
        </w:tc>
        <w:tc>
          <w:tcPr>
            <w:tcW w:w="1034"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39</w:t>
            </w:r>
          </w:p>
        </w:tc>
      </w:tr>
      <w:tr w:rsidR="0082044A" w:rsidRPr="0082044A" w:rsidTr="0082044A">
        <w:trPr>
          <w:gridBefore w:val="1"/>
          <w:gridAfter w:val="1"/>
          <w:wBefore w:w="140" w:type="dxa"/>
          <w:wAfter w:w="1903" w:type="dxa"/>
          <w:trHeight w:val="286"/>
        </w:trPr>
        <w:tc>
          <w:tcPr>
            <w:tcW w:w="5663" w:type="dxa"/>
            <w:gridSpan w:val="2"/>
            <w:shd w:val="pct5" w:color="FFFFFF" w:themeColor="background1"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TAR TRIESTE</w:t>
            </w:r>
          </w:p>
        </w:tc>
        <w:tc>
          <w:tcPr>
            <w:tcW w:w="1035"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43</w:t>
            </w:r>
          </w:p>
        </w:tc>
        <w:tc>
          <w:tcPr>
            <w:tcW w:w="1034"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56</w:t>
            </w:r>
          </w:p>
        </w:tc>
      </w:tr>
      <w:tr w:rsidR="0082044A" w:rsidRPr="0082044A" w:rsidTr="0082044A">
        <w:trPr>
          <w:gridBefore w:val="1"/>
          <w:gridAfter w:val="1"/>
          <w:wBefore w:w="140" w:type="dxa"/>
          <w:wAfter w:w="1903" w:type="dxa"/>
          <w:trHeight w:val="286"/>
        </w:trPr>
        <w:tc>
          <w:tcPr>
            <w:tcW w:w="5663" w:type="dxa"/>
            <w:gridSpan w:val="2"/>
            <w:shd w:val="pct5" w:color="FFFFFF" w:themeColor="background1"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TAR VENEZIA</w:t>
            </w:r>
          </w:p>
        </w:tc>
        <w:tc>
          <w:tcPr>
            <w:tcW w:w="1035"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148</w:t>
            </w:r>
          </w:p>
        </w:tc>
        <w:tc>
          <w:tcPr>
            <w:tcW w:w="1034"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Cs/>
                <w:color w:val="000000"/>
                <w:lang w:eastAsia="it-IT"/>
              </w:rPr>
            </w:pPr>
            <w:r w:rsidRPr="0082044A">
              <w:rPr>
                <w:rFonts w:ascii="Calibri" w:eastAsia="Calibri" w:hAnsi="Calibri" w:cs="Calibri"/>
                <w:bCs/>
                <w:color w:val="000000"/>
                <w:lang w:eastAsia="it-IT"/>
              </w:rPr>
              <w:t>156</w:t>
            </w:r>
          </w:p>
        </w:tc>
      </w:tr>
      <w:tr w:rsidR="0082044A" w:rsidRPr="0082044A" w:rsidTr="0082044A">
        <w:trPr>
          <w:gridBefore w:val="1"/>
          <w:gridAfter w:val="1"/>
          <w:wBefore w:w="140" w:type="dxa"/>
          <w:wAfter w:w="1903" w:type="dxa"/>
          <w:trHeight w:val="286"/>
        </w:trPr>
        <w:tc>
          <w:tcPr>
            <w:tcW w:w="5663" w:type="dxa"/>
            <w:gridSpan w:val="2"/>
            <w:shd w:val="pct5" w:color="FFFFFF" w:themeColor="background1"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 xml:space="preserve">TOTALE ricorsi depositati </w:t>
            </w:r>
          </w:p>
        </w:tc>
        <w:tc>
          <w:tcPr>
            <w:tcW w:w="1035"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
                <w:bCs/>
                <w:color w:val="000000"/>
                <w:lang w:eastAsia="it-IT"/>
              </w:rPr>
            </w:pPr>
            <w:r w:rsidRPr="0082044A">
              <w:rPr>
                <w:rFonts w:ascii="Calibri" w:eastAsia="Calibri" w:hAnsi="Calibri" w:cs="Calibri"/>
                <w:b/>
                <w:bCs/>
                <w:color w:val="000000"/>
                <w:lang w:eastAsia="it-IT"/>
              </w:rPr>
              <w:t>3.565</w:t>
            </w:r>
          </w:p>
        </w:tc>
        <w:tc>
          <w:tcPr>
            <w:tcW w:w="1034" w:type="dxa"/>
            <w:shd w:val="pct5" w:color="FFFFFF" w:themeColor="background1" w:fill="auto"/>
            <w:vAlign w:val="bottom"/>
          </w:tcPr>
          <w:p w:rsidR="0082044A" w:rsidRPr="0082044A" w:rsidRDefault="0082044A" w:rsidP="0082044A">
            <w:pPr>
              <w:spacing w:after="0" w:line="240" w:lineRule="auto"/>
              <w:jc w:val="right"/>
              <w:rPr>
                <w:rFonts w:ascii="Calibri" w:eastAsia="Calibri" w:hAnsi="Calibri" w:cs="Calibri"/>
                <w:b/>
                <w:bCs/>
                <w:color w:val="000000"/>
                <w:lang w:eastAsia="it-IT"/>
              </w:rPr>
            </w:pPr>
            <w:r w:rsidRPr="0082044A">
              <w:rPr>
                <w:rFonts w:ascii="Calibri" w:eastAsia="Calibri" w:hAnsi="Calibri" w:cs="Calibri"/>
                <w:b/>
                <w:bCs/>
                <w:color w:val="000000"/>
                <w:lang w:eastAsia="it-IT"/>
              </w:rPr>
              <w:t>3.329</w:t>
            </w:r>
          </w:p>
        </w:tc>
      </w:tr>
      <w:tr w:rsidR="0082044A" w:rsidRPr="0082044A" w:rsidTr="008204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80" w:type="dxa"/>
            <w:gridSpan w:val="2"/>
            <w:tcBorders>
              <w:top w:val="nil"/>
              <w:left w:val="nil"/>
              <w:bottom w:val="nil"/>
              <w:right w:val="nil"/>
            </w:tcBorders>
            <w:shd w:val="pct5" w:color="FFFFFF" w:themeColor="background1" w:fill="auto"/>
          </w:tcPr>
          <w:p w:rsidR="0082044A" w:rsidRPr="0082044A" w:rsidRDefault="0082044A" w:rsidP="0082044A">
            <w:pPr>
              <w:spacing w:after="0" w:line="240" w:lineRule="auto"/>
              <w:rPr>
                <w:rFonts w:ascii="Calibri" w:eastAsia="Calibri" w:hAnsi="Calibri" w:cs="Calibri"/>
                <w:lang w:eastAsia="it-IT"/>
              </w:rPr>
            </w:pPr>
          </w:p>
        </w:tc>
        <w:tc>
          <w:tcPr>
            <w:tcW w:w="9495" w:type="dxa"/>
            <w:gridSpan w:val="4"/>
            <w:tcBorders>
              <w:top w:val="nil"/>
              <w:left w:val="nil"/>
              <w:bottom w:val="nil"/>
              <w:right w:val="nil"/>
            </w:tcBorders>
            <w:shd w:val="pct5" w:color="FFFFFF" w:themeColor="background1" w:fill="auto"/>
            <w:noWrap/>
            <w:vAlign w:val="bottom"/>
            <w:hideMark/>
          </w:tcPr>
          <w:p w:rsidR="0082044A" w:rsidRPr="0082044A" w:rsidRDefault="0082044A" w:rsidP="0082044A">
            <w:pPr>
              <w:spacing w:after="0" w:line="240" w:lineRule="auto"/>
              <w:rPr>
                <w:rFonts w:ascii="Calibri" w:eastAsia="Calibri" w:hAnsi="Calibri" w:cs="Calibri"/>
                <w:color w:val="212121"/>
                <w:lang w:eastAsia="it-IT"/>
              </w:rPr>
            </w:pPr>
            <w:r w:rsidRPr="0082044A">
              <w:rPr>
                <w:rFonts w:ascii="Calibri" w:eastAsia="Calibri" w:hAnsi="Calibri" w:cs="Calibri"/>
                <w:lang w:eastAsia="it-IT"/>
              </w:rPr>
              <w:br w:type="page"/>
            </w:r>
          </w:p>
          <w:p w:rsidR="0082044A" w:rsidRPr="0082044A" w:rsidRDefault="0082044A" w:rsidP="0082044A">
            <w:pPr>
              <w:spacing w:after="0" w:line="240" w:lineRule="auto"/>
              <w:rPr>
                <w:rFonts w:ascii="Calibri" w:eastAsia="Calibri" w:hAnsi="Calibri" w:cs="Calibri"/>
                <w:color w:val="212121"/>
                <w:lang w:eastAsia="it-IT"/>
              </w:rPr>
            </w:pPr>
          </w:p>
          <w:p w:rsidR="0082044A" w:rsidRPr="0082044A" w:rsidRDefault="0082044A" w:rsidP="0082044A">
            <w:pPr>
              <w:spacing w:after="0" w:line="240" w:lineRule="auto"/>
              <w:rPr>
                <w:rFonts w:ascii="Calibri" w:eastAsia="Calibri" w:hAnsi="Calibri" w:cs="Calibri"/>
                <w:color w:val="212121"/>
                <w:lang w:eastAsia="it-IT"/>
              </w:rPr>
            </w:pPr>
          </w:p>
          <w:p w:rsidR="0082044A" w:rsidRPr="0082044A" w:rsidRDefault="0082044A" w:rsidP="0082044A">
            <w:pPr>
              <w:spacing w:after="0" w:line="240" w:lineRule="auto"/>
              <w:rPr>
                <w:rFonts w:ascii="Calibri" w:eastAsia="Calibri" w:hAnsi="Calibri" w:cs="Calibri"/>
                <w:color w:val="212121"/>
                <w:lang w:eastAsia="it-IT"/>
              </w:rPr>
            </w:pPr>
          </w:p>
          <w:p w:rsidR="0082044A" w:rsidRPr="0082044A" w:rsidRDefault="0082044A" w:rsidP="0082044A">
            <w:pPr>
              <w:spacing w:after="0" w:line="240" w:lineRule="auto"/>
              <w:rPr>
                <w:rFonts w:ascii="Calibri" w:eastAsia="Calibri" w:hAnsi="Calibri" w:cs="Calibri"/>
                <w:color w:val="212121"/>
                <w:lang w:eastAsia="it-IT"/>
              </w:rPr>
            </w:pPr>
          </w:p>
          <w:p w:rsidR="0082044A" w:rsidRPr="0082044A" w:rsidRDefault="0082044A" w:rsidP="0082044A">
            <w:pPr>
              <w:spacing w:after="0" w:line="240" w:lineRule="auto"/>
              <w:rPr>
                <w:rFonts w:ascii="Calibri" w:eastAsia="Calibri" w:hAnsi="Calibri" w:cs="Calibri"/>
                <w:color w:val="212121"/>
                <w:lang w:eastAsia="it-IT"/>
              </w:rPr>
            </w:pPr>
          </w:p>
          <w:p w:rsidR="0082044A" w:rsidRPr="0082044A" w:rsidRDefault="0082044A" w:rsidP="0082044A">
            <w:pPr>
              <w:spacing w:after="0" w:line="240" w:lineRule="auto"/>
              <w:rPr>
                <w:rFonts w:ascii="Calibri" w:eastAsia="Calibri" w:hAnsi="Calibri" w:cs="Calibri"/>
                <w:color w:val="212121"/>
                <w:lang w:eastAsia="it-IT"/>
              </w:rPr>
            </w:pPr>
          </w:p>
          <w:p w:rsidR="0082044A" w:rsidRPr="0082044A" w:rsidRDefault="0082044A" w:rsidP="0082044A">
            <w:pPr>
              <w:spacing w:after="0" w:line="240" w:lineRule="auto"/>
              <w:jc w:val="both"/>
              <w:rPr>
                <w:rFonts w:ascii="Times New Roman" w:eastAsia="Calibri" w:hAnsi="Times New Roman" w:cs="Times New Roman"/>
                <w:sz w:val="24"/>
                <w:szCs w:val="24"/>
                <w:lang w:eastAsia="it-IT"/>
              </w:rPr>
            </w:pPr>
            <w:r w:rsidRPr="0082044A">
              <w:rPr>
                <w:rFonts w:ascii="Times New Roman" w:eastAsia="Calibri" w:hAnsi="Times New Roman" w:cs="Times New Roman"/>
                <w:sz w:val="24"/>
                <w:szCs w:val="24"/>
                <w:lang w:eastAsia="it-IT"/>
              </w:rPr>
              <w:lastRenderedPageBreak/>
              <w:t>Il numero dei ricorsi depositati equivale tendenzialmente al numero delle procedure d’appalto impugnate (anzi, il numero dei ricorsi proposti è probabilmente superiore, poiché possono essere proposti ricorsi diversi avverso la medesima procedura e quindi, o al massimo uguale, a quello delle procedure impugnate).</w:t>
            </w:r>
          </w:p>
          <w:p w:rsidR="0082044A" w:rsidRPr="0082044A" w:rsidRDefault="0082044A" w:rsidP="0082044A">
            <w:pPr>
              <w:spacing w:after="0" w:line="240" w:lineRule="auto"/>
              <w:jc w:val="both"/>
              <w:rPr>
                <w:rFonts w:ascii="Times New Roman" w:eastAsia="Calibri" w:hAnsi="Times New Roman" w:cs="Times New Roman"/>
                <w:sz w:val="24"/>
                <w:szCs w:val="24"/>
                <w:lang w:eastAsia="it-IT"/>
              </w:rPr>
            </w:pPr>
            <w:r w:rsidRPr="0082044A">
              <w:rPr>
                <w:rFonts w:ascii="Times New Roman" w:eastAsia="Calibri" w:hAnsi="Times New Roman" w:cs="Times New Roman"/>
                <w:sz w:val="24"/>
                <w:szCs w:val="24"/>
                <w:lang w:eastAsia="it-IT"/>
              </w:rPr>
              <w:t>Ala luce di tali precisazioni, a voler considerare il numero dei ricorsi uguale al numero delle procedure impugnate, le risultanze risultano essere le seguenti:</w:t>
            </w:r>
          </w:p>
          <w:p w:rsidR="0082044A" w:rsidRPr="0082044A" w:rsidRDefault="0082044A" w:rsidP="0082044A">
            <w:pPr>
              <w:spacing w:after="0" w:line="240" w:lineRule="auto"/>
              <w:jc w:val="both"/>
              <w:rPr>
                <w:rFonts w:ascii="Times New Roman" w:eastAsia="Calibri" w:hAnsi="Times New Roman" w:cs="Times New Roman"/>
                <w:b/>
                <w:sz w:val="24"/>
                <w:szCs w:val="24"/>
                <w:lang w:eastAsia="it-IT"/>
              </w:rPr>
            </w:pPr>
            <w:r w:rsidRPr="0082044A">
              <w:rPr>
                <w:rFonts w:ascii="Times New Roman" w:eastAsia="Calibri" w:hAnsi="Times New Roman" w:cs="Times New Roman"/>
                <w:b/>
                <w:sz w:val="24"/>
                <w:szCs w:val="24"/>
                <w:lang w:eastAsia="it-IT"/>
              </w:rPr>
              <w:t>per il 2015 sono stati impugnati al TAR il 2,61% degli appalti banditi (3.565 ricorsi su 136.645 bandi);</w:t>
            </w:r>
          </w:p>
          <w:p w:rsidR="0082044A" w:rsidRPr="0082044A" w:rsidRDefault="0082044A" w:rsidP="0082044A">
            <w:pPr>
              <w:spacing w:after="0" w:line="240" w:lineRule="auto"/>
              <w:jc w:val="both"/>
              <w:rPr>
                <w:rFonts w:ascii="Times New Roman" w:eastAsia="Calibri" w:hAnsi="Times New Roman" w:cs="Times New Roman"/>
                <w:b/>
                <w:sz w:val="24"/>
                <w:szCs w:val="24"/>
                <w:lang w:eastAsia="it-IT"/>
              </w:rPr>
            </w:pPr>
            <w:r w:rsidRPr="0082044A">
              <w:rPr>
                <w:rFonts w:ascii="Times New Roman" w:eastAsia="Calibri" w:hAnsi="Times New Roman" w:cs="Times New Roman"/>
                <w:b/>
                <w:sz w:val="24"/>
                <w:szCs w:val="24"/>
                <w:lang w:eastAsia="it-IT"/>
              </w:rPr>
              <w:t>per il 2016 sono stati impugnati al TAR il 2,76% degli appalti banditi (3.329 ricorsi su 136.645 bandi).</w:t>
            </w:r>
          </w:p>
          <w:p w:rsidR="0082044A" w:rsidRPr="0082044A" w:rsidRDefault="0082044A" w:rsidP="0082044A">
            <w:pPr>
              <w:spacing w:after="0" w:line="240" w:lineRule="auto"/>
              <w:jc w:val="both"/>
              <w:rPr>
                <w:rFonts w:ascii="Times New Roman" w:eastAsia="Calibri" w:hAnsi="Times New Roman" w:cs="Times New Roman"/>
                <w:b/>
                <w:sz w:val="24"/>
                <w:szCs w:val="24"/>
                <w:lang w:eastAsia="it-IT"/>
              </w:rPr>
            </w:pPr>
            <w:r w:rsidRPr="0082044A">
              <w:rPr>
                <w:rFonts w:ascii="Times New Roman" w:eastAsia="Calibri" w:hAnsi="Times New Roman" w:cs="Times New Roman"/>
                <w:b/>
                <w:sz w:val="24"/>
                <w:szCs w:val="24"/>
                <w:lang w:eastAsia="it-IT"/>
              </w:rPr>
              <w:t xml:space="preserve">Il primo dato che si ricava – e che viene confermato nel trend dalla base biennale della ricerca – è dunque che </w:t>
            </w:r>
            <w:r w:rsidRPr="0082044A">
              <w:rPr>
                <w:rFonts w:ascii="Times New Roman" w:eastAsia="Calibri" w:hAnsi="Times New Roman" w:cs="Times New Roman"/>
                <w:b/>
                <w:sz w:val="24"/>
                <w:szCs w:val="24"/>
                <w:u w:val="single"/>
                <w:lang w:eastAsia="it-IT"/>
              </w:rPr>
              <w:t>gli appalti impugnati dinanzi al giudice amministrativo sono tendenzialmente meno del 3% del totale degli appalti banditi</w:t>
            </w:r>
            <w:r w:rsidRPr="0082044A">
              <w:rPr>
                <w:rFonts w:ascii="Times New Roman" w:eastAsia="Calibri" w:hAnsi="Times New Roman" w:cs="Times New Roman"/>
                <w:b/>
                <w:sz w:val="24"/>
                <w:szCs w:val="24"/>
                <w:lang w:eastAsia="it-IT"/>
              </w:rPr>
              <w:t xml:space="preserve">. </w:t>
            </w:r>
          </w:p>
          <w:p w:rsidR="0082044A" w:rsidRPr="0082044A" w:rsidRDefault="0082044A" w:rsidP="0082044A">
            <w:pPr>
              <w:spacing w:after="0" w:line="240" w:lineRule="auto"/>
              <w:jc w:val="both"/>
              <w:rPr>
                <w:rFonts w:ascii="Calibri" w:eastAsia="Calibri" w:hAnsi="Calibri" w:cs="Calibri"/>
                <w:color w:val="212121"/>
                <w:lang w:eastAsia="it-IT"/>
              </w:rPr>
            </w:pPr>
          </w:p>
          <w:p w:rsidR="0082044A" w:rsidRPr="0082044A" w:rsidRDefault="0082044A" w:rsidP="0082044A">
            <w:pPr>
              <w:spacing w:after="0" w:line="240" w:lineRule="auto"/>
              <w:rPr>
                <w:rFonts w:ascii="Calibri" w:eastAsia="Calibri" w:hAnsi="Calibri" w:cs="Calibri"/>
                <w:color w:val="212121"/>
                <w:lang w:eastAsia="it-IT"/>
              </w:rPr>
            </w:pPr>
          </w:p>
          <w:p w:rsidR="0082044A" w:rsidRPr="0082044A" w:rsidRDefault="0082044A" w:rsidP="0082044A">
            <w:pPr>
              <w:spacing w:after="0" w:line="240" w:lineRule="auto"/>
              <w:rPr>
                <w:rFonts w:ascii="Calibri" w:eastAsia="Calibri" w:hAnsi="Calibri" w:cs="Calibri"/>
                <w:b/>
                <w:color w:val="FF0000"/>
                <w:lang w:eastAsia="it-IT"/>
              </w:rPr>
            </w:pPr>
            <w:r w:rsidRPr="0082044A">
              <w:rPr>
                <w:rFonts w:ascii="Calibri" w:eastAsia="Calibri" w:hAnsi="Calibri" w:cs="Calibri"/>
                <w:b/>
                <w:noProof/>
                <w:color w:val="FF0000"/>
                <w:lang w:eastAsia="it-IT"/>
              </w:rPr>
              <w:drawing>
                <wp:inline distT="0" distB="0" distL="0" distR="0" wp14:anchorId="144FA535" wp14:editId="4E81A072">
                  <wp:extent cx="5915025" cy="4772025"/>
                  <wp:effectExtent l="0" t="0" r="9525" b="952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5025" cy="4772025"/>
                          </a:xfrm>
                          <a:prstGeom prst="rect">
                            <a:avLst/>
                          </a:prstGeom>
                          <a:noFill/>
                        </pic:spPr>
                      </pic:pic>
                    </a:graphicData>
                  </a:graphic>
                </wp:inline>
              </w:drawing>
            </w:r>
          </w:p>
          <w:p w:rsidR="0082044A" w:rsidRPr="0082044A" w:rsidRDefault="0082044A" w:rsidP="0082044A">
            <w:pPr>
              <w:spacing w:after="0" w:line="240" w:lineRule="auto"/>
              <w:rPr>
                <w:rFonts w:ascii="Calibri" w:eastAsia="Calibri" w:hAnsi="Calibri" w:cs="Calibri"/>
                <w:b/>
                <w:color w:val="FF0000"/>
                <w:lang w:eastAsia="it-IT"/>
              </w:rPr>
            </w:pPr>
          </w:p>
          <w:p w:rsidR="0082044A" w:rsidRPr="0082044A" w:rsidRDefault="0082044A" w:rsidP="0082044A">
            <w:pPr>
              <w:spacing w:after="0" w:line="240" w:lineRule="auto"/>
              <w:rPr>
                <w:rFonts w:ascii="Calibri" w:eastAsia="Calibri" w:hAnsi="Calibri" w:cs="Calibri"/>
                <w:b/>
                <w:color w:val="FF0000"/>
                <w:lang w:eastAsia="it-IT"/>
              </w:rPr>
            </w:pPr>
          </w:p>
          <w:p w:rsidR="0082044A" w:rsidRPr="0082044A" w:rsidRDefault="0082044A" w:rsidP="0082044A">
            <w:pPr>
              <w:spacing w:after="0" w:line="240" w:lineRule="auto"/>
              <w:rPr>
                <w:rFonts w:ascii="Calibri" w:eastAsia="Calibri" w:hAnsi="Calibri" w:cs="Calibri"/>
                <w:b/>
                <w:color w:val="FF0000"/>
                <w:lang w:eastAsia="it-IT"/>
              </w:rPr>
            </w:pPr>
          </w:p>
          <w:p w:rsidR="0046691D" w:rsidRDefault="0046691D" w:rsidP="0082044A">
            <w:pPr>
              <w:spacing w:after="0" w:line="240" w:lineRule="auto"/>
              <w:rPr>
                <w:rFonts w:ascii="Calibri" w:eastAsia="Calibri" w:hAnsi="Calibri" w:cs="Calibri"/>
                <w:b/>
                <w:i/>
                <w:lang w:eastAsia="it-IT"/>
              </w:rPr>
            </w:pPr>
          </w:p>
          <w:p w:rsidR="0046691D" w:rsidRDefault="0046691D" w:rsidP="0082044A">
            <w:pPr>
              <w:spacing w:after="0" w:line="240" w:lineRule="auto"/>
              <w:rPr>
                <w:rFonts w:ascii="Calibri" w:eastAsia="Calibri" w:hAnsi="Calibri" w:cs="Calibri"/>
                <w:b/>
                <w:i/>
                <w:lang w:eastAsia="it-IT"/>
              </w:rPr>
            </w:pPr>
          </w:p>
          <w:p w:rsidR="0046691D" w:rsidRDefault="0046691D" w:rsidP="0082044A">
            <w:pPr>
              <w:spacing w:after="0" w:line="240" w:lineRule="auto"/>
              <w:rPr>
                <w:rFonts w:ascii="Calibri" w:eastAsia="Calibri" w:hAnsi="Calibri" w:cs="Calibri"/>
                <w:b/>
                <w:i/>
                <w:lang w:eastAsia="it-IT"/>
              </w:rPr>
            </w:pPr>
          </w:p>
          <w:p w:rsidR="0046691D" w:rsidRDefault="0046691D" w:rsidP="0082044A">
            <w:pPr>
              <w:spacing w:after="0" w:line="240" w:lineRule="auto"/>
              <w:rPr>
                <w:rFonts w:ascii="Calibri" w:eastAsia="Calibri" w:hAnsi="Calibri" w:cs="Calibri"/>
                <w:b/>
                <w:i/>
                <w:lang w:eastAsia="it-IT"/>
              </w:rPr>
            </w:pPr>
          </w:p>
          <w:p w:rsidR="0046691D" w:rsidRDefault="0046691D" w:rsidP="0082044A">
            <w:pPr>
              <w:spacing w:after="0" w:line="240" w:lineRule="auto"/>
              <w:rPr>
                <w:rFonts w:ascii="Calibri" w:eastAsia="Calibri" w:hAnsi="Calibri" w:cs="Calibri"/>
                <w:b/>
                <w:i/>
                <w:lang w:eastAsia="it-IT"/>
              </w:rPr>
            </w:pPr>
          </w:p>
          <w:p w:rsidR="0046691D" w:rsidRDefault="0046691D" w:rsidP="0082044A">
            <w:pPr>
              <w:spacing w:after="0" w:line="240" w:lineRule="auto"/>
              <w:rPr>
                <w:rFonts w:ascii="Calibri" w:eastAsia="Calibri" w:hAnsi="Calibri" w:cs="Calibri"/>
                <w:b/>
                <w:i/>
                <w:lang w:eastAsia="it-IT"/>
              </w:rPr>
            </w:pPr>
          </w:p>
          <w:p w:rsidR="0082044A" w:rsidRPr="0082044A" w:rsidRDefault="0082044A" w:rsidP="0082044A">
            <w:pPr>
              <w:spacing w:after="0" w:line="240" w:lineRule="auto"/>
              <w:rPr>
                <w:rFonts w:ascii="Times New Roman" w:eastAsia="Calibri" w:hAnsi="Times New Roman" w:cs="Times New Roman"/>
                <w:b/>
                <w:i/>
                <w:sz w:val="24"/>
                <w:szCs w:val="24"/>
                <w:lang w:eastAsia="it-IT"/>
              </w:rPr>
            </w:pPr>
            <w:r w:rsidRPr="0082044A">
              <w:rPr>
                <w:rFonts w:ascii="Calibri" w:eastAsia="Calibri" w:hAnsi="Calibri" w:cs="Calibri"/>
                <w:b/>
                <w:i/>
                <w:lang w:eastAsia="it-IT"/>
              </w:rPr>
              <w:lastRenderedPageBreak/>
              <w:t>4</w:t>
            </w:r>
            <w:r w:rsidRPr="0082044A">
              <w:rPr>
                <w:rFonts w:ascii="Times New Roman" w:eastAsia="Calibri" w:hAnsi="Times New Roman" w:cs="Times New Roman"/>
                <w:b/>
                <w:i/>
                <w:sz w:val="24"/>
                <w:szCs w:val="24"/>
                <w:lang w:eastAsia="it-IT"/>
              </w:rPr>
              <w:t>. Disaggregazione del dato per ambiti e per importi.</w:t>
            </w:r>
          </w:p>
          <w:p w:rsidR="0082044A" w:rsidRPr="0082044A" w:rsidRDefault="0082044A" w:rsidP="0082044A">
            <w:pPr>
              <w:spacing w:after="0" w:line="240" w:lineRule="auto"/>
              <w:jc w:val="both"/>
              <w:rPr>
                <w:rFonts w:ascii="Times New Roman" w:eastAsia="Calibri" w:hAnsi="Times New Roman" w:cs="Times New Roman"/>
                <w:sz w:val="24"/>
                <w:szCs w:val="24"/>
                <w:lang w:eastAsia="it-IT"/>
              </w:rPr>
            </w:pPr>
            <w:r w:rsidRPr="0082044A">
              <w:rPr>
                <w:rFonts w:ascii="Times New Roman" w:eastAsia="Calibri" w:hAnsi="Times New Roman" w:cs="Times New Roman"/>
                <w:sz w:val="24"/>
                <w:szCs w:val="24"/>
                <w:lang w:eastAsia="it-IT"/>
              </w:rPr>
              <w:t xml:space="preserve">E’ possibile effettuare un’analisi disaggregata del dato sul contenzioso, sia per settore che per importi. </w:t>
            </w:r>
          </w:p>
          <w:p w:rsidR="0082044A" w:rsidRPr="0082044A" w:rsidRDefault="0082044A" w:rsidP="0082044A">
            <w:pPr>
              <w:spacing w:after="0" w:line="240" w:lineRule="auto"/>
              <w:jc w:val="both"/>
              <w:rPr>
                <w:rFonts w:ascii="Times New Roman" w:eastAsia="Calibri" w:hAnsi="Times New Roman" w:cs="Times New Roman"/>
                <w:b/>
                <w:sz w:val="24"/>
                <w:szCs w:val="24"/>
                <w:lang w:eastAsia="it-IT"/>
              </w:rPr>
            </w:pPr>
            <w:r w:rsidRPr="0082044A">
              <w:rPr>
                <w:rFonts w:ascii="Times New Roman" w:eastAsia="Calibri" w:hAnsi="Times New Roman" w:cs="Times New Roman"/>
                <w:b/>
                <w:sz w:val="24"/>
                <w:szCs w:val="24"/>
                <w:lang w:eastAsia="it-IT"/>
              </w:rPr>
              <w:t>Si sono presi in considerazione 7 ambiti:</w:t>
            </w:r>
          </w:p>
          <w:p w:rsidR="0082044A" w:rsidRPr="0082044A" w:rsidRDefault="0082044A" w:rsidP="00AA1A94">
            <w:pPr>
              <w:numPr>
                <w:ilvl w:val="0"/>
                <w:numId w:val="12"/>
              </w:numPr>
              <w:spacing w:after="0" w:line="252" w:lineRule="auto"/>
              <w:jc w:val="both"/>
              <w:rPr>
                <w:rFonts w:ascii="Times New Roman" w:eastAsia="Calibri" w:hAnsi="Times New Roman" w:cs="Times New Roman"/>
                <w:b/>
                <w:sz w:val="24"/>
                <w:szCs w:val="24"/>
                <w:lang w:eastAsia="it-IT"/>
              </w:rPr>
            </w:pPr>
            <w:r w:rsidRPr="0082044A">
              <w:rPr>
                <w:rFonts w:ascii="Times New Roman" w:eastAsia="Calibri" w:hAnsi="Times New Roman" w:cs="Times New Roman"/>
                <w:b/>
                <w:sz w:val="24"/>
                <w:szCs w:val="24"/>
                <w:lang w:eastAsia="it-IT"/>
              </w:rPr>
              <w:t>4 riferiti a materie (Sanità, Beni culturali, Difesa, Scuola),</w:t>
            </w:r>
          </w:p>
          <w:p w:rsidR="0082044A" w:rsidRPr="0082044A" w:rsidRDefault="0082044A" w:rsidP="00AA1A94">
            <w:pPr>
              <w:numPr>
                <w:ilvl w:val="0"/>
                <w:numId w:val="12"/>
              </w:numPr>
              <w:spacing w:after="0" w:line="252" w:lineRule="auto"/>
              <w:jc w:val="both"/>
              <w:rPr>
                <w:rFonts w:ascii="Times New Roman" w:eastAsia="Calibri" w:hAnsi="Times New Roman" w:cs="Times New Roman"/>
                <w:b/>
                <w:sz w:val="24"/>
                <w:szCs w:val="24"/>
                <w:lang w:eastAsia="it-IT"/>
              </w:rPr>
            </w:pPr>
            <w:r w:rsidRPr="0082044A">
              <w:rPr>
                <w:rFonts w:ascii="Times New Roman" w:eastAsia="Calibri" w:hAnsi="Times New Roman" w:cs="Times New Roman"/>
                <w:b/>
                <w:sz w:val="24"/>
                <w:szCs w:val="24"/>
                <w:lang w:eastAsia="it-IT"/>
              </w:rPr>
              <w:t>3 riferiti alla stazione appaltante (</w:t>
            </w:r>
            <w:proofErr w:type="spellStart"/>
            <w:r w:rsidRPr="0082044A">
              <w:rPr>
                <w:rFonts w:ascii="Times New Roman" w:eastAsia="Calibri" w:hAnsi="Times New Roman" w:cs="Times New Roman"/>
                <w:b/>
                <w:sz w:val="24"/>
                <w:szCs w:val="24"/>
                <w:lang w:eastAsia="it-IT"/>
              </w:rPr>
              <w:t>Consip</w:t>
            </w:r>
            <w:proofErr w:type="spellEnd"/>
            <w:r w:rsidRPr="0082044A">
              <w:rPr>
                <w:rFonts w:ascii="Times New Roman" w:eastAsia="Calibri" w:hAnsi="Times New Roman" w:cs="Times New Roman"/>
                <w:b/>
                <w:sz w:val="24"/>
                <w:szCs w:val="24"/>
                <w:lang w:eastAsia="it-IT"/>
              </w:rPr>
              <w:t>, Anas, Enti locali ed altri Enti).</w:t>
            </w:r>
          </w:p>
          <w:p w:rsidR="0082044A" w:rsidRPr="0082044A" w:rsidRDefault="0082044A" w:rsidP="0082044A">
            <w:pPr>
              <w:spacing w:after="0" w:line="240" w:lineRule="auto"/>
              <w:jc w:val="both"/>
              <w:rPr>
                <w:rFonts w:ascii="Times New Roman" w:eastAsia="Calibri" w:hAnsi="Times New Roman" w:cs="Times New Roman"/>
                <w:sz w:val="24"/>
                <w:szCs w:val="24"/>
                <w:lang w:eastAsia="it-IT"/>
              </w:rPr>
            </w:pPr>
            <w:r w:rsidRPr="0082044A">
              <w:rPr>
                <w:rFonts w:ascii="Times New Roman" w:eastAsia="Calibri" w:hAnsi="Times New Roman" w:cs="Times New Roman"/>
                <w:sz w:val="24"/>
                <w:szCs w:val="24"/>
                <w:lang w:eastAsia="it-IT"/>
              </w:rPr>
              <w:t>Il loro totale conduce al 100% degli appalti, poiché l’ampia categoria “Enti locali ed altri enti” è costruita anche come categoria residuale.</w:t>
            </w:r>
          </w:p>
          <w:p w:rsidR="0082044A" w:rsidRPr="0082044A" w:rsidRDefault="0082044A" w:rsidP="0082044A">
            <w:pPr>
              <w:spacing w:after="0" w:line="240" w:lineRule="auto"/>
              <w:rPr>
                <w:rFonts w:ascii="Times New Roman" w:eastAsia="Calibri" w:hAnsi="Times New Roman" w:cs="Times New Roman"/>
                <w:sz w:val="24"/>
                <w:szCs w:val="24"/>
                <w:lang w:eastAsia="it-IT"/>
              </w:rPr>
            </w:pPr>
            <w:r w:rsidRPr="0082044A">
              <w:rPr>
                <w:rFonts w:ascii="Times New Roman" w:eastAsia="Calibri" w:hAnsi="Times New Roman" w:cs="Times New Roman"/>
                <w:sz w:val="24"/>
                <w:szCs w:val="24"/>
                <w:lang w:eastAsia="it-IT"/>
              </w:rPr>
              <w:t>In particolare per il 2015 le risultanze sono le seguenti:</w:t>
            </w:r>
          </w:p>
          <w:p w:rsidR="0082044A" w:rsidRPr="0082044A" w:rsidRDefault="0082044A" w:rsidP="0082044A">
            <w:pPr>
              <w:spacing w:after="0" w:line="240" w:lineRule="auto"/>
              <w:rPr>
                <w:rFonts w:ascii="Calibri" w:eastAsia="Calibri" w:hAnsi="Calibri" w:cs="Calibri"/>
                <w:lang w:eastAsia="it-IT"/>
              </w:rPr>
            </w:pPr>
          </w:p>
          <w:tbl>
            <w:tblPr>
              <w:tblW w:w="9624" w:type="dxa"/>
              <w:tblCellMar>
                <w:left w:w="70" w:type="dxa"/>
                <w:right w:w="70" w:type="dxa"/>
              </w:tblCellMar>
              <w:tblLook w:val="04A0" w:firstRow="1" w:lastRow="0" w:firstColumn="1" w:lastColumn="0" w:noHBand="0" w:noVBand="1"/>
            </w:tblPr>
            <w:tblGrid>
              <w:gridCol w:w="1751"/>
              <w:gridCol w:w="856"/>
              <w:gridCol w:w="856"/>
              <w:gridCol w:w="1089"/>
              <w:gridCol w:w="769"/>
              <w:gridCol w:w="856"/>
              <w:gridCol w:w="856"/>
              <w:gridCol w:w="1038"/>
              <w:gridCol w:w="1424"/>
            </w:tblGrid>
            <w:tr w:rsidR="0082044A" w:rsidRPr="0082044A" w:rsidTr="0082044A">
              <w:trPr>
                <w:trHeight w:val="690"/>
              </w:trPr>
              <w:tc>
                <w:tcPr>
                  <w:tcW w:w="1777" w:type="dxa"/>
                  <w:tcBorders>
                    <w:left w:val="nil"/>
                    <w:bottom w:val="nil"/>
                    <w:right w:val="single" w:sz="4" w:space="0" w:color="auto"/>
                  </w:tcBorders>
                  <w:shd w:val="clear" w:color="auto" w:fill="auto"/>
                  <w:noWrap/>
                  <w:vAlign w:val="bottom"/>
                  <w:hideMark/>
                </w:tcPr>
                <w:p w:rsidR="0082044A" w:rsidRPr="0082044A" w:rsidRDefault="0082044A" w:rsidP="0082044A">
                  <w:pPr>
                    <w:spacing w:after="0" w:line="240" w:lineRule="auto"/>
                    <w:rPr>
                      <w:rFonts w:ascii="Times New Roman" w:eastAsia="Times New Roman" w:hAnsi="Times New Roman" w:cs="Times New Roman"/>
                      <w:sz w:val="24"/>
                      <w:szCs w:val="24"/>
                      <w:lang w:eastAsia="it-IT"/>
                    </w:rPr>
                  </w:pPr>
                </w:p>
              </w:tc>
              <w:tc>
                <w:tcPr>
                  <w:tcW w:w="867" w:type="dxa"/>
                  <w:tcBorders>
                    <w:top w:val="single" w:sz="4" w:space="0" w:color="auto"/>
                    <w:left w:val="single" w:sz="4" w:space="0" w:color="auto"/>
                    <w:bottom w:val="single" w:sz="8" w:space="0" w:color="auto"/>
                    <w:right w:val="single" w:sz="8" w:space="0" w:color="auto"/>
                  </w:tcBorders>
                  <w:shd w:val="clear" w:color="000000" w:fill="D6DCE4"/>
                  <w:vAlign w:val="center"/>
                  <w:hideMark/>
                </w:tcPr>
                <w:p w:rsidR="0082044A" w:rsidRPr="0082044A" w:rsidRDefault="0082044A" w:rsidP="0082044A">
                  <w:pPr>
                    <w:spacing w:after="0" w:line="240" w:lineRule="auto"/>
                    <w:jc w:val="center"/>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Sanità</w:t>
                  </w:r>
                </w:p>
              </w:tc>
              <w:tc>
                <w:tcPr>
                  <w:tcW w:w="867" w:type="dxa"/>
                  <w:tcBorders>
                    <w:top w:val="single" w:sz="4" w:space="0" w:color="auto"/>
                    <w:left w:val="nil"/>
                    <w:bottom w:val="single" w:sz="8" w:space="0" w:color="auto"/>
                    <w:right w:val="single" w:sz="8" w:space="0" w:color="auto"/>
                  </w:tcBorders>
                  <w:shd w:val="clear" w:color="000000" w:fill="D6DCE4"/>
                  <w:vAlign w:val="center"/>
                  <w:hideMark/>
                </w:tcPr>
                <w:p w:rsidR="0082044A" w:rsidRPr="0082044A" w:rsidRDefault="0082044A" w:rsidP="0082044A">
                  <w:pPr>
                    <w:spacing w:after="0" w:line="240" w:lineRule="auto"/>
                    <w:jc w:val="center"/>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CONSIP</w:t>
                  </w:r>
                </w:p>
              </w:tc>
              <w:tc>
                <w:tcPr>
                  <w:tcW w:w="1104" w:type="dxa"/>
                  <w:tcBorders>
                    <w:top w:val="single" w:sz="4" w:space="0" w:color="auto"/>
                    <w:left w:val="nil"/>
                    <w:bottom w:val="single" w:sz="8" w:space="0" w:color="auto"/>
                    <w:right w:val="single" w:sz="8" w:space="0" w:color="auto"/>
                  </w:tcBorders>
                  <w:shd w:val="clear" w:color="000000" w:fill="D6DCE4"/>
                  <w:vAlign w:val="center"/>
                  <w:hideMark/>
                </w:tcPr>
                <w:p w:rsidR="0082044A" w:rsidRPr="0082044A" w:rsidRDefault="0082044A" w:rsidP="0082044A">
                  <w:pPr>
                    <w:spacing w:after="0" w:line="240" w:lineRule="auto"/>
                    <w:jc w:val="center"/>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BENI CULTURALI</w:t>
                  </w:r>
                </w:p>
              </w:tc>
              <w:tc>
                <w:tcPr>
                  <w:tcW w:w="779" w:type="dxa"/>
                  <w:tcBorders>
                    <w:top w:val="single" w:sz="4" w:space="0" w:color="auto"/>
                    <w:left w:val="nil"/>
                    <w:bottom w:val="single" w:sz="8" w:space="0" w:color="auto"/>
                    <w:right w:val="single" w:sz="8" w:space="0" w:color="auto"/>
                  </w:tcBorders>
                  <w:shd w:val="clear" w:color="000000" w:fill="D6DCE4"/>
                  <w:vAlign w:val="center"/>
                  <w:hideMark/>
                </w:tcPr>
                <w:p w:rsidR="0082044A" w:rsidRPr="0082044A" w:rsidRDefault="0082044A" w:rsidP="0082044A">
                  <w:pPr>
                    <w:spacing w:after="0" w:line="240" w:lineRule="auto"/>
                    <w:jc w:val="center"/>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DIFESA</w:t>
                  </w:r>
                </w:p>
              </w:tc>
              <w:tc>
                <w:tcPr>
                  <w:tcW w:w="867" w:type="dxa"/>
                  <w:tcBorders>
                    <w:top w:val="single" w:sz="4" w:space="0" w:color="auto"/>
                    <w:left w:val="nil"/>
                    <w:bottom w:val="single" w:sz="8" w:space="0" w:color="auto"/>
                    <w:right w:val="nil"/>
                  </w:tcBorders>
                  <w:shd w:val="clear" w:color="000000" w:fill="D6DCE4"/>
                  <w:vAlign w:val="center"/>
                  <w:hideMark/>
                </w:tcPr>
                <w:p w:rsidR="0082044A" w:rsidRPr="0082044A" w:rsidRDefault="0082044A" w:rsidP="0082044A">
                  <w:pPr>
                    <w:spacing w:after="0" w:line="240" w:lineRule="auto"/>
                    <w:jc w:val="center"/>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SCUOLA</w:t>
                  </w:r>
                </w:p>
              </w:tc>
              <w:tc>
                <w:tcPr>
                  <w:tcW w:w="867" w:type="dxa"/>
                  <w:tcBorders>
                    <w:top w:val="single" w:sz="4" w:space="0" w:color="auto"/>
                    <w:left w:val="single" w:sz="8" w:space="0" w:color="auto"/>
                    <w:bottom w:val="single" w:sz="8" w:space="0" w:color="auto"/>
                    <w:right w:val="nil"/>
                  </w:tcBorders>
                  <w:shd w:val="clear" w:color="000000" w:fill="D6DCE4"/>
                  <w:vAlign w:val="center"/>
                  <w:hideMark/>
                </w:tcPr>
                <w:p w:rsidR="0082044A" w:rsidRPr="0082044A" w:rsidRDefault="0082044A" w:rsidP="0082044A">
                  <w:pPr>
                    <w:spacing w:after="0" w:line="240" w:lineRule="auto"/>
                    <w:jc w:val="center"/>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ANAS</w:t>
                  </w:r>
                </w:p>
              </w:tc>
              <w:tc>
                <w:tcPr>
                  <w:tcW w:w="1052" w:type="dxa"/>
                  <w:tcBorders>
                    <w:top w:val="single" w:sz="4" w:space="0" w:color="auto"/>
                    <w:left w:val="single" w:sz="8" w:space="0" w:color="auto"/>
                    <w:bottom w:val="single" w:sz="8" w:space="0" w:color="auto"/>
                    <w:right w:val="single" w:sz="8" w:space="0" w:color="auto"/>
                  </w:tcBorders>
                  <w:shd w:val="clear" w:color="000000" w:fill="D6DCE4"/>
                  <w:vAlign w:val="center"/>
                  <w:hideMark/>
                </w:tcPr>
                <w:p w:rsidR="0082044A" w:rsidRPr="0082044A" w:rsidRDefault="0082044A" w:rsidP="0082044A">
                  <w:pPr>
                    <w:spacing w:after="0" w:line="240" w:lineRule="auto"/>
                    <w:jc w:val="center"/>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Enti locali ed altri enti</w:t>
                  </w:r>
                </w:p>
              </w:tc>
              <w:tc>
                <w:tcPr>
                  <w:tcW w:w="1444" w:type="dxa"/>
                  <w:vMerge w:val="restart"/>
                  <w:tcBorders>
                    <w:top w:val="single" w:sz="4" w:space="0" w:color="auto"/>
                    <w:left w:val="single" w:sz="8" w:space="0" w:color="auto"/>
                    <w:bottom w:val="single" w:sz="8" w:space="0" w:color="000000"/>
                    <w:right w:val="single" w:sz="8" w:space="0" w:color="auto"/>
                  </w:tcBorders>
                  <w:shd w:val="clear" w:color="000000" w:fill="D6DCE4"/>
                  <w:vAlign w:val="center"/>
                  <w:hideMark/>
                </w:tcPr>
                <w:p w:rsidR="0082044A" w:rsidRPr="0082044A" w:rsidRDefault="0082044A" w:rsidP="0082044A">
                  <w:pPr>
                    <w:spacing w:after="0" w:line="240" w:lineRule="auto"/>
                    <w:jc w:val="center"/>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Totale depositi Appalti</w:t>
                  </w:r>
                </w:p>
              </w:tc>
            </w:tr>
            <w:tr w:rsidR="0082044A" w:rsidRPr="0082044A" w:rsidTr="0082044A">
              <w:trPr>
                <w:trHeight w:val="315"/>
              </w:trPr>
              <w:tc>
                <w:tcPr>
                  <w:tcW w:w="1777" w:type="dxa"/>
                  <w:tcBorders>
                    <w:top w:val="single" w:sz="8" w:space="0" w:color="auto"/>
                    <w:left w:val="single" w:sz="8" w:space="0" w:color="auto"/>
                    <w:bottom w:val="single" w:sz="8" w:space="0" w:color="auto"/>
                    <w:right w:val="nil"/>
                  </w:tcBorders>
                  <w:shd w:val="clear" w:color="000000" w:fill="D6DCE4"/>
                  <w:noWrap/>
                  <w:vAlign w:val="center"/>
                  <w:hideMark/>
                </w:tcPr>
                <w:p w:rsidR="0082044A" w:rsidRPr="0082044A" w:rsidRDefault="0082044A" w:rsidP="0082044A">
                  <w:pPr>
                    <w:spacing w:after="0" w:line="240" w:lineRule="auto"/>
                    <w:jc w:val="center"/>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SEDE</w:t>
                  </w:r>
                </w:p>
              </w:tc>
              <w:tc>
                <w:tcPr>
                  <w:tcW w:w="867" w:type="dxa"/>
                  <w:tcBorders>
                    <w:top w:val="nil"/>
                    <w:left w:val="single" w:sz="8" w:space="0" w:color="auto"/>
                    <w:bottom w:val="single" w:sz="8" w:space="0" w:color="auto"/>
                    <w:right w:val="single" w:sz="8" w:space="0" w:color="auto"/>
                  </w:tcBorders>
                  <w:shd w:val="clear" w:color="000000" w:fill="D6DCE4"/>
                  <w:noWrap/>
                  <w:vAlign w:val="center"/>
                  <w:hideMark/>
                </w:tcPr>
                <w:p w:rsidR="0082044A" w:rsidRPr="0082044A" w:rsidRDefault="0082044A" w:rsidP="0082044A">
                  <w:pPr>
                    <w:spacing w:after="0" w:line="240" w:lineRule="auto"/>
                    <w:jc w:val="center"/>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2015</w:t>
                  </w:r>
                </w:p>
              </w:tc>
              <w:tc>
                <w:tcPr>
                  <w:tcW w:w="867" w:type="dxa"/>
                  <w:tcBorders>
                    <w:top w:val="nil"/>
                    <w:left w:val="nil"/>
                    <w:bottom w:val="single" w:sz="8" w:space="0" w:color="auto"/>
                    <w:right w:val="single" w:sz="8" w:space="0" w:color="auto"/>
                  </w:tcBorders>
                  <w:shd w:val="clear" w:color="000000" w:fill="D6DCE4"/>
                  <w:noWrap/>
                  <w:vAlign w:val="center"/>
                  <w:hideMark/>
                </w:tcPr>
                <w:p w:rsidR="0082044A" w:rsidRPr="0082044A" w:rsidRDefault="0082044A" w:rsidP="0082044A">
                  <w:pPr>
                    <w:spacing w:after="0" w:line="240" w:lineRule="auto"/>
                    <w:jc w:val="center"/>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2015</w:t>
                  </w:r>
                </w:p>
              </w:tc>
              <w:tc>
                <w:tcPr>
                  <w:tcW w:w="1104" w:type="dxa"/>
                  <w:tcBorders>
                    <w:top w:val="nil"/>
                    <w:left w:val="nil"/>
                    <w:bottom w:val="single" w:sz="8" w:space="0" w:color="auto"/>
                    <w:right w:val="single" w:sz="8" w:space="0" w:color="auto"/>
                  </w:tcBorders>
                  <w:shd w:val="clear" w:color="000000" w:fill="D6DCE4"/>
                  <w:noWrap/>
                  <w:vAlign w:val="center"/>
                  <w:hideMark/>
                </w:tcPr>
                <w:p w:rsidR="0082044A" w:rsidRPr="0082044A" w:rsidRDefault="0082044A" w:rsidP="0082044A">
                  <w:pPr>
                    <w:spacing w:after="0" w:line="240" w:lineRule="auto"/>
                    <w:jc w:val="center"/>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2015</w:t>
                  </w:r>
                </w:p>
              </w:tc>
              <w:tc>
                <w:tcPr>
                  <w:tcW w:w="779" w:type="dxa"/>
                  <w:tcBorders>
                    <w:top w:val="nil"/>
                    <w:left w:val="nil"/>
                    <w:bottom w:val="single" w:sz="8" w:space="0" w:color="auto"/>
                    <w:right w:val="single" w:sz="8" w:space="0" w:color="auto"/>
                  </w:tcBorders>
                  <w:shd w:val="clear" w:color="000000" w:fill="D6DCE4"/>
                  <w:noWrap/>
                  <w:vAlign w:val="center"/>
                  <w:hideMark/>
                </w:tcPr>
                <w:p w:rsidR="0082044A" w:rsidRPr="0082044A" w:rsidRDefault="0082044A" w:rsidP="0082044A">
                  <w:pPr>
                    <w:spacing w:after="0" w:line="240" w:lineRule="auto"/>
                    <w:jc w:val="center"/>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2015</w:t>
                  </w:r>
                </w:p>
              </w:tc>
              <w:tc>
                <w:tcPr>
                  <w:tcW w:w="867" w:type="dxa"/>
                  <w:tcBorders>
                    <w:top w:val="nil"/>
                    <w:left w:val="nil"/>
                    <w:bottom w:val="single" w:sz="8" w:space="0" w:color="auto"/>
                    <w:right w:val="nil"/>
                  </w:tcBorders>
                  <w:shd w:val="clear" w:color="000000" w:fill="D6DCE4"/>
                  <w:noWrap/>
                  <w:vAlign w:val="center"/>
                  <w:hideMark/>
                </w:tcPr>
                <w:p w:rsidR="0082044A" w:rsidRPr="0082044A" w:rsidRDefault="0082044A" w:rsidP="0082044A">
                  <w:pPr>
                    <w:spacing w:after="0" w:line="240" w:lineRule="auto"/>
                    <w:jc w:val="center"/>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2015</w:t>
                  </w:r>
                </w:p>
              </w:tc>
              <w:tc>
                <w:tcPr>
                  <w:tcW w:w="867" w:type="dxa"/>
                  <w:tcBorders>
                    <w:top w:val="nil"/>
                    <w:left w:val="single" w:sz="8" w:space="0" w:color="auto"/>
                    <w:bottom w:val="single" w:sz="8" w:space="0" w:color="auto"/>
                    <w:right w:val="nil"/>
                  </w:tcBorders>
                  <w:shd w:val="clear" w:color="000000" w:fill="D6DCE4"/>
                  <w:noWrap/>
                  <w:vAlign w:val="center"/>
                  <w:hideMark/>
                </w:tcPr>
                <w:p w:rsidR="0082044A" w:rsidRPr="0082044A" w:rsidRDefault="0082044A" w:rsidP="0082044A">
                  <w:pPr>
                    <w:spacing w:after="0" w:line="240" w:lineRule="auto"/>
                    <w:jc w:val="center"/>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2015</w:t>
                  </w:r>
                </w:p>
              </w:tc>
              <w:tc>
                <w:tcPr>
                  <w:tcW w:w="1052" w:type="dxa"/>
                  <w:tcBorders>
                    <w:top w:val="nil"/>
                    <w:left w:val="single" w:sz="8" w:space="0" w:color="auto"/>
                    <w:bottom w:val="single" w:sz="8" w:space="0" w:color="auto"/>
                    <w:right w:val="single" w:sz="8" w:space="0" w:color="auto"/>
                  </w:tcBorders>
                  <w:shd w:val="clear" w:color="000000" w:fill="D6DCE4"/>
                  <w:noWrap/>
                  <w:vAlign w:val="center"/>
                  <w:hideMark/>
                </w:tcPr>
                <w:p w:rsidR="0082044A" w:rsidRPr="0082044A" w:rsidRDefault="0082044A" w:rsidP="0082044A">
                  <w:pPr>
                    <w:spacing w:after="0" w:line="240" w:lineRule="auto"/>
                    <w:jc w:val="center"/>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2015</w:t>
                  </w:r>
                </w:p>
              </w:tc>
              <w:tc>
                <w:tcPr>
                  <w:tcW w:w="1444" w:type="dxa"/>
                  <w:vMerge/>
                  <w:tcBorders>
                    <w:top w:val="single" w:sz="8" w:space="0" w:color="auto"/>
                    <w:left w:val="single" w:sz="8" w:space="0" w:color="auto"/>
                    <w:bottom w:val="single" w:sz="8" w:space="0" w:color="000000"/>
                    <w:right w:val="single" w:sz="8" w:space="0" w:color="auto"/>
                  </w:tcBorders>
                  <w:vAlign w:val="center"/>
                  <w:hideMark/>
                </w:tcPr>
                <w:p w:rsidR="0082044A" w:rsidRPr="0082044A" w:rsidRDefault="0082044A" w:rsidP="0082044A">
                  <w:pPr>
                    <w:spacing w:after="0" w:line="240" w:lineRule="auto"/>
                    <w:rPr>
                      <w:rFonts w:ascii="Arial" w:eastAsia="Times New Roman" w:hAnsi="Arial" w:cs="Arial"/>
                      <w:b/>
                      <w:bCs/>
                      <w:color w:val="000000"/>
                      <w:sz w:val="16"/>
                      <w:szCs w:val="16"/>
                      <w:lang w:eastAsia="it-IT"/>
                    </w:rPr>
                  </w:pPr>
                </w:p>
              </w:tc>
            </w:tr>
            <w:tr w:rsidR="0082044A" w:rsidRPr="0082044A" w:rsidTr="0082044A">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ANCONA</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11</w:t>
                  </w:r>
                </w:p>
              </w:tc>
              <w:tc>
                <w:tcPr>
                  <w:tcW w:w="867"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w:t>
                  </w:r>
                </w:p>
              </w:tc>
              <w:tc>
                <w:tcPr>
                  <w:tcW w:w="1104"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779"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867" w:type="dxa"/>
                  <w:tcBorders>
                    <w:top w:val="nil"/>
                    <w:left w:val="nil"/>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6</w:t>
                  </w:r>
                </w:p>
              </w:tc>
              <w:tc>
                <w:tcPr>
                  <w:tcW w:w="867" w:type="dxa"/>
                  <w:tcBorders>
                    <w:top w:val="nil"/>
                    <w:left w:val="single" w:sz="8" w:space="0" w:color="auto"/>
                    <w:bottom w:val="single" w:sz="8" w:space="0" w:color="auto"/>
                    <w:right w:val="nil"/>
                  </w:tcBorders>
                  <w:shd w:val="clear" w:color="auto" w:fill="auto"/>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 </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32</w:t>
                  </w:r>
                </w:p>
              </w:tc>
              <w:tc>
                <w:tcPr>
                  <w:tcW w:w="1444" w:type="dxa"/>
                  <w:tcBorders>
                    <w:top w:val="nil"/>
                    <w:left w:val="nil"/>
                    <w:bottom w:val="single" w:sz="8"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52</w:t>
                  </w:r>
                </w:p>
              </w:tc>
            </w:tr>
            <w:tr w:rsidR="0082044A" w:rsidRPr="0082044A" w:rsidTr="0082044A">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AOSTA</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867"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1104"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779"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867" w:type="dxa"/>
                  <w:tcBorders>
                    <w:top w:val="nil"/>
                    <w:left w:val="nil"/>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3</w:t>
                  </w:r>
                </w:p>
              </w:tc>
              <w:tc>
                <w:tcPr>
                  <w:tcW w:w="867" w:type="dxa"/>
                  <w:tcBorders>
                    <w:top w:val="nil"/>
                    <w:left w:val="single" w:sz="8" w:space="0" w:color="auto"/>
                    <w:bottom w:val="single" w:sz="8" w:space="0" w:color="auto"/>
                    <w:right w:val="nil"/>
                  </w:tcBorders>
                  <w:shd w:val="clear" w:color="auto" w:fill="auto"/>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 </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9</w:t>
                  </w:r>
                </w:p>
              </w:tc>
              <w:tc>
                <w:tcPr>
                  <w:tcW w:w="1444" w:type="dxa"/>
                  <w:tcBorders>
                    <w:top w:val="nil"/>
                    <w:left w:val="nil"/>
                    <w:bottom w:val="single" w:sz="8"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12</w:t>
                  </w:r>
                </w:p>
              </w:tc>
            </w:tr>
            <w:tr w:rsidR="0082044A" w:rsidRPr="0082044A" w:rsidTr="0082044A">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BARI</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31</w:t>
                  </w:r>
                </w:p>
              </w:tc>
              <w:tc>
                <w:tcPr>
                  <w:tcW w:w="867"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4</w:t>
                  </w:r>
                </w:p>
              </w:tc>
              <w:tc>
                <w:tcPr>
                  <w:tcW w:w="1104"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4</w:t>
                  </w:r>
                </w:p>
              </w:tc>
              <w:tc>
                <w:tcPr>
                  <w:tcW w:w="779"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4</w:t>
                  </w:r>
                </w:p>
              </w:tc>
              <w:tc>
                <w:tcPr>
                  <w:tcW w:w="867" w:type="dxa"/>
                  <w:tcBorders>
                    <w:top w:val="nil"/>
                    <w:left w:val="nil"/>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18</w:t>
                  </w:r>
                </w:p>
              </w:tc>
              <w:tc>
                <w:tcPr>
                  <w:tcW w:w="867" w:type="dxa"/>
                  <w:tcBorders>
                    <w:top w:val="nil"/>
                    <w:left w:val="single" w:sz="8" w:space="0" w:color="auto"/>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7</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125</w:t>
                  </w:r>
                </w:p>
              </w:tc>
              <w:tc>
                <w:tcPr>
                  <w:tcW w:w="1444" w:type="dxa"/>
                  <w:tcBorders>
                    <w:top w:val="nil"/>
                    <w:left w:val="nil"/>
                    <w:bottom w:val="single" w:sz="8"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193</w:t>
                  </w:r>
                </w:p>
              </w:tc>
            </w:tr>
            <w:tr w:rsidR="0082044A" w:rsidRPr="0082044A" w:rsidTr="0082044A">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BOLOGNA</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32</w:t>
                  </w:r>
                </w:p>
              </w:tc>
              <w:tc>
                <w:tcPr>
                  <w:tcW w:w="867"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1104"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5</w:t>
                  </w:r>
                </w:p>
              </w:tc>
              <w:tc>
                <w:tcPr>
                  <w:tcW w:w="779"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w:t>
                  </w:r>
                </w:p>
              </w:tc>
              <w:tc>
                <w:tcPr>
                  <w:tcW w:w="867" w:type="dxa"/>
                  <w:tcBorders>
                    <w:top w:val="nil"/>
                    <w:left w:val="nil"/>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5</w:t>
                  </w:r>
                </w:p>
              </w:tc>
              <w:tc>
                <w:tcPr>
                  <w:tcW w:w="867" w:type="dxa"/>
                  <w:tcBorders>
                    <w:top w:val="nil"/>
                    <w:left w:val="single" w:sz="8" w:space="0" w:color="auto"/>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43</w:t>
                  </w:r>
                </w:p>
              </w:tc>
              <w:tc>
                <w:tcPr>
                  <w:tcW w:w="1444" w:type="dxa"/>
                  <w:tcBorders>
                    <w:top w:val="nil"/>
                    <w:left w:val="nil"/>
                    <w:bottom w:val="single" w:sz="8"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89</w:t>
                  </w:r>
                </w:p>
              </w:tc>
            </w:tr>
            <w:tr w:rsidR="0082044A" w:rsidRPr="0082044A" w:rsidTr="0082044A">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BOLZANO</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7</w:t>
                  </w:r>
                </w:p>
              </w:tc>
              <w:tc>
                <w:tcPr>
                  <w:tcW w:w="867"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1104"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779"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867" w:type="dxa"/>
                  <w:tcBorders>
                    <w:top w:val="nil"/>
                    <w:left w:val="nil"/>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4</w:t>
                  </w:r>
                </w:p>
              </w:tc>
              <w:tc>
                <w:tcPr>
                  <w:tcW w:w="867" w:type="dxa"/>
                  <w:tcBorders>
                    <w:top w:val="nil"/>
                    <w:left w:val="single" w:sz="8" w:space="0" w:color="auto"/>
                    <w:bottom w:val="single" w:sz="8" w:space="0" w:color="auto"/>
                    <w:right w:val="nil"/>
                  </w:tcBorders>
                  <w:shd w:val="clear" w:color="auto" w:fill="auto"/>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 </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23</w:t>
                  </w:r>
                </w:p>
              </w:tc>
              <w:tc>
                <w:tcPr>
                  <w:tcW w:w="1444" w:type="dxa"/>
                  <w:tcBorders>
                    <w:top w:val="nil"/>
                    <w:left w:val="nil"/>
                    <w:bottom w:val="single" w:sz="8"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35</w:t>
                  </w:r>
                </w:p>
              </w:tc>
            </w:tr>
            <w:tr w:rsidR="0082044A" w:rsidRPr="0082044A" w:rsidTr="0082044A">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BRESCIA</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31</w:t>
                  </w:r>
                </w:p>
              </w:tc>
              <w:tc>
                <w:tcPr>
                  <w:tcW w:w="867"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1104"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779"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867" w:type="dxa"/>
                  <w:tcBorders>
                    <w:top w:val="nil"/>
                    <w:left w:val="nil"/>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4</w:t>
                  </w:r>
                </w:p>
              </w:tc>
              <w:tc>
                <w:tcPr>
                  <w:tcW w:w="867" w:type="dxa"/>
                  <w:tcBorders>
                    <w:top w:val="nil"/>
                    <w:left w:val="single" w:sz="8" w:space="0" w:color="auto"/>
                    <w:bottom w:val="single" w:sz="8" w:space="0" w:color="auto"/>
                    <w:right w:val="nil"/>
                  </w:tcBorders>
                  <w:shd w:val="clear" w:color="auto" w:fill="auto"/>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 </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45</w:t>
                  </w:r>
                </w:p>
              </w:tc>
              <w:tc>
                <w:tcPr>
                  <w:tcW w:w="1444" w:type="dxa"/>
                  <w:tcBorders>
                    <w:top w:val="nil"/>
                    <w:left w:val="nil"/>
                    <w:bottom w:val="single" w:sz="8"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80</w:t>
                  </w:r>
                </w:p>
              </w:tc>
            </w:tr>
            <w:tr w:rsidR="0082044A" w:rsidRPr="0082044A" w:rsidTr="0082044A">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CAGLIARI</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24</w:t>
                  </w:r>
                </w:p>
              </w:tc>
              <w:tc>
                <w:tcPr>
                  <w:tcW w:w="867"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1104"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9</w:t>
                  </w:r>
                </w:p>
              </w:tc>
              <w:tc>
                <w:tcPr>
                  <w:tcW w:w="779"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867" w:type="dxa"/>
                  <w:tcBorders>
                    <w:top w:val="nil"/>
                    <w:left w:val="nil"/>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14</w:t>
                  </w:r>
                </w:p>
              </w:tc>
              <w:tc>
                <w:tcPr>
                  <w:tcW w:w="867" w:type="dxa"/>
                  <w:tcBorders>
                    <w:top w:val="nil"/>
                    <w:left w:val="single" w:sz="8" w:space="0" w:color="auto"/>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5</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74</w:t>
                  </w:r>
                </w:p>
              </w:tc>
              <w:tc>
                <w:tcPr>
                  <w:tcW w:w="1444" w:type="dxa"/>
                  <w:tcBorders>
                    <w:top w:val="nil"/>
                    <w:left w:val="nil"/>
                    <w:bottom w:val="single" w:sz="8"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127</w:t>
                  </w:r>
                </w:p>
              </w:tc>
            </w:tr>
            <w:tr w:rsidR="0082044A" w:rsidRPr="0082044A" w:rsidTr="0082044A">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CAMPOBASSO</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867"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1104"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779"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867" w:type="dxa"/>
                  <w:tcBorders>
                    <w:top w:val="nil"/>
                    <w:left w:val="nil"/>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w:t>
                  </w:r>
                </w:p>
              </w:tc>
              <w:tc>
                <w:tcPr>
                  <w:tcW w:w="867" w:type="dxa"/>
                  <w:tcBorders>
                    <w:top w:val="nil"/>
                    <w:left w:val="single" w:sz="8" w:space="0" w:color="auto"/>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18</w:t>
                  </w:r>
                </w:p>
              </w:tc>
              <w:tc>
                <w:tcPr>
                  <w:tcW w:w="1444" w:type="dxa"/>
                  <w:tcBorders>
                    <w:top w:val="nil"/>
                    <w:left w:val="nil"/>
                    <w:bottom w:val="single" w:sz="8"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23</w:t>
                  </w:r>
                </w:p>
              </w:tc>
            </w:tr>
            <w:tr w:rsidR="0082044A" w:rsidRPr="0082044A" w:rsidTr="0082044A">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CATANIA</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37</w:t>
                  </w:r>
                </w:p>
              </w:tc>
              <w:tc>
                <w:tcPr>
                  <w:tcW w:w="867"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1104"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5</w:t>
                  </w:r>
                </w:p>
              </w:tc>
              <w:tc>
                <w:tcPr>
                  <w:tcW w:w="779"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867" w:type="dxa"/>
                  <w:tcBorders>
                    <w:top w:val="nil"/>
                    <w:left w:val="nil"/>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14</w:t>
                  </w:r>
                </w:p>
              </w:tc>
              <w:tc>
                <w:tcPr>
                  <w:tcW w:w="867" w:type="dxa"/>
                  <w:tcBorders>
                    <w:top w:val="nil"/>
                    <w:left w:val="single" w:sz="8" w:space="0" w:color="auto"/>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5</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125</w:t>
                  </w:r>
                </w:p>
              </w:tc>
              <w:tc>
                <w:tcPr>
                  <w:tcW w:w="1444" w:type="dxa"/>
                  <w:tcBorders>
                    <w:top w:val="nil"/>
                    <w:left w:val="nil"/>
                    <w:bottom w:val="single" w:sz="8"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187</w:t>
                  </w:r>
                </w:p>
              </w:tc>
            </w:tr>
            <w:tr w:rsidR="0082044A" w:rsidRPr="0082044A" w:rsidTr="0082044A">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CATANZARO</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20</w:t>
                  </w:r>
                </w:p>
              </w:tc>
              <w:tc>
                <w:tcPr>
                  <w:tcW w:w="867"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1104"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3</w:t>
                  </w:r>
                </w:p>
              </w:tc>
              <w:tc>
                <w:tcPr>
                  <w:tcW w:w="779"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867" w:type="dxa"/>
                  <w:tcBorders>
                    <w:top w:val="nil"/>
                    <w:left w:val="nil"/>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5</w:t>
                  </w:r>
                </w:p>
              </w:tc>
              <w:tc>
                <w:tcPr>
                  <w:tcW w:w="867" w:type="dxa"/>
                  <w:tcBorders>
                    <w:top w:val="nil"/>
                    <w:left w:val="single" w:sz="8" w:space="0" w:color="auto"/>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67</w:t>
                  </w:r>
                </w:p>
              </w:tc>
              <w:tc>
                <w:tcPr>
                  <w:tcW w:w="1444" w:type="dxa"/>
                  <w:tcBorders>
                    <w:top w:val="nil"/>
                    <w:left w:val="nil"/>
                    <w:bottom w:val="single" w:sz="8"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98</w:t>
                  </w:r>
                </w:p>
              </w:tc>
            </w:tr>
            <w:tr w:rsidR="0082044A" w:rsidRPr="0082044A" w:rsidTr="0082044A">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FIRENZE</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34</w:t>
                  </w:r>
                </w:p>
              </w:tc>
              <w:tc>
                <w:tcPr>
                  <w:tcW w:w="867"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1104"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779"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3</w:t>
                  </w:r>
                </w:p>
              </w:tc>
              <w:tc>
                <w:tcPr>
                  <w:tcW w:w="867" w:type="dxa"/>
                  <w:tcBorders>
                    <w:top w:val="nil"/>
                    <w:left w:val="nil"/>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12</w:t>
                  </w:r>
                </w:p>
              </w:tc>
              <w:tc>
                <w:tcPr>
                  <w:tcW w:w="867" w:type="dxa"/>
                  <w:tcBorders>
                    <w:top w:val="nil"/>
                    <w:left w:val="single" w:sz="8" w:space="0" w:color="auto"/>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25</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77</w:t>
                  </w:r>
                </w:p>
              </w:tc>
              <w:tc>
                <w:tcPr>
                  <w:tcW w:w="1444" w:type="dxa"/>
                  <w:tcBorders>
                    <w:top w:val="nil"/>
                    <w:left w:val="nil"/>
                    <w:bottom w:val="single" w:sz="8"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152</w:t>
                  </w:r>
                </w:p>
              </w:tc>
            </w:tr>
            <w:tr w:rsidR="0082044A" w:rsidRPr="0082044A" w:rsidTr="0082044A">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GENOVA</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11</w:t>
                  </w:r>
                </w:p>
              </w:tc>
              <w:tc>
                <w:tcPr>
                  <w:tcW w:w="867"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1104"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779"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867" w:type="dxa"/>
                  <w:tcBorders>
                    <w:top w:val="nil"/>
                    <w:left w:val="nil"/>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5</w:t>
                  </w:r>
                </w:p>
              </w:tc>
              <w:tc>
                <w:tcPr>
                  <w:tcW w:w="867" w:type="dxa"/>
                  <w:tcBorders>
                    <w:top w:val="nil"/>
                    <w:left w:val="single" w:sz="8" w:space="0" w:color="auto"/>
                    <w:bottom w:val="single" w:sz="8" w:space="0" w:color="auto"/>
                    <w:right w:val="nil"/>
                  </w:tcBorders>
                  <w:shd w:val="clear" w:color="auto" w:fill="auto"/>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 </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35</w:t>
                  </w:r>
                </w:p>
              </w:tc>
              <w:tc>
                <w:tcPr>
                  <w:tcW w:w="1444" w:type="dxa"/>
                  <w:tcBorders>
                    <w:top w:val="nil"/>
                    <w:left w:val="nil"/>
                    <w:bottom w:val="single" w:sz="8"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51</w:t>
                  </w:r>
                </w:p>
              </w:tc>
            </w:tr>
            <w:tr w:rsidR="0082044A" w:rsidRPr="0082044A" w:rsidTr="0082044A">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L'AQUILA</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8</w:t>
                  </w:r>
                </w:p>
              </w:tc>
              <w:tc>
                <w:tcPr>
                  <w:tcW w:w="867"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1104"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3</w:t>
                  </w:r>
                </w:p>
              </w:tc>
              <w:tc>
                <w:tcPr>
                  <w:tcW w:w="779"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867" w:type="dxa"/>
                  <w:tcBorders>
                    <w:top w:val="nil"/>
                    <w:left w:val="nil"/>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10</w:t>
                  </w:r>
                </w:p>
              </w:tc>
              <w:tc>
                <w:tcPr>
                  <w:tcW w:w="867" w:type="dxa"/>
                  <w:tcBorders>
                    <w:top w:val="nil"/>
                    <w:left w:val="single" w:sz="8" w:space="0" w:color="auto"/>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28</w:t>
                  </w:r>
                </w:p>
              </w:tc>
              <w:tc>
                <w:tcPr>
                  <w:tcW w:w="1444" w:type="dxa"/>
                  <w:tcBorders>
                    <w:top w:val="nil"/>
                    <w:left w:val="nil"/>
                    <w:bottom w:val="single" w:sz="8"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51</w:t>
                  </w:r>
                </w:p>
              </w:tc>
            </w:tr>
            <w:tr w:rsidR="0082044A" w:rsidRPr="0082044A" w:rsidTr="0082044A">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LATINA</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4</w:t>
                  </w:r>
                </w:p>
              </w:tc>
              <w:tc>
                <w:tcPr>
                  <w:tcW w:w="867"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1104"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779"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867" w:type="dxa"/>
                  <w:tcBorders>
                    <w:top w:val="nil"/>
                    <w:left w:val="nil"/>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5</w:t>
                  </w:r>
                </w:p>
              </w:tc>
              <w:tc>
                <w:tcPr>
                  <w:tcW w:w="867" w:type="dxa"/>
                  <w:tcBorders>
                    <w:top w:val="nil"/>
                    <w:left w:val="single" w:sz="8" w:space="0" w:color="auto"/>
                    <w:bottom w:val="single" w:sz="8" w:space="0" w:color="auto"/>
                    <w:right w:val="nil"/>
                  </w:tcBorders>
                  <w:shd w:val="clear" w:color="auto" w:fill="auto"/>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 </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39</w:t>
                  </w:r>
                </w:p>
              </w:tc>
              <w:tc>
                <w:tcPr>
                  <w:tcW w:w="1444" w:type="dxa"/>
                  <w:tcBorders>
                    <w:top w:val="nil"/>
                    <w:left w:val="nil"/>
                    <w:bottom w:val="single" w:sz="8"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48</w:t>
                  </w:r>
                </w:p>
              </w:tc>
            </w:tr>
            <w:tr w:rsidR="0082044A" w:rsidRPr="0082044A" w:rsidTr="0082044A">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LECCE</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26</w:t>
                  </w:r>
                </w:p>
              </w:tc>
              <w:tc>
                <w:tcPr>
                  <w:tcW w:w="867"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1104"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10</w:t>
                  </w:r>
                </w:p>
              </w:tc>
              <w:tc>
                <w:tcPr>
                  <w:tcW w:w="779"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5</w:t>
                  </w:r>
                </w:p>
              </w:tc>
              <w:tc>
                <w:tcPr>
                  <w:tcW w:w="867" w:type="dxa"/>
                  <w:tcBorders>
                    <w:top w:val="nil"/>
                    <w:left w:val="nil"/>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13</w:t>
                  </w:r>
                </w:p>
              </w:tc>
              <w:tc>
                <w:tcPr>
                  <w:tcW w:w="867" w:type="dxa"/>
                  <w:tcBorders>
                    <w:top w:val="nil"/>
                    <w:left w:val="single" w:sz="8" w:space="0" w:color="auto"/>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80</w:t>
                  </w:r>
                </w:p>
              </w:tc>
              <w:tc>
                <w:tcPr>
                  <w:tcW w:w="1444" w:type="dxa"/>
                  <w:tcBorders>
                    <w:top w:val="nil"/>
                    <w:left w:val="nil"/>
                    <w:bottom w:val="single" w:sz="8"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135</w:t>
                  </w:r>
                </w:p>
              </w:tc>
            </w:tr>
            <w:tr w:rsidR="0082044A" w:rsidRPr="0082044A" w:rsidTr="0082044A">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MILANO</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90</w:t>
                  </w:r>
                </w:p>
              </w:tc>
              <w:tc>
                <w:tcPr>
                  <w:tcW w:w="867"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1104"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779"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867" w:type="dxa"/>
                  <w:tcBorders>
                    <w:top w:val="nil"/>
                    <w:left w:val="nil"/>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8</w:t>
                  </w:r>
                </w:p>
              </w:tc>
              <w:tc>
                <w:tcPr>
                  <w:tcW w:w="867" w:type="dxa"/>
                  <w:tcBorders>
                    <w:top w:val="nil"/>
                    <w:left w:val="single" w:sz="8" w:space="0" w:color="auto"/>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7</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232</w:t>
                  </w:r>
                </w:p>
              </w:tc>
              <w:tc>
                <w:tcPr>
                  <w:tcW w:w="1444" w:type="dxa"/>
                  <w:tcBorders>
                    <w:top w:val="nil"/>
                    <w:left w:val="nil"/>
                    <w:bottom w:val="single" w:sz="8"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337</w:t>
                  </w:r>
                </w:p>
              </w:tc>
            </w:tr>
            <w:tr w:rsidR="0082044A" w:rsidRPr="0082044A" w:rsidTr="0082044A">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NAPOLI</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51</w:t>
                  </w:r>
                </w:p>
              </w:tc>
              <w:tc>
                <w:tcPr>
                  <w:tcW w:w="867"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1104"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9</w:t>
                  </w:r>
                </w:p>
              </w:tc>
              <w:tc>
                <w:tcPr>
                  <w:tcW w:w="779"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4</w:t>
                  </w:r>
                </w:p>
              </w:tc>
              <w:tc>
                <w:tcPr>
                  <w:tcW w:w="867" w:type="dxa"/>
                  <w:tcBorders>
                    <w:top w:val="nil"/>
                    <w:left w:val="nil"/>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11</w:t>
                  </w:r>
                </w:p>
              </w:tc>
              <w:tc>
                <w:tcPr>
                  <w:tcW w:w="867" w:type="dxa"/>
                  <w:tcBorders>
                    <w:top w:val="nil"/>
                    <w:left w:val="single" w:sz="8" w:space="0" w:color="auto"/>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400</w:t>
                  </w:r>
                </w:p>
              </w:tc>
              <w:tc>
                <w:tcPr>
                  <w:tcW w:w="1444" w:type="dxa"/>
                  <w:tcBorders>
                    <w:top w:val="nil"/>
                    <w:left w:val="nil"/>
                    <w:bottom w:val="single" w:sz="8"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477</w:t>
                  </w:r>
                </w:p>
              </w:tc>
            </w:tr>
            <w:tr w:rsidR="0082044A" w:rsidRPr="0082044A" w:rsidTr="0082044A">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PALERMO</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27</w:t>
                  </w:r>
                </w:p>
              </w:tc>
              <w:tc>
                <w:tcPr>
                  <w:tcW w:w="867"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1104"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9</w:t>
                  </w:r>
                </w:p>
              </w:tc>
              <w:tc>
                <w:tcPr>
                  <w:tcW w:w="779"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867" w:type="dxa"/>
                  <w:tcBorders>
                    <w:top w:val="nil"/>
                    <w:left w:val="nil"/>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7</w:t>
                  </w:r>
                </w:p>
              </w:tc>
              <w:tc>
                <w:tcPr>
                  <w:tcW w:w="867" w:type="dxa"/>
                  <w:tcBorders>
                    <w:top w:val="nil"/>
                    <w:left w:val="single" w:sz="8" w:space="0" w:color="auto"/>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6</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92</w:t>
                  </w:r>
                </w:p>
              </w:tc>
              <w:tc>
                <w:tcPr>
                  <w:tcW w:w="1444" w:type="dxa"/>
                  <w:tcBorders>
                    <w:top w:val="nil"/>
                    <w:left w:val="nil"/>
                    <w:bottom w:val="single" w:sz="8"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142</w:t>
                  </w:r>
                </w:p>
              </w:tc>
            </w:tr>
            <w:tr w:rsidR="0082044A" w:rsidRPr="0082044A" w:rsidTr="0082044A">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PARMA</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3</w:t>
                  </w:r>
                </w:p>
              </w:tc>
              <w:tc>
                <w:tcPr>
                  <w:tcW w:w="867"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1104"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779"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867" w:type="dxa"/>
                  <w:tcBorders>
                    <w:top w:val="nil"/>
                    <w:left w:val="nil"/>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4</w:t>
                  </w:r>
                </w:p>
              </w:tc>
              <w:tc>
                <w:tcPr>
                  <w:tcW w:w="867" w:type="dxa"/>
                  <w:tcBorders>
                    <w:top w:val="nil"/>
                    <w:left w:val="single" w:sz="8" w:space="0" w:color="auto"/>
                    <w:bottom w:val="single" w:sz="8" w:space="0" w:color="auto"/>
                    <w:right w:val="nil"/>
                  </w:tcBorders>
                  <w:shd w:val="clear" w:color="auto" w:fill="auto"/>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 </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13</w:t>
                  </w:r>
                </w:p>
              </w:tc>
              <w:tc>
                <w:tcPr>
                  <w:tcW w:w="1444" w:type="dxa"/>
                  <w:tcBorders>
                    <w:top w:val="nil"/>
                    <w:left w:val="nil"/>
                    <w:bottom w:val="single" w:sz="8"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21</w:t>
                  </w:r>
                </w:p>
              </w:tc>
            </w:tr>
            <w:tr w:rsidR="0082044A" w:rsidRPr="0082044A" w:rsidTr="0082044A">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PERUGIA</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12</w:t>
                  </w:r>
                </w:p>
              </w:tc>
              <w:tc>
                <w:tcPr>
                  <w:tcW w:w="867"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w:t>
                  </w:r>
                </w:p>
              </w:tc>
              <w:tc>
                <w:tcPr>
                  <w:tcW w:w="1104"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w:t>
                  </w:r>
                </w:p>
              </w:tc>
              <w:tc>
                <w:tcPr>
                  <w:tcW w:w="779"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867" w:type="dxa"/>
                  <w:tcBorders>
                    <w:top w:val="nil"/>
                    <w:left w:val="nil"/>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3</w:t>
                  </w:r>
                </w:p>
              </w:tc>
              <w:tc>
                <w:tcPr>
                  <w:tcW w:w="867" w:type="dxa"/>
                  <w:tcBorders>
                    <w:top w:val="nil"/>
                    <w:left w:val="single" w:sz="8" w:space="0" w:color="auto"/>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18</w:t>
                  </w:r>
                </w:p>
              </w:tc>
              <w:tc>
                <w:tcPr>
                  <w:tcW w:w="1444" w:type="dxa"/>
                  <w:tcBorders>
                    <w:top w:val="nil"/>
                    <w:left w:val="nil"/>
                    <w:bottom w:val="single" w:sz="8"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38</w:t>
                  </w:r>
                </w:p>
              </w:tc>
            </w:tr>
            <w:tr w:rsidR="0082044A" w:rsidRPr="0082044A" w:rsidTr="0082044A">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PESCARA</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23</w:t>
                  </w:r>
                </w:p>
              </w:tc>
              <w:tc>
                <w:tcPr>
                  <w:tcW w:w="867"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1104"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779"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867" w:type="dxa"/>
                  <w:tcBorders>
                    <w:top w:val="nil"/>
                    <w:left w:val="nil"/>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4</w:t>
                  </w:r>
                </w:p>
              </w:tc>
              <w:tc>
                <w:tcPr>
                  <w:tcW w:w="867" w:type="dxa"/>
                  <w:tcBorders>
                    <w:top w:val="nil"/>
                    <w:left w:val="single" w:sz="8" w:space="0" w:color="auto"/>
                    <w:bottom w:val="single" w:sz="8" w:space="0" w:color="auto"/>
                    <w:right w:val="nil"/>
                  </w:tcBorders>
                  <w:shd w:val="clear" w:color="auto" w:fill="auto"/>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 </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24</w:t>
                  </w:r>
                </w:p>
              </w:tc>
              <w:tc>
                <w:tcPr>
                  <w:tcW w:w="1444" w:type="dxa"/>
                  <w:tcBorders>
                    <w:top w:val="nil"/>
                    <w:left w:val="nil"/>
                    <w:bottom w:val="single" w:sz="8"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51</w:t>
                  </w:r>
                </w:p>
              </w:tc>
            </w:tr>
            <w:tr w:rsidR="0082044A" w:rsidRPr="0082044A" w:rsidTr="0082044A">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POTENZA</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7</w:t>
                  </w:r>
                </w:p>
              </w:tc>
              <w:tc>
                <w:tcPr>
                  <w:tcW w:w="867"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1104"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779"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867" w:type="dxa"/>
                  <w:tcBorders>
                    <w:top w:val="nil"/>
                    <w:left w:val="nil"/>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13</w:t>
                  </w:r>
                </w:p>
              </w:tc>
              <w:tc>
                <w:tcPr>
                  <w:tcW w:w="867" w:type="dxa"/>
                  <w:tcBorders>
                    <w:top w:val="nil"/>
                    <w:left w:val="single" w:sz="8" w:space="0" w:color="auto"/>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9</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25</w:t>
                  </w:r>
                </w:p>
              </w:tc>
              <w:tc>
                <w:tcPr>
                  <w:tcW w:w="1444" w:type="dxa"/>
                  <w:tcBorders>
                    <w:top w:val="nil"/>
                    <w:left w:val="nil"/>
                    <w:bottom w:val="single" w:sz="8"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55</w:t>
                  </w:r>
                </w:p>
              </w:tc>
            </w:tr>
            <w:tr w:rsidR="0082044A" w:rsidRPr="0082044A" w:rsidTr="0082044A">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REGGIO CALABRIA</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8</w:t>
                  </w:r>
                </w:p>
              </w:tc>
              <w:tc>
                <w:tcPr>
                  <w:tcW w:w="867"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1104"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779"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867" w:type="dxa"/>
                  <w:tcBorders>
                    <w:top w:val="nil"/>
                    <w:left w:val="nil"/>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5</w:t>
                  </w:r>
                </w:p>
              </w:tc>
              <w:tc>
                <w:tcPr>
                  <w:tcW w:w="867" w:type="dxa"/>
                  <w:tcBorders>
                    <w:top w:val="nil"/>
                    <w:left w:val="single" w:sz="8" w:space="0" w:color="auto"/>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31</w:t>
                  </w:r>
                </w:p>
              </w:tc>
              <w:tc>
                <w:tcPr>
                  <w:tcW w:w="1444" w:type="dxa"/>
                  <w:tcBorders>
                    <w:top w:val="nil"/>
                    <w:left w:val="nil"/>
                    <w:bottom w:val="single" w:sz="8"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46</w:t>
                  </w:r>
                </w:p>
              </w:tc>
            </w:tr>
            <w:tr w:rsidR="0082044A" w:rsidRPr="0082044A" w:rsidTr="0082044A">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ROMA</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58</w:t>
                  </w:r>
                </w:p>
              </w:tc>
              <w:tc>
                <w:tcPr>
                  <w:tcW w:w="867"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58</w:t>
                  </w:r>
                </w:p>
              </w:tc>
              <w:tc>
                <w:tcPr>
                  <w:tcW w:w="1104"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9</w:t>
                  </w:r>
                </w:p>
              </w:tc>
              <w:tc>
                <w:tcPr>
                  <w:tcW w:w="779"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20</w:t>
                  </w:r>
                </w:p>
              </w:tc>
              <w:tc>
                <w:tcPr>
                  <w:tcW w:w="867" w:type="dxa"/>
                  <w:tcBorders>
                    <w:top w:val="nil"/>
                    <w:left w:val="nil"/>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29</w:t>
                  </w:r>
                </w:p>
              </w:tc>
              <w:tc>
                <w:tcPr>
                  <w:tcW w:w="867" w:type="dxa"/>
                  <w:tcBorders>
                    <w:top w:val="nil"/>
                    <w:left w:val="single" w:sz="8" w:space="0" w:color="auto"/>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24</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352</w:t>
                  </w:r>
                </w:p>
              </w:tc>
              <w:tc>
                <w:tcPr>
                  <w:tcW w:w="1444" w:type="dxa"/>
                  <w:tcBorders>
                    <w:top w:val="nil"/>
                    <w:left w:val="nil"/>
                    <w:bottom w:val="single" w:sz="8"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550</w:t>
                  </w:r>
                </w:p>
              </w:tc>
            </w:tr>
            <w:tr w:rsidR="0082044A" w:rsidRPr="0082044A" w:rsidTr="0082044A">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SALERNO</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8</w:t>
                  </w:r>
                </w:p>
              </w:tc>
              <w:tc>
                <w:tcPr>
                  <w:tcW w:w="867"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1104"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3</w:t>
                  </w:r>
                </w:p>
              </w:tc>
              <w:tc>
                <w:tcPr>
                  <w:tcW w:w="779"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w:t>
                  </w:r>
                </w:p>
              </w:tc>
              <w:tc>
                <w:tcPr>
                  <w:tcW w:w="867" w:type="dxa"/>
                  <w:tcBorders>
                    <w:top w:val="nil"/>
                    <w:left w:val="nil"/>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11</w:t>
                  </w:r>
                </w:p>
              </w:tc>
              <w:tc>
                <w:tcPr>
                  <w:tcW w:w="867" w:type="dxa"/>
                  <w:tcBorders>
                    <w:top w:val="nil"/>
                    <w:left w:val="single" w:sz="8" w:space="0" w:color="auto"/>
                    <w:bottom w:val="single" w:sz="8" w:space="0" w:color="auto"/>
                    <w:right w:val="nil"/>
                  </w:tcBorders>
                  <w:shd w:val="clear" w:color="auto" w:fill="auto"/>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 </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154</w:t>
                  </w:r>
                </w:p>
              </w:tc>
              <w:tc>
                <w:tcPr>
                  <w:tcW w:w="1444" w:type="dxa"/>
                  <w:tcBorders>
                    <w:top w:val="nil"/>
                    <w:left w:val="nil"/>
                    <w:bottom w:val="single" w:sz="8"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178</w:t>
                  </w:r>
                </w:p>
              </w:tc>
            </w:tr>
            <w:tr w:rsidR="0082044A" w:rsidRPr="0082044A" w:rsidTr="0082044A">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TORINO</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36</w:t>
                  </w:r>
                </w:p>
              </w:tc>
              <w:tc>
                <w:tcPr>
                  <w:tcW w:w="867"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w:t>
                  </w:r>
                </w:p>
              </w:tc>
              <w:tc>
                <w:tcPr>
                  <w:tcW w:w="1104"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779"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w:t>
                  </w:r>
                </w:p>
              </w:tc>
              <w:tc>
                <w:tcPr>
                  <w:tcW w:w="867" w:type="dxa"/>
                  <w:tcBorders>
                    <w:top w:val="nil"/>
                    <w:left w:val="nil"/>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16</w:t>
                  </w:r>
                </w:p>
              </w:tc>
              <w:tc>
                <w:tcPr>
                  <w:tcW w:w="867" w:type="dxa"/>
                  <w:tcBorders>
                    <w:top w:val="nil"/>
                    <w:left w:val="single" w:sz="8" w:space="0" w:color="auto"/>
                    <w:bottom w:val="single" w:sz="8" w:space="0" w:color="auto"/>
                    <w:right w:val="nil"/>
                  </w:tcBorders>
                  <w:shd w:val="clear" w:color="auto" w:fill="auto"/>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 </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65</w:t>
                  </w:r>
                </w:p>
              </w:tc>
              <w:tc>
                <w:tcPr>
                  <w:tcW w:w="1444" w:type="dxa"/>
                  <w:tcBorders>
                    <w:top w:val="nil"/>
                    <w:left w:val="nil"/>
                    <w:bottom w:val="single" w:sz="8"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121</w:t>
                  </w:r>
                </w:p>
              </w:tc>
            </w:tr>
            <w:tr w:rsidR="0082044A" w:rsidRPr="0082044A" w:rsidTr="0082044A">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TRENTO</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4</w:t>
                  </w:r>
                </w:p>
              </w:tc>
              <w:tc>
                <w:tcPr>
                  <w:tcW w:w="867"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1104"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w:t>
                  </w:r>
                </w:p>
              </w:tc>
              <w:tc>
                <w:tcPr>
                  <w:tcW w:w="779"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867" w:type="dxa"/>
                  <w:tcBorders>
                    <w:top w:val="nil"/>
                    <w:left w:val="nil"/>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3</w:t>
                  </w:r>
                </w:p>
              </w:tc>
              <w:tc>
                <w:tcPr>
                  <w:tcW w:w="867" w:type="dxa"/>
                  <w:tcBorders>
                    <w:top w:val="nil"/>
                    <w:left w:val="single" w:sz="8" w:space="0" w:color="auto"/>
                    <w:bottom w:val="single" w:sz="8" w:space="0" w:color="auto"/>
                    <w:right w:val="nil"/>
                  </w:tcBorders>
                  <w:shd w:val="clear" w:color="auto" w:fill="auto"/>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 </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16</w:t>
                  </w:r>
                </w:p>
              </w:tc>
              <w:tc>
                <w:tcPr>
                  <w:tcW w:w="1444" w:type="dxa"/>
                  <w:tcBorders>
                    <w:top w:val="nil"/>
                    <w:left w:val="nil"/>
                    <w:bottom w:val="single" w:sz="8"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25</w:t>
                  </w:r>
                </w:p>
              </w:tc>
            </w:tr>
            <w:tr w:rsidR="0082044A" w:rsidRPr="0082044A" w:rsidTr="0082044A">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TRIESTE</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14</w:t>
                  </w:r>
                </w:p>
              </w:tc>
              <w:tc>
                <w:tcPr>
                  <w:tcW w:w="867"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1104"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3</w:t>
                  </w:r>
                </w:p>
              </w:tc>
              <w:tc>
                <w:tcPr>
                  <w:tcW w:w="779"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867" w:type="dxa"/>
                  <w:tcBorders>
                    <w:top w:val="nil"/>
                    <w:left w:val="nil"/>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5</w:t>
                  </w:r>
                </w:p>
              </w:tc>
              <w:tc>
                <w:tcPr>
                  <w:tcW w:w="867" w:type="dxa"/>
                  <w:tcBorders>
                    <w:top w:val="nil"/>
                    <w:left w:val="single" w:sz="8" w:space="0" w:color="auto"/>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20</w:t>
                  </w:r>
                </w:p>
              </w:tc>
              <w:tc>
                <w:tcPr>
                  <w:tcW w:w="1444" w:type="dxa"/>
                  <w:tcBorders>
                    <w:top w:val="nil"/>
                    <w:left w:val="nil"/>
                    <w:bottom w:val="single" w:sz="8"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43</w:t>
                  </w:r>
                </w:p>
              </w:tc>
            </w:tr>
            <w:tr w:rsidR="0082044A" w:rsidRPr="0082044A" w:rsidTr="0082044A">
              <w:trPr>
                <w:trHeight w:val="315"/>
              </w:trPr>
              <w:tc>
                <w:tcPr>
                  <w:tcW w:w="1777" w:type="dxa"/>
                  <w:tcBorders>
                    <w:top w:val="nil"/>
                    <w:left w:val="single" w:sz="8" w:space="0" w:color="auto"/>
                    <w:bottom w:val="nil"/>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VENEZIA</w:t>
                  </w:r>
                </w:p>
              </w:tc>
              <w:tc>
                <w:tcPr>
                  <w:tcW w:w="867" w:type="dxa"/>
                  <w:tcBorders>
                    <w:top w:val="nil"/>
                    <w:left w:val="single" w:sz="8" w:space="0" w:color="auto"/>
                    <w:bottom w:val="nil"/>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45</w:t>
                  </w:r>
                </w:p>
              </w:tc>
              <w:tc>
                <w:tcPr>
                  <w:tcW w:w="867" w:type="dxa"/>
                  <w:tcBorders>
                    <w:top w:val="nil"/>
                    <w:left w:val="nil"/>
                    <w:bottom w:val="nil"/>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1104" w:type="dxa"/>
                  <w:tcBorders>
                    <w:top w:val="nil"/>
                    <w:left w:val="nil"/>
                    <w:bottom w:val="nil"/>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4</w:t>
                  </w:r>
                </w:p>
              </w:tc>
              <w:tc>
                <w:tcPr>
                  <w:tcW w:w="779" w:type="dxa"/>
                  <w:tcBorders>
                    <w:top w:val="nil"/>
                    <w:left w:val="nil"/>
                    <w:bottom w:val="nil"/>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867" w:type="dxa"/>
                  <w:tcBorders>
                    <w:top w:val="nil"/>
                    <w:left w:val="nil"/>
                    <w:bottom w:val="nil"/>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21</w:t>
                  </w:r>
                </w:p>
              </w:tc>
              <w:tc>
                <w:tcPr>
                  <w:tcW w:w="867" w:type="dxa"/>
                  <w:tcBorders>
                    <w:top w:val="nil"/>
                    <w:left w:val="single" w:sz="8" w:space="0" w:color="auto"/>
                    <w:bottom w:val="nil"/>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4</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74</w:t>
                  </w:r>
                </w:p>
              </w:tc>
              <w:tc>
                <w:tcPr>
                  <w:tcW w:w="1444" w:type="dxa"/>
                  <w:tcBorders>
                    <w:top w:val="nil"/>
                    <w:left w:val="nil"/>
                    <w:bottom w:val="single" w:sz="8"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148</w:t>
                  </w:r>
                </w:p>
              </w:tc>
            </w:tr>
            <w:tr w:rsidR="0082044A" w:rsidRPr="0082044A" w:rsidTr="0082044A">
              <w:trPr>
                <w:trHeight w:val="315"/>
              </w:trPr>
              <w:tc>
                <w:tcPr>
                  <w:tcW w:w="1777" w:type="dxa"/>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82044A" w:rsidRPr="0082044A" w:rsidRDefault="0082044A" w:rsidP="0082044A">
                  <w:pPr>
                    <w:spacing w:after="0" w:line="240" w:lineRule="auto"/>
                    <w:jc w:val="right"/>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TOTALE</w:t>
                  </w:r>
                </w:p>
              </w:tc>
              <w:tc>
                <w:tcPr>
                  <w:tcW w:w="867" w:type="dxa"/>
                  <w:tcBorders>
                    <w:top w:val="single" w:sz="8" w:space="0" w:color="auto"/>
                    <w:left w:val="nil"/>
                    <w:bottom w:val="single" w:sz="8" w:space="0" w:color="auto"/>
                    <w:right w:val="single" w:sz="4" w:space="0" w:color="auto"/>
                  </w:tcBorders>
                  <w:shd w:val="clear" w:color="000000" w:fill="D6DCE4"/>
                  <w:noWrap/>
                  <w:vAlign w:val="center"/>
                  <w:hideMark/>
                </w:tcPr>
                <w:p w:rsidR="0082044A" w:rsidRPr="0082044A" w:rsidRDefault="0082044A" w:rsidP="0082044A">
                  <w:pPr>
                    <w:spacing w:after="0" w:line="240" w:lineRule="auto"/>
                    <w:jc w:val="right"/>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663</w:t>
                  </w:r>
                </w:p>
              </w:tc>
              <w:tc>
                <w:tcPr>
                  <w:tcW w:w="867" w:type="dxa"/>
                  <w:tcBorders>
                    <w:top w:val="single" w:sz="8" w:space="0" w:color="auto"/>
                    <w:left w:val="nil"/>
                    <w:bottom w:val="single" w:sz="8" w:space="0" w:color="auto"/>
                    <w:right w:val="single" w:sz="4" w:space="0" w:color="auto"/>
                  </w:tcBorders>
                  <w:shd w:val="clear" w:color="000000" w:fill="D6DCE4"/>
                  <w:noWrap/>
                  <w:vAlign w:val="center"/>
                  <w:hideMark/>
                </w:tcPr>
                <w:p w:rsidR="0082044A" w:rsidRPr="0082044A" w:rsidRDefault="0082044A" w:rsidP="0082044A">
                  <w:pPr>
                    <w:spacing w:after="0" w:line="240" w:lineRule="auto"/>
                    <w:jc w:val="right"/>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73</w:t>
                  </w:r>
                </w:p>
              </w:tc>
              <w:tc>
                <w:tcPr>
                  <w:tcW w:w="1104" w:type="dxa"/>
                  <w:tcBorders>
                    <w:top w:val="single" w:sz="8" w:space="0" w:color="auto"/>
                    <w:left w:val="nil"/>
                    <w:bottom w:val="single" w:sz="8" w:space="0" w:color="auto"/>
                    <w:right w:val="single" w:sz="4" w:space="0" w:color="auto"/>
                  </w:tcBorders>
                  <w:shd w:val="clear" w:color="000000" w:fill="D6DCE4"/>
                  <w:noWrap/>
                  <w:vAlign w:val="center"/>
                  <w:hideMark/>
                </w:tcPr>
                <w:p w:rsidR="0082044A" w:rsidRPr="0082044A" w:rsidRDefault="0082044A" w:rsidP="0082044A">
                  <w:pPr>
                    <w:spacing w:after="0" w:line="240" w:lineRule="auto"/>
                    <w:jc w:val="right"/>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82</w:t>
                  </w:r>
                </w:p>
              </w:tc>
              <w:tc>
                <w:tcPr>
                  <w:tcW w:w="779" w:type="dxa"/>
                  <w:tcBorders>
                    <w:top w:val="single" w:sz="8" w:space="0" w:color="auto"/>
                    <w:left w:val="nil"/>
                    <w:bottom w:val="single" w:sz="8" w:space="0" w:color="auto"/>
                    <w:right w:val="single" w:sz="4" w:space="0" w:color="auto"/>
                  </w:tcBorders>
                  <w:shd w:val="clear" w:color="000000" w:fill="D6DCE4"/>
                  <w:noWrap/>
                  <w:vAlign w:val="center"/>
                  <w:hideMark/>
                </w:tcPr>
                <w:p w:rsidR="0082044A" w:rsidRPr="0082044A" w:rsidRDefault="0082044A" w:rsidP="0082044A">
                  <w:pPr>
                    <w:spacing w:after="0" w:line="240" w:lineRule="auto"/>
                    <w:jc w:val="right"/>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46</w:t>
                  </w:r>
                </w:p>
              </w:tc>
              <w:tc>
                <w:tcPr>
                  <w:tcW w:w="867" w:type="dxa"/>
                  <w:tcBorders>
                    <w:top w:val="single" w:sz="8" w:space="0" w:color="auto"/>
                    <w:left w:val="nil"/>
                    <w:bottom w:val="single" w:sz="8" w:space="0" w:color="auto"/>
                    <w:right w:val="single" w:sz="4" w:space="0" w:color="auto"/>
                  </w:tcBorders>
                  <w:shd w:val="clear" w:color="000000" w:fill="D6DCE4"/>
                  <w:noWrap/>
                  <w:vAlign w:val="center"/>
                  <w:hideMark/>
                </w:tcPr>
                <w:p w:rsidR="0082044A" w:rsidRPr="0082044A" w:rsidRDefault="0082044A" w:rsidP="0082044A">
                  <w:pPr>
                    <w:spacing w:after="0" w:line="240" w:lineRule="auto"/>
                    <w:jc w:val="right"/>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260</w:t>
                  </w:r>
                </w:p>
              </w:tc>
              <w:tc>
                <w:tcPr>
                  <w:tcW w:w="867" w:type="dxa"/>
                  <w:tcBorders>
                    <w:top w:val="single" w:sz="8" w:space="0" w:color="auto"/>
                    <w:left w:val="nil"/>
                    <w:bottom w:val="single" w:sz="8" w:space="0" w:color="auto"/>
                    <w:right w:val="single" w:sz="8" w:space="0" w:color="auto"/>
                  </w:tcBorders>
                  <w:shd w:val="clear" w:color="000000" w:fill="D6DCE4"/>
                  <w:noWrap/>
                  <w:vAlign w:val="center"/>
                  <w:hideMark/>
                </w:tcPr>
                <w:p w:rsidR="0082044A" w:rsidRPr="0082044A" w:rsidRDefault="0082044A" w:rsidP="0082044A">
                  <w:pPr>
                    <w:spacing w:after="0" w:line="240" w:lineRule="auto"/>
                    <w:jc w:val="right"/>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105</w:t>
                  </w:r>
                </w:p>
              </w:tc>
              <w:tc>
                <w:tcPr>
                  <w:tcW w:w="1052" w:type="dxa"/>
                  <w:tcBorders>
                    <w:top w:val="nil"/>
                    <w:left w:val="nil"/>
                    <w:bottom w:val="single" w:sz="8" w:space="0" w:color="auto"/>
                    <w:right w:val="single" w:sz="8" w:space="0" w:color="auto"/>
                  </w:tcBorders>
                  <w:shd w:val="clear" w:color="000000" w:fill="D6DCE4"/>
                  <w:noWrap/>
                  <w:vAlign w:val="center"/>
                  <w:hideMark/>
                </w:tcPr>
                <w:p w:rsidR="0082044A" w:rsidRPr="0082044A" w:rsidRDefault="0082044A" w:rsidP="0082044A">
                  <w:pPr>
                    <w:spacing w:after="0" w:line="240" w:lineRule="auto"/>
                    <w:jc w:val="right"/>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4.351</w:t>
                  </w:r>
                </w:p>
              </w:tc>
              <w:tc>
                <w:tcPr>
                  <w:tcW w:w="1444" w:type="dxa"/>
                  <w:tcBorders>
                    <w:top w:val="nil"/>
                    <w:left w:val="nil"/>
                    <w:bottom w:val="single" w:sz="8" w:space="0" w:color="auto"/>
                    <w:right w:val="single" w:sz="8" w:space="0" w:color="auto"/>
                  </w:tcBorders>
                  <w:shd w:val="clear" w:color="000000" w:fill="D6DCE4"/>
                  <w:noWrap/>
                  <w:vAlign w:val="center"/>
                  <w:hideMark/>
                </w:tcPr>
                <w:p w:rsidR="0082044A" w:rsidRPr="0082044A" w:rsidRDefault="0082044A" w:rsidP="0082044A">
                  <w:pPr>
                    <w:spacing w:after="0" w:line="240" w:lineRule="auto"/>
                    <w:jc w:val="right"/>
                    <w:rPr>
                      <w:rFonts w:ascii="Calibri" w:eastAsia="Times New Roman" w:hAnsi="Calibri" w:cs="Calibri"/>
                      <w:b/>
                      <w:bCs/>
                      <w:lang w:eastAsia="it-IT"/>
                    </w:rPr>
                  </w:pPr>
                  <w:r w:rsidRPr="0082044A">
                    <w:rPr>
                      <w:rFonts w:ascii="Calibri" w:eastAsia="Times New Roman" w:hAnsi="Calibri" w:cs="Calibri"/>
                      <w:b/>
                      <w:bCs/>
                      <w:lang w:eastAsia="it-IT"/>
                    </w:rPr>
                    <w:t>3.565</w:t>
                  </w:r>
                </w:p>
              </w:tc>
            </w:tr>
          </w:tbl>
          <w:p w:rsidR="0082044A" w:rsidRPr="0082044A" w:rsidRDefault="0082044A" w:rsidP="0082044A">
            <w:pPr>
              <w:spacing w:after="0" w:line="240" w:lineRule="auto"/>
              <w:rPr>
                <w:rFonts w:ascii="Calibri" w:eastAsia="Calibri" w:hAnsi="Calibri" w:cs="Calibri"/>
                <w:lang w:eastAsia="it-IT"/>
              </w:rPr>
            </w:pPr>
          </w:p>
          <w:p w:rsidR="0082044A" w:rsidRPr="0082044A" w:rsidRDefault="0082044A" w:rsidP="0082044A">
            <w:pPr>
              <w:spacing w:after="0" w:line="240" w:lineRule="auto"/>
              <w:rPr>
                <w:rFonts w:ascii="Calibri" w:eastAsia="Calibri" w:hAnsi="Calibri" w:cs="Calibri"/>
                <w:b/>
                <w:lang w:eastAsia="it-IT"/>
              </w:rPr>
            </w:pPr>
            <w:r w:rsidRPr="0082044A">
              <w:rPr>
                <w:rFonts w:ascii="Calibri" w:eastAsia="Calibri" w:hAnsi="Calibri" w:cs="Calibri"/>
                <w:noProof/>
                <w:lang w:eastAsia="it-IT"/>
              </w:rPr>
              <w:lastRenderedPageBreak/>
              <w:drawing>
                <wp:inline distT="0" distB="0" distL="0" distR="0" wp14:anchorId="5DF5061C" wp14:editId="1BF85211">
                  <wp:extent cx="6120130" cy="3255010"/>
                  <wp:effectExtent l="0" t="0" r="13970" b="2540"/>
                  <wp:docPr id="17" name="Gra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2044A" w:rsidRPr="0082044A" w:rsidRDefault="0082044A" w:rsidP="0082044A">
            <w:pPr>
              <w:spacing w:after="0" w:line="240" w:lineRule="auto"/>
              <w:rPr>
                <w:rFonts w:ascii="Calibri" w:eastAsia="Calibri" w:hAnsi="Calibri" w:cs="Calibri"/>
                <w:b/>
                <w:lang w:eastAsia="it-IT"/>
              </w:rPr>
            </w:pPr>
          </w:p>
          <w:p w:rsidR="0082044A" w:rsidRPr="0082044A" w:rsidRDefault="0082044A" w:rsidP="0082044A">
            <w:pPr>
              <w:spacing w:after="0" w:line="240" w:lineRule="auto"/>
              <w:rPr>
                <w:rFonts w:ascii="Calibri" w:eastAsia="Calibri" w:hAnsi="Calibri" w:cs="Calibri"/>
                <w:b/>
                <w:lang w:eastAsia="it-IT"/>
              </w:rPr>
            </w:pPr>
          </w:p>
          <w:p w:rsidR="0082044A" w:rsidRPr="0082044A" w:rsidRDefault="0082044A" w:rsidP="0082044A">
            <w:pPr>
              <w:spacing w:after="0" w:line="240" w:lineRule="auto"/>
              <w:rPr>
                <w:rFonts w:ascii="Times New Roman" w:eastAsia="Calibri" w:hAnsi="Times New Roman" w:cs="Times New Roman"/>
                <w:sz w:val="24"/>
                <w:szCs w:val="24"/>
                <w:lang w:eastAsia="it-IT"/>
              </w:rPr>
            </w:pPr>
            <w:r w:rsidRPr="0082044A">
              <w:rPr>
                <w:rFonts w:ascii="Times New Roman" w:eastAsia="Calibri" w:hAnsi="Times New Roman" w:cs="Times New Roman"/>
                <w:sz w:val="24"/>
                <w:szCs w:val="24"/>
                <w:lang w:eastAsia="it-IT"/>
              </w:rPr>
              <w:t>Per il 2016 le risultanze sono le seguenti:</w:t>
            </w:r>
          </w:p>
          <w:p w:rsidR="0082044A" w:rsidRPr="0082044A" w:rsidRDefault="0082044A" w:rsidP="0082044A">
            <w:pPr>
              <w:spacing w:after="0" w:line="240" w:lineRule="auto"/>
              <w:rPr>
                <w:rFonts w:ascii="Calibri" w:eastAsia="Calibri" w:hAnsi="Calibri" w:cs="Calibri"/>
                <w:lang w:eastAsia="it-IT"/>
              </w:rPr>
            </w:pPr>
          </w:p>
          <w:tbl>
            <w:tblPr>
              <w:tblW w:w="9345" w:type="dxa"/>
              <w:tblCellMar>
                <w:left w:w="70" w:type="dxa"/>
                <w:right w:w="70" w:type="dxa"/>
              </w:tblCellMar>
              <w:tblLook w:val="04A0" w:firstRow="1" w:lastRow="0" w:firstColumn="1" w:lastColumn="0" w:noHBand="0" w:noVBand="1"/>
            </w:tblPr>
            <w:tblGrid>
              <w:gridCol w:w="1777"/>
              <w:gridCol w:w="684"/>
              <w:gridCol w:w="900"/>
              <w:gridCol w:w="1075"/>
              <w:gridCol w:w="900"/>
              <w:gridCol w:w="900"/>
              <w:gridCol w:w="900"/>
              <w:gridCol w:w="1114"/>
              <w:gridCol w:w="1095"/>
            </w:tblGrid>
            <w:tr w:rsidR="0082044A" w:rsidRPr="0082044A" w:rsidTr="0082044A">
              <w:trPr>
                <w:trHeight w:val="690"/>
              </w:trPr>
              <w:tc>
                <w:tcPr>
                  <w:tcW w:w="1777" w:type="dxa"/>
                  <w:tcBorders>
                    <w:top w:val="nil"/>
                    <w:left w:val="nil"/>
                    <w:bottom w:val="nil"/>
                    <w:right w:val="nil"/>
                  </w:tcBorders>
                  <w:shd w:val="clear" w:color="auto" w:fill="auto"/>
                  <w:noWrap/>
                  <w:vAlign w:val="bottom"/>
                  <w:hideMark/>
                </w:tcPr>
                <w:p w:rsidR="0082044A" w:rsidRPr="0082044A" w:rsidRDefault="0082044A" w:rsidP="0082044A">
                  <w:pPr>
                    <w:spacing w:after="0" w:line="240" w:lineRule="auto"/>
                    <w:rPr>
                      <w:rFonts w:ascii="Times New Roman" w:eastAsia="Times New Roman" w:hAnsi="Times New Roman" w:cs="Times New Roman"/>
                      <w:sz w:val="24"/>
                      <w:szCs w:val="24"/>
                      <w:lang w:eastAsia="it-IT"/>
                    </w:rPr>
                  </w:pPr>
                </w:p>
              </w:tc>
              <w:tc>
                <w:tcPr>
                  <w:tcW w:w="684" w:type="dxa"/>
                  <w:tcBorders>
                    <w:top w:val="single" w:sz="8" w:space="0" w:color="auto"/>
                    <w:left w:val="single" w:sz="8" w:space="0" w:color="auto"/>
                    <w:bottom w:val="single" w:sz="8" w:space="0" w:color="auto"/>
                    <w:right w:val="single" w:sz="8" w:space="0" w:color="auto"/>
                  </w:tcBorders>
                  <w:shd w:val="clear" w:color="000000" w:fill="D6DCE4"/>
                  <w:vAlign w:val="center"/>
                  <w:hideMark/>
                </w:tcPr>
                <w:p w:rsidR="0082044A" w:rsidRPr="0082044A" w:rsidRDefault="0082044A" w:rsidP="0082044A">
                  <w:pPr>
                    <w:spacing w:after="0" w:line="240" w:lineRule="auto"/>
                    <w:jc w:val="center"/>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Sanità</w:t>
                  </w:r>
                </w:p>
              </w:tc>
              <w:tc>
                <w:tcPr>
                  <w:tcW w:w="900" w:type="dxa"/>
                  <w:tcBorders>
                    <w:top w:val="single" w:sz="8" w:space="0" w:color="auto"/>
                    <w:left w:val="nil"/>
                    <w:bottom w:val="single" w:sz="8" w:space="0" w:color="auto"/>
                    <w:right w:val="single" w:sz="8" w:space="0" w:color="auto"/>
                  </w:tcBorders>
                  <w:shd w:val="clear" w:color="000000" w:fill="D6DCE4"/>
                  <w:vAlign w:val="center"/>
                  <w:hideMark/>
                </w:tcPr>
                <w:p w:rsidR="0082044A" w:rsidRPr="0082044A" w:rsidRDefault="0082044A" w:rsidP="0082044A">
                  <w:pPr>
                    <w:spacing w:after="0" w:line="240" w:lineRule="auto"/>
                    <w:jc w:val="center"/>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CONSIP</w:t>
                  </w:r>
                </w:p>
              </w:tc>
              <w:tc>
                <w:tcPr>
                  <w:tcW w:w="1075" w:type="dxa"/>
                  <w:tcBorders>
                    <w:top w:val="single" w:sz="8" w:space="0" w:color="auto"/>
                    <w:left w:val="nil"/>
                    <w:bottom w:val="single" w:sz="8" w:space="0" w:color="auto"/>
                    <w:right w:val="single" w:sz="8" w:space="0" w:color="auto"/>
                  </w:tcBorders>
                  <w:shd w:val="clear" w:color="000000" w:fill="D6DCE4"/>
                  <w:vAlign w:val="center"/>
                  <w:hideMark/>
                </w:tcPr>
                <w:p w:rsidR="0082044A" w:rsidRPr="0082044A" w:rsidRDefault="0082044A" w:rsidP="0082044A">
                  <w:pPr>
                    <w:spacing w:after="0" w:line="240" w:lineRule="auto"/>
                    <w:jc w:val="center"/>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BENI CULTURALI</w:t>
                  </w:r>
                </w:p>
              </w:tc>
              <w:tc>
                <w:tcPr>
                  <w:tcW w:w="900" w:type="dxa"/>
                  <w:tcBorders>
                    <w:top w:val="single" w:sz="8" w:space="0" w:color="auto"/>
                    <w:left w:val="nil"/>
                    <w:bottom w:val="single" w:sz="8" w:space="0" w:color="auto"/>
                    <w:right w:val="single" w:sz="8" w:space="0" w:color="auto"/>
                  </w:tcBorders>
                  <w:shd w:val="clear" w:color="000000" w:fill="D6DCE4"/>
                  <w:vAlign w:val="center"/>
                  <w:hideMark/>
                </w:tcPr>
                <w:p w:rsidR="0082044A" w:rsidRPr="0082044A" w:rsidRDefault="0082044A" w:rsidP="0082044A">
                  <w:pPr>
                    <w:spacing w:after="0" w:line="240" w:lineRule="auto"/>
                    <w:jc w:val="center"/>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DIFESA</w:t>
                  </w:r>
                </w:p>
              </w:tc>
              <w:tc>
                <w:tcPr>
                  <w:tcW w:w="900" w:type="dxa"/>
                  <w:tcBorders>
                    <w:top w:val="single" w:sz="8" w:space="0" w:color="auto"/>
                    <w:left w:val="nil"/>
                    <w:bottom w:val="single" w:sz="8" w:space="0" w:color="auto"/>
                    <w:right w:val="nil"/>
                  </w:tcBorders>
                  <w:shd w:val="clear" w:color="000000" w:fill="D6DCE4"/>
                  <w:vAlign w:val="center"/>
                  <w:hideMark/>
                </w:tcPr>
                <w:p w:rsidR="0082044A" w:rsidRPr="0082044A" w:rsidRDefault="0082044A" w:rsidP="0082044A">
                  <w:pPr>
                    <w:spacing w:after="0" w:line="240" w:lineRule="auto"/>
                    <w:jc w:val="center"/>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SCUOLA</w:t>
                  </w:r>
                </w:p>
              </w:tc>
              <w:tc>
                <w:tcPr>
                  <w:tcW w:w="900" w:type="dxa"/>
                  <w:tcBorders>
                    <w:top w:val="single" w:sz="8" w:space="0" w:color="auto"/>
                    <w:left w:val="single" w:sz="8" w:space="0" w:color="auto"/>
                    <w:bottom w:val="single" w:sz="8" w:space="0" w:color="auto"/>
                    <w:right w:val="nil"/>
                  </w:tcBorders>
                  <w:shd w:val="clear" w:color="000000" w:fill="D6DCE4"/>
                  <w:vAlign w:val="center"/>
                  <w:hideMark/>
                </w:tcPr>
                <w:p w:rsidR="0082044A" w:rsidRPr="0082044A" w:rsidRDefault="0082044A" w:rsidP="0082044A">
                  <w:pPr>
                    <w:spacing w:after="0" w:line="240" w:lineRule="auto"/>
                    <w:jc w:val="center"/>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ANAS</w:t>
                  </w:r>
                </w:p>
              </w:tc>
              <w:tc>
                <w:tcPr>
                  <w:tcW w:w="1114" w:type="dxa"/>
                  <w:tcBorders>
                    <w:top w:val="single" w:sz="8" w:space="0" w:color="auto"/>
                    <w:left w:val="single" w:sz="8" w:space="0" w:color="auto"/>
                    <w:bottom w:val="single" w:sz="8" w:space="0" w:color="auto"/>
                    <w:right w:val="single" w:sz="8" w:space="0" w:color="auto"/>
                  </w:tcBorders>
                  <w:shd w:val="clear" w:color="000000" w:fill="D6DCE4"/>
                  <w:vAlign w:val="center"/>
                  <w:hideMark/>
                </w:tcPr>
                <w:p w:rsidR="0082044A" w:rsidRPr="0082044A" w:rsidRDefault="0082044A" w:rsidP="0082044A">
                  <w:pPr>
                    <w:spacing w:after="0" w:line="240" w:lineRule="auto"/>
                    <w:jc w:val="center"/>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 xml:space="preserve">Enti locali ed altri enti </w:t>
                  </w:r>
                </w:p>
              </w:tc>
              <w:tc>
                <w:tcPr>
                  <w:tcW w:w="1095" w:type="dxa"/>
                  <w:vMerge w:val="restart"/>
                  <w:tcBorders>
                    <w:top w:val="single" w:sz="8" w:space="0" w:color="auto"/>
                    <w:left w:val="single" w:sz="8" w:space="0" w:color="auto"/>
                    <w:bottom w:val="single" w:sz="8" w:space="0" w:color="000000"/>
                    <w:right w:val="single" w:sz="8" w:space="0" w:color="auto"/>
                  </w:tcBorders>
                  <w:shd w:val="clear" w:color="000000" w:fill="D6DCE4"/>
                  <w:vAlign w:val="center"/>
                  <w:hideMark/>
                </w:tcPr>
                <w:p w:rsidR="0082044A" w:rsidRPr="0082044A" w:rsidRDefault="0082044A" w:rsidP="0082044A">
                  <w:pPr>
                    <w:spacing w:after="0" w:line="240" w:lineRule="auto"/>
                    <w:jc w:val="center"/>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Totale depositi Appalti</w:t>
                  </w:r>
                </w:p>
              </w:tc>
            </w:tr>
            <w:tr w:rsidR="0082044A" w:rsidRPr="0082044A" w:rsidTr="0082044A">
              <w:trPr>
                <w:trHeight w:val="315"/>
              </w:trPr>
              <w:tc>
                <w:tcPr>
                  <w:tcW w:w="1777" w:type="dxa"/>
                  <w:tcBorders>
                    <w:top w:val="single" w:sz="8" w:space="0" w:color="auto"/>
                    <w:left w:val="single" w:sz="8" w:space="0" w:color="auto"/>
                    <w:bottom w:val="single" w:sz="8" w:space="0" w:color="auto"/>
                    <w:right w:val="nil"/>
                  </w:tcBorders>
                  <w:shd w:val="clear" w:color="000000" w:fill="D6DCE4"/>
                  <w:noWrap/>
                  <w:vAlign w:val="center"/>
                  <w:hideMark/>
                </w:tcPr>
                <w:p w:rsidR="0082044A" w:rsidRPr="0082044A" w:rsidRDefault="0082044A" w:rsidP="0082044A">
                  <w:pPr>
                    <w:spacing w:after="0" w:line="240" w:lineRule="auto"/>
                    <w:jc w:val="center"/>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SEDE</w:t>
                  </w:r>
                </w:p>
              </w:tc>
              <w:tc>
                <w:tcPr>
                  <w:tcW w:w="684" w:type="dxa"/>
                  <w:tcBorders>
                    <w:top w:val="nil"/>
                    <w:left w:val="single" w:sz="8" w:space="0" w:color="auto"/>
                    <w:bottom w:val="single" w:sz="8" w:space="0" w:color="auto"/>
                    <w:right w:val="single" w:sz="8" w:space="0" w:color="auto"/>
                  </w:tcBorders>
                  <w:shd w:val="clear" w:color="000000" w:fill="D6DCE4"/>
                  <w:noWrap/>
                  <w:vAlign w:val="center"/>
                  <w:hideMark/>
                </w:tcPr>
                <w:p w:rsidR="0082044A" w:rsidRPr="0082044A" w:rsidRDefault="0082044A" w:rsidP="0082044A">
                  <w:pPr>
                    <w:spacing w:after="0" w:line="240" w:lineRule="auto"/>
                    <w:jc w:val="center"/>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2016</w:t>
                  </w:r>
                </w:p>
              </w:tc>
              <w:tc>
                <w:tcPr>
                  <w:tcW w:w="900" w:type="dxa"/>
                  <w:tcBorders>
                    <w:top w:val="nil"/>
                    <w:left w:val="nil"/>
                    <w:bottom w:val="single" w:sz="8" w:space="0" w:color="auto"/>
                    <w:right w:val="single" w:sz="8" w:space="0" w:color="auto"/>
                  </w:tcBorders>
                  <w:shd w:val="clear" w:color="000000" w:fill="D6DCE4"/>
                  <w:noWrap/>
                  <w:vAlign w:val="center"/>
                  <w:hideMark/>
                </w:tcPr>
                <w:p w:rsidR="0082044A" w:rsidRPr="0082044A" w:rsidRDefault="0082044A" w:rsidP="0082044A">
                  <w:pPr>
                    <w:spacing w:after="0" w:line="240" w:lineRule="auto"/>
                    <w:jc w:val="center"/>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2016</w:t>
                  </w:r>
                </w:p>
              </w:tc>
              <w:tc>
                <w:tcPr>
                  <w:tcW w:w="1075" w:type="dxa"/>
                  <w:tcBorders>
                    <w:top w:val="nil"/>
                    <w:left w:val="nil"/>
                    <w:bottom w:val="single" w:sz="8" w:space="0" w:color="auto"/>
                    <w:right w:val="single" w:sz="8" w:space="0" w:color="auto"/>
                  </w:tcBorders>
                  <w:shd w:val="clear" w:color="000000" w:fill="D6DCE4"/>
                  <w:noWrap/>
                  <w:vAlign w:val="center"/>
                  <w:hideMark/>
                </w:tcPr>
                <w:p w:rsidR="0082044A" w:rsidRPr="0082044A" w:rsidRDefault="0082044A" w:rsidP="0082044A">
                  <w:pPr>
                    <w:spacing w:after="0" w:line="240" w:lineRule="auto"/>
                    <w:jc w:val="center"/>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2016</w:t>
                  </w:r>
                </w:p>
              </w:tc>
              <w:tc>
                <w:tcPr>
                  <w:tcW w:w="900" w:type="dxa"/>
                  <w:tcBorders>
                    <w:top w:val="nil"/>
                    <w:left w:val="nil"/>
                    <w:bottom w:val="single" w:sz="8" w:space="0" w:color="auto"/>
                    <w:right w:val="single" w:sz="8" w:space="0" w:color="auto"/>
                  </w:tcBorders>
                  <w:shd w:val="clear" w:color="000000" w:fill="D6DCE4"/>
                  <w:noWrap/>
                  <w:vAlign w:val="center"/>
                  <w:hideMark/>
                </w:tcPr>
                <w:p w:rsidR="0082044A" w:rsidRPr="0082044A" w:rsidRDefault="0082044A" w:rsidP="0082044A">
                  <w:pPr>
                    <w:spacing w:after="0" w:line="240" w:lineRule="auto"/>
                    <w:jc w:val="center"/>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2016</w:t>
                  </w:r>
                </w:p>
              </w:tc>
              <w:tc>
                <w:tcPr>
                  <w:tcW w:w="900" w:type="dxa"/>
                  <w:tcBorders>
                    <w:top w:val="nil"/>
                    <w:left w:val="nil"/>
                    <w:bottom w:val="single" w:sz="8" w:space="0" w:color="auto"/>
                    <w:right w:val="nil"/>
                  </w:tcBorders>
                  <w:shd w:val="clear" w:color="000000" w:fill="D6DCE4"/>
                  <w:noWrap/>
                  <w:vAlign w:val="center"/>
                  <w:hideMark/>
                </w:tcPr>
                <w:p w:rsidR="0082044A" w:rsidRPr="0082044A" w:rsidRDefault="0082044A" w:rsidP="0082044A">
                  <w:pPr>
                    <w:spacing w:after="0" w:line="240" w:lineRule="auto"/>
                    <w:jc w:val="center"/>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2016</w:t>
                  </w:r>
                </w:p>
              </w:tc>
              <w:tc>
                <w:tcPr>
                  <w:tcW w:w="900" w:type="dxa"/>
                  <w:tcBorders>
                    <w:top w:val="nil"/>
                    <w:left w:val="single" w:sz="8" w:space="0" w:color="auto"/>
                    <w:bottom w:val="single" w:sz="8" w:space="0" w:color="auto"/>
                    <w:right w:val="nil"/>
                  </w:tcBorders>
                  <w:shd w:val="clear" w:color="000000" w:fill="D6DCE4"/>
                  <w:noWrap/>
                  <w:vAlign w:val="center"/>
                  <w:hideMark/>
                </w:tcPr>
                <w:p w:rsidR="0082044A" w:rsidRPr="0082044A" w:rsidRDefault="0082044A" w:rsidP="0082044A">
                  <w:pPr>
                    <w:spacing w:after="0" w:line="240" w:lineRule="auto"/>
                    <w:jc w:val="center"/>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2016</w:t>
                  </w:r>
                </w:p>
              </w:tc>
              <w:tc>
                <w:tcPr>
                  <w:tcW w:w="1114" w:type="dxa"/>
                  <w:tcBorders>
                    <w:top w:val="nil"/>
                    <w:left w:val="single" w:sz="8" w:space="0" w:color="auto"/>
                    <w:bottom w:val="single" w:sz="8" w:space="0" w:color="auto"/>
                    <w:right w:val="single" w:sz="8" w:space="0" w:color="auto"/>
                  </w:tcBorders>
                  <w:shd w:val="clear" w:color="000000" w:fill="D6DCE4"/>
                  <w:noWrap/>
                  <w:vAlign w:val="center"/>
                  <w:hideMark/>
                </w:tcPr>
                <w:p w:rsidR="0082044A" w:rsidRPr="0082044A" w:rsidRDefault="0082044A" w:rsidP="0082044A">
                  <w:pPr>
                    <w:spacing w:after="0" w:line="240" w:lineRule="auto"/>
                    <w:jc w:val="center"/>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2016</w:t>
                  </w:r>
                </w:p>
              </w:tc>
              <w:tc>
                <w:tcPr>
                  <w:tcW w:w="1095" w:type="dxa"/>
                  <w:vMerge/>
                  <w:tcBorders>
                    <w:top w:val="single" w:sz="8" w:space="0" w:color="auto"/>
                    <w:left w:val="single" w:sz="8" w:space="0" w:color="auto"/>
                    <w:bottom w:val="single" w:sz="8" w:space="0" w:color="000000"/>
                    <w:right w:val="single" w:sz="8" w:space="0" w:color="auto"/>
                  </w:tcBorders>
                  <w:vAlign w:val="center"/>
                  <w:hideMark/>
                </w:tcPr>
                <w:p w:rsidR="0082044A" w:rsidRPr="0082044A" w:rsidRDefault="0082044A" w:rsidP="0082044A">
                  <w:pPr>
                    <w:spacing w:after="0" w:line="240" w:lineRule="auto"/>
                    <w:rPr>
                      <w:rFonts w:ascii="Arial" w:eastAsia="Times New Roman" w:hAnsi="Arial" w:cs="Arial"/>
                      <w:b/>
                      <w:bCs/>
                      <w:color w:val="000000"/>
                      <w:sz w:val="16"/>
                      <w:szCs w:val="16"/>
                      <w:lang w:eastAsia="it-IT"/>
                    </w:rPr>
                  </w:pPr>
                </w:p>
              </w:tc>
            </w:tr>
            <w:tr w:rsidR="0082044A" w:rsidRPr="0082044A" w:rsidTr="0082044A">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ANCONA</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10</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1075"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900" w:type="dxa"/>
                  <w:tcBorders>
                    <w:top w:val="nil"/>
                    <w:left w:val="nil"/>
                    <w:bottom w:val="single" w:sz="4"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15</w:t>
                  </w:r>
                </w:p>
              </w:tc>
              <w:tc>
                <w:tcPr>
                  <w:tcW w:w="900" w:type="dxa"/>
                  <w:tcBorders>
                    <w:top w:val="nil"/>
                    <w:left w:val="single" w:sz="8" w:space="0" w:color="auto"/>
                    <w:bottom w:val="single" w:sz="4"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25</w:t>
                  </w:r>
                </w:p>
              </w:tc>
              <w:tc>
                <w:tcPr>
                  <w:tcW w:w="1095" w:type="dxa"/>
                  <w:tcBorders>
                    <w:top w:val="nil"/>
                    <w:left w:val="nil"/>
                    <w:bottom w:val="single" w:sz="4"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52</w:t>
                  </w:r>
                </w:p>
              </w:tc>
            </w:tr>
            <w:tr w:rsidR="0082044A" w:rsidRPr="0082044A" w:rsidTr="0082044A">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AOSTA</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1075"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900" w:type="dxa"/>
                  <w:tcBorders>
                    <w:top w:val="nil"/>
                    <w:left w:val="nil"/>
                    <w:bottom w:val="single" w:sz="4"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900" w:type="dxa"/>
                  <w:tcBorders>
                    <w:top w:val="nil"/>
                    <w:left w:val="single" w:sz="8" w:space="0" w:color="auto"/>
                    <w:bottom w:val="single" w:sz="4" w:space="0" w:color="auto"/>
                    <w:right w:val="nil"/>
                  </w:tcBorders>
                  <w:shd w:val="clear" w:color="auto" w:fill="auto"/>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 </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10</w:t>
                  </w:r>
                </w:p>
              </w:tc>
              <w:tc>
                <w:tcPr>
                  <w:tcW w:w="1095" w:type="dxa"/>
                  <w:tcBorders>
                    <w:top w:val="nil"/>
                    <w:left w:val="nil"/>
                    <w:bottom w:val="single" w:sz="4"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12</w:t>
                  </w:r>
                </w:p>
              </w:tc>
            </w:tr>
            <w:tr w:rsidR="0082044A" w:rsidRPr="0082044A" w:rsidTr="0082044A">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BARI</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27</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3</w:t>
                  </w:r>
                </w:p>
              </w:tc>
              <w:tc>
                <w:tcPr>
                  <w:tcW w:w="1075"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4</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900" w:type="dxa"/>
                  <w:tcBorders>
                    <w:top w:val="nil"/>
                    <w:left w:val="nil"/>
                    <w:bottom w:val="single" w:sz="4"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26</w:t>
                  </w:r>
                </w:p>
              </w:tc>
              <w:tc>
                <w:tcPr>
                  <w:tcW w:w="900" w:type="dxa"/>
                  <w:tcBorders>
                    <w:top w:val="nil"/>
                    <w:left w:val="single" w:sz="8" w:space="0" w:color="auto"/>
                    <w:bottom w:val="single" w:sz="4"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10</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105</w:t>
                  </w:r>
                </w:p>
              </w:tc>
              <w:tc>
                <w:tcPr>
                  <w:tcW w:w="1095" w:type="dxa"/>
                  <w:tcBorders>
                    <w:top w:val="nil"/>
                    <w:left w:val="nil"/>
                    <w:bottom w:val="single" w:sz="4"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176</w:t>
                  </w:r>
                </w:p>
              </w:tc>
            </w:tr>
            <w:tr w:rsidR="0082044A" w:rsidRPr="0082044A" w:rsidTr="0082044A">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BOLOGNA</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36</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1075"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4</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900" w:type="dxa"/>
                  <w:tcBorders>
                    <w:top w:val="nil"/>
                    <w:left w:val="nil"/>
                    <w:bottom w:val="single" w:sz="4"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6</w:t>
                  </w:r>
                </w:p>
              </w:tc>
              <w:tc>
                <w:tcPr>
                  <w:tcW w:w="900" w:type="dxa"/>
                  <w:tcBorders>
                    <w:top w:val="nil"/>
                    <w:left w:val="single" w:sz="8" w:space="0" w:color="auto"/>
                    <w:bottom w:val="single" w:sz="4" w:space="0" w:color="auto"/>
                    <w:right w:val="nil"/>
                  </w:tcBorders>
                  <w:shd w:val="clear" w:color="auto" w:fill="auto"/>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 </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68</w:t>
                  </w:r>
                </w:p>
              </w:tc>
              <w:tc>
                <w:tcPr>
                  <w:tcW w:w="1095" w:type="dxa"/>
                  <w:tcBorders>
                    <w:top w:val="nil"/>
                    <w:left w:val="nil"/>
                    <w:bottom w:val="single" w:sz="4"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115</w:t>
                  </w:r>
                </w:p>
              </w:tc>
            </w:tr>
            <w:tr w:rsidR="0082044A" w:rsidRPr="0082044A" w:rsidTr="0082044A">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BOLZANO</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3</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1075"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900" w:type="dxa"/>
                  <w:tcBorders>
                    <w:top w:val="nil"/>
                    <w:left w:val="nil"/>
                    <w:bottom w:val="single" w:sz="4"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900" w:type="dxa"/>
                  <w:tcBorders>
                    <w:top w:val="nil"/>
                    <w:left w:val="single" w:sz="8" w:space="0" w:color="auto"/>
                    <w:bottom w:val="single" w:sz="4" w:space="0" w:color="auto"/>
                    <w:right w:val="nil"/>
                  </w:tcBorders>
                  <w:shd w:val="clear" w:color="auto" w:fill="auto"/>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 </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14</w:t>
                  </w:r>
                </w:p>
              </w:tc>
              <w:tc>
                <w:tcPr>
                  <w:tcW w:w="1095" w:type="dxa"/>
                  <w:tcBorders>
                    <w:top w:val="nil"/>
                    <w:left w:val="nil"/>
                    <w:bottom w:val="single" w:sz="4"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18</w:t>
                  </w:r>
                </w:p>
              </w:tc>
            </w:tr>
            <w:tr w:rsidR="0082044A" w:rsidRPr="0082044A" w:rsidTr="0082044A">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BRESCIA</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9</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1075"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900" w:type="dxa"/>
                  <w:tcBorders>
                    <w:top w:val="nil"/>
                    <w:left w:val="nil"/>
                    <w:bottom w:val="single" w:sz="4"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8</w:t>
                  </w:r>
                </w:p>
              </w:tc>
              <w:tc>
                <w:tcPr>
                  <w:tcW w:w="900" w:type="dxa"/>
                  <w:tcBorders>
                    <w:top w:val="nil"/>
                    <w:left w:val="single" w:sz="8" w:space="0" w:color="auto"/>
                    <w:bottom w:val="single" w:sz="4" w:space="0" w:color="auto"/>
                    <w:right w:val="nil"/>
                  </w:tcBorders>
                  <w:shd w:val="clear" w:color="auto" w:fill="auto"/>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 </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37</w:t>
                  </w:r>
                </w:p>
              </w:tc>
              <w:tc>
                <w:tcPr>
                  <w:tcW w:w="1095" w:type="dxa"/>
                  <w:tcBorders>
                    <w:top w:val="nil"/>
                    <w:left w:val="nil"/>
                    <w:bottom w:val="single" w:sz="4"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54</w:t>
                  </w:r>
                </w:p>
              </w:tc>
            </w:tr>
            <w:tr w:rsidR="0082044A" w:rsidRPr="0082044A" w:rsidTr="0082044A">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CAGLIARI</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35</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1075"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4</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900" w:type="dxa"/>
                  <w:tcBorders>
                    <w:top w:val="nil"/>
                    <w:left w:val="nil"/>
                    <w:bottom w:val="single" w:sz="4"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6</w:t>
                  </w:r>
                </w:p>
              </w:tc>
              <w:tc>
                <w:tcPr>
                  <w:tcW w:w="900" w:type="dxa"/>
                  <w:tcBorders>
                    <w:top w:val="nil"/>
                    <w:left w:val="single" w:sz="8" w:space="0" w:color="auto"/>
                    <w:bottom w:val="single" w:sz="4"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68</w:t>
                  </w:r>
                </w:p>
              </w:tc>
              <w:tc>
                <w:tcPr>
                  <w:tcW w:w="1095" w:type="dxa"/>
                  <w:tcBorders>
                    <w:top w:val="nil"/>
                    <w:left w:val="nil"/>
                    <w:bottom w:val="single" w:sz="4"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115</w:t>
                  </w:r>
                </w:p>
              </w:tc>
            </w:tr>
            <w:tr w:rsidR="0082044A" w:rsidRPr="0082044A" w:rsidTr="0082044A">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CAMPOBASSO</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1075"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900" w:type="dxa"/>
                  <w:tcBorders>
                    <w:top w:val="nil"/>
                    <w:left w:val="nil"/>
                    <w:bottom w:val="single" w:sz="4"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900" w:type="dxa"/>
                  <w:tcBorders>
                    <w:top w:val="nil"/>
                    <w:left w:val="single" w:sz="8" w:space="0" w:color="auto"/>
                    <w:bottom w:val="single" w:sz="4" w:space="0" w:color="auto"/>
                    <w:right w:val="nil"/>
                  </w:tcBorders>
                  <w:shd w:val="clear" w:color="auto" w:fill="auto"/>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 </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18</w:t>
                  </w:r>
                </w:p>
              </w:tc>
              <w:tc>
                <w:tcPr>
                  <w:tcW w:w="1095" w:type="dxa"/>
                  <w:tcBorders>
                    <w:top w:val="nil"/>
                    <w:left w:val="nil"/>
                    <w:bottom w:val="single" w:sz="4"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20</w:t>
                  </w:r>
                </w:p>
              </w:tc>
            </w:tr>
            <w:tr w:rsidR="0082044A" w:rsidRPr="0082044A" w:rsidTr="0082044A">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CATANIA</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39</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1075"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6</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4</w:t>
                  </w:r>
                </w:p>
              </w:tc>
              <w:tc>
                <w:tcPr>
                  <w:tcW w:w="900" w:type="dxa"/>
                  <w:tcBorders>
                    <w:top w:val="nil"/>
                    <w:left w:val="nil"/>
                    <w:bottom w:val="single" w:sz="4"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23</w:t>
                  </w:r>
                </w:p>
              </w:tc>
              <w:tc>
                <w:tcPr>
                  <w:tcW w:w="900" w:type="dxa"/>
                  <w:tcBorders>
                    <w:top w:val="nil"/>
                    <w:left w:val="single" w:sz="8" w:space="0" w:color="auto"/>
                    <w:bottom w:val="single" w:sz="4"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111</w:t>
                  </w:r>
                </w:p>
              </w:tc>
              <w:tc>
                <w:tcPr>
                  <w:tcW w:w="1095" w:type="dxa"/>
                  <w:tcBorders>
                    <w:top w:val="nil"/>
                    <w:left w:val="nil"/>
                    <w:bottom w:val="single" w:sz="4"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185</w:t>
                  </w:r>
                </w:p>
              </w:tc>
            </w:tr>
            <w:tr w:rsidR="0082044A" w:rsidRPr="0082044A" w:rsidTr="0082044A">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CATANZARO</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15</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1075"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4</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900" w:type="dxa"/>
                  <w:tcBorders>
                    <w:top w:val="nil"/>
                    <w:left w:val="nil"/>
                    <w:bottom w:val="single" w:sz="4"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5</w:t>
                  </w:r>
                </w:p>
              </w:tc>
              <w:tc>
                <w:tcPr>
                  <w:tcW w:w="900" w:type="dxa"/>
                  <w:tcBorders>
                    <w:top w:val="nil"/>
                    <w:left w:val="single" w:sz="8" w:space="0" w:color="auto"/>
                    <w:bottom w:val="single" w:sz="4"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75</w:t>
                  </w:r>
                </w:p>
              </w:tc>
              <w:tc>
                <w:tcPr>
                  <w:tcW w:w="1095" w:type="dxa"/>
                  <w:tcBorders>
                    <w:top w:val="nil"/>
                    <w:left w:val="nil"/>
                    <w:bottom w:val="single" w:sz="4"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101</w:t>
                  </w:r>
                </w:p>
              </w:tc>
            </w:tr>
            <w:tr w:rsidR="0082044A" w:rsidRPr="0082044A" w:rsidTr="0082044A">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FIRENZE</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53</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1075"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4</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900" w:type="dxa"/>
                  <w:tcBorders>
                    <w:top w:val="nil"/>
                    <w:left w:val="nil"/>
                    <w:bottom w:val="single" w:sz="4"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21</w:t>
                  </w:r>
                </w:p>
              </w:tc>
              <w:tc>
                <w:tcPr>
                  <w:tcW w:w="900" w:type="dxa"/>
                  <w:tcBorders>
                    <w:top w:val="nil"/>
                    <w:left w:val="single" w:sz="8" w:space="0" w:color="auto"/>
                    <w:bottom w:val="single" w:sz="4" w:space="0" w:color="auto"/>
                    <w:right w:val="nil"/>
                  </w:tcBorders>
                  <w:shd w:val="clear" w:color="auto" w:fill="auto"/>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 </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62</w:t>
                  </w:r>
                </w:p>
              </w:tc>
              <w:tc>
                <w:tcPr>
                  <w:tcW w:w="1095" w:type="dxa"/>
                  <w:tcBorders>
                    <w:top w:val="nil"/>
                    <w:left w:val="nil"/>
                    <w:bottom w:val="single" w:sz="4"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141</w:t>
                  </w:r>
                </w:p>
              </w:tc>
            </w:tr>
            <w:tr w:rsidR="0082044A" w:rsidRPr="0082044A" w:rsidTr="0082044A">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GENOVA</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22</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1075"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900" w:type="dxa"/>
                  <w:tcBorders>
                    <w:top w:val="nil"/>
                    <w:left w:val="nil"/>
                    <w:bottom w:val="single" w:sz="4"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3</w:t>
                  </w:r>
                </w:p>
              </w:tc>
              <w:tc>
                <w:tcPr>
                  <w:tcW w:w="900" w:type="dxa"/>
                  <w:tcBorders>
                    <w:top w:val="nil"/>
                    <w:left w:val="single" w:sz="8" w:space="0" w:color="auto"/>
                    <w:bottom w:val="single" w:sz="4" w:space="0" w:color="auto"/>
                    <w:right w:val="nil"/>
                  </w:tcBorders>
                  <w:shd w:val="clear" w:color="auto" w:fill="auto"/>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 </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37</w:t>
                  </w:r>
                </w:p>
              </w:tc>
              <w:tc>
                <w:tcPr>
                  <w:tcW w:w="1095" w:type="dxa"/>
                  <w:tcBorders>
                    <w:top w:val="nil"/>
                    <w:left w:val="nil"/>
                    <w:bottom w:val="single" w:sz="4"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65</w:t>
                  </w:r>
                </w:p>
              </w:tc>
            </w:tr>
            <w:tr w:rsidR="0082044A" w:rsidRPr="0082044A" w:rsidTr="0082044A">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L'AQUILA</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12</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1075"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6</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900" w:type="dxa"/>
                  <w:tcBorders>
                    <w:top w:val="nil"/>
                    <w:left w:val="nil"/>
                    <w:bottom w:val="single" w:sz="4"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3</w:t>
                  </w:r>
                </w:p>
              </w:tc>
              <w:tc>
                <w:tcPr>
                  <w:tcW w:w="900" w:type="dxa"/>
                  <w:tcBorders>
                    <w:top w:val="nil"/>
                    <w:left w:val="single" w:sz="8" w:space="0" w:color="auto"/>
                    <w:bottom w:val="single" w:sz="4"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3</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30</w:t>
                  </w:r>
                </w:p>
              </w:tc>
              <w:tc>
                <w:tcPr>
                  <w:tcW w:w="1095" w:type="dxa"/>
                  <w:tcBorders>
                    <w:top w:val="nil"/>
                    <w:left w:val="nil"/>
                    <w:bottom w:val="single" w:sz="4"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54</w:t>
                  </w:r>
                </w:p>
              </w:tc>
            </w:tr>
            <w:tr w:rsidR="0082044A" w:rsidRPr="0082044A" w:rsidTr="0082044A">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LATINA</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7</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1075"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900" w:type="dxa"/>
                  <w:tcBorders>
                    <w:top w:val="nil"/>
                    <w:left w:val="nil"/>
                    <w:bottom w:val="single" w:sz="4"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10</w:t>
                  </w:r>
                </w:p>
              </w:tc>
              <w:tc>
                <w:tcPr>
                  <w:tcW w:w="900" w:type="dxa"/>
                  <w:tcBorders>
                    <w:top w:val="nil"/>
                    <w:left w:val="single" w:sz="8" w:space="0" w:color="auto"/>
                    <w:bottom w:val="single" w:sz="4" w:space="0" w:color="auto"/>
                    <w:right w:val="nil"/>
                  </w:tcBorders>
                  <w:shd w:val="clear" w:color="auto" w:fill="auto"/>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 </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24</w:t>
                  </w:r>
                </w:p>
              </w:tc>
              <w:tc>
                <w:tcPr>
                  <w:tcW w:w="1095" w:type="dxa"/>
                  <w:tcBorders>
                    <w:top w:val="nil"/>
                    <w:left w:val="nil"/>
                    <w:bottom w:val="single" w:sz="4"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41</w:t>
                  </w:r>
                </w:p>
              </w:tc>
            </w:tr>
            <w:tr w:rsidR="0082044A" w:rsidRPr="0082044A" w:rsidTr="0082044A">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LECCE</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25</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1075"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10</w:t>
                  </w:r>
                </w:p>
              </w:tc>
              <w:tc>
                <w:tcPr>
                  <w:tcW w:w="900" w:type="dxa"/>
                  <w:tcBorders>
                    <w:top w:val="nil"/>
                    <w:left w:val="nil"/>
                    <w:bottom w:val="single" w:sz="4"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12</w:t>
                  </w:r>
                </w:p>
              </w:tc>
              <w:tc>
                <w:tcPr>
                  <w:tcW w:w="900" w:type="dxa"/>
                  <w:tcBorders>
                    <w:top w:val="nil"/>
                    <w:left w:val="single" w:sz="8" w:space="0" w:color="auto"/>
                    <w:bottom w:val="single" w:sz="4"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78</w:t>
                  </w:r>
                </w:p>
              </w:tc>
              <w:tc>
                <w:tcPr>
                  <w:tcW w:w="1095" w:type="dxa"/>
                  <w:tcBorders>
                    <w:top w:val="nil"/>
                    <w:left w:val="nil"/>
                    <w:bottom w:val="single" w:sz="4"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129</w:t>
                  </w:r>
                </w:p>
              </w:tc>
            </w:tr>
            <w:tr w:rsidR="0082044A" w:rsidRPr="0082044A" w:rsidTr="0082044A">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MILANO</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89</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1075"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900" w:type="dxa"/>
                  <w:tcBorders>
                    <w:top w:val="nil"/>
                    <w:left w:val="nil"/>
                    <w:bottom w:val="single" w:sz="4"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4</w:t>
                  </w:r>
                </w:p>
              </w:tc>
              <w:tc>
                <w:tcPr>
                  <w:tcW w:w="900" w:type="dxa"/>
                  <w:tcBorders>
                    <w:top w:val="nil"/>
                    <w:left w:val="single" w:sz="8" w:space="0" w:color="auto"/>
                    <w:bottom w:val="single" w:sz="4"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3</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201</w:t>
                  </w:r>
                </w:p>
              </w:tc>
              <w:tc>
                <w:tcPr>
                  <w:tcW w:w="1095" w:type="dxa"/>
                  <w:tcBorders>
                    <w:top w:val="nil"/>
                    <w:left w:val="nil"/>
                    <w:bottom w:val="single" w:sz="4"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297</w:t>
                  </w:r>
                </w:p>
              </w:tc>
            </w:tr>
            <w:tr w:rsidR="0082044A" w:rsidRPr="0082044A" w:rsidTr="0082044A">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NAPOLI</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38</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1075"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9</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900" w:type="dxa"/>
                  <w:tcBorders>
                    <w:top w:val="nil"/>
                    <w:left w:val="nil"/>
                    <w:bottom w:val="single" w:sz="4"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5</w:t>
                  </w:r>
                </w:p>
              </w:tc>
              <w:tc>
                <w:tcPr>
                  <w:tcW w:w="900" w:type="dxa"/>
                  <w:tcBorders>
                    <w:top w:val="nil"/>
                    <w:left w:val="single" w:sz="8" w:space="0" w:color="auto"/>
                    <w:bottom w:val="single" w:sz="4"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266</w:t>
                  </w:r>
                </w:p>
              </w:tc>
              <w:tc>
                <w:tcPr>
                  <w:tcW w:w="1095" w:type="dxa"/>
                  <w:tcBorders>
                    <w:top w:val="nil"/>
                    <w:left w:val="nil"/>
                    <w:bottom w:val="single" w:sz="4"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320</w:t>
                  </w:r>
                </w:p>
              </w:tc>
            </w:tr>
            <w:tr w:rsidR="0082044A" w:rsidRPr="0082044A" w:rsidTr="0082044A">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PALERMO</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17</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1075"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4</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900" w:type="dxa"/>
                  <w:tcBorders>
                    <w:top w:val="nil"/>
                    <w:left w:val="nil"/>
                    <w:bottom w:val="single" w:sz="4"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23</w:t>
                  </w:r>
                </w:p>
              </w:tc>
              <w:tc>
                <w:tcPr>
                  <w:tcW w:w="900" w:type="dxa"/>
                  <w:tcBorders>
                    <w:top w:val="nil"/>
                    <w:left w:val="single" w:sz="8" w:space="0" w:color="auto"/>
                    <w:bottom w:val="single" w:sz="4"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88</w:t>
                  </w:r>
                </w:p>
              </w:tc>
              <w:tc>
                <w:tcPr>
                  <w:tcW w:w="1095" w:type="dxa"/>
                  <w:tcBorders>
                    <w:top w:val="nil"/>
                    <w:left w:val="nil"/>
                    <w:bottom w:val="single" w:sz="4"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135</w:t>
                  </w:r>
                </w:p>
              </w:tc>
            </w:tr>
            <w:tr w:rsidR="0082044A" w:rsidRPr="0082044A" w:rsidTr="0082044A">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PARMA</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10</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1075"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900" w:type="dxa"/>
                  <w:tcBorders>
                    <w:top w:val="nil"/>
                    <w:left w:val="nil"/>
                    <w:bottom w:val="single" w:sz="4"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900" w:type="dxa"/>
                  <w:tcBorders>
                    <w:top w:val="nil"/>
                    <w:left w:val="single" w:sz="8" w:space="0" w:color="auto"/>
                    <w:bottom w:val="single" w:sz="4" w:space="0" w:color="auto"/>
                    <w:right w:val="nil"/>
                  </w:tcBorders>
                  <w:shd w:val="clear" w:color="auto" w:fill="auto"/>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 </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15</w:t>
                  </w:r>
                </w:p>
              </w:tc>
              <w:tc>
                <w:tcPr>
                  <w:tcW w:w="1095" w:type="dxa"/>
                  <w:tcBorders>
                    <w:top w:val="nil"/>
                    <w:left w:val="nil"/>
                    <w:bottom w:val="single" w:sz="4"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26</w:t>
                  </w:r>
                </w:p>
              </w:tc>
            </w:tr>
            <w:tr w:rsidR="0082044A" w:rsidRPr="0082044A" w:rsidTr="0082044A">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PERUGIA</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5</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1075"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4</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900" w:type="dxa"/>
                  <w:tcBorders>
                    <w:top w:val="nil"/>
                    <w:left w:val="nil"/>
                    <w:bottom w:val="single" w:sz="4"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4</w:t>
                  </w:r>
                </w:p>
              </w:tc>
              <w:tc>
                <w:tcPr>
                  <w:tcW w:w="900" w:type="dxa"/>
                  <w:tcBorders>
                    <w:top w:val="nil"/>
                    <w:left w:val="single" w:sz="8" w:space="0" w:color="auto"/>
                    <w:bottom w:val="single" w:sz="4" w:space="0" w:color="auto"/>
                    <w:right w:val="nil"/>
                  </w:tcBorders>
                  <w:shd w:val="clear" w:color="auto" w:fill="auto"/>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 </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26</w:t>
                  </w:r>
                </w:p>
              </w:tc>
              <w:tc>
                <w:tcPr>
                  <w:tcW w:w="1095" w:type="dxa"/>
                  <w:tcBorders>
                    <w:top w:val="nil"/>
                    <w:left w:val="nil"/>
                    <w:bottom w:val="single" w:sz="4"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39</w:t>
                  </w:r>
                </w:p>
              </w:tc>
            </w:tr>
            <w:tr w:rsidR="0082044A" w:rsidRPr="0082044A" w:rsidTr="0082044A">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PESCARA</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13</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1075"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900" w:type="dxa"/>
                  <w:tcBorders>
                    <w:top w:val="nil"/>
                    <w:left w:val="nil"/>
                    <w:bottom w:val="single" w:sz="4"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6</w:t>
                  </w:r>
                </w:p>
              </w:tc>
              <w:tc>
                <w:tcPr>
                  <w:tcW w:w="900" w:type="dxa"/>
                  <w:tcBorders>
                    <w:top w:val="nil"/>
                    <w:left w:val="single" w:sz="8" w:space="0" w:color="auto"/>
                    <w:bottom w:val="single" w:sz="4" w:space="0" w:color="auto"/>
                    <w:right w:val="nil"/>
                  </w:tcBorders>
                  <w:shd w:val="clear" w:color="auto" w:fill="auto"/>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 </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42</w:t>
                  </w:r>
                </w:p>
              </w:tc>
              <w:tc>
                <w:tcPr>
                  <w:tcW w:w="1095" w:type="dxa"/>
                  <w:tcBorders>
                    <w:top w:val="nil"/>
                    <w:left w:val="nil"/>
                    <w:bottom w:val="single" w:sz="4"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61</w:t>
                  </w:r>
                </w:p>
              </w:tc>
            </w:tr>
            <w:tr w:rsidR="0082044A" w:rsidRPr="0082044A" w:rsidTr="0082044A">
              <w:trPr>
                <w:trHeight w:val="300"/>
              </w:trPr>
              <w:tc>
                <w:tcPr>
                  <w:tcW w:w="1777" w:type="dxa"/>
                  <w:tcBorders>
                    <w:top w:val="nil"/>
                    <w:left w:val="single" w:sz="8"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POTENZA</w:t>
                  </w:r>
                </w:p>
              </w:tc>
              <w:tc>
                <w:tcPr>
                  <w:tcW w:w="684" w:type="dxa"/>
                  <w:tcBorders>
                    <w:top w:val="nil"/>
                    <w:left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16</w:t>
                  </w:r>
                </w:p>
              </w:tc>
              <w:tc>
                <w:tcPr>
                  <w:tcW w:w="900" w:type="dxa"/>
                  <w:tcBorders>
                    <w:top w:val="nil"/>
                    <w:left w:val="nil"/>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w:t>
                  </w:r>
                </w:p>
              </w:tc>
              <w:tc>
                <w:tcPr>
                  <w:tcW w:w="1075" w:type="dxa"/>
                  <w:tcBorders>
                    <w:top w:val="nil"/>
                    <w:left w:val="nil"/>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900" w:type="dxa"/>
                  <w:tcBorders>
                    <w:top w:val="nil"/>
                    <w:left w:val="nil"/>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900" w:type="dxa"/>
                  <w:tcBorders>
                    <w:top w:val="nil"/>
                    <w:left w:val="nil"/>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11</w:t>
                  </w:r>
                </w:p>
              </w:tc>
              <w:tc>
                <w:tcPr>
                  <w:tcW w:w="900" w:type="dxa"/>
                  <w:tcBorders>
                    <w:top w:val="nil"/>
                    <w:left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3</w:t>
                  </w:r>
                </w:p>
              </w:tc>
              <w:tc>
                <w:tcPr>
                  <w:tcW w:w="1114" w:type="dxa"/>
                  <w:tcBorders>
                    <w:top w:val="nil"/>
                    <w:left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34</w:t>
                  </w:r>
                </w:p>
              </w:tc>
              <w:tc>
                <w:tcPr>
                  <w:tcW w:w="1095" w:type="dxa"/>
                  <w:tcBorders>
                    <w:top w:val="nil"/>
                    <w:left w:val="nil"/>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68</w:t>
                  </w:r>
                </w:p>
              </w:tc>
            </w:tr>
            <w:tr w:rsidR="0082044A" w:rsidRPr="0082044A" w:rsidTr="0082044A">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lastRenderedPageBreak/>
                    <w:t>REGGIO CALABRIA</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7</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1075"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900" w:type="dxa"/>
                  <w:tcBorders>
                    <w:top w:val="nil"/>
                    <w:left w:val="nil"/>
                    <w:bottom w:val="single" w:sz="4"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900" w:type="dxa"/>
                  <w:tcBorders>
                    <w:top w:val="nil"/>
                    <w:left w:val="single" w:sz="8" w:space="0" w:color="auto"/>
                    <w:bottom w:val="single" w:sz="4"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3</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22</w:t>
                  </w:r>
                </w:p>
              </w:tc>
              <w:tc>
                <w:tcPr>
                  <w:tcW w:w="1095" w:type="dxa"/>
                  <w:tcBorders>
                    <w:top w:val="nil"/>
                    <w:left w:val="nil"/>
                    <w:bottom w:val="single" w:sz="4"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33</w:t>
                  </w:r>
                </w:p>
              </w:tc>
            </w:tr>
            <w:tr w:rsidR="0082044A" w:rsidRPr="0082044A" w:rsidTr="0082044A">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ROMA</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66</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35</w:t>
                  </w:r>
                </w:p>
              </w:tc>
              <w:tc>
                <w:tcPr>
                  <w:tcW w:w="1075"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3</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87</w:t>
                  </w:r>
                </w:p>
              </w:tc>
              <w:tc>
                <w:tcPr>
                  <w:tcW w:w="900" w:type="dxa"/>
                  <w:tcBorders>
                    <w:top w:val="nil"/>
                    <w:left w:val="nil"/>
                    <w:bottom w:val="single" w:sz="4"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28</w:t>
                  </w:r>
                </w:p>
              </w:tc>
              <w:tc>
                <w:tcPr>
                  <w:tcW w:w="900" w:type="dxa"/>
                  <w:tcBorders>
                    <w:top w:val="nil"/>
                    <w:left w:val="single" w:sz="8" w:space="0" w:color="auto"/>
                    <w:bottom w:val="single" w:sz="4"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14</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335</w:t>
                  </w:r>
                </w:p>
              </w:tc>
              <w:tc>
                <w:tcPr>
                  <w:tcW w:w="1095" w:type="dxa"/>
                  <w:tcBorders>
                    <w:top w:val="nil"/>
                    <w:left w:val="nil"/>
                    <w:bottom w:val="single" w:sz="4"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568</w:t>
                  </w:r>
                </w:p>
              </w:tc>
            </w:tr>
            <w:tr w:rsidR="0082044A" w:rsidRPr="0082044A" w:rsidTr="0082044A">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SALERNO</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16</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1075"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4</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900" w:type="dxa"/>
                  <w:tcBorders>
                    <w:top w:val="nil"/>
                    <w:left w:val="nil"/>
                    <w:bottom w:val="single" w:sz="4"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9</w:t>
                  </w:r>
                </w:p>
              </w:tc>
              <w:tc>
                <w:tcPr>
                  <w:tcW w:w="900" w:type="dxa"/>
                  <w:tcBorders>
                    <w:top w:val="nil"/>
                    <w:left w:val="single" w:sz="8" w:space="0" w:color="auto"/>
                    <w:bottom w:val="single" w:sz="4" w:space="0" w:color="auto"/>
                    <w:right w:val="nil"/>
                  </w:tcBorders>
                  <w:shd w:val="clear" w:color="auto" w:fill="auto"/>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 </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86</w:t>
                  </w:r>
                </w:p>
              </w:tc>
              <w:tc>
                <w:tcPr>
                  <w:tcW w:w="1095" w:type="dxa"/>
                  <w:tcBorders>
                    <w:top w:val="nil"/>
                    <w:left w:val="nil"/>
                    <w:bottom w:val="single" w:sz="4"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115</w:t>
                  </w:r>
                </w:p>
              </w:tc>
            </w:tr>
            <w:tr w:rsidR="0082044A" w:rsidRPr="0082044A" w:rsidTr="0082044A">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TORINO</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42</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3</w:t>
                  </w:r>
                </w:p>
              </w:tc>
              <w:tc>
                <w:tcPr>
                  <w:tcW w:w="1075"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3</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900" w:type="dxa"/>
                  <w:tcBorders>
                    <w:top w:val="nil"/>
                    <w:left w:val="nil"/>
                    <w:bottom w:val="single" w:sz="4"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16</w:t>
                  </w:r>
                </w:p>
              </w:tc>
              <w:tc>
                <w:tcPr>
                  <w:tcW w:w="900" w:type="dxa"/>
                  <w:tcBorders>
                    <w:top w:val="nil"/>
                    <w:left w:val="single" w:sz="8" w:space="0" w:color="auto"/>
                    <w:bottom w:val="single" w:sz="4" w:space="0" w:color="auto"/>
                    <w:right w:val="nil"/>
                  </w:tcBorders>
                  <w:shd w:val="clear" w:color="auto" w:fill="auto"/>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 </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74</w:t>
                  </w:r>
                </w:p>
              </w:tc>
              <w:tc>
                <w:tcPr>
                  <w:tcW w:w="1095" w:type="dxa"/>
                  <w:tcBorders>
                    <w:top w:val="nil"/>
                    <w:left w:val="nil"/>
                    <w:bottom w:val="single" w:sz="4"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138</w:t>
                  </w:r>
                </w:p>
              </w:tc>
            </w:tr>
            <w:tr w:rsidR="0082044A" w:rsidRPr="0082044A" w:rsidTr="0082044A">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TRENTO</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9</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1075"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900" w:type="dxa"/>
                  <w:tcBorders>
                    <w:top w:val="nil"/>
                    <w:left w:val="nil"/>
                    <w:bottom w:val="single" w:sz="4"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3</w:t>
                  </w:r>
                </w:p>
              </w:tc>
              <w:tc>
                <w:tcPr>
                  <w:tcW w:w="900" w:type="dxa"/>
                  <w:tcBorders>
                    <w:top w:val="nil"/>
                    <w:left w:val="single" w:sz="8" w:space="0" w:color="auto"/>
                    <w:bottom w:val="single" w:sz="4" w:space="0" w:color="auto"/>
                    <w:right w:val="nil"/>
                  </w:tcBorders>
                  <w:shd w:val="clear" w:color="auto" w:fill="auto"/>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 </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25</w:t>
                  </w:r>
                </w:p>
              </w:tc>
              <w:tc>
                <w:tcPr>
                  <w:tcW w:w="1095" w:type="dxa"/>
                  <w:tcBorders>
                    <w:top w:val="nil"/>
                    <w:left w:val="nil"/>
                    <w:bottom w:val="single" w:sz="4"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39</w:t>
                  </w:r>
                </w:p>
              </w:tc>
            </w:tr>
            <w:tr w:rsidR="0082044A" w:rsidRPr="0082044A" w:rsidTr="0082044A">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TRIESTE</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15</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w:t>
                  </w:r>
                </w:p>
              </w:tc>
              <w:tc>
                <w:tcPr>
                  <w:tcW w:w="1075"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900" w:type="dxa"/>
                  <w:tcBorders>
                    <w:top w:val="nil"/>
                    <w:left w:val="nil"/>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900" w:type="dxa"/>
                  <w:tcBorders>
                    <w:top w:val="nil"/>
                    <w:left w:val="nil"/>
                    <w:bottom w:val="single" w:sz="4"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5</w:t>
                  </w:r>
                </w:p>
              </w:tc>
              <w:tc>
                <w:tcPr>
                  <w:tcW w:w="900" w:type="dxa"/>
                  <w:tcBorders>
                    <w:top w:val="nil"/>
                    <w:left w:val="single" w:sz="8" w:space="0" w:color="auto"/>
                    <w:bottom w:val="single" w:sz="4" w:space="0" w:color="auto"/>
                    <w:right w:val="nil"/>
                  </w:tcBorders>
                  <w:shd w:val="clear" w:color="auto" w:fill="auto"/>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 </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33</w:t>
                  </w:r>
                </w:p>
              </w:tc>
              <w:tc>
                <w:tcPr>
                  <w:tcW w:w="1095" w:type="dxa"/>
                  <w:tcBorders>
                    <w:top w:val="nil"/>
                    <w:left w:val="nil"/>
                    <w:bottom w:val="single" w:sz="4"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56</w:t>
                  </w:r>
                </w:p>
              </w:tc>
            </w:tr>
            <w:tr w:rsidR="0082044A" w:rsidRPr="0082044A" w:rsidTr="0082044A">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82044A" w:rsidRPr="0082044A" w:rsidRDefault="0082044A" w:rsidP="0082044A">
                  <w:pPr>
                    <w:spacing w:after="0" w:line="240" w:lineRule="auto"/>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VENEZIA</w:t>
                  </w:r>
                </w:p>
              </w:tc>
              <w:tc>
                <w:tcPr>
                  <w:tcW w:w="684"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60</w:t>
                  </w:r>
                </w:p>
              </w:tc>
              <w:tc>
                <w:tcPr>
                  <w:tcW w:w="900"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w:t>
                  </w:r>
                </w:p>
              </w:tc>
              <w:tc>
                <w:tcPr>
                  <w:tcW w:w="1075"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w:t>
                  </w:r>
                </w:p>
              </w:tc>
              <w:tc>
                <w:tcPr>
                  <w:tcW w:w="900" w:type="dxa"/>
                  <w:tcBorders>
                    <w:top w:val="nil"/>
                    <w:left w:val="nil"/>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0</w:t>
                  </w:r>
                </w:p>
              </w:tc>
              <w:tc>
                <w:tcPr>
                  <w:tcW w:w="900" w:type="dxa"/>
                  <w:tcBorders>
                    <w:top w:val="nil"/>
                    <w:left w:val="nil"/>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13</w:t>
                  </w:r>
                </w:p>
              </w:tc>
              <w:tc>
                <w:tcPr>
                  <w:tcW w:w="900" w:type="dxa"/>
                  <w:tcBorders>
                    <w:top w:val="nil"/>
                    <w:left w:val="single" w:sz="8" w:space="0" w:color="auto"/>
                    <w:bottom w:val="single" w:sz="8" w:space="0" w:color="auto"/>
                    <w:right w:val="nil"/>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2</w:t>
                  </w:r>
                </w:p>
              </w:tc>
              <w:tc>
                <w:tcPr>
                  <w:tcW w:w="1114" w:type="dxa"/>
                  <w:tcBorders>
                    <w:top w:val="nil"/>
                    <w:left w:val="single" w:sz="8" w:space="0" w:color="auto"/>
                    <w:bottom w:val="single" w:sz="8" w:space="0" w:color="auto"/>
                    <w:right w:val="single" w:sz="8" w:space="0" w:color="auto"/>
                  </w:tcBorders>
                  <w:shd w:val="clear" w:color="auto" w:fill="auto"/>
                  <w:noWrap/>
                  <w:vAlign w:val="center"/>
                  <w:hideMark/>
                </w:tcPr>
                <w:p w:rsidR="0082044A" w:rsidRPr="0082044A" w:rsidRDefault="0082044A" w:rsidP="0082044A">
                  <w:pPr>
                    <w:spacing w:after="0" w:line="240" w:lineRule="auto"/>
                    <w:jc w:val="right"/>
                    <w:rPr>
                      <w:rFonts w:ascii="Arial" w:eastAsia="Times New Roman" w:hAnsi="Arial" w:cs="Arial"/>
                      <w:color w:val="000000"/>
                      <w:sz w:val="16"/>
                      <w:szCs w:val="16"/>
                      <w:lang w:eastAsia="it-IT"/>
                    </w:rPr>
                  </w:pPr>
                  <w:r w:rsidRPr="0082044A">
                    <w:rPr>
                      <w:rFonts w:ascii="Arial" w:eastAsia="Times New Roman" w:hAnsi="Arial" w:cs="Arial"/>
                      <w:color w:val="000000"/>
                      <w:sz w:val="16"/>
                      <w:szCs w:val="16"/>
                      <w:lang w:eastAsia="it-IT"/>
                    </w:rPr>
                    <w:t>78</w:t>
                  </w:r>
                </w:p>
              </w:tc>
              <w:tc>
                <w:tcPr>
                  <w:tcW w:w="1095" w:type="dxa"/>
                  <w:tcBorders>
                    <w:top w:val="nil"/>
                    <w:left w:val="nil"/>
                    <w:bottom w:val="single" w:sz="8" w:space="0" w:color="auto"/>
                    <w:right w:val="single" w:sz="8"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156</w:t>
                  </w:r>
                </w:p>
              </w:tc>
            </w:tr>
            <w:tr w:rsidR="0082044A" w:rsidRPr="0082044A" w:rsidTr="0082044A">
              <w:trPr>
                <w:trHeight w:val="315"/>
              </w:trPr>
              <w:tc>
                <w:tcPr>
                  <w:tcW w:w="1777" w:type="dxa"/>
                  <w:tcBorders>
                    <w:top w:val="nil"/>
                    <w:left w:val="single" w:sz="8" w:space="0" w:color="auto"/>
                    <w:bottom w:val="single" w:sz="8" w:space="0" w:color="auto"/>
                    <w:right w:val="single" w:sz="8" w:space="0" w:color="auto"/>
                  </w:tcBorders>
                  <w:shd w:val="clear" w:color="000000" w:fill="D6DCE4"/>
                  <w:noWrap/>
                  <w:vAlign w:val="center"/>
                  <w:hideMark/>
                </w:tcPr>
                <w:p w:rsidR="0082044A" w:rsidRPr="0082044A" w:rsidRDefault="0082044A" w:rsidP="0082044A">
                  <w:pPr>
                    <w:spacing w:after="0" w:line="240" w:lineRule="auto"/>
                    <w:jc w:val="right"/>
                    <w:rPr>
                      <w:rFonts w:ascii="Arial" w:eastAsia="Times New Roman" w:hAnsi="Arial" w:cs="Arial"/>
                      <w:b/>
                      <w:bCs/>
                      <w:color w:val="000000"/>
                      <w:sz w:val="16"/>
                      <w:szCs w:val="16"/>
                      <w:lang w:eastAsia="it-IT"/>
                    </w:rPr>
                  </w:pPr>
                  <w:r w:rsidRPr="0082044A">
                    <w:rPr>
                      <w:rFonts w:ascii="Arial" w:eastAsia="Times New Roman" w:hAnsi="Arial" w:cs="Arial"/>
                      <w:b/>
                      <w:bCs/>
                      <w:color w:val="000000"/>
                      <w:sz w:val="16"/>
                      <w:szCs w:val="16"/>
                      <w:lang w:eastAsia="it-IT"/>
                    </w:rPr>
                    <w:t>TOTALE</w:t>
                  </w:r>
                </w:p>
              </w:tc>
              <w:tc>
                <w:tcPr>
                  <w:tcW w:w="684" w:type="dxa"/>
                  <w:tcBorders>
                    <w:top w:val="nil"/>
                    <w:left w:val="nil"/>
                    <w:bottom w:val="single" w:sz="8" w:space="0" w:color="auto"/>
                    <w:right w:val="single" w:sz="8" w:space="0" w:color="auto"/>
                  </w:tcBorders>
                  <w:shd w:val="clear" w:color="000000" w:fill="D6DCE4"/>
                  <w:noWrap/>
                  <w:vAlign w:val="center"/>
                  <w:hideMark/>
                </w:tcPr>
                <w:p w:rsidR="0082044A" w:rsidRPr="0082044A" w:rsidRDefault="0082044A" w:rsidP="0082044A">
                  <w:pPr>
                    <w:spacing w:after="0" w:line="240" w:lineRule="auto"/>
                    <w:jc w:val="right"/>
                    <w:rPr>
                      <w:rFonts w:ascii="Arial" w:eastAsia="Times New Roman" w:hAnsi="Arial" w:cs="Arial"/>
                      <w:b/>
                      <w:bCs/>
                      <w:sz w:val="16"/>
                      <w:szCs w:val="16"/>
                      <w:lang w:eastAsia="it-IT"/>
                    </w:rPr>
                  </w:pPr>
                  <w:r w:rsidRPr="0082044A">
                    <w:rPr>
                      <w:rFonts w:ascii="Arial" w:eastAsia="Times New Roman" w:hAnsi="Arial" w:cs="Arial"/>
                      <w:b/>
                      <w:bCs/>
                      <w:sz w:val="16"/>
                      <w:szCs w:val="16"/>
                      <w:lang w:eastAsia="it-IT"/>
                    </w:rPr>
                    <w:t>698</w:t>
                  </w:r>
                </w:p>
              </w:tc>
              <w:tc>
                <w:tcPr>
                  <w:tcW w:w="900" w:type="dxa"/>
                  <w:tcBorders>
                    <w:top w:val="nil"/>
                    <w:left w:val="nil"/>
                    <w:bottom w:val="single" w:sz="8" w:space="0" w:color="auto"/>
                    <w:right w:val="single" w:sz="8" w:space="0" w:color="auto"/>
                  </w:tcBorders>
                  <w:shd w:val="clear" w:color="000000" w:fill="D6DCE4"/>
                  <w:noWrap/>
                  <w:vAlign w:val="center"/>
                  <w:hideMark/>
                </w:tcPr>
                <w:p w:rsidR="0082044A" w:rsidRPr="0082044A" w:rsidRDefault="0082044A" w:rsidP="0082044A">
                  <w:pPr>
                    <w:spacing w:after="0" w:line="240" w:lineRule="auto"/>
                    <w:jc w:val="right"/>
                    <w:rPr>
                      <w:rFonts w:ascii="Arial" w:eastAsia="Times New Roman" w:hAnsi="Arial" w:cs="Arial"/>
                      <w:b/>
                      <w:bCs/>
                      <w:sz w:val="16"/>
                      <w:szCs w:val="16"/>
                      <w:lang w:eastAsia="it-IT"/>
                    </w:rPr>
                  </w:pPr>
                  <w:r w:rsidRPr="0082044A">
                    <w:rPr>
                      <w:rFonts w:ascii="Arial" w:eastAsia="Times New Roman" w:hAnsi="Arial" w:cs="Arial"/>
                      <w:b/>
                      <w:bCs/>
                      <w:sz w:val="16"/>
                      <w:szCs w:val="16"/>
                      <w:lang w:eastAsia="it-IT"/>
                    </w:rPr>
                    <w:t>49</w:t>
                  </w:r>
                </w:p>
              </w:tc>
              <w:tc>
                <w:tcPr>
                  <w:tcW w:w="1075" w:type="dxa"/>
                  <w:tcBorders>
                    <w:top w:val="nil"/>
                    <w:left w:val="nil"/>
                    <w:bottom w:val="single" w:sz="8" w:space="0" w:color="auto"/>
                    <w:right w:val="single" w:sz="8" w:space="0" w:color="auto"/>
                  </w:tcBorders>
                  <w:shd w:val="clear" w:color="000000" w:fill="D6DCE4"/>
                  <w:noWrap/>
                  <w:vAlign w:val="center"/>
                  <w:hideMark/>
                </w:tcPr>
                <w:p w:rsidR="0082044A" w:rsidRPr="0082044A" w:rsidRDefault="0082044A" w:rsidP="0082044A">
                  <w:pPr>
                    <w:spacing w:after="0" w:line="240" w:lineRule="auto"/>
                    <w:jc w:val="right"/>
                    <w:rPr>
                      <w:rFonts w:ascii="Arial" w:eastAsia="Times New Roman" w:hAnsi="Arial" w:cs="Arial"/>
                      <w:b/>
                      <w:bCs/>
                      <w:sz w:val="16"/>
                      <w:szCs w:val="16"/>
                      <w:lang w:eastAsia="it-IT"/>
                    </w:rPr>
                  </w:pPr>
                  <w:r w:rsidRPr="0082044A">
                    <w:rPr>
                      <w:rFonts w:ascii="Arial" w:eastAsia="Times New Roman" w:hAnsi="Arial" w:cs="Arial"/>
                      <w:b/>
                      <w:bCs/>
                      <w:sz w:val="16"/>
                      <w:szCs w:val="16"/>
                      <w:lang w:eastAsia="it-IT"/>
                    </w:rPr>
                    <w:t>68</w:t>
                  </w:r>
                </w:p>
              </w:tc>
              <w:tc>
                <w:tcPr>
                  <w:tcW w:w="900" w:type="dxa"/>
                  <w:tcBorders>
                    <w:top w:val="nil"/>
                    <w:left w:val="nil"/>
                    <w:bottom w:val="single" w:sz="8" w:space="0" w:color="auto"/>
                    <w:right w:val="single" w:sz="8" w:space="0" w:color="auto"/>
                  </w:tcBorders>
                  <w:shd w:val="clear" w:color="000000" w:fill="D6DCE4"/>
                  <w:noWrap/>
                  <w:vAlign w:val="center"/>
                  <w:hideMark/>
                </w:tcPr>
                <w:p w:rsidR="0082044A" w:rsidRPr="0082044A" w:rsidRDefault="0082044A" w:rsidP="0082044A">
                  <w:pPr>
                    <w:spacing w:after="0" w:line="240" w:lineRule="auto"/>
                    <w:jc w:val="right"/>
                    <w:rPr>
                      <w:rFonts w:ascii="Arial" w:eastAsia="Times New Roman" w:hAnsi="Arial" w:cs="Arial"/>
                      <w:b/>
                      <w:bCs/>
                      <w:sz w:val="16"/>
                      <w:szCs w:val="16"/>
                      <w:lang w:eastAsia="it-IT"/>
                    </w:rPr>
                  </w:pPr>
                  <w:r w:rsidRPr="0082044A">
                    <w:rPr>
                      <w:rFonts w:ascii="Arial" w:eastAsia="Times New Roman" w:hAnsi="Arial" w:cs="Arial"/>
                      <w:b/>
                      <w:bCs/>
                      <w:sz w:val="16"/>
                      <w:szCs w:val="16"/>
                      <w:lang w:eastAsia="it-IT"/>
                    </w:rPr>
                    <w:t>110</w:t>
                  </w:r>
                </w:p>
              </w:tc>
              <w:tc>
                <w:tcPr>
                  <w:tcW w:w="900" w:type="dxa"/>
                  <w:tcBorders>
                    <w:top w:val="nil"/>
                    <w:left w:val="nil"/>
                    <w:bottom w:val="single" w:sz="8" w:space="0" w:color="auto"/>
                    <w:right w:val="single" w:sz="8" w:space="0" w:color="auto"/>
                  </w:tcBorders>
                  <w:shd w:val="clear" w:color="000000" w:fill="D6DCE4"/>
                  <w:noWrap/>
                  <w:vAlign w:val="center"/>
                  <w:hideMark/>
                </w:tcPr>
                <w:p w:rsidR="0082044A" w:rsidRPr="0082044A" w:rsidRDefault="0082044A" w:rsidP="0082044A">
                  <w:pPr>
                    <w:spacing w:after="0" w:line="240" w:lineRule="auto"/>
                    <w:jc w:val="right"/>
                    <w:rPr>
                      <w:rFonts w:ascii="Arial" w:eastAsia="Times New Roman" w:hAnsi="Arial" w:cs="Arial"/>
                      <w:b/>
                      <w:bCs/>
                      <w:sz w:val="16"/>
                      <w:szCs w:val="16"/>
                      <w:lang w:eastAsia="it-IT"/>
                    </w:rPr>
                  </w:pPr>
                  <w:r w:rsidRPr="0082044A">
                    <w:rPr>
                      <w:rFonts w:ascii="Arial" w:eastAsia="Times New Roman" w:hAnsi="Arial" w:cs="Arial"/>
                      <w:b/>
                      <w:bCs/>
                      <w:sz w:val="16"/>
                      <w:szCs w:val="16"/>
                      <w:lang w:eastAsia="it-IT"/>
                    </w:rPr>
                    <w:t>269</w:t>
                  </w:r>
                </w:p>
              </w:tc>
              <w:tc>
                <w:tcPr>
                  <w:tcW w:w="900" w:type="dxa"/>
                  <w:tcBorders>
                    <w:top w:val="nil"/>
                    <w:left w:val="nil"/>
                    <w:bottom w:val="single" w:sz="8" w:space="0" w:color="auto"/>
                    <w:right w:val="single" w:sz="8" w:space="0" w:color="auto"/>
                  </w:tcBorders>
                  <w:shd w:val="clear" w:color="000000" w:fill="D6DCE4"/>
                  <w:noWrap/>
                  <w:vAlign w:val="center"/>
                  <w:hideMark/>
                </w:tcPr>
                <w:p w:rsidR="0082044A" w:rsidRPr="0082044A" w:rsidRDefault="0082044A" w:rsidP="0082044A">
                  <w:pPr>
                    <w:spacing w:after="0" w:line="240" w:lineRule="auto"/>
                    <w:jc w:val="right"/>
                    <w:rPr>
                      <w:rFonts w:ascii="Arial" w:eastAsia="Times New Roman" w:hAnsi="Arial" w:cs="Arial"/>
                      <w:b/>
                      <w:bCs/>
                      <w:sz w:val="16"/>
                      <w:szCs w:val="16"/>
                      <w:lang w:eastAsia="it-IT"/>
                    </w:rPr>
                  </w:pPr>
                  <w:r w:rsidRPr="0082044A">
                    <w:rPr>
                      <w:rFonts w:ascii="Arial" w:eastAsia="Times New Roman" w:hAnsi="Arial" w:cs="Arial"/>
                      <w:b/>
                      <w:bCs/>
                      <w:sz w:val="16"/>
                      <w:szCs w:val="16"/>
                      <w:lang w:eastAsia="it-IT"/>
                    </w:rPr>
                    <w:t>48</w:t>
                  </w:r>
                </w:p>
              </w:tc>
              <w:tc>
                <w:tcPr>
                  <w:tcW w:w="1114" w:type="dxa"/>
                  <w:tcBorders>
                    <w:top w:val="nil"/>
                    <w:left w:val="nil"/>
                    <w:bottom w:val="single" w:sz="8" w:space="0" w:color="auto"/>
                    <w:right w:val="single" w:sz="8" w:space="0" w:color="auto"/>
                  </w:tcBorders>
                  <w:shd w:val="clear" w:color="000000" w:fill="D6DCE4"/>
                  <w:noWrap/>
                  <w:vAlign w:val="center"/>
                  <w:hideMark/>
                </w:tcPr>
                <w:p w:rsidR="0082044A" w:rsidRPr="0082044A" w:rsidRDefault="0082044A" w:rsidP="0082044A">
                  <w:pPr>
                    <w:spacing w:after="0" w:line="240" w:lineRule="auto"/>
                    <w:jc w:val="right"/>
                    <w:rPr>
                      <w:rFonts w:ascii="Arial" w:eastAsia="Times New Roman" w:hAnsi="Arial" w:cs="Arial"/>
                      <w:b/>
                      <w:bCs/>
                      <w:sz w:val="16"/>
                      <w:szCs w:val="16"/>
                      <w:lang w:eastAsia="it-IT"/>
                    </w:rPr>
                  </w:pPr>
                  <w:r w:rsidRPr="0082044A">
                    <w:rPr>
                      <w:rFonts w:ascii="Arial" w:eastAsia="Times New Roman" w:hAnsi="Arial" w:cs="Arial"/>
                      <w:b/>
                      <w:bCs/>
                      <w:sz w:val="16"/>
                      <w:szCs w:val="16"/>
                      <w:lang w:eastAsia="it-IT"/>
                    </w:rPr>
                    <w:t>2.087</w:t>
                  </w:r>
                </w:p>
              </w:tc>
              <w:tc>
                <w:tcPr>
                  <w:tcW w:w="1095" w:type="dxa"/>
                  <w:tcBorders>
                    <w:top w:val="nil"/>
                    <w:left w:val="nil"/>
                    <w:bottom w:val="single" w:sz="8" w:space="0" w:color="auto"/>
                    <w:right w:val="single" w:sz="8" w:space="0" w:color="auto"/>
                  </w:tcBorders>
                  <w:shd w:val="clear" w:color="000000" w:fill="D6DCE4"/>
                  <w:noWrap/>
                  <w:vAlign w:val="center"/>
                  <w:hideMark/>
                </w:tcPr>
                <w:p w:rsidR="0082044A" w:rsidRPr="0082044A" w:rsidRDefault="0082044A" w:rsidP="0082044A">
                  <w:pPr>
                    <w:spacing w:after="0" w:line="240" w:lineRule="auto"/>
                    <w:jc w:val="right"/>
                    <w:rPr>
                      <w:rFonts w:ascii="Calibri" w:eastAsia="Times New Roman" w:hAnsi="Calibri" w:cs="Calibri"/>
                      <w:b/>
                      <w:bCs/>
                      <w:lang w:eastAsia="it-IT"/>
                    </w:rPr>
                  </w:pPr>
                  <w:r w:rsidRPr="0082044A">
                    <w:rPr>
                      <w:rFonts w:ascii="Calibri" w:eastAsia="Times New Roman" w:hAnsi="Calibri" w:cs="Calibri"/>
                      <w:b/>
                      <w:bCs/>
                      <w:lang w:eastAsia="it-IT"/>
                    </w:rPr>
                    <w:t>3.329</w:t>
                  </w:r>
                </w:p>
              </w:tc>
            </w:tr>
          </w:tbl>
          <w:p w:rsidR="0082044A" w:rsidRPr="0082044A" w:rsidRDefault="0082044A" w:rsidP="0082044A">
            <w:pPr>
              <w:spacing w:after="0" w:line="240" w:lineRule="auto"/>
              <w:rPr>
                <w:rFonts w:ascii="Calibri" w:eastAsia="Calibri" w:hAnsi="Calibri" w:cs="Calibri"/>
                <w:lang w:eastAsia="it-IT"/>
              </w:rPr>
            </w:pPr>
          </w:p>
          <w:p w:rsidR="0082044A" w:rsidRPr="0082044A" w:rsidRDefault="0082044A" w:rsidP="0082044A">
            <w:pPr>
              <w:spacing w:after="0" w:line="240" w:lineRule="auto"/>
              <w:rPr>
                <w:rFonts w:ascii="Calibri" w:eastAsia="Calibri" w:hAnsi="Calibri" w:cs="Calibri"/>
                <w:b/>
                <w:lang w:eastAsia="it-IT"/>
              </w:rPr>
            </w:pPr>
          </w:p>
          <w:p w:rsidR="0082044A" w:rsidRPr="0082044A" w:rsidRDefault="0082044A" w:rsidP="0082044A">
            <w:pPr>
              <w:spacing w:after="0" w:line="240" w:lineRule="auto"/>
              <w:rPr>
                <w:rFonts w:ascii="Times New Roman" w:eastAsia="Times New Roman" w:hAnsi="Times New Roman" w:cs="Times New Roman"/>
                <w:sz w:val="16"/>
                <w:szCs w:val="16"/>
                <w:lang w:eastAsia="it-IT"/>
              </w:rPr>
            </w:pPr>
          </w:p>
          <w:p w:rsidR="0082044A" w:rsidRPr="0082044A" w:rsidRDefault="0082044A" w:rsidP="0082044A">
            <w:pPr>
              <w:spacing w:after="0" w:line="240" w:lineRule="auto"/>
              <w:rPr>
                <w:rFonts w:ascii="Calibri" w:eastAsia="Calibri" w:hAnsi="Calibri" w:cs="Calibri"/>
                <w:b/>
                <w:lang w:eastAsia="it-IT"/>
              </w:rPr>
            </w:pPr>
            <w:r w:rsidRPr="0082044A">
              <w:rPr>
                <w:rFonts w:ascii="Calibri" w:eastAsia="Calibri" w:hAnsi="Calibri" w:cs="Calibri"/>
                <w:noProof/>
                <w:lang w:eastAsia="it-IT"/>
              </w:rPr>
              <w:drawing>
                <wp:inline distT="0" distB="0" distL="0" distR="0" wp14:anchorId="20710D40" wp14:editId="2C161722">
                  <wp:extent cx="6120130" cy="3255010"/>
                  <wp:effectExtent l="0" t="0" r="13970" b="2540"/>
                  <wp:docPr id="18" name="Gra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2044A" w:rsidRPr="0082044A" w:rsidRDefault="0082044A" w:rsidP="0082044A">
            <w:pPr>
              <w:spacing w:after="0" w:line="240" w:lineRule="auto"/>
              <w:rPr>
                <w:rFonts w:ascii="Calibri" w:eastAsia="Calibri" w:hAnsi="Calibri" w:cs="Calibri"/>
                <w:b/>
                <w:lang w:eastAsia="it-IT"/>
              </w:rPr>
            </w:pPr>
          </w:p>
          <w:p w:rsidR="0082044A" w:rsidRPr="0082044A" w:rsidRDefault="0082044A" w:rsidP="0082044A">
            <w:pPr>
              <w:spacing w:after="0" w:line="240" w:lineRule="auto"/>
              <w:rPr>
                <w:rFonts w:ascii="Calibri" w:eastAsia="Calibri" w:hAnsi="Calibri" w:cs="Calibri"/>
                <w:b/>
                <w:lang w:eastAsia="it-IT"/>
              </w:rPr>
            </w:pPr>
          </w:p>
          <w:p w:rsidR="0082044A" w:rsidRPr="0082044A" w:rsidRDefault="0082044A" w:rsidP="0082044A">
            <w:pPr>
              <w:spacing w:after="0" w:line="240" w:lineRule="auto"/>
              <w:jc w:val="both"/>
              <w:rPr>
                <w:rFonts w:ascii="Times New Roman" w:eastAsia="Calibri" w:hAnsi="Times New Roman" w:cs="Times New Roman"/>
                <w:b/>
                <w:i/>
                <w:color w:val="212121"/>
                <w:sz w:val="24"/>
                <w:szCs w:val="24"/>
                <w:lang w:eastAsia="it-IT"/>
              </w:rPr>
            </w:pPr>
            <w:r w:rsidRPr="0082044A">
              <w:rPr>
                <w:rFonts w:ascii="Times New Roman" w:eastAsia="Calibri" w:hAnsi="Times New Roman" w:cs="Times New Roman"/>
                <w:b/>
                <w:i/>
                <w:color w:val="212121"/>
                <w:sz w:val="24"/>
                <w:szCs w:val="24"/>
                <w:lang w:eastAsia="it-IT"/>
              </w:rPr>
              <w:t xml:space="preserve">5. La suddivisione del contenzioso per fasce di importo </w:t>
            </w:r>
          </w:p>
          <w:p w:rsidR="0082044A" w:rsidRPr="0082044A" w:rsidRDefault="0082044A" w:rsidP="0082044A">
            <w:pPr>
              <w:spacing w:after="0" w:line="240" w:lineRule="auto"/>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color w:val="212121"/>
                <w:sz w:val="24"/>
                <w:szCs w:val="24"/>
                <w:lang w:eastAsia="it-IT"/>
              </w:rPr>
              <w:t>Si è operata anche una distinzione per soglie, individuandone in particolare tre, corrispondenti a quelli selezionate dal legislatore per la parametrazione del contributo unificato:</w:t>
            </w:r>
          </w:p>
          <w:p w:rsidR="0082044A" w:rsidRPr="0082044A" w:rsidRDefault="0082044A" w:rsidP="0082044A">
            <w:pPr>
              <w:spacing w:after="0" w:line="240" w:lineRule="auto"/>
              <w:jc w:val="both"/>
              <w:rPr>
                <w:rFonts w:ascii="Times New Roman" w:eastAsia="Calibri" w:hAnsi="Times New Roman" w:cs="Times New Roman"/>
                <w:b/>
                <w:color w:val="212121"/>
                <w:sz w:val="24"/>
                <w:szCs w:val="24"/>
                <w:lang w:eastAsia="it-IT"/>
              </w:rPr>
            </w:pPr>
            <w:r w:rsidRPr="0082044A">
              <w:rPr>
                <w:rFonts w:ascii="Times New Roman" w:eastAsia="Calibri" w:hAnsi="Times New Roman" w:cs="Times New Roman"/>
                <w:b/>
                <w:color w:val="212121"/>
                <w:sz w:val="24"/>
                <w:szCs w:val="24"/>
                <w:lang w:eastAsia="it-IT"/>
              </w:rPr>
              <w:t>- appalti sotto la soglia di €. 200.000</w:t>
            </w:r>
          </w:p>
          <w:p w:rsidR="0082044A" w:rsidRPr="0082044A" w:rsidRDefault="0082044A" w:rsidP="0082044A">
            <w:pPr>
              <w:spacing w:after="0" w:line="240" w:lineRule="auto"/>
              <w:jc w:val="both"/>
              <w:rPr>
                <w:rFonts w:ascii="Times New Roman" w:eastAsia="Calibri" w:hAnsi="Times New Roman" w:cs="Times New Roman"/>
                <w:b/>
                <w:color w:val="212121"/>
                <w:sz w:val="24"/>
                <w:szCs w:val="24"/>
                <w:lang w:eastAsia="it-IT"/>
              </w:rPr>
            </w:pPr>
            <w:r w:rsidRPr="0082044A">
              <w:rPr>
                <w:rFonts w:ascii="Times New Roman" w:eastAsia="Calibri" w:hAnsi="Times New Roman" w:cs="Times New Roman"/>
                <w:b/>
                <w:color w:val="212121"/>
                <w:sz w:val="24"/>
                <w:szCs w:val="24"/>
                <w:lang w:eastAsia="it-IT"/>
              </w:rPr>
              <w:t>- appalti compresi tra €. 200.000 ed un milione di Euro</w:t>
            </w:r>
          </w:p>
          <w:p w:rsidR="0082044A" w:rsidRPr="0082044A" w:rsidRDefault="0082044A" w:rsidP="0082044A">
            <w:pPr>
              <w:spacing w:after="0" w:line="240" w:lineRule="auto"/>
              <w:jc w:val="both"/>
              <w:rPr>
                <w:rFonts w:ascii="Times New Roman" w:eastAsia="Calibri" w:hAnsi="Times New Roman" w:cs="Times New Roman"/>
                <w:b/>
                <w:color w:val="212121"/>
                <w:sz w:val="24"/>
                <w:szCs w:val="24"/>
                <w:lang w:eastAsia="it-IT"/>
              </w:rPr>
            </w:pPr>
            <w:r w:rsidRPr="0082044A">
              <w:rPr>
                <w:rFonts w:ascii="Times New Roman" w:eastAsia="Calibri" w:hAnsi="Times New Roman" w:cs="Times New Roman"/>
                <w:b/>
                <w:color w:val="212121"/>
                <w:sz w:val="24"/>
                <w:szCs w:val="24"/>
                <w:lang w:eastAsia="it-IT"/>
              </w:rPr>
              <w:t>- appalti sopra un milione di Euro.</w:t>
            </w:r>
          </w:p>
          <w:p w:rsidR="0082044A" w:rsidRPr="0082044A" w:rsidRDefault="0082044A" w:rsidP="0082044A">
            <w:pPr>
              <w:spacing w:after="0" w:line="240" w:lineRule="auto"/>
              <w:jc w:val="both"/>
              <w:rPr>
                <w:rFonts w:ascii="Times New Roman" w:eastAsia="Calibri" w:hAnsi="Times New Roman" w:cs="Times New Roman"/>
                <w:color w:val="212121"/>
                <w:sz w:val="24"/>
                <w:szCs w:val="24"/>
                <w:lang w:eastAsia="it-IT"/>
              </w:rPr>
            </w:pPr>
          </w:p>
          <w:p w:rsidR="0082044A" w:rsidRPr="0082044A" w:rsidRDefault="0082044A" w:rsidP="0082044A">
            <w:pPr>
              <w:spacing w:after="0" w:line="240" w:lineRule="auto"/>
              <w:jc w:val="both"/>
              <w:rPr>
                <w:rFonts w:ascii="Calibri" w:eastAsia="Calibri" w:hAnsi="Calibri" w:cs="Calibri"/>
                <w:lang w:eastAsia="it-IT"/>
              </w:rPr>
            </w:pPr>
            <w:r w:rsidRPr="0082044A">
              <w:rPr>
                <w:rFonts w:ascii="Times New Roman" w:eastAsia="Calibri" w:hAnsi="Times New Roman" w:cs="Times New Roman"/>
                <w:color w:val="212121"/>
                <w:sz w:val="24"/>
                <w:szCs w:val="24"/>
                <w:lang w:eastAsia="it-IT"/>
              </w:rPr>
              <w:t>Le risultanze per il 2015 sono le seguenti</w:t>
            </w:r>
            <w:r w:rsidRPr="0082044A">
              <w:rPr>
                <w:rFonts w:ascii="Calibri" w:eastAsia="Calibri" w:hAnsi="Calibri" w:cs="Calibri"/>
                <w:lang w:eastAsia="it-IT"/>
              </w:rPr>
              <w:t>:</w:t>
            </w:r>
          </w:p>
          <w:p w:rsidR="0082044A" w:rsidRPr="0082044A" w:rsidRDefault="0082044A" w:rsidP="0082044A">
            <w:pPr>
              <w:spacing w:after="0" w:line="240" w:lineRule="auto"/>
              <w:rPr>
                <w:rFonts w:ascii="Calibri" w:eastAsia="Calibri" w:hAnsi="Calibri" w:cs="Calibri"/>
                <w:b/>
                <w:lang w:eastAsia="it-IT"/>
              </w:rPr>
            </w:pPr>
          </w:p>
          <w:tbl>
            <w:tblPr>
              <w:tblW w:w="6622" w:type="dxa"/>
              <w:tblCellMar>
                <w:left w:w="70" w:type="dxa"/>
                <w:right w:w="70" w:type="dxa"/>
              </w:tblCellMar>
              <w:tblLook w:val="04A0" w:firstRow="1" w:lastRow="0" w:firstColumn="1" w:lastColumn="0" w:noHBand="0" w:noVBand="1"/>
            </w:tblPr>
            <w:tblGrid>
              <w:gridCol w:w="2600"/>
              <w:gridCol w:w="826"/>
              <w:gridCol w:w="974"/>
              <w:gridCol w:w="1000"/>
              <w:gridCol w:w="1299"/>
            </w:tblGrid>
            <w:tr w:rsidR="0082044A" w:rsidRPr="0082044A" w:rsidTr="0082044A">
              <w:trPr>
                <w:trHeight w:val="300"/>
              </w:trPr>
              <w:tc>
                <w:tcPr>
                  <w:tcW w:w="260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82044A" w:rsidRPr="0082044A" w:rsidRDefault="0082044A" w:rsidP="0082044A">
                  <w:pPr>
                    <w:spacing w:after="0" w:line="240" w:lineRule="auto"/>
                    <w:jc w:val="center"/>
                    <w:rPr>
                      <w:rFonts w:ascii="Calibri" w:eastAsia="Times New Roman" w:hAnsi="Calibri" w:cs="Calibri"/>
                      <w:b/>
                      <w:bCs/>
                      <w:color w:val="000000"/>
                      <w:sz w:val="16"/>
                      <w:szCs w:val="16"/>
                      <w:lang w:eastAsia="it-IT"/>
                    </w:rPr>
                  </w:pPr>
                  <w:r w:rsidRPr="0082044A">
                    <w:rPr>
                      <w:rFonts w:ascii="Calibri" w:eastAsia="Times New Roman" w:hAnsi="Calibri" w:cs="Calibri"/>
                      <w:b/>
                      <w:bCs/>
                      <w:color w:val="000000"/>
                      <w:sz w:val="16"/>
                      <w:szCs w:val="16"/>
                      <w:lang w:eastAsia="it-IT"/>
                    </w:rPr>
                    <w:t>SEDE</w:t>
                  </w:r>
                </w:p>
              </w:tc>
              <w:tc>
                <w:tcPr>
                  <w:tcW w:w="749" w:type="dxa"/>
                  <w:tcBorders>
                    <w:top w:val="single" w:sz="4" w:space="0" w:color="auto"/>
                    <w:left w:val="nil"/>
                    <w:bottom w:val="single" w:sz="4" w:space="0" w:color="auto"/>
                    <w:right w:val="single" w:sz="4" w:space="0" w:color="auto"/>
                  </w:tcBorders>
                  <w:shd w:val="clear" w:color="000000" w:fill="DDEBF7"/>
                  <w:noWrap/>
                  <w:vAlign w:val="center"/>
                  <w:hideMark/>
                </w:tcPr>
                <w:p w:rsidR="0082044A" w:rsidRPr="0082044A" w:rsidRDefault="0082044A" w:rsidP="0082044A">
                  <w:pPr>
                    <w:spacing w:after="0" w:line="240" w:lineRule="auto"/>
                    <w:jc w:val="center"/>
                    <w:rPr>
                      <w:rFonts w:ascii="Calibri" w:eastAsia="Times New Roman" w:hAnsi="Calibri" w:cs="Calibri"/>
                      <w:b/>
                      <w:bCs/>
                      <w:color w:val="000000"/>
                      <w:sz w:val="18"/>
                      <w:szCs w:val="18"/>
                      <w:lang w:eastAsia="it-IT"/>
                    </w:rPr>
                  </w:pPr>
                  <w:r w:rsidRPr="0082044A">
                    <w:rPr>
                      <w:rFonts w:ascii="Calibri" w:eastAsia="Times New Roman" w:hAnsi="Calibri" w:cs="Calibri"/>
                      <w:b/>
                      <w:bCs/>
                      <w:color w:val="000000"/>
                      <w:sz w:val="18"/>
                      <w:szCs w:val="18"/>
                      <w:lang w:eastAsia="it-IT"/>
                    </w:rPr>
                    <w:t>≤200.000</w:t>
                  </w:r>
                </w:p>
              </w:tc>
              <w:tc>
                <w:tcPr>
                  <w:tcW w:w="974" w:type="dxa"/>
                  <w:tcBorders>
                    <w:top w:val="single" w:sz="4" w:space="0" w:color="auto"/>
                    <w:left w:val="nil"/>
                    <w:bottom w:val="single" w:sz="4" w:space="0" w:color="auto"/>
                    <w:right w:val="single" w:sz="4" w:space="0" w:color="auto"/>
                  </w:tcBorders>
                  <w:shd w:val="clear" w:color="000000" w:fill="DDEBF7"/>
                  <w:noWrap/>
                  <w:vAlign w:val="center"/>
                  <w:hideMark/>
                </w:tcPr>
                <w:p w:rsidR="0082044A" w:rsidRPr="0082044A" w:rsidRDefault="0082044A" w:rsidP="0082044A">
                  <w:pPr>
                    <w:spacing w:after="0" w:line="240" w:lineRule="auto"/>
                    <w:jc w:val="center"/>
                    <w:rPr>
                      <w:rFonts w:ascii="Calibri" w:eastAsia="Times New Roman" w:hAnsi="Calibri" w:cs="Calibri"/>
                      <w:b/>
                      <w:bCs/>
                      <w:color w:val="000000"/>
                      <w:sz w:val="18"/>
                      <w:szCs w:val="18"/>
                      <w:lang w:eastAsia="it-IT"/>
                    </w:rPr>
                  </w:pPr>
                  <w:r w:rsidRPr="0082044A">
                    <w:rPr>
                      <w:rFonts w:ascii="Calibri" w:eastAsia="Times New Roman" w:hAnsi="Calibri" w:cs="Calibri"/>
                      <w:b/>
                      <w:bCs/>
                      <w:color w:val="000000"/>
                      <w:sz w:val="18"/>
                      <w:szCs w:val="18"/>
                      <w:lang w:eastAsia="it-IT"/>
                    </w:rPr>
                    <w:t xml:space="preserve"> &gt;200.000 </w:t>
                  </w:r>
                </w:p>
                <w:p w:rsidR="0082044A" w:rsidRPr="0082044A" w:rsidRDefault="0082044A" w:rsidP="0082044A">
                  <w:pPr>
                    <w:spacing w:after="0" w:line="240" w:lineRule="auto"/>
                    <w:jc w:val="center"/>
                    <w:rPr>
                      <w:rFonts w:ascii="Calibri" w:eastAsia="Times New Roman" w:hAnsi="Calibri" w:cs="Calibri"/>
                      <w:b/>
                      <w:bCs/>
                      <w:color w:val="000000"/>
                      <w:sz w:val="18"/>
                      <w:szCs w:val="18"/>
                      <w:lang w:eastAsia="it-IT"/>
                    </w:rPr>
                  </w:pPr>
                  <w:r w:rsidRPr="0082044A">
                    <w:rPr>
                      <w:rFonts w:ascii="Calibri" w:eastAsia="Times New Roman" w:hAnsi="Calibri" w:cs="Calibri"/>
                      <w:b/>
                      <w:bCs/>
                      <w:color w:val="000000"/>
                      <w:sz w:val="18"/>
                      <w:szCs w:val="18"/>
                      <w:lang w:eastAsia="it-IT"/>
                    </w:rPr>
                    <w:t>≤ 1milione</w:t>
                  </w:r>
                </w:p>
              </w:tc>
              <w:tc>
                <w:tcPr>
                  <w:tcW w:w="1000" w:type="dxa"/>
                  <w:tcBorders>
                    <w:top w:val="single" w:sz="4" w:space="0" w:color="auto"/>
                    <w:left w:val="nil"/>
                    <w:bottom w:val="single" w:sz="4" w:space="0" w:color="auto"/>
                    <w:right w:val="single" w:sz="4" w:space="0" w:color="auto"/>
                  </w:tcBorders>
                  <w:shd w:val="clear" w:color="000000" w:fill="DDEBF7"/>
                  <w:noWrap/>
                  <w:vAlign w:val="center"/>
                  <w:hideMark/>
                </w:tcPr>
                <w:p w:rsidR="0082044A" w:rsidRPr="0082044A" w:rsidRDefault="0082044A" w:rsidP="0082044A">
                  <w:pPr>
                    <w:spacing w:after="0" w:line="240" w:lineRule="auto"/>
                    <w:jc w:val="center"/>
                    <w:rPr>
                      <w:rFonts w:ascii="Calibri" w:eastAsia="Times New Roman" w:hAnsi="Calibri" w:cs="Calibri"/>
                      <w:b/>
                      <w:bCs/>
                      <w:color w:val="000000"/>
                      <w:sz w:val="18"/>
                      <w:szCs w:val="18"/>
                      <w:lang w:eastAsia="it-IT"/>
                    </w:rPr>
                  </w:pPr>
                  <w:r w:rsidRPr="0082044A">
                    <w:rPr>
                      <w:rFonts w:ascii="Calibri" w:eastAsia="Times New Roman" w:hAnsi="Calibri" w:cs="Calibri"/>
                      <w:b/>
                      <w:bCs/>
                      <w:color w:val="000000"/>
                      <w:sz w:val="18"/>
                      <w:szCs w:val="18"/>
                      <w:lang w:eastAsia="it-IT"/>
                    </w:rPr>
                    <w:t xml:space="preserve"> &gt;1milione</w:t>
                  </w:r>
                </w:p>
              </w:tc>
              <w:tc>
                <w:tcPr>
                  <w:tcW w:w="1299" w:type="dxa"/>
                  <w:tcBorders>
                    <w:top w:val="single" w:sz="4" w:space="0" w:color="auto"/>
                    <w:left w:val="nil"/>
                    <w:bottom w:val="single" w:sz="4" w:space="0" w:color="auto"/>
                    <w:right w:val="single" w:sz="4" w:space="0" w:color="auto"/>
                  </w:tcBorders>
                  <w:shd w:val="clear" w:color="000000" w:fill="DDEBF7"/>
                  <w:vAlign w:val="center"/>
                  <w:hideMark/>
                </w:tcPr>
                <w:p w:rsidR="0082044A" w:rsidRPr="0082044A" w:rsidRDefault="0082044A" w:rsidP="0082044A">
                  <w:pPr>
                    <w:spacing w:after="0" w:line="240" w:lineRule="auto"/>
                    <w:jc w:val="center"/>
                    <w:rPr>
                      <w:rFonts w:ascii="Calibri" w:eastAsia="Times New Roman" w:hAnsi="Calibri" w:cs="Calibri"/>
                      <w:b/>
                      <w:bCs/>
                      <w:color w:val="000000"/>
                      <w:sz w:val="16"/>
                      <w:szCs w:val="16"/>
                      <w:lang w:eastAsia="it-IT"/>
                    </w:rPr>
                  </w:pPr>
                  <w:r w:rsidRPr="0082044A">
                    <w:rPr>
                      <w:rFonts w:ascii="Calibri" w:eastAsia="Times New Roman" w:hAnsi="Calibri" w:cs="Calibri"/>
                      <w:b/>
                      <w:bCs/>
                      <w:color w:val="000000"/>
                      <w:sz w:val="16"/>
                      <w:szCs w:val="16"/>
                      <w:lang w:eastAsia="it-IT"/>
                    </w:rPr>
                    <w:t>TOTALE Depositi per Sede</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ANCONA</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18</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11</w:t>
                  </w:r>
                </w:p>
              </w:tc>
              <w:tc>
                <w:tcPr>
                  <w:tcW w:w="1000"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23</w:t>
                  </w:r>
                </w:p>
              </w:tc>
              <w:tc>
                <w:tcPr>
                  <w:tcW w:w="129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52</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AOSTA</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3</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5</w:t>
                  </w:r>
                </w:p>
              </w:tc>
              <w:tc>
                <w:tcPr>
                  <w:tcW w:w="1000"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4</w:t>
                  </w:r>
                </w:p>
              </w:tc>
              <w:tc>
                <w:tcPr>
                  <w:tcW w:w="129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12</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BARI</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70</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43</w:t>
                  </w:r>
                </w:p>
              </w:tc>
              <w:tc>
                <w:tcPr>
                  <w:tcW w:w="1000"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80</w:t>
                  </w:r>
                </w:p>
              </w:tc>
              <w:tc>
                <w:tcPr>
                  <w:tcW w:w="129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193</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BOLOGNA</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28</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20</w:t>
                  </w:r>
                </w:p>
              </w:tc>
              <w:tc>
                <w:tcPr>
                  <w:tcW w:w="1000"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41</w:t>
                  </w:r>
                </w:p>
              </w:tc>
              <w:tc>
                <w:tcPr>
                  <w:tcW w:w="129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89</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BOLZANO</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7</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10</w:t>
                  </w:r>
                </w:p>
              </w:tc>
              <w:tc>
                <w:tcPr>
                  <w:tcW w:w="1000"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18</w:t>
                  </w:r>
                </w:p>
              </w:tc>
              <w:tc>
                <w:tcPr>
                  <w:tcW w:w="129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35</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BRESCIA</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24</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14</w:t>
                  </w:r>
                </w:p>
              </w:tc>
              <w:tc>
                <w:tcPr>
                  <w:tcW w:w="1000"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42</w:t>
                  </w:r>
                </w:p>
              </w:tc>
              <w:tc>
                <w:tcPr>
                  <w:tcW w:w="129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80</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CAGLIARI</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50</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25</w:t>
                  </w:r>
                </w:p>
              </w:tc>
              <w:tc>
                <w:tcPr>
                  <w:tcW w:w="1000"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52</w:t>
                  </w:r>
                </w:p>
              </w:tc>
              <w:tc>
                <w:tcPr>
                  <w:tcW w:w="129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127</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lastRenderedPageBreak/>
                    <w:t>TAR CAMPOBASSO</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9</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5</w:t>
                  </w:r>
                </w:p>
              </w:tc>
              <w:tc>
                <w:tcPr>
                  <w:tcW w:w="1000"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9</w:t>
                  </w:r>
                </w:p>
              </w:tc>
              <w:tc>
                <w:tcPr>
                  <w:tcW w:w="129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23</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CATANIA</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75</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48</w:t>
                  </w:r>
                </w:p>
              </w:tc>
              <w:tc>
                <w:tcPr>
                  <w:tcW w:w="1000"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64</w:t>
                  </w:r>
                </w:p>
              </w:tc>
              <w:tc>
                <w:tcPr>
                  <w:tcW w:w="129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187</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CATANZARO</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30</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23</w:t>
                  </w:r>
                </w:p>
              </w:tc>
              <w:tc>
                <w:tcPr>
                  <w:tcW w:w="1000"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45</w:t>
                  </w:r>
                </w:p>
              </w:tc>
              <w:tc>
                <w:tcPr>
                  <w:tcW w:w="129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98</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FIRENZE</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51</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37</w:t>
                  </w:r>
                </w:p>
              </w:tc>
              <w:tc>
                <w:tcPr>
                  <w:tcW w:w="1000"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64</w:t>
                  </w:r>
                </w:p>
              </w:tc>
              <w:tc>
                <w:tcPr>
                  <w:tcW w:w="129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152</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GENOVA</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18</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8</w:t>
                  </w:r>
                </w:p>
              </w:tc>
              <w:tc>
                <w:tcPr>
                  <w:tcW w:w="1000"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25</w:t>
                  </w:r>
                </w:p>
              </w:tc>
              <w:tc>
                <w:tcPr>
                  <w:tcW w:w="129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51</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L'AQUILA</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13</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7</w:t>
                  </w:r>
                </w:p>
              </w:tc>
              <w:tc>
                <w:tcPr>
                  <w:tcW w:w="1000"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31</w:t>
                  </w:r>
                </w:p>
              </w:tc>
              <w:tc>
                <w:tcPr>
                  <w:tcW w:w="129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51</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LATINA</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11</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9</w:t>
                  </w:r>
                </w:p>
              </w:tc>
              <w:tc>
                <w:tcPr>
                  <w:tcW w:w="1000"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28</w:t>
                  </w:r>
                </w:p>
              </w:tc>
              <w:tc>
                <w:tcPr>
                  <w:tcW w:w="129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48</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LECCE</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56</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32</w:t>
                  </w:r>
                </w:p>
              </w:tc>
              <w:tc>
                <w:tcPr>
                  <w:tcW w:w="1000"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47</w:t>
                  </w:r>
                </w:p>
              </w:tc>
              <w:tc>
                <w:tcPr>
                  <w:tcW w:w="129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135</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MILANO</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92</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54</w:t>
                  </w:r>
                </w:p>
              </w:tc>
              <w:tc>
                <w:tcPr>
                  <w:tcW w:w="1000"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191</w:t>
                  </w:r>
                </w:p>
              </w:tc>
              <w:tc>
                <w:tcPr>
                  <w:tcW w:w="129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337</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NAPOLI</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159</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76</w:t>
                  </w:r>
                </w:p>
              </w:tc>
              <w:tc>
                <w:tcPr>
                  <w:tcW w:w="1000"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242</w:t>
                  </w:r>
                </w:p>
              </w:tc>
              <w:tc>
                <w:tcPr>
                  <w:tcW w:w="129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477</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PALERMO</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36</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45</w:t>
                  </w:r>
                </w:p>
              </w:tc>
              <w:tc>
                <w:tcPr>
                  <w:tcW w:w="1000"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61</w:t>
                  </w:r>
                </w:p>
              </w:tc>
              <w:tc>
                <w:tcPr>
                  <w:tcW w:w="129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142</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PARMA</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5</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6</w:t>
                  </w:r>
                </w:p>
              </w:tc>
              <w:tc>
                <w:tcPr>
                  <w:tcW w:w="1000"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10</w:t>
                  </w:r>
                </w:p>
              </w:tc>
              <w:tc>
                <w:tcPr>
                  <w:tcW w:w="129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21</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PERUGIA</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17</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8</w:t>
                  </w:r>
                </w:p>
              </w:tc>
              <w:tc>
                <w:tcPr>
                  <w:tcW w:w="1000"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13</w:t>
                  </w:r>
                </w:p>
              </w:tc>
              <w:tc>
                <w:tcPr>
                  <w:tcW w:w="129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38</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PESCARA</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14</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14</w:t>
                  </w:r>
                </w:p>
              </w:tc>
              <w:tc>
                <w:tcPr>
                  <w:tcW w:w="1000"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23</w:t>
                  </w:r>
                </w:p>
              </w:tc>
              <w:tc>
                <w:tcPr>
                  <w:tcW w:w="129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51</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POTENZA</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18</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19</w:t>
                  </w:r>
                </w:p>
              </w:tc>
              <w:tc>
                <w:tcPr>
                  <w:tcW w:w="1000"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18</w:t>
                  </w:r>
                </w:p>
              </w:tc>
              <w:tc>
                <w:tcPr>
                  <w:tcW w:w="129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55</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REGGIO CALABRIA</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14</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13</w:t>
                  </w:r>
                </w:p>
              </w:tc>
              <w:tc>
                <w:tcPr>
                  <w:tcW w:w="1000"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19</w:t>
                  </w:r>
                </w:p>
              </w:tc>
              <w:tc>
                <w:tcPr>
                  <w:tcW w:w="129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46</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ROMA</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186</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82</w:t>
                  </w:r>
                </w:p>
              </w:tc>
              <w:tc>
                <w:tcPr>
                  <w:tcW w:w="1000"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282</w:t>
                  </w:r>
                </w:p>
              </w:tc>
              <w:tc>
                <w:tcPr>
                  <w:tcW w:w="129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550</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SALERNO</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46</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55</w:t>
                  </w:r>
                </w:p>
              </w:tc>
              <w:tc>
                <w:tcPr>
                  <w:tcW w:w="1000"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77</w:t>
                  </w:r>
                </w:p>
              </w:tc>
              <w:tc>
                <w:tcPr>
                  <w:tcW w:w="129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178</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TORINO</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27</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30</w:t>
                  </w:r>
                </w:p>
              </w:tc>
              <w:tc>
                <w:tcPr>
                  <w:tcW w:w="1000"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64</w:t>
                  </w:r>
                </w:p>
              </w:tc>
              <w:tc>
                <w:tcPr>
                  <w:tcW w:w="129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121</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TRENTO</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8</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w:t>
                  </w:r>
                </w:p>
              </w:tc>
              <w:tc>
                <w:tcPr>
                  <w:tcW w:w="1000"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16</w:t>
                  </w:r>
                </w:p>
              </w:tc>
              <w:tc>
                <w:tcPr>
                  <w:tcW w:w="129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25</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TRIESTE</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9</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11</w:t>
                  </w:r>
                </w:p>
              </w:tc>
              <w:tc>
                <w:tcPr>
                  <w:tcW w:w="1000"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23</w:t>
                  </w:r>
                </w:p>
              </w:tc>
              <w:tc>
                <w:tcPr>
                  <w:tcW w:w="129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43</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VENEZIA</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43</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34</w:t>
                  </w:r>
                </w:p>
              </w:tc>
              <w:tc>
                <w:tcPr>
                  <w:tcW w:w="1000"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71</w:t>
                  </w:r>
                </w:p>
              </w:tc>
              <w:tc>
                <w:tcPr>
                  <w:tcW w:w="129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148</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82044A" w:rsidRPr="0082044A" w:rsidRDefault="0082044A" w:rsidP="0082044A">
                  <w:pPr>
                    <w:spacing w:after="0" w:line="240" w:lineRule="auto"/>
                    <w:jc w:val="right"/>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TOTALE Depositi per fascia</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sz w:val="16"/>
                      <w:szCs w:val="16"/>
                      <w:lang w:eastAsia="it-IT"/>
                    </w:rPr>
                  </w:pPr>
                  <w:r w:rsidRPr="0082044A">
                    <w:rPr>
                      <w:rFonts w:ascii="Calibri" w:eastAsia="Times New Roman" w:hAnsi="Calibri" w:cs="Calibri"/>
                      <w:b/>
                      <w:sz w:val="16"/>
                      <w:szCs w:val="16"/>
                      <w:lang w:eastAsia="it-IT"/>
                    </w:rPr>
                    <w:t>1.137</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sz w:val="16"/>
                      <w:szCs w:val="16"/>
                      <w:lang w:eastAsia="it-IT"/>
                    </w:rPr>
                  </w:pPr>
                  <w:r w:rsidRPr="0082044A">
                    <w:rPr>
                      <w:rFonts w:ascii="Calibri" w:eastAsia="Times New Roman" w:hAnsi="Calibri" w:cs="Calibri"/>
                      <w:b/>
                      <w:sz w:val="16"/>
                      <w:szCs w:val="16"/>
                      <w:lang w:eastAsia="it-IT"/>
                    </w:rPr>
                    <w:t>745</w:t>
                  </w:r>
                </w:p>
              </w:tc>
              <w:tc>
                <w:tcPr>
                  <w:tcW w:w="1000"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sz w:val="16"/>
                      <w:szCs w:val="16"/>
                      <w:lang w:eastAsia="it-IT"/>
                    </w:rPr>
                  </w:pPr>
                  <w:r w:rsidRPr="0082044A">
                    <w:rPr>
                      <w:rFonts w:ascii="Calibri" w:eastAsia="Times New Roman" w:hAnsi="Calibri" w:cs="Calibri"/>
                      <w:b/>
                      <w:sz w:val="16"/>
                      <w:szCs w:val="16"/>
                      <w:lang w:eastAsia="it-IT"/>
                    </w:rPr>
                    <w:t>1.683</w:t>
                  </w:r>
                </w:p>
              </w:tc>
              <w:tc>
                <w:tcPr>
                  <w:tcW w:w="129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3.565</w:t>
                  </w:r>
                </w:p>
              </w:tc>
            </w:tr>
          </w:tbl>
          <w:p w:rsidR="0082044A" w:rsidRPr="0082044A" w:rsidRDefault="0082044A" w:rsidP="0082044A">
            <w:pPr>
              <w:spacing w:after="0" w:line="240" w:lineRule="auto"/>
              <w:jc w:val="both"/>
              <w:rPr>
                <w:rFonts w:ascii="Times New Roman" w:eastAsia="Calibri" w:hAnsi="Times New Roman" w:cs="Times New Roman"/>
                <w:color w:val="212121"/>
                <w:sz w:val="24"/>
                <w:szCs w:val="24"/>
                <w:lang w:eastAsia="it-IT"/>
              </w:rPr>
            </w:pPr>
          </w:p>
          <w:p w:rsidR="0082044A" w:rsidRPr="0082044A" w:rsidRDefault="0082044A" w:rsidP="0082044A">
            <w:pPr>
              <w:spacing w:after="0" w:line="240" w:lineRule="auto"/>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color w:val="212121"/>
                <w:sz w:val="24"/>
                <w:szCs w:val="24"/>
                <w:lang w:eastAsia="it-IT"/>
              </w:rPr>
              <w:t>Per il 2016 sono le seguenti</w:t>
            </w:r>
          </w:p>
          <w:tbl>
            <w:tblPr>
              <w:tblW w:w="6591" w:type="dxa"/>
              <w:tblCellMar>
                <w:left w:w="70" w:type="dxa"/>
                <w:right w:w="70" w:type="dxa"/>
              </w:tblCellMar>
              <w:tblLook w:val="04A0" w:firstRow="1" w:lastRow="0" w:firstColumn="1" w:lastColumn="0" w:noHBand="0" w:noVBand="1"/>
            </w:tblPr>
            <w:tblGrid>
              <w:gridCol w:w="2600"/>
              <w:gridCol w:w="826"/>
              <w:gridCol w:w="974"/>
              <w:gridCol w:w="992"/>
              <w:gridCol w:w="1276"/>
            </w:tblGrid>
            <w:tr w:rsidR="0082044A" w:rsidRPr="0082044A" w:rsidTr="0082044A">
              <w:trPr>
                <w:trHeight w:val="300"/>
              </w:trPr>
              <w:tc>
                <w:tcPr>
                  <w:tcW w:w="26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SEDE</w:t>
                  </w:r>
                </w:p>
              </w:tc>
              <w:tc>
                <w:tcPr>
                  <w:tcW w:w="749"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82044A" w:rsidRPr="0082044A" w:rsidRDefault="0082044A" w:rsidP="0082044A">
                  <w:pPr>
                    <w:spacing w:after="0" w:line="240" w:lineRule="auto"/>
                    <w:jc w:val="center"/>
                    <w:rPr>
                      <w:rFonts w:ascii="Calibri" w:eastAsia="Times New Roman" w:hAnsi="Calibri" w:cs="Calibri"/>
                      <w:b/>
                      <w:bCs/>
                      <w:color w:val="000000"/>
                      <w:sz w:val="18"/>
                      <w:szCs w:val="18"/>
                      <w:lang w:eastAsia="it-IT"/>
                    </w:rPr>
                  </w:pPr>
                  <w:r w:rsidRPr="0082044A">
                    <w:rPr>
                      <w:rFonts w:ascii="Calibri" w:eastAsia="Times New Roman" w:hAnsi="Calibri" w:cs="Calibri"/>
                      <w:b/>
                      <w:bCs/>
                      <w:color w:val="000000"/>
                      <w:sz w:val="18"/>
                      <w:szCs w:val="18"/>
                      <w:lang w:eastAsia="it-IT"/>
                    </w:rPr>
                    <w:t>≤200.000</w:t>
                  </w:r>
                </w:p>
              </w:tc>
              <w:tc>
                <w:tcPr>
                  <w:tcW w:w="97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82044A" w:rsidRPr="0082044A" w:rsidRDefault="0082044A" w:rsidP="0082044A">
                  <w:pPr>
                    <w:spacing w:after="0" w:line="240" w:lineRule="auto"/>
                    <w:jc w:val="center"/>
                    <w:rPr>
                      <w:rFonts w:ascii="Calibri" w:eastAsia="Times New Roman" w:hAnsi="Calibri" w:cs="Calibri"/>
                      <w:b/>
                      <w:bCs/>
                      <w:color w:val="000000"/>
                      <w:sz w:val="18"/>
                      <w:szCs w:val="18"/>
                      <w:lang w:eastAsia="it-IT"/>
                    </w:rPr>
                  </w:pPr>
                  <w:r w:rsidRPr="0082044A">
                    <w:rPr>
                      <w:rFonts w:ascii="Calibri" w:eastAsia="Times New Roman" w:hAnsi="Calibri" w:cs="Calibri"/>
                      <w:b/>
                      <w:bCs/>
                      <w:color w:val="000000"/>
                      <w:sz w:val="18"/>
                      <w:szCs w:val="18"/>
                      <w:lang w:eastAsia="it-IT"/>
                    </w:rPr>
                    <w:t xml:space="preserve"> &gt;200.000 </w:t>
                  </w:r>
                </w:p>
                <w:p w:rsidR="0082044A" w:rsidRPr="0082044A" w:rsidRDefault="0082044A" w:rsidP="0082044A">
                  <w:pPr>
                    <w:spacing w:after="0" w:line="240" w:lineRule="auto"/>
                    <w:jc w:val="center"/>
                    <w:rPr>
                      <w:rFonts w:ascii="Calibri" w:eastAsia="Times New Roman" w:hAnsi="Calibri" w:cs="Calibri"/>
                      <w:b/>
                      <w:bCs/>
                      <w:color w:val="000000"/>
                      <w:sz w:val="18"/>
                      <w:szCs w:val="18"/>
                      <w:lang w:eastAsia="it-IT"/>
                    </w:rPr>
                  </w:pPr>
                  <w:r w:rsidRPr="0082044A">
                    <w:rPr>
                      <w:rFonts w:ascii="Calibri" w:eastAsia="Times New Roman" w:hAnsi="Calibri" w:cs="Calibri"/>
                      <w:b/>
                      <w:bCs/>
                      <w:color w:val="000000"/>
                      <w:sz w:val="18"/>
                      <w:szCs w:val="18"/>
                      <w:lang w:eastAsia="it-IT"/>
                    </w:rPr>
                    <w:t>≤ 1milione</w:t>
                  </w:r>
                </w:p>
              </w:tc>
              <w:tc>
                <w:tcPr>
                  <w:tcW w:w="992"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82044A" w:rsidRPr="0082044A" w:rsidRDefault="0082044A" w:rsidP="0082044A">
                  <w:pPr>
                    <w:spacing w:after="0" w:line="240" w:lineRule="auto"/>
                    <w:jc w:val="center"/>
                    <w:rPr>
                      <w:rFonts w:ascii="Calibri" w:eastAsia="Times New Roman" w:hAnsi="Calibri" w:cs="Calibri"/>
                      <w:b/>
                      <w:bCs/>
                      <w:color w:val="000000"/>
                      <w:sz w:val="18"/>
                      <w:szCs w:val="18"/>
                      <w:lang w:eastAsia="it-IT"/>
                    </w:rPr>
                  </w:pPr>
                  <w:r w:rsidRPr="0082044A">
                    <w:rPr>
                      <w:rFonts w:ascii="Calibri" w:eastAsia="Times New Roman" w:hAnsi="Calibri" w:cs="Calibri"/>
                      <w:b/>
                      <w:bCs/>
                      <w:color w:val="000000"/>
                      <w:sz w:val="18"/>
                      <w:szCs w:val="18"/>
                      <w:lang w:eastAsia="it-IT"/>
                    </w:rPr>
                    <w:t xml:space="preserve"> &gt;1milione</w:t>
                  </w:r>
                </w:p>
              </w:tc>
              <w:tc>
                <w:tcPr>
                  <w:tcW w:w="1276"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TOTALE Depositi per Sede</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ANCONA</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10</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27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52</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AOSTA</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8</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2</w:t>
                  </w:r>
                </w:p>
              </w:tc>
              <w:tc>
                <w:tcPr>
                  <w:tcW w:w="99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12</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BARI</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56</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43</w:t>
                  </w:r>
                </w:p>
              </w:tc>
              <w:tc>
                <w:tcPr>
                  <w:tcW w:w="99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77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176</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BOLOGNA</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34</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20</w:t>
                  </w:r>
                </w:p>
              </w:tc>
              <w:tc>
                <w:tcPr>
                  <w:tcW w:w="99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61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115</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BOLZANO</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4</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7</w:t>
                  </w:r>
                </w:p>
              </w:tc>
              <w:tc>
                <w:tcPr>
                  <w:tcW w:w="99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18</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BRESCIA</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16</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12</w:t>
                  </w:r>
                </w:p>
              </w:tc>
              <w:tc>
                <w:tcPr>
                  <w:tcW w:w="99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26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54</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CAGLIARI</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29</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32</w:t>
                  </w:r>
                </w:p>
              </w:tc>
              <w:tc>
                <w:tcPr>
                  <w:tcW w:w="99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54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115</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CAMPOBASSO</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9</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4</w:t>
                  </w:r>
                </w:p>
              </w:tc>
              <w:tc>
                <w:tcPr>
                  <w:tcW w:w="99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20</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CATANIA</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77</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47</w:t>
                  </w:r>
                </w:p>
              </w:tc>
              <w:tc>
                <w:tcPr>
                  <w:tcW w:w="99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61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185</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CATANZARO</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35</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31</w:t>
                  </w:r>
                </w:p>
              </w:tc>
              <w:tc>
                <w:tcPr>
                  <w:tcW w:w="99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35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101</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FIRENZE</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35</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28</w:t>
                  </w:r>
                </w:p>
              </w:tc>
              <w:tc>
                <w:tcPr>
                  <w:tcW w:w="99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78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141</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GENOVA</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24</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14</w:t>
                  </w:r>
                </w:p>
              </w:tc>
              <w:tc>
                <w:tcPr>
                  <w:tcW w:w="99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27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65</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L'AQUILA</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10</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11</w:t>
                  </w:r>
                </w:p>
              </w:tc>
              <w:tc>
                <w:tcPr>
                  <w:tcW w:w="99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33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54</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LATINA</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18</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7</w:t>
                  </w:r>
                </w:p>
              </w:tc>
              <w:tc>
                <w:tcPr>
                  <w:tcW w:w="99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41</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LECCE</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49</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35</w:t>
                  </w:r>
                </w:p>
              </w:tc>
              <w:tc>
                <w:tcPr>
                  <w:tcW w:w="99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45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129</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MILANO</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64</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68</w:t>
                  </w:r>
                </w:p>
              </w:tc>
              <w:tc>
                <w:tcPr>
                  <w:tcW w:w="99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165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297</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NAPOLI</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134</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44</w:t>
                  </w:r>
                </w:p>
              </w:tc>
              <w:tc>
                <w:tcPr>
                  <w:tcW w:w="99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142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320</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PALERMO</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41</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41</w:t>
                  </w:r>
                </w:p>
              </w:tc>
              <w:tc>
                <w:tcPr>
                  <w:tcW w:w="99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53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135</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PARMA</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6</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3</w:t>
                  </w:r>
                </w:p>
              </w:tc>
              <w:tc>
                <w:tcPr>
                  <w:tcW w:w="99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26</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lastRenderedPageBreak/>
                    <w:t>TAR PERUGIA</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10</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12</w:t>
                  </w:r>
                </w:p>
              </w:tc>
              <w:tc>
                <w:tcPr>
                  <w:tcW w:w="99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39</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PESCARA</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11</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12</w:t>
                  </w:r>
                </w:p>
              </w:tc>
              <w:tc>
                <w:tcPr>
                  <w:tcW w:w="99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38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61</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POTENZA</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26</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12</w:t>
                  </w:r>
                </w:p>
              </w:tc>
              <w:tc>
                <w:tcPr>
                  <w:tcW w:w="99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30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68</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REGGIO CALABRIA</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11</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6</w:t>
                  </w:r>
                </w:p>
              </w:tc>
              <w:tc>
                <w:tcPr>
                  <w:tcW w:w="99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33</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ROMA</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166</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69</w:t>
                  </w:r>
                </w:p>
              </w:tc>
              <w:tc>
                <w:tcPr>
                  <w:tcW w:w="99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333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568</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SALERNO</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47</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23</w:t>
                  </w:r>
                </w:p>
              </w:tc>
              <w:tc>
                <w:tcPr>
                  <w:tcW w:w="99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45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115</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TORINO</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32</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34</w:t>
                  </w:r>
                </w:p>
              </w:tc>
              <w:tc>
                <w:tcPr>
                  <w:tcW w:w="99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72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138</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TRENTO</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10</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5</w:t>
                  </w:r>
                </w:p>
              </w:tc>
              <w:tc>
                <w:tcPr>
                  <w:tcW w:w="99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24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39</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TRIESTE</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10</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21</w:t>
                  </w:r>
                </w:p>
              </w:tc>
              <w:tc>
                <w:tcPr>
                  <w:tcW w:w="99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25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56</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TAR VENEZIA</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41</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31</w:t>
                  </w:r>
                </w:p>
              </w:tc>
              <w:tc>
                <w:tcPr>
                  <w:tcW w:w="99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84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156</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TOTALE Depositi per fascia</w:t>
                  </w:r>
                </w:p>
              </w:tc>
              <w:tc>
                <w:tcPr>
                  <w:tcW w:w="749"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1.023</w:t>
                  </w:r>
                </w:p>
              </w:tc>
              <w:tc>
                <w:tcPr>
                  <w:tcW w:w="97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689</w:t>
                  </w:r>
                </w:p>
              </w:tc>
              <w:tc>
                <w:tcPr>
                  <w:tcW w:w="99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sz w:val="16"/>
                      <w:szCs w:val="16"/>
                      <w:lang w:eastAsia="it-IT"/>
                    </w:rPr>
                  </w:pPr>
                  <w:r w:rsidRPr="0082044A">
                    <w:rPr>
                      <w:rFonts w:ascii="Calibri" w:eastAsia="Times New Roman" w:hAnsi="Calibri" w:cs="Calibri"/>
                      <w:sz w:val="16"/>
                      <w:szCs w:val="16"/>
                      <w:lang w:eastAsia="it-IT"/>
                    </w:rPr>
                    <w:t>1.617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sz w:val="16"/>
                      <w:szCs w:val="16"/>
                      <w:lang w:eastAsia="it-IT"/>
                    </w:rPr>
                  </w:pPr>
                  <w:r w:rsidRPr="0082044A">
                    <w:rPr>
                      <w:rFonts w:ascii="Calibri" w:eastAsia="Times New Roman" w:hAnsi="Calibri" w:cs="Calibri"/>
                      <w:b/>
                      <w:bCs/>
                      <w:sz w:val="16"/>
                      <w:szCs w:val="16"/>
                      <w:lang w:eastAsia="it-IT"/>
                    </w:rPr>
                    <w:t>3.329</w:t>
                  </w:r>
                </w:p>
              </w:tc>
            </w:tr>
          </w:tbl>
          <w:p w:rsidR="0082044A" w:rsidRPr="0082044A" w:rsidRDefault="0082044A" w:rsidP="0082044A">
            <w:pPr>
              <w:spacing w:after="0" w:line="240" w:lineRule="auto"/>
              <w:rPr>
                <w:rFonts w:ascii="Calibri" w:eastAsia="Calibri" w:hAnsi="Calibri" w:cs="Calibri"/>
                <w:color w:val="212121"/>
                <w:lang w:eastAsia="it-IT"/>
              </w:rPr>
            </w:pPr>
          </w:p>
          <w:p w:rsidR="0082044A" w:rsidRPr="0082044A" w:rsidRDefault="0082044A" w:rsidP="0082044A">
            <w:pPr>
              <w:spacing w:after="0" w:line="240" w:lineRule="auto"/>
              <w:rPr>
                <w:rFonts w:ascii="Calibri" w:eastAsia="Calibri" w:hAnsi="Calibri" w:cs="Calibri"/>
                <w:color w:val="212121"/>
                <w:lang w:eastAsia="it-IT"/>
              </w:rPr>
            </w:pPr>
          </w:p>
          <w:p w:rsidR="0082044A" w:rsidRPr="0082044A" w:rsidRDefault="0082044A" w:rsidP="0082044A">
            <w:pPr>
              <w:spacing w:after="0" w:line="240" w:lineRule="auto"/>
              <w:rPr>
                <w:rFonts w:ascii="Calibri" w:eastAsia="Calibri" w:hAnsi="Calibri" w:cs="Calibri"/>
                <w:b/>
                <w:color w:val="FF0000"/>
                <w:lang w:eastAsia="it-IT"/>
              </w:rPr>
            </w:pPr>
            <w:r w:rsidRPr="0082044A">
              <w:rPr>
                <w:rFonts w:ascii="Calibri" w:eastAsia="Calibri" w:hAnsi="Calibri" w:cs="Calibri"/>
                <w:b/>
                <w:noProof/>
                <w:color w:val="FF0000"/>
                <w:lang w:eastAsia="it-IT"/>
              </w:rPr>
              <w:drawing>
                <wp:inline distT="0" distB="0" distL="0" distR="0" wp14:anchorId="668246BF" wp14:editId="2EE0ED99">
                  <wp:extent cx="5735117" cy="3227705"/>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698" cy="3238163"/>
                          </a:xfrm>
                          <a:prstGeom prst="rect">
                            <a:avLst/>
                          </a:prstGeom>
                          <a:noFill/>
                        </pic:spPr>
                      </pic:pic>
                    </a:graphicData>
                  </a:graphic>
                </wp:inline>
              </w:drawing>
            </w:r>
          </w:p>
          <w:p w:rsidR="0082044A" w:rsidRPr="0082044A" w:rsidRDefault="0082044A" w:rsidP="0082044A">
            <w:pPr>
              <w:spacing w:after="0" w:line="240" w:lineRule="auto"/>
              <w:rPr>
                <w:rFonts w:ascii="Calibri" w:eastAsia="Calibri" w:hAnsi="Calibri" w:cs="Calibri"/>
                <w:b/>
                <w:color w:val="FF0000"/>
                <w:lang w:eastAsia="it-IT"/>
              </w:rPr>
            </w:pPr>
          </w:p>
          <w:p w:rsidR="0082044A" w:rsidRPr="0082044A" w:rsidRDefault="0082044A" w:rsidP="0082044A">
            <w:pPr>
              <w:spacing w:after="0" w:line="240" w:lineRule="auto"/>
              <w:rPr>
                <w:rFonts w:ascii="Calibri" w:eastAsia="Calibri" w:hAnsi="Calibri" w:cs="Calibri"/>
                <w:b/>
                <w:color w:val="FF0000"/>
                <w:lang w:eastAsia="it-IT"/>
              </w:rPr>
            </w:pPr>
          </w:p>
          <w:p w:rsidR="0082044A" w:rsidRPr="0082044A" w:rsidRDefault="0082044A" w:rsidP="0082044A">
            <w:pPr>
              <w:spacing w:after="0" w:line="240" w:lineRule="auto"/>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color w:val="212121"/>
                <w:sz w:val="24"/>
                <w:szCs w:val="24"/>
                <w:lang w:eastAsia="it-IT"/>
              </w:rPr>
              <w:t xml:space="preserve">Come può notarsi </w:t>
            </w:r>
            <w:r w:rsidRPr="0082044A">
              <w:rPr>
                <w:rFonts w:ascii="Times New Roman" w:eastAsia="Calibri" w:hAnsi="Times New Roman" w:cs="Times New Roman"/>
                <w:b/>
                <w:color w:val="212121"/>
                <w:sz w:val="24"/>
                <w:szCs w:val="24"/>
                <w:u w:val="single"/>
                <w:lang w:eastAsia="it-IT"/>
              </w:rPr>
              <w:t>le procedure di maggior importo sono anche quelle relativamente più contestate</w:t>
            </w:r>
            <w:r w:rsidRPr="0082044A">
              <w:rPr>
                <w:rFonts w:ascii="Times New Roman" w:eastAsia="Calibri" w:hAnsi="Times New Roman" w:cs="Times New Roman"/>
                <w:color w:val="212121"/>
                <w:sz w:val="24"/>
                <w:szCs w:val="24"/>
                <w:lang w:eastAsia="it-IT"/>
              </w:rPr>
              <w:t>.</w:t>
            </w:r>
          </w:p>
          <w:p w:rsidR="0082044A" w:rsidRPr="0082044A" w:rsidRDefault="0082044A" w:rsidP="0082044A">
            <w:pPr>
              <w:spacing w:after="0" w:line="240" w:lineRule="auto"/>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color w:val="212121"/>
                <w:sz w:val="24"/>
                <w:szCs w:val="24"/>
                <w:lang w:eastAsia="it-IT"/>
              </w:rPr>
              <w:t>Le impugnazioni delle procedure sopra il milione di euro rappresentano circa il 50% del totale delle impugnazioni. Non si ha il dato in percentuale rispetto alle procedure bandite, ma è ragionevole ipotizzare che più è elevato l’importo più cresca la percentuale relativa di impugnazione.</w:t>
            </w:r>
          </w:p>
          <w:p w:rsidR="0082044A" w:rsidRPr="0082044A" w:rsidRDefault="0082044A" w:rsidP="0082044A">
            <w:pPr>
              <w:spacing w:after="0" w:line="240" w:lineRule="auto"/>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color w:val="212121"/>
                <w:sz w:val="24"/>
                <w:szCs w:val="24"/>
                <w:lang w:eastAsia="it-IT"/>
              </w:rPr>
              <w:t>Viceversa, per gli appalti di minore importo le percentuali scendono sensibilmente, sia in rapporto al totale delle impugnazioni (le impugnazioni delle procedure di valore compreso tra 200 mila e un milione è pari circa al 20% del totale), sia – deve ritenersi, in modo più marcato - in rapporto alle procedure bandite.</w:t>
            </w:r>
          </w:p>
          <w:p w:rsidR="0082044A" w:rsidRPr="0082044A" w:rsidRDefault="0082044A" w:rsidP="0082044A">
            <w:pPr>
              <w:spacing w:after="0" w:line="240" w:lineRule="auto"/>
              <w:jc w:val="both"/>
              <w:rPr>
                <w:rFonts w:ascii="Times New Roman" w:eastAsia="Calibri" w:hAnsi="Times New Roman" w:cs="Times New Roman"/>
                <w:b/>
                <w:color w:val="212121"/>
                <w:sz w:val="24"/>
                <w:szCs w:val="24"/>
                <w:lang w:eastAsia="it-IT"/>
              </w:rPr>
            </w:pPr>
            <w:r w:rsidRPr="0082044A">
              <w:rPr>
                <w:rFonts w:ascii="Times New Roman" w:eastAsia="Calibri" w:hAnsi="Times New Roman" w:cs="Times New Roman"/>
                <w:b/>
                <w:color w:val="212121"/>
                <w:sz w:val="24"/>
                <w:szCs w:val="24"/>
                <w:lang w:eastAsia="it-IT"/>
              </w:rPr>
              <w:t>Ciò è verosimilmente determinato dall’incidenza degli oneri che l’impresa deve affrontare per sostenere il giudizio (contributo unificato e spese legali), in rapporto ai benefici ritraibili dallo stesso in caso di successo.</w:t>
            </w:r>
          </w:p>
          <w:p w:rsidR="0082044A" w:rsidRPr="0082044A" w:rsidRDefault="0082044A" w:rsidP="0082044A">
            <w:pPr>
              <w:spacing w:after="0" w:line="240" w:lineRule="auto"/>
              <w:jc w:val="both"/>
              <w:rPr>
                <w:rFonts w:ascii="Calibri" w:eastAsia="Calibri" w:hAnsi="Calibri" w:cs="Calibri"/>
                <w:lang w:eastAsia="it-IT"/>
              </w:rPr>
            </w:pPr>
          </w:p>
          <w:p w:rsidR="0082044A" w:rsidRPr="0082044A" w:rsidRDefault="0082044A" w:rsidP="0082044A">
            <w:pPr>
              <w:spacing w:after="0" w:line="240" w:lineRule="auto"/>
              <w:jc w:val="both"/>
              <w:rPr>
                <w:rFonts w:ascii="Calibri" w:eastAsia="Calibri" w:hAnsi="Calibri" w:cs="Calibri"/>
                <w:lang w:eastAsia="it-IT"/>
              </w:rPr>
            </w:pPr>
          </w:p>
          <w:p w:rsidR="0082044A" w:rsidRPr="0082044A" w:rsidRDefault="0082044A" w:rsidP="0082044A">
            <w:pPr>
              <w:spacing w:after="0" w:line="240" w:lineRule="auto"/>
              <w:jc w:val="both"/>
              <w:rPr>
                <w:rFonts w:ascii="Calibri" w:eastAsia="Calibri" w:hAnsi="Calibri" w:cs="Calibri"/>
                <w:lang w:eastAsia="it-IT"/>
              </w:rPr>
            </w:pPr>
          </w:p>
          <w:p w:rsidR="0082044A" w:rsidRPr="0082044A" w:rsidRDefault="0082044A" w:rsidP="0082044A">
            <w:pPr>
              <w:spacing w:after="0" w:line="240" w:lineRule="auto"/>
              <w:jc w:val="both"/>
              <w:rPr>
                <w:rFonts w:ascii="Times New Roman" w:eastAsia="Calibri" w:hAnsi="Times New Roman" w:cs="Times New Roman"/>
                <w:b/>
                <w:i/>
                <w:color w:val="212121"/>
                <w:sz w:val="24"/>
                <w:szCs w:val="24"/>
                <w:lang w:eastAsia="it-IT"/>
              </w:rPr>
            </w:pPr>
            <w:r w:rsidRPr="0082044A">
              <w:rPr>
                <w:rFonts w:ascii="Times New Roman" w:eastAsia="Calibri" w:hAnsi="Times New Roman" w:cs="Times New Roman"/>
                <w:b/>
                <w:i/>
                <w:color w:val="212121"/>
                <w:sz w:val="24"/>
                <w:szCs w:val="24"/>
                <w:lang w:eastAsia="it-IT"/>
              </w:rPr>
              <w:lastRenderedPageBreak/>
              <w:t>6. L’impatto delle decisioni cautelari dei TAR: dati</w:t>
            </w:r>
          </w:p>
          <w:p w:rsidR="0082044A" w:rsidRPr="0082044A" w:rsidRDefault="0082044A" w:rsidP="0082044A">
            <w:pPr>
              <w:spacing w:after="0" w:line="240" w:lineRule="auto"/>
              <w:jc w:val="both"/>
              <w:rPr>
                <w:rFonts w:ascii="Times New Roman" w:eastAsia="Calibri" w:hAnsi="Times New Roman" w:cs="Times New Roman"/>
                <w:b/>
                <w:color w:val="212121"/>
                <w:sz w:val="24"/>
                <w:szCs w:val="24"/>
                <w:lang w:eastAsia="it-IT"/>
              </w:rPr>
            </w:pPr>
            <w:r w:rsidRPr="0082044A">
              <w:rPr>
                <w:rFonts w:ascii="Times New Roman" w:eastAsia="Calibri" w:hAnsi="Times New Roman" w:cs="Times New Roman"/>
                <w:color w:val="212121"/>
                <w:sz w:val="24"/>
                <w:szCs w:val="24"/>
                <w:lang w:eastAsia="it-IT"/>
              </w:rPr>
              <w:t xml:space="preserve">La seconda parte dell’indagine riguarda, come in premessa accennato, </w:t>
            </w:r>
            <w:r w:rsidRPr="0082044A">
              <w:rPr>
                <w:rFonts w:ascii="Times New Roman" w:eastAsia="Calibri" w:hAnsi="Times New Roman" w:cs="Times New Roman"/>
                <w:b/>
                <w:color w:val="212121"/>
                <w:sz w:val="24"/>
                <w:szCs w:val="24"/>
                <w:lang w:eastAsia="it-IT"/>
              </w:rPr>
              <w:t>l’impatto delle decisioni cautelari.</w:t>
            </w:r>
          </w:p>
          <w:p w:rsidR="0082044A" w:rsidRPr="0082044A" w:rsidRDefault="0082044A" w:rsidP="0082044A">
            <w:pPr>
              <w:spacing w:after="0" w:line="240" w:lineRule="auto"/>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color w:val="212121"/>
                <w:sz w:val="24"/>
                <w:szCs w:val="24"/>
                <w:lang w:eastAsia="it-IT"/>
              </w:rPr>
              <w:t>A tal fine si è provveduto ad individuare, per il 2015 e per il 2016:</w:t>
            </w:r>
          </w:p>
          <w:p w:rsidR="0082044A" w:rsidRPr="0082044A" w:rsidRDefault="0082044A" w:rsidP="0082044A">
            <w:pPr>
              <w:spacing w:after="0" w:line="240" w:lineRule="auto"/>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color w:val="212121"/>
                <w:sz w:val="24"/>
                <w:szCs w:val="24"/>
                <w:lang w:eastAsia="it-IT"/>
              </w:rPr>
              <w:t>a) quanti sono i provvedimenti cautelari richiesti al TAR (dato che è inferiore a quello dei ricorsi proposti);</w:t>
            </w:r>
          </w:p>
          <w:p w:rsidR="0082044A" w:rsidRPr="0082044A" w:rsidRDefault="0082044A" w:rsidP="0082044A">
            <w:pPr>
              <w:spacing w:after="0" w:line="240" w:lineRule="auto"/>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color w:val="212121"/>
                <w:sz w:val="24"/>
                <w:szCs w:val="24"/>
                <w:lang w:eastAsia="it-IT"/>
              </w:rPr>
              <w:t>b) quanti sono i provvedimenti di accoglimento, che sortiscono un effetto “sospensivo” della procedura di gara con conseguente “blocco” temporaneo del processo produttivo.</w:t>
            </w:r>
          </w:p>
          <w:p w:rsidR="0082044A" w:rsidRPr="0082044A" w:rsidRDefault="0082044A" w:rsidP="0082044A">
            <w:pPr>
              <w:spacing w:after="0" w:line="240" w:lineRule="auto"/>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color w:val="212121"/>
                <w:sz w:val="24"/>
                <w:szCs w:val="24"/>
                <w:lang w:eastAsia="it-IT"/>
              </w:rPr>
              <w:t>I l numero complessivo delle ordinanze cautelari emesse in materia di appalti sui depositi dell’anno 2015 e dell’anno 2016 è oggetto di illustrazione nelle tabelle che seguono. Le stesse individuano altresì il dato degli accoglimenti, ossia delle sospensive accordate in sede cautelare.</w:t>
            </w:r>
          </w:p>
          <w:p w:rsidR="0082044A" w:rsidRPr="0082044A" w:rsidRDefault="0082044A" w:rsidP="0082044A">
            <w:pPr>
              <w:spacing w:after="0" w:line="240" w:lineRule="auto"/>
              <w:jc w:val="both"/>
              <w:rPr>
                <w:rFonts w:ascii="Times New Roman" w:eastAsia="Calibri" w:hAnsi="Times New Roman" w:cs="Times New Roman"/>
                <w:b/>
                <w:color w:val="212121"/>
                <w:sz w:val="24"/>
                <w:szCs w:val="24"/>
                <w:lang w:eastAsia="it-IT"/>
              </w:rPr>
            </w:pPr>
            <w:r w:rsidRPr="0082044A">
              <w:rPr>
                <w:rFonts w:ascii="Times New Roman" w:eastAsia="Calibri" w:hAnsi="Times New Roman" w:cs="Times New Roman"/>
                <w:b/>
                <w:color w:val="212121"/>
                <w:sz w:val="24"/>
                <w:szCs w:val="24"/>
                <w:lang w:eastAsia="it-IT"/>
              </w:rPr>
              <w:t xml:space="preserve">Le sospensive costituiscono in media circa il 30% delle ordinanze emesse (che a loro volta sono in numero inferiore a quelli dei ricorsi proposti), il che significa che </w:t>
            </w:r>
            <w:r w:rsidRPr="0082044A">
              <w:rPr>
                <w:rFonts w:ascii="Times New Roman" w:eastAsia="Calibri" w:hAnsi="Times New Roman" w:cs="Times New Roman"/>
                <w:b/>
                <w:color w:val="212121"/>
                <w:sz w:val="24"/>
                <w:szCs w:val="24"/>
                <w:u w:val="single"/>
                <w:lang w:eastAsia="it-IT"/>
              </w:rPr>
              <w:t>meno di 1/3 delle procedure impugnate sono sospese in sede cautelare</w:t>
            </w:r>
            <w:r w:rsidRPr="0082044A">
              <w:rPr>
                <w:rFonts w:ascii="Times New Roman" w:eastAsia="Calibri" w:hAnsi="Times New Roman" w:cs="Times New Roman"/>
                <w:b/>
                <w:color w:val="212121"/>
                <w:sz w:val="24"/>
                <w:szCs w:val="24"/>
                <w:lang w:eastAsia="it-IT"/>
              </w:rPr>
              <w:t xml:space="preserve">.  </w:t>
            </w:r>
          </w:p>
          <w:p w:rsidR="0082044A" w:rsidRPr="0082044A" w:rsidRDefault="0082044A" w:rsidP="0082044A">
            <w:pPr>
              <w:spacing w:after="0" w:line="240" w:lineRule="auto"/>
              <w:ind w:left="218"/>
              <w:rPr>
                <w:rFonts w:ascii="Calibri" w:eastAsia="Calibri" w:hAnsi="Calibri" w:cs="Calibri"/>
                <w:color w:val="212121"/>
                <w:lang w:eastAsia="it-IT"/>
              </w:rPr>
            </w:pPr>
          </w:p>
          <w:p w:rsidR="0082044A" w:rsidRPr="0082044A" w:rsidRDefault="0082044A" w:rsidP="0082044A">
            <w:pPr>
              <w:spacing w:after="0" w:line="240" w:lineRule="auto"/>
              <w:rPr>
                <w:rFonts w:ascii="Calibri" w:eastAsia="Calibri" w:hAnsi="Calibri" w:cs="Calibri"/>
                <w:b/>
                <w:color w:val="212121"/>
                <w:lang w:eastAsia="it-IT"/>
              </w:rPr>
            </w:pPr>
            <w:r w:rsidRPr="0082044A">
              <w:rPr>
                <w:rFonts w:ascii="Calibri" w:eastAsia="Calibri" w:hAnsi="Calibri" w:cs="Calibri"/>
                <w:b/>
                <w:color w:val="212121"/>
                <w:lang w:eastAsia="it-IT"/>
              </w:rPr>
              <w:t>2015 – ordinanze emesse e sospensive accolte</w:t>
            </w:r>
          </w:p>
          <w:tbl>
            <w:tblPr>
              <w:tblW w:w="6308" w:type="dxa"/>
              <w:tblCellMar>
                <w:left w:w="70" w:type="dxa"/>
                <w:right w:w="70" w:type="dxa"/>
              </w:tblCellMar>
              <w:tblLook w:val="04A0" w:firstRow="1" w:lastRow="0" w:firstColumn="1" w:lastColumn="0" w:noHBand="0" w:noVBand="1"/>
            </w:tblPr>
            <w:tblGrid>
              <w:gridCol w:w="2055"/>
              <w:gridCol w:w="1843"/>
              <w:gridCol w:w="1544"/>
              <w:gridCol w:w="866"/>
            </w:tblGrid>
            <w:tr w:rsidR="0082044A" w:rsidRPr="0082044A" w:rsidTr="0082044A">
              <w:trPr>
                <w:trHeight w:val="300"/>
              </w:trPr>
              <w:tc>
                <w:tcPr>
                  <w:tcW w:w="2055"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82044A" w:rsidRPr="0082044A" w:rsidRDefault="0082044A" w:rsidP="0082044A">
                  <w:pPr>
                    <w:spacing w:after="0" w:line="240" w:lineRule="auto"/>
                    <w:jc w:val="center"/>
                    <w:rPr>
                      <w:rFonts w:ascii="Calibri" w:eastAsia="Times New Roman" w:hAnsi="Calibri" w:cs="Calibri"/>
                      <w:b/>
                      <w:bCs/>
                      <w:color w:val="000000"/>
                      <w:sz w:val="16"/>
                      <w:szCs w:val="16"/>
                      <w:lang w:eastAsia="it-IT"/>
                    </w:rPr>
                  </w:pPr>
                  <w:r w:rsidRPr="0082044A">
                    <w:rPr>
                      <w:rFonts w:ascii="Calibri" w:eastAsia="Times New Roman" w:hAnsi="Calibri" w:cs="Calibri"/>
                      <w:b/>
                      <w:bCs/>
                      <w:color w:val="000000"/>
                      <w:sz w:val="16"/>
                      <w:szCs w:val="16"/>
                      <w:lang w:eastAsia="it-IT"/>
                    </w:rPr>
                    <w:t>SEDE</w:t>
                  </w:r>
                </w:p>
              </w:tc>
              <w:tc>
                <w:tcPr>
                  <w:tcW w:w="1843" w:type="dxa"/>
                  <w:tcBorders>
                    <w:top w:val="single" w:sz="4" w:space="0" w:color="auto"/>
                    <w:left w:val="nil"/>
                    <w:bottom w:val="single" w:sz="4" w:space="0" w:color="auto"/>
                    <w:right w:val="single" w:sz="4" w:space="0" w:color="auto"/>
                  </w:tcBorders>
                  <w:shd w:val="clear" w:color="000000" w:fill="DDEBF7"/>
                  <w:noWrap/>
                  <w:vAlign w:val="center"/>
                  <w:hideMark/>
                </w:tcPr>
                <w:p w:rsidR="0082044A" w:rsidRPr="0082044A" w:rsidRDefault="0082044A" w:rsidP="0082044A">
                  <w:pPr>
                    <w:spacing w:after="0" w:line="240" w:lineRule="auto"/>
                    <w:jc w:val="center"/>
                    <w:rPr>
                      <w:rFonts w:ascii="Calibri" w:eastAsia="Times New Roman" w:hAnsi="Calibri" w:cs="Calibri"/>
                      <w:b/>
                      <w:bCs/>
                      <w:color w:val="000000"/>
                      <w:sz w:val="16"/>
                      <w:szCs w:val="16"/>
                      <w:lang w:eastAsia="it-IT"/>
                    </w:rPr>
                  </w:pPr>
                  <w:r w:rsidRPr="0082044A">
                    <w:rPr>
                      <w:rFonts w:ascii="Calibri" w:eastAsia="Times New Roman" w:hAnsi="Calibri" w:cs="Calibri"/>
                      <w:b/>
                      <w:bCs/>
                      <w:color w:val="000000"/>
                      <w:sz w:val="16"/>
                      <w:szCs w:val="16"/>
                      <w:lang w:eastAsia="it-IT"/>
                    </w:rPr>
                    <w:t>Ordinanze cautelari relative a ricorsi del 2015</w:t>
                  </w:r>
                </w:p>
              </w:tc>
              <w:tc>
                <w:tcPr>
                  <w:tcW w:w="1686" w:type="dxa"/>
                  <w:tcBorders>
                    <w:top w:val="single" w:sz="4" w:space="0" w:color="auto"/>
                    <w:left w:val="nil"/>
                    <w:bottom w:val="single" w:sz="4" w:space="0" w:color="auto"/>
                    <w:right w:val="single" w:sz="4" w:space="0" w:color="auto"/>
                  </w:tcBorders>
                  <w:shd w:val="clear" w:color="000000" w:fill="DDEBF7"/>
                </w:tcPr>
                <w:p w:rsidR="0082044A" w:rsidRPr="0082044A" w:rsidRDefault="0082044A" w:rsidP="0082044A">
                  <w:pPr>
                    <w:spacing w:after="0" w:line="240" w:lineRule="auto"/>
                    <w:jc w:val="center"/>
                    <w:rPr>
                      <w:rFonts w:ascii="Calibri" w:eastAsia="Times New Roman" w:hAnsi="Calibri" w:cs="Calibri"/>
                      <w:b/>
                      <w:bCs/>
                      <w:color w:val="000000"/>
                      <w:sz w:val="16"/>
                      <w:szCs w:val="16"/>
                      <w:lang w:eastAsia="it-IT"/>
                    </w:rPr>
                  </w:pPr>
                  <w:r w:rsidRPr="0082044A">
                    <w:rPr>
                      <w:rFonts w:ascii="Calibri" w:eastAsia="Times New Roman" w:hAnsi="Calibri" w:cs="Calibri"/>
                      <w:b/>
                      <w:bCs/>
                      <w:color w:val="000000"/>
                      <w:sz w:val="16"/>
                      <w:szCs w:val="16"/>
                      <w:lang w:eastAsia="it-IT"/>
                    </w:rPr>
                    <w:t>Di cui ordinanze con effetto sospensivo</w:t>
                  </w:r>
                </w:p>
              </w:tc>
              <w:tc>
                <w:tcPr>
                  <w:tcW w:w="724" w:type="dxa"/>
                  <w:tcBorders>
                    <w:top w:val="single" w:sz="4" w:space="0" w:color="auto"/>
                    <w:left w:val="nil"/>
                    <w:bottom w:val="single" w:sz="4" w:space="0" w:color="auto"/>
                    <w:right w:val="single" w:sz="4" w:space="0" w:color="auto"/>
                  </w:tcBorders>
                  <w:shd w:val="clear" w:color="000000" w:fill="DDEBF7"/>
                  <w:vAlign w:val="center"/>
                </w:tcPr>
                <w:p w:rsidR="0082044A" w:rsidRPr="0082044A" w:rsidRDefault="0082044A" w:rsidP="0082044A">
                  <w:pPr>
                    <w:spacing w:after="0" w:line="240" w:lineRule="auto"/>
                    <w:jc w:val="center"/>
                    <w:rPr>
                      <w:rFonts w:ascii="Calibri" w:eastAsia="Times New Roman" w:hAnsi="Calibri" w:cs="Calibri"/>
                      <w:b/>
                      <w:bCs/>
                      <w:color w:val="000000"/>
                      <w:sz w:val="16"/>
                      <w:szCs w:val="16"/>
                      <w:lang w:eastAsia="it-IT"/>
                    </w:rPr>
                  </w:pPr>
                  <w:r w:rsidRPr="0082044A">
                    <w:rPr>
                      <w:rFonts w:ascii="Calibri" w:eastAsia="Times New Roman" w:hAnsi="Calibri" w:cs="Calibri"/>
                      <w:b/>
                      <w:bCs/>
                      <w:color w:val="000000"/>
                      <w:sz w:val="16"/>
                      <w:szCs w:val="16"/>
                      <w:lang w:eastAsia="it-IT"/>
                    </w:rPr>
                    <w:t xml:space="preserve">% </w:t>
                  </w:r>
                  <w:proofErr w:type="spellStart"/>
                  <w:r w:rsidRPr="0082044A">
                    <w:rPr>
                      <w:rFonts w:ascii="Calibri" w:eastAsia="Times New Roman" w:hAnsi="Calibri" w:cs="Calibri"/>
                      <w:b/>
                      <w:bCs/>
                      <w:color w:val="000000"/>
                      <w:sz w:val="16"/>
                      <w:szCs w:val="16"/>
                      <w:lang w:eastAsia="it-IT"/>
                    </w:rPr>
                    <w:t>accogl</w:t>
                  </w:r>
                  <w:proofErr w:type="spellEnd"/>
                  <w:r w:rsidRPr="0082044A">
                    <w:rPr>
                      <w:rFonts w:ascii="Calibri" w:eastAsia="Times New Roman" w:hAnsi="Calibri" w:cs="Calibri"/>
                      <w:b/>
                      <w:bCs/>
                      <w:color w:val="000000"/>
                      <w:sz w:val="16"/>
                      <w:szCs w:val="16"/>
                      <w:lang w:eastAsia="it-IT"/>
                    </w:rPr>
                    <w:t>. sospensive</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ANCONA</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46</w:t>
                  </w:r>
                </w:p>
              </w:tc>
              <w:tc>
                <w:tcPr>
                  <w:tcW w:w="1686" w:type="dxa"/>
                  <w:tcBorders>
                    <w:top w:val="single" w:sz="4" w:space="0" w:color="auto"/>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17</w:t>
                  </w:r>
                </w:p>
              </w:tc>
              <w:tc>
                <w:tcPr>
                  <w:tcW w:w="724" w:type="dxa"/>
                  <w:tcBorders>
                    <w:top w:val="single" w:sz="4" w:space="0" w:color="auto"/>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36,96</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AOSTA</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10</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1</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10,00</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BARI</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164</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45</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27,44</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BOLOGNA</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84</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20</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23,81</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BOLZANO</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31</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9</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29,03</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BRESCIA</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73</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23</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31,51</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CAGLIARI</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102</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19</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18,63</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CAMPOBASSO</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21</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5</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23,81</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CATANIA</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158</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53</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33,54</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CATANZARO</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86</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24</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27,91</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FIRENZE</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125</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46</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36,80</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GENOVA</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46</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17</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36,96</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L'AQUILA</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44</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15</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34,09</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LATINA</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42</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21</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50,00</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LECCE</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121</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36</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29,75</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MILANO</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301</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100</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33,22</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NAPOLI</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417</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135</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32,37</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PALERMO</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130</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43</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33,08</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PARMA</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20</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6</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30,00</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PERUGIA</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33</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7</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21,21</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PESCARA</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45</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22</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48,89</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POTENZA</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51</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27</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52,94</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REGGIO CALABRIA</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44</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19</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43,18</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ROMA</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469</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95</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20,26</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SALERNO</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166</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60</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36,14</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TORINO</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117</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41</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35,04</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TRENTO</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23</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5</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21,74</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TRIESTE</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37</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14</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37,84</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VENEZIA</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130</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34</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26,15</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vAlign w:val="bottom"/>
                  <w:hideMark/>
                </w:tcPr>
                <w:p w:rsidR="0082044A" w:rsidRPr="0082044A" w:rsidRDefault="0082044A" w:rsidP="0082044A">
                  <w:pPr>
                    <w:spacing w:after="0" w:line="240" w:lineRule="auto"/>
                    <w:jc w:val="center"/>
                    <w:rPr>
                      <w:rFonts w:ascii="Calibri" w:eastAsia="Times New Roman" w:hAnsi="Calibri" w:cs="Calibri"/>
                      <w:b/>
                      <w:bCs/>
                      <w:color w:val="000000"/>
                      <w:sz w:val="16"/>
                      <w:szCs w:val="16"/>
                      <w:lang w:eastAsia="it-IT"/>
                    </w:rPr>
                  </w:pPr>
                  <w:r w:rsidRPr="0082044A">
                    <w:rPr>
                      <w:rFonts w:ascii="Calibri" w:eastAsia="Times New Roman" w:hAnsi="Calibri" w:cs="Calibri"/>
                      <w:b/>
                      <w:bCs/>
                      <w:color w:val="000000"/>
                      <w:sz w:val="16"/>
                      <w:szCs w:val="16"/>
                      <w:lang w:eastAsia="it-IT"/>
                    </w:rPr>
                    <w:t xml:space="preserve">TOTALE ricorsi depositati </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color w:val="000000"/>
                      <w:sz w:val="16"/>
                      <w:szCs w:val="16"/>
                      <w:lang w:eastAsia="it-IT"/>
                    </w:rPr>
                  </w:pPr>
                  <w:r w:rsidRPr="0082044A">
                    <w:rPr>
                      <w:rFonts w:ascii="Calibri" w:eastAsia="Times New Roman" w:hAnsi="Calibri" w:cs="Calibri"/>
                      <w:b/>
                      <w:color w:val="000000"/>
                      <w:sz w:val="16"/>
                      <w:szCs w:val="16"/>
                      <w:lang w:eastAsia="it-IT"/>
                    </w:rPr>
                    <w:t>3.136</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b/>
                      <w:color w:val="000000"/>
                      <w:sz w:val="16"/>
                      <w:szCs w:val="16"/>
                      <w:lang w:eastAsia="it-IT"/>
                    </w:rPr>
                  </w:pPr>
                  <w:r w:rsidRPr="0082044A">
                    <w:rPr>
                      <w:rFonts w:ascii="Calibri" w:eastAsia="Times New Roman" w:hAnsi="Calibri" w:cs="Calibri"/>
                      <w:b/>
                      <w:color w:val="000000"/>
                      <w:sz w:val="16"/>
                      <w:szCs w:val="16"/>
                      <w:lang w:eastAsia="it-IT"/>
                    </w:rPr>
                    <w:t>959</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b/>
                      <w:color w:val="000000"/>
                      <w:sz w:val="16"/>
                      <w:szCs w:val="16"/>
                      <w:lang w:eastAsia="it-IT"/>
                    </w:rPr>
                  </w:pPr>
                  <w:r w:rsidRPr="0082044A">
                    <w:rPr>
                      <w:rFonts w:ascii="Calibri" w:eastAsia="Calibri" w:hAnsi="Calibri" w:cs="Calibri"/>
                      <w:b/>
                      <w:color w:val="000000"/>
                      <w:sz w:val="16"/>
                      <w:szCs w:val="16"/>
                      <w:lang w:eastAsia="it-IT"/>
                    </w:rPr>
                    <w:t>30,58</w:t>
                  </w:r>
                </w:p>
              </w:tc>
            </w:tr>
          </w:tbl>
          <w:p w:rsidR="0082044A" w:rsidRPr="0082044A" w:rsidRDefault="0082044A" w:rsidP="0082044A">
            <w:pPr>
              <w:spacing w:after="0" w:line="240" w:lineRule="auto"/>
              <w:rPr>
                <w:rFonts w:ascii="Calibri" w:eastAsia="Calibri" w:hAnsi="Calibri" w:cs="Calibri"/>
                <w:b/>
                <w:color w:val="212121"/>
                <w:lang w:eastAsia="it-IT"/>
              </w:rPr>
            </w:pPr>
          </w:p>
          <w:p w:rsidR="0082044A" w:rsidRPr="0082044A" w:rsidRDefault="0082044A" w:rsidP="0082044A">
            <w:pPr>
              <w:spacing w:after="0" w:line="240" w:lineRule="auto"/>
              <w:rPr>
                <w:rFonts w:ascii="Calibri" w:eastAsia="Calibri" w:hAnsi="Calibri" w:cs="Calibri"/>
                <w:b/>
                <w:color w:val="212121"/>
                <w:lang w:eastAsia="it-IT"/>
              </w:rPr>
            </w:pPr>
          </w:p>
          <w:p w:rsidR="0082044A" w:rsidRPr="0082044A" w:rsidRDefault="0082044A" w:rsidP="0082044A">
            <w:pPr>
              <w:spacing w:after="0" w:line="240" w:lineRule="auto"/>
              <w:rPr>
                <w:rFonts w:ascii="Calibri" w:eastAsia="Calibri" w:hAnsi="Calibri" w:cs="Calibri"/>
                <w:b/>
                <w:color w:val="212121"/>
                <w:lang w:eastAsia="it-IT"/>
              </w:rPr>
            </w:pPr>
            <w:r w:rsidRPr="0082044A">
              <w:rPr>
                <w:rFonts w:ascii="Calibri" w:eastAsia="Calibri" w:hAnsi="Calibri" w:cs="Calibri"/>
                <w:b/>
                <w:color w:val="212121"/>
                <w:lang w:eastAsia="it-IT"/>
              </w:rPr>
              <w:t>2016 – ordinanze emesse e sospensive accolte</w:t>
            </w:r>
          </w:p>
          <w:tbl>
            <w:tblPr>
              <w:tblW w:w="6308" w:type="dxa"/>
              <w:tblCellMar>
                <w:left w:w="70" w:type="dxa"/>
                <w:right w:w="70" w:type="dxa"/>
              </w:tblCellMar>
              <w:tblLook w:val="04A0" w:firstRow="1" w:lastRow="0" w:firstColumn="1" w:lastColumn="0" w:noHBand="0" w:noVBand="1"/>
            </w:tblPr>
            <w:tblGrid>
              <w:gridCol w:w="2055"/>
              <w:gridCol w:w="1843"/>
              <w:gridCol w:w="1544"/>
              <w:gridCol w:w="866"/>
            </w:tblGrid>
            <w:tr w:rsidR="0082044A" w:rsidRPr="0082044A" w:rsidTr="0082044A">
              <w:trPr>
                <w:trHeight w:val="300"/>
              </w:trPr>
              <w:tc>
                <w:tcPr>
                  <w:tcW w:w="2055"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82044A" w:rsidRPr="0082044A" w:rsidRDefault="0082044A" w:rsidP="0082044A">
                  <w:pPr>
                    <w:spacing w:after="0" w:line="240" w:lineRule="auto"/>
                    <w:jc w:val="center"/>
                    <w:rPr>
                      <w:rFonts w:ascii="Calibri" w:eastAsia="Times New Roman" w:hAnsi="Calibri" w:cs="Calibri"/>
                      <w:b/>
                      <w:bCs/>
                      <w:color w:val="000000"/>
                      <w:sz w:val="16"/>
                      <w:szCs w:val="16"/>
                      <w:lang w:eastAsia="it-IT"/>
                    </w:rPr>
                  </w:pPr>
                  <w:r w:rsidRPr="0082044A">
                    <w:rPr>
                      <w:rFonts w:ascii="Calibri" w:eastAsia="Times New Roman" w:hAnsi="Calibri" w:cs="Calibri"/>
                      <w:b/>
                      <w:bCs/>
                      <w:color w:val="000000"/>
                      <w:sz w:val="16"/>
                      <w:szCs w:val="16"/>
                      <w:lang w:eastAsia="it-IT"/>
                    </w:rPr>
                    <w:t>SEDE</w:t>
                  </w:r>
                </w:p>
              </w:tc>
              <w:tc>
                <w:tcPr>
                  <w:tcW w:w="1843" w:type="dxa"/>
                  <w:tcBorders>
                    <w:top w:val="single" w:sz="4" w:space="0" w:color="auto"/>
                    <w:left w:val="nil"/>
                    <w:bottom w:val="single" w:sz="4" w:space="0" w:color="auto"/>
                    <w:right w:val="single" w:sz="4" w:space="0" w:color="auto"/>
                  </w:tcBorders>
                  <w:shd w:val="clear" w:color="000000" w:fill="DDEBF7"/>
                  <w:noWrap/>
                  <w:vAlign w:val="center"/>
                  <w:hideMark/>
                </w:tcPr>
                <w:p w:rsidR="0082044A" w:rsidRPr="0082044A" w:rsidRDefault="0082044A" w:rsidP="0082044A">
                  <w:pPr>
                    <w:spacing w:after="0" w:line="240" w:lineRule="auto"/>
                    <w:jc w:val="center"/>
                    <w:rPr>
                      <w:rFonts w:ascii="Calibri" w:eastAsia="Times New Roman" w:hAnsi="Calibri" w:cs="Calibri"/>
                      <w:b/>
                      <w:bCs/>
                      <w:color w:val="000000"/>
                      <w:sz w:val="16"/>
                      <w:szCs w:val="16"/>
                      <w:lang w:eastAsia="it-IT"/>
                    </w:rPr>
                  </w:pPr>
                  <w:r w:rsidRPr="0082044A">
                    <w:rPr>
                      <w:rFonts w:ascii="Calibri" w:eastAsia="Times New Roman" w:hAnsi="Calibri" w:cs="Calibri"/>
                      <w:b/>
                      <w:bCs/>
                      <w:color w:val="000000"/>
                      <w:sz w:val="16"/>
                      <w:szCs w:val="16"/>
                      <w:lang w:eastAsia="it-IT"/>
                    </w:rPr>
                    <w:t>Ordinanze cautelari relative a ricorsi del 2016</w:t>
                  </w:r>
                </w:p>
              </w:tc>
              <w:tc>
                <w:tcPr>
                  <w:tcW w:w="1686" w:type="dxa"/>
                  <w:tcBorders>
                    <w:top w:val="single" w:sz="4" w:space="0" w:color="auto"/>
                    <w:left w:val="nil"/>
                    <w:bottom w:val="single" w:sz="4" w:space="0" w:color="auto"/>
                    <w:right w:val="single" w:sz="4" w:space="0" w:color="auto"/>
                  </w:tcBorders>
                  <w:shd w:val="clear" w:color="000000" w:fill="DDEBF7"/>
                </w:tcPr>
                <w:p w:rsidR="0082044A" w:rsidRPr="0082044A" w:rsidRDefault="0082044A" w:rsidP="0082044A">
                  <w:pPr>
                    <w:spacing w:after="0" w:line="240" w:lineRule="auto"/>
                    <w:jc w:val="center"/>
                    <w:rPr>
                      <w:rFonts w:ascii="Calibri" w:eastAsia="Times New Roman" w:hAnsi="Calibri" w:cs="Calibri"/>
                      <w:b/>
                      <w:bCs/>
                      <w:color w:val="000000"/>
                      <w:sz w:val="16"/>
                      <w:szCs w:val="16"/>
                      <w:lang w:eastAsia="it-IT"/>
                    </w:rPr>
                  </w:pPr>
                  <w:r w:rsidRPr="0082044A">
                    <w:rPr>
                      <w:rFonts w:ascii="Calibri" w:eastAsia="Times New Roman" w:hAnsi="Calibri" w:cs="Calibri"/>
                      <w:b/>
                      <w:bCs/>
                      <w:color w:val="000000"/>
                      <w:sz w:val="16"/>
                      <w:szCs w:val="16"/>
                      <w:lang w:eastAsia="it-IT"/>
                    </w:rPr>
                    <w:t>Di cui ordinanze con effetto sospensivo</w:t>
                  </w:r>
                </w:p>
              </w:tc>
              <w:tc>
                <w:tcPr>
                  <w:tcW w:w="724" w:type="dxa"/>
                  <w:tcBorders>
                    <w:top w:val="single" w:sz="4" w:space="0" w:color="auto"/>
                    <w:left w:val="nil"/>
                    <w:bottom w:val="single" w:sz="4" w:space="0" w:color="auto"/>
                    <w:right w:val="single" w:sz="4" w:space="0" w:color="auto"/>
                  </w:tcBorders>
                  <w:shd w:val="clear" w:color="000000" w:fill="DDEBF7"/>
                  <w:vAlign w:val="center"/>
                </w:tcPr>
                <w:p w:rsidR="0082044A" w:rsidRPr="0082044A" w:rsidRDefault="0082044A" w:rsidP="0082044A">
                  <w:pPr>
                    <w:spacing w:after="0" w:line="240" w:lineRule="auto"/>
                    <w:jc w:val="center"/>
                    <w:rPr>
                      <w:rFonts w:ascii="Calibri" w:eastAsia="Times New Roman" w:hAnsi="Calibri" w:cs="Calibri"/>
                      <w:b/>
                      <w:bCs/>
                      <w:color w:val="000000"/>
                      <w:sz w:val="16"/>
                      <w:szCs w:val="16"/>
                      <w:lang w:eastAsia="it-IT"/>
                    </w:rPr>
                  </w:pPr>
                  <w:r w:rsidRPr="0082044A">
                    <w:rPr>
                      <w:rFonts w:ascii="Calibri" w:eastAsia="Times New Roman" w:hAnsi="Calibri" w:cs="Calibri"/>
                      <w:b/>
                      <w:bCs/>
                      <w:color w:val="000000"/>
                      <w:sz w:val="16"/>
                      <w:szCs w:val="16"/>
                      <w:lang w:eastAsia="it-IT"/>
                    </w:rPr>
                    <w:t xml:space="preserve">% </w:t>
                  </w:r>
                  <w:proofErr w:type="spellStart"/>
                  <w:r w:rsidRPr="0082044A">
                    <w:rPr>
                      <w:rFonts w:ascii="Calibri" w:eastAsia="Times New Roman" w:hAnsi="Calibri" w:cs="Calibri"/>
                      <w:b/>
                      <w:bCs/>
                      <w:color w:val="000000"/>
                      <w:sz w:val="16"/>
                      <w:szCs w:val="16"/>
                      <w:lang w:eastAsia="it-IT"/>
                    </w:rPr>
                    <w:t>accogl</w:t>
                  </w:r>
                  <w:proofErr w:type="spellEnd"/>
                  <w:r w:rsidRPr="0082044A">
                    <w:rPr>
                      <w:rFonts w:ascii="Calibri" w:eastAsia="Times New Roman" w:hAnsi="Calibri" w:cs="Calibri"/>
                      <w:b/>
                      <w:bCs/>
                      <w:color w:val="000000"/>
                      <w:sz w:val="16"/>
                      <w:szCs w:val="16"/>
                      <w:lang w:eastAsia="it-IT"/>
                    </w:rPr>
                    <w:t>. sospensive</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ANCONA</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49</w:t>
                  </w:r>
                </w:p>
              </w:tc>
              <w:tc>
                <w:tcPr>
                  <w:tcW w:w="1686" w:type="dxa"/>
                  <w:tcBorders>
                    <w:top w:val="single" w:sz="4" w:space="0" w:color="auto"/>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21</w:t>
                  </w:r>
                </w:p>
              </w:tc>
              <w:tc>
                <w:tcPr>
                  <w:tcW w:w="724" w:type="dxa"/>
                  <w:tcBorders>
                    <w:top w:val="single" w:sz="4" w:space="0" w:color="auto"/>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42,86</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AOSTA</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11</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1</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9,09</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BARI</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148</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39</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26,35</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BOLOGNA</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104</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13</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12,50</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BOLZANO</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16</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2</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12,50</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BRESCIA</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50</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13</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26,00</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CAGLIARI</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102</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22</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21,57</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CAMPOBASSO</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19</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6</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31,58</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CATANIA</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159</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55</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34,59</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CATANZARO</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88</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26</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29,55</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FIRENZE</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127</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41</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32,28</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GENOVA</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58</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16</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27,59</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L'AQUILA</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52</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13</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25,00</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LATINA</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37</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11</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29,73</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LECCE</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117</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47</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40,17</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MILANO</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257</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63</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24,51</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NAPOLI</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267</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83</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31,09</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PALERMO</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129</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39</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30,23</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PARMA</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21</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5</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23,81</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PERUGIA</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32</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7</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21,88</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PESCARA</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58</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30</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51,72</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POTENZA</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63</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13</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20,63</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REGGIO CALABRIA</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26</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6</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23,08</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ROMA</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467</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124</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26,55</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SALERNO</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104</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41</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39,42</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TORINO</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129</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49</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37,98</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TRENTO</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33</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9</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27,27</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TRIESTE</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47</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16</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34,04</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TAR VENEZIA</w:t>
                  </w:r>
                </w:p>
              </w:tc>
              <w:tc>
                <w:tcPr>
                  <w:tcW w:w="1843" w:type="dxa"/>
                  <w:tcBorders>
                    <w:top w:val="nil"/>
                    <w:left w:val="nil"/>
                    <w:bottom w:val="single" w:sz="4" w:space="0" w:color="auto"/>
                    <w:right w:val="single" w:sz="4" w:space="0" w:color="auto"/>
                  </w:tcBorders>
                  <w:shd w:val="clear" w:color="auto" w:fill="auto"/>
                  <w:noWrap/>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148</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color w:val="000000"/>
                      <w:sz w:val="16"/>
                      <w:szCs w:val="16"/>
                      <w:lang w:eastAsia="it-IT"/>
                    </w:rPr>
                  </w:pPr>
                  <w:r w:rsidRPr="0082044A">
                    <w:rPr>
                      <w:rFonts w:ascii="Calibri" w:eastAsia="Times New Roman" w:hAnsi="Calibri" w:cs="Calibri"/>
                      <w:color w:val="000000"/>
                      <w:sz w:val="16"/>
                      <w:szCs w:val="16"/>
                      <w:lang w:eastAsia="it-IT"/>
                    </w:rPr>
                    <w:t>38</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color w:val="000000"/>
                      <w:sz w:val="16"/>
                      <w:szCs w:val="16"/>
                      <w:lang w:eastAsia="it-IT"/>
                    </w:rPr>
                  </w:pPr>
                  <w:r w:rsidRPr="0082044A">
                    <w:rPr>
                      <w:rFonts w:ascii="Calibri" w:eastAsia="Calibri" w:hAnsi="Calibri" w:cs="Calibri"/>
                      <w:color w:val="000000"/>
                      <w:sz w:val="16"/>
                      <w:szCs w:val="16"/>
                      <w:lang w:eastAsia="it-IT"/>
                    </w:rPr>
                    <w:t>25,68</w:t>
                  </w:r>
                </w:p>
              </w:tc>
            </w:tr>
            <w:tr w:rsidR="0082044A" w:rsidRPr="0082044A" w:rsidTr="0082044A">
              <w:trPr>
                <w:trHeight w:val="300"/>
              </w:trPr>
              <w:tc>
                <w:tcPr>
                  <w:tcW w:w="2055" w:type="dxa"/>
                  <w:tcBorders>
                    <w:top w:val="nil"/>
                    <w:left w:val="single" w:sz="4" w:space="0" w:color="auto"/>
                    <w:bottom w:val="single" w:sz="4" w:space="0" w:color="auto"/>
                    <w:right w:val="single" w:sz="4" w:space="0" w:color="auto"/>
                  </w:tcBorders>
                  <w:shd w:val="clear" w:color="auto" w:fill="auto"/>
                  <w:vAlign w:val="bottom"/>
                  <w:hideMark/>
                </w:tcPr>
                <w:p w:rsidR="0082044A" w:rsidRPr="0082044A" w:rsidRDefault="0082044A" w:rsidP="0082044A">
                  <w:pPr>
                    <w:spacing w:after="0" w:line="240" w:lineRule="auto"/>
                    <w:jc w:val="center"/>
                    <w:rPr>
                      <w:rFonts w:ascii="Calibri" w:eastAsia="Times New Roman" w:hAnsi="Calibri" w:cs="Calibri"/>
                      <w:b/>
                      <w:bCs/>
                      <w:color w:val="000000"/>
                      <w:sz w:val="16"/>
                      <w:szCs w:val="16"/>
                      <w:lang w:eastAsia="it-IT"/>
                    </w:rPr>
                  </w:pPr>
                  <w:r w:rsidRPr="0082044A">
                    <w:rPr>
                      <w:rFonts w:ascii="Calibri" w:eastAsia="Times New Roman" w:hAnsi="Calibri" w:cs="Calibri"/>
                      <w:b/>
                      <w:bCs/>
                      <w:color w:val="000000"/>
                      <w:sz w:val="16"/>
                      <w:szCs w:val="16"/>
                      <w:lang w:eastAsia="it-IT"/>
                    </w:rPr>
                    <w:t>TOTALE Depositi per fascia</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color w:val="000000"/>
                      <w:sz w:val="16"/>
                      <w:szCs w:val="16"/>
                      <w:lang w:eastAsia="it-IT"/>
                    </w:rPr>
                  </w:pPr>
                  <w:r w:rsidRPr="0082044A">
                    <w:rPr>
                      <w:rFonts w:ascii="Calibri" w:eastAsia="Times New Roman" w:hAnsi="Calibri" w:cs="Calibri"/>
                      <w:b/>
                      <w:color w:val="000000"/>
                      <w:sz w:val="16"/>
                      <w:szCs w:val="16"/>
                      <w:lang w:eastAsia="it-IT"/>
                    </w:rPr>
                    <w:t>2.918</w:t>
                  </w:r>
                </w:p>
              </w:tc>
              <w:tc>
                <w:tcPr>
                  <w:tcW w:w="1686" w:type="dxa"/>
                  <w:tcBorders>
                    <w:top w:val="nil"/>
                    <w:left w:val="nil"/>
                    <w:bottom w:val="single" w:sz="4" w:space="0" w:color="auto"/>
                    <w:right w:val="single" w:sz="4" w:space="0" w:color="auto"/>
                  </w:tcBorders>
                  <w:vAlign w:val="bottom"/>
                </w:tcPr>
                <w:p w:rsidR="0082044A" w:rsidRPr="0082044A" w:rsidRDefault="0082044A" w:rsidP="0082044A">
                  <w:pPr>
                    <w:spacing w:after="0" w:line="240" w:lineRule="auto"/>
                    <w:jc w:val="center"/>
                    <w:rPr>
                      <w:rFonts w:ascii="Calibri" w:eastAsia="Times New Roman" w:hAnsi="Calibri" w:cs="Calibri"/>
                      <w:b/>
                      <w:color w:val="000000"/>
                      <w:sz w:val="16"/>
                      <w:szCs w:val="16"/>
                      <w:lang w:eastAsia="it-IT"/>
                    </w:rPr>
                  </w:pPr>
                  <w:r w:rsidRPr="0082044A">
                    <w:rPr>
                      <w:rFonts w:ascii="Calibri" w:eastAsia="Times New Roman" w:hAnsi="Calibri" w:cs="Calibri"/>
                      <w:b/>
                      <w:color w:val="000000"/>
                      <w:sz w:val="16"/>
                      <w:szCs w:val="16"/>
                      <w:lang w:eastAsia="it-IT"/>
                    </w:rPr>
                    <w:t>849</w:t>
                  </w:r>
                </w:p>
              </w:tc>
              <w:tc>
                <w:tcPr>
                  <w:tcW w:w="724" w:type="dxa"/>
                  <w:tcBorders>
                    <w:top w:val="nil"/>
                    <w:left w:val="nil"/>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Calibri" w:hAnsi="Calibri" w:cs="Calibri"/>
                      <w:b/>
                      <w:color w:val="000000"/>
                      <w:sz w:val="16"/>
                      <w:szCs w:val="16"/>
                      <w:lang w:eastAsia="it-IT"/>
                    </w:rPr>
                  </w:pPr>
                  <w:r w:rsidRPr="0082044A">
                    <w:rPr>
                      <w:rFonts w:ascii="Calibri" w:eastAsia="Calibri" w:hAnsi="Calibri" w:cs="Calibri"/>
                      <w:b/>
                      <w:color w:val="000000"/>
                      <w:sz w:val="16"/>
                      <w:szCs w:val="16"/>
                      <w:lang w:eastAsia="it-IT"/>
                    </w:rPr>
                    <w:t>29,10</w:t>
                  </w:r>
                </w:p>
              </w:tc>
            </w:tr>
          </w:tbl>
          <w:p w:rsidR="0082044A" w:rsidRPr="0082044A" w:rsidRDefault="0082044A" w:rsidP="0082044A">
            <w:pPr>
              <w:spacing w:after="0" w:line="240" w:lineRule="auto"/>
              <w:rPr>
                <w:rFonts w:ascii="Calibri" w:eastAsia="Calibri" w:hAnsi="Calibri" w:cs="Calibri"/>
                <w:b/>
                <w:color w:val="212121"/>
                <w:lang w:eastAsia="it-IT"/>
              </w:rPr>
            </w:pPr>
          </w:p>
          <w:p w:rsidR="0082044A" w:rsidRPr="0082044A" w:rsidRDefault="0082044A" w:rsidP="0082044A">
            <w:pPr>
              <w:spacing w:after="0" w:line="240" w:lineRule="auto"/>
              <w:rPr>
                <w:rFonts w:ascii="Calibri" w:eastAsia="Calibri" w:hAnsi="Calibri" w:cs="Calibri"/>
                <w:b/>
                <w:color w:val="212121"/>
                <w:lang w:eastAsia="it-IT"/>
              </w:rPr>
            </w:pPr>
          </w:p>
          <w:p w:rsidR="0082044A" w:rsidRPr="0082044A" w:rsidRDefault="0082044A" w:rsidP="0082044A">
            <w:pPr>
              <w:spacing w:after="0" w:line="240" w:lineRule="auto"/>
              <w:rPr>
                <w:rFonts w:ascii="Calibri" w:eastAsia="Calibri" w:hAnsi="Calibri" w:cs="Calibri"/>
                <w:b/>
                <w:color w:val="212121"/>
                <w:lang w:eastAsia="it-IT"/>
              </w:rPr>
            </w:pPr>
            <w:r w:rsidRPr="0082044A">
              <w:rPr>
                <w:rFonts w:ascii="Calibri" w:eastAsia="Calibri" w:hAnsi="Calibri" w:cs="Calibri"/>
                <w:b/>
                <w:noProof/>
                <w:color w:val="212121"/>
                <w:lang w:eastAsia="it-IT"/>
              </w:rPr>
              <w:lastRenderedPageBreak/>
              <w:drawing>
                <wp:inline distT="0" distB="0" distL="0" distR="0" wp14:anchorId="0607C2C1" wp14:editId="72C7141E">
                  <wp:extent cx="4491533" cy="4237060"/>
                  <wp:effectExtent l="0" t="0" r="4445"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97356" cy="4242553"/>
                          </a:xfrm>
                          <a:prstGeom prst="rect">
                            <a:avLst/>
                          </a:prstGeom>
                          <a:noFill/>
                        </pic:spPr>
                      </pic:pic>
                    </a:graphicData>
                  </a:graphic>
                </wp:inline>
              </w:drawing>
            </w:r>
          </w:p>
          <w:p w:rsidR="0082044A" w:rsidRPr="0082044A" w:rsidRDefault="0082044A" w:rsidP="0082044A">
            <w:pPr>
              <w:spacing w:after="0" w:line="240" w:lineRule="auto"/>
              <w:rPr>
                <w:rFonts w:ascii="Calibri" w:eastAsia="Calibri" w:hAnsi="Calibri" w:cs="Calibri"/>
                <w:b/>
                <w:color w:val="212121"/>
                <w:lang w:eastAsia="it-IT"/>
              </w:rPr>
            </w:pPr>
          </w:p>
          <w:p w:rsidR="0082044A" w:rsidRPr="0082044A" w:rsidRDefault="0082044A" w:rsidP="0082044A">
            <w:pPr>
              <w:spacing w:after="0" w:line="240" w:lineRule="auto"/>
              <w:rPr>
                <w:rFonts w:ascii="Calibri" w:eastAsia="Calibri" w:hAnsi="Calibri" w:cs="Calibri"/>
                <w:b/>
                <w:color w:val="212121"/>
                <w:lang w:eastAsia="it-IT"/>
              </w:rPr>
            </w:pPr>
          </w:p>
          <w:p w:rsidR="0082044A" w:rsidRPr="0082044A" w:rsidRDefault="0082044A" w:rsidP="0082044A">
            <w:pPr>
              <w:spacing w:after="0" w:line="240" w:lineRule="auto"/>
              <w:rPr>
                <w:rFonts w:ascii="Calibri" w:eastAsia="Calibri" w:hAnsi="Calibri" w:cs="Calibri"/>
                <w:b/>
                <w:color w:val="212121"/>
                <w:lang w:eastAsia="it-IT"/>
              </w:rPr>
            </w:pPr>
          </w:p>
          <w:p w:rsidR="0082044A" w:rsidRPr="0082044A" w:rsidRDefault="0082044A" w:rsidP="0082044A">
            <w:pPr>
              <w:spacing w:after="0" w:line="240" w:lineRule="auto"/>
              <w:rPr>
                <w:rFonts w:ascii="Calibri" w:eastAsia="Calibri" w:hAnsi="Calibri" w:cs="Calibri"/>
                <w:b/>
                <w:color w:val="212121"/>
                <w:lang w:eastAsia="it-IT"/>
              </w:rPr>
            </w:pPr>
          </w:p>
          <w:p w:rsidR="0082044A" w:rsidRPr="0082044A" w:rsidRDefault="0082044A" w:rsidP="0082044A">
            <w:pPr>
              <w:spacing w:after="0" w:line="240" w:lineRule="auto"/>
              <w:jc w:val="both"/>
              <w:rPr>
                <w:rFonts w:ascii="Times New Roman" w:eastAsia="Calibri" w:hAnsi="Times New Roman" w:cs="Times New Roman"/>
                <w:b/>
                <w:i/>
                <w:color w:val="212121"/>
                <w:sz w:val="24"/>
                <w:szCs w:val="24"/>
                <w:lang w:eastAsia="it-IT"/>
              </w:rPr>
            </w:pPr>
            <w:r w:rsidRPr="0082044A">
              <w:rPr>
                <w:rFonts w:ascii="Times New Roman" w:eastAsia="Calibri" w:hAnsi="Times New Roman" w:cs="Times New Roman"/>
                <w:b/>
                <w:i/>
                <w:color w:val="212121"/>
                <w:sz w:val="24"/>
                <w:szCs w:val="24"/>
                <w:lang w:eastAsia="it-IT"/>
              </w:rPr>
              <w:t>7. L’impatto delle decisioni giurisdizionali: analisi</w:t>
            </w:r>
          </w:p>
          <w:p w:rsidR="0082044A" w:rsidRPr="0082044A" w:rsidRDefault="0082044A" w:rsidP="0082044A">
            <w:pPr>
              <w:spacing w:after="0" w:line="240" w:lineRule="auto"/>
              <w:jc w:val="both"/>
              <w:rPr>
                <w:rFonts w:ascii="Times New Roman" w:eastAsia="Calibri" w:hAnsi="Times New Roman" w:cs="Times New Roman"/>
                <w:b/>
                <w:color w:val="212121"/>
                <w:sz w:val="24"/>
                <w:szCs w:val="24"/>
                <w:lang w:eastAsia="it-IT"/>
              </w:rPr>
            </w:pPr>
            <w:r w:rsidRPr="0082044A">
              <w:rPr>
                <w:rFonts w:ascii="Times New Roman" w:eastAsia="Calibri" w:hAnsi="Times New Roman" w:cs="Times New Roman"/>
                <w:color w:val="212121"/>
                <w:sz w:val="24"/>
                <w:szCs w:val="24"/>
                <w:lang w:eastAsia="it-IT"/>
              </w:rPr>
              <w:t xml:space="preserve">Dai dati riportati al par. 6 si ricava </w:t>
            </w:r>
            <w:r w:rsidRPr="0082044A">
              <w:rPr>
                <w:rFonts w:ascii="Times New Roman" w:eastAsia="Calibri" w:hAnsi="Times New Roman" w:cs="Times New Roman"/>
                <w:b/>
                <w:color w:val="212121"/>
                <w:sz w:val="24"/>
                <w:szCs w:val="24"/>
                <w:lang w:eastAsia="it-IT"/>
              </w:rPr>
              <w:t>l’impatto delle “sospensive” disposte dai TAR rispetto al complesso degli appalti banditi.</w:t>
            </w:r>
          </w:p>
          <w:p w:rsidR="0082044A" w:rsidRPr="0082044A" w:rsidRDefault="0082044A" w:rsidP="0082044A">
            <w:pPr>
              <w:spacing w:after="0" w:line="240" w:lineRule="auto"/>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color w:val="212121"/>
                <w:sz w:val="24"/>
                <w:szCs w:val="24"/>
                <w:lang w:eastAsia="it-IT"/>
              </w:rPr>
              <w:t>Come visto, meno di 1/3 delle procedure impugnate sono sospese per effetto di ordinanze cautelari. Confrontando questo dato con quello del totale delle procedure bandite si ha contezza dell’ “effetto bloccante” del contenzioso rispetto all’economia legata alle gare pubbliche (lavori, servizi e forniture).</w:t>
            </w:r>
          </w:p>
          <w:p w:rsidR="0082044A" w:rsidRPr="0082044A" w:rsidRDefault="0082044A" w:rsidP="0082044A">
            <w:pPr>
              <w:spacing w:after="0" w:line="240" w:lineRule="auto"/>
              <w:jc w:val="both"/>
              <w:rPr>
                <w:rFonts w:ascii="Times New Roman" w:eastAsia="Calibri" w:hAnsi="Times New Roman" w:cs="Times New Roman"/>
                <w:b/>
                <w:color w:val="212121"/>
                <w:sz w:val="24"/>
                <w:szCs w:val="24"/>
                <w:u w:val="single"/>
                <w:lang w:eastAsia="it-IT"/>
              </w:rPr>
            </w:pPr>
            <w:r w:rsidRPr="0082044A">
              <w:rPr>
                <w:rFonts w:ascii="Times New Roman" w:eastAsia="Calibri" w:hAnsi="Times New Roman" w:cs="Times New Roman"/>
                <w:color w:val="212121"/>
                <w:sz w:val="24"/>
                <w:szCs w:val="24"/>
                <w:lang w:eastAsia="it-IT"/>
              </w:rPr>
              <w:t xml:space="preserve">Come si vede, il dato è identico (il che ne comprova l’affidabilità) e conferma che </w:t>
            </w:r>
            <w:r w:rsidRPr="0082044A">
              <w:rPr>
                <w:rFonts w:ascii="Times New Roman" w:eastAsia="Calibri" w:hAnsi="Times New Roman" w:cs="Times New Roman"/>
                <w:b/>
                <w:color w:val="212121"/>
                <w:sz w:val="24"/>
                <w:szCs w:val="24"/>
                <w:u w:val="single"/>
                <w:lang w:eastAsia="it-IT"/>
              </w:rPr>
              <w:t>il cd. “effetto bloccante” del ricorso al TAR impatta sullo 0,7% sul totale delle procedure bandite.</w:t>
            </w:r>
          </w:p>
          <w:p w:rsidR="0082044A" w:rsidRPr="0082044A" w:rsidRDefault="0082044A" w:rsidP="0082044A">
            <w:pPr>
              <w:spacing w:after="0" w:line="240" w:lineRule="auto"/>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color w:val="212121"/>
                <w:sz w:val="24"/>
                <w:szCs w:val="24"/>
                <w:lang w:eastAsia="it-IT"/>
              </w:rPr>
              <w:t>In particolare:</w:t>
            </w:r>
          </w:p>
          <w:p w:rsidR="0082044A" w:rsidRPr="0082044A" w:rsidRDefault="0082044A" w:rsidP="00AA1A94">
            <w:pPr>
              <w:numPr>
                <w:ilvl w:val="0"/>
                <w:numId w:val="12"/>
              </w:numPr>
              <w:spacing w:after="0" w:line="252" w:lineRule="auto"/>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color w:val="212121"/>
                <w:sz w:val="24"/>
                <w:szCs w:val="24"/>
                <w:lang w:eastAsia="it-IT"/>
              </w:rPr>
              <w:t>per il 2015 l’ “effetto bloccante” del TAR si è verificato per 959 delle 136.645 procedure bandite (0,7%);</w:t>
            </w:r>
          </w:p>
          <w:p w:rsidR="0082044A" w:rsidRPr="0082044A" w:rsidRDefault="0082044A" w:rsidP="00AA1A94">
            <w:pPr>
              <w:numPr>
                <w:ilvl w:val="0"/>
                <w:numId w:val="12"/>
              </w:numPr>
              <w:spacing w:after="0" w:line="252" w:lineRule="auto"/>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color w:val="212121"/>
                <w:sz w:val="24"/>
                <w:szCs w:val="24"/>
                <w:lang w:eastAsia="it-IT"/>
              </w:rPr>
              <w:t>per il 2016:  l’ “effetto bloccante” del TAR si è verificato per 849 delle 120.628 procedure bandite (0,7%).</w:t>
            </w:r>
          </w:p>
          <w:p w:rsidR="0082044A" w:rsidRPr="0082044A" w:rsidRDefault="0082044A" w:rsidP="0082044A">
            <w:pPr>
              <w:spacing w:after="0" w:line="240" w:lineRule="auto"/>
              <w:rPr>
                <w:rFonts w:ascii="Times New Roman" w:eastAsia="Calibri" w:hAnsi="Times New Roman" w:cs="Times New Roman"/>
                <w:color w:val="212121"/>
                <w:sz w:val="24"/>
                <w:szCs w:val="24"/>
                <w:lang w:eastAsia="it-IT"/>
              </w:rPr>
            </w:pPr>
          </w:p>
          <w:p w:rsidR="0082044A" w:rsidRPr="0082044A" w:rsidRDefault="0082044A" w:rsidP="0082044A">
            <w:pPr>
              <w:spacing w:after="0" w:line="240" w:lineRule="auto"/>
              <w:jc w:val="both"/>
              <w:rPr>
                <w:rFonts w:ascii="Times New Roman" w:eastAsia="Calibri" w:hAnsi="Times New Roman" w:cs="Times New Roman"/>
                <w:b/>
                <w:color w:val="212121"/>
                <w:sz w:val="24"/>
                <w:szCs w:val="24"/>
                <w:lang w:eastAsia="it-IT"/>
              </w:rPr>
            </w:pPr>
            <w:r w:rsidRPr="0082044A">
              <w:rPr>
                <w:rFonts w:ascii="Times New Roman" w:eastAsia="Calibri" w:hAnsi="Times New Roman" w:cs="Times New Roman"/>
                <w:b/>
                <w:color w:val="212121"/>
                <w:sz w:val="24"/>
                <w:szCs w:val="24"/>
                <w:lang w:eastAsia="it-IT"/>
              </w:rPr>
              <w:t>Le risultanze indicate devono essere ulteriormente raffinate considerando gli appelli cautelari.</w:t>
            </w:r>
          </w:p>
          <w:p w:rsidR="0082044A" w:rsidRPr="0082044A" w:rsidRDefault="0082044A" w:rsidP="0082044A">
            <w:pPr>
              <w:spacing w:after="0" w:line="240" w:lineRule="auto"/>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color w:val="212121"/>
                <w:sz w:val="24"/>
                <w:szCs w:val="24"/>
                <w:lang w:eastAsia="it-IT"/>
              </w:rPr>
              <w:t>Numerose ordinanze di tenore sospensivo vengono ribaltate in appello dal Consiglio di Stato o dal CGARS</w:t>
            </w:r>
          </w:p>
          <w:p w:rsidR="0082044A" w:rsidRPr="0082044A" w:rsidRDefault="0082044A" w:rsidP="0082044A">
            <w:pPr>
              <w:spacing w:after="0" w:line="240" w:lineRule="auto"/>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color w:val="212121"/>
                <w:sz w:val="24"/>
                <w:szCs w:val="24"/>
                <w:lang w:eastAsia="it-IT"/>
              </w:rPr>
              <w:t xml:space="preserve">Nel 2015, 32 sospensive sono state ribaltate ed è quindi rapidamente cessato l’effetto sospensivo della procedura. Al contempo, però, 70 ordinanze TAR di tenore </w:t>
            </w:r>
            <w:proofErr w:type="spellStart"/>
            <w:r w:rsidRPr="0082044A">
              <w:rPr>
                <w:rFonts w:ascii="Times New Roman" w:eastAsia="Calibri" w:hAnsi="Times New Roman" w:cs="Times New Roman"/>
                <w:color w:val="212121"/>
                <w:sz w:val="24"/>
                <w:szCs w:val="24"/>
                <w:lang w:eastAsia="it-IT"/>
              </w:rPr>
              <w:t>reiettivo</w:t>
            </w:r>
            <w:proofErr w:type="spellEnd"/>
            <w:r w:rsidRPr="0082044A">
              <w:rPr>
                <w:rFonts w:ascii="Times New Roman" w:eastAsia="Calibri" w:hAnsi="Times New Roman" w:cs="Times New Roman"/>
                <w:color w:val="212121"/>
                <w:sz w:val="24"/>
                <w:szCs w:val="24"/>
                <w:lang w:eastAsia="it-IT"/>
              </w:rPr>
              <w:t xml:space="preserve"> sono state riformate dal Consiglio di Stato, ed hanno assunto effetto sospensivo (+38).</w:t>
            </w:r>
          </w:p>
          <w:p w:rsidR="0082044A" w:rsidRPr="0082044A" w:rsidRDefault="0082044A" w:rsidP="0082044A">
            <w:pPr>
              <w:spacing w:after="0" w:line="240" w:lineRule="auto"/>
              <w:rPr>
                <w:rFonts w:ascii="Calibri" w:eastAsia="Calibri" w:hAnsi="Calibri" w:cs="Calibri"/>
                <w:color w:val="212121"/>
                <w:lang w:eastAsia="it-IT"/>
              </w:rPr>
            </w:pPr>
          </w:p>
          <w:p w:rsidR="0082044A" w:rsidRPr="0082044A" w:rsidRDefault="0082044A" w:rsidP="0082044A">
            <w:pPr>
              <w:spacing w:after="0" w:line="240" w:lineRule="auto"/>
              <w:rPr>
                <w:rFonts w:ascii="Calibri" w:eastAsia="Calibri" w:hAnsi="Calibri" w:cs="Calibri"/>
                <w:color w:val="212121"/>
                <w:lang w:eastAsia="it-IT"/>
              </w:rPr>
            </w:pPr>
          </w:p>
          <w:tbl>
            <w:tblPr>
              <w:tblW w:w="5387" w:type="dxa"/>
              <w:tblCellMar>
                <w:left w:w="0" w:type="dxa"/>
                <w:right w:w="0" w:type="dxa"/>
              </w:tblCellMar>
              <w:tblLook w:val="04A0" w:firstRow="1" w:lastRow="0" w:firstColumn="1" w:lastColumn="0" w:noHBand="0" w:noVBand="1"/>
            </w:tblPr>
            <w:tblGrid>
              <w:gridCol w:w="3159"/>
              <w:gridCol w:w="1094"/>
              <w:gridCol w:w="1134"/>
            </w:tblGrid>
            <w:tr w:rsidR="0082044A" w:rsidRPr="0082044A" w:rsidTr="0082044A">
              <w:trPr>
                <w:trHeight w:val="315"/>
              </w:trPr>
              <w:tc>
                <w:tcPr>
                  <w:tcW w:w="3159" w:type="dxa"/>
                  <w:noWrap/>
                  <w:tcMar>
                    <w:top w:w="0" w:type="dxa"/>
                    <w:left w:w="70" w:type="dxa"/>
                    <w:bottom w:w="0" w:type="dxa"/>
                    <w:right w:w="70" w:type="dxa"/>
                  </w:tcMar>
                  <w:vAlign w:val="center"/>
                  <w:hideMark/>
                </w:tcPr>
                <w:p w:rsidR="0082044A" w:rsidRPr="0082044A" w:rsidRDefault="0082044A" w:rsidP="0082044A">
                  <w:pPr>
                    <w:spacing w:after="0" w:line="240" w:lineRule="auto"/>
                    <w:rPr>
                      <w:rFonts w:ascii="Times New Roman" w:eastAsia="Times New Roman" w:hAnsi="Times New Roman" w:cs="Times New Roman"/>
                      <w:sz w:val="20"/>
                      <w:szCs w:val="20"/>
                      <w:lang w:eastAsia="it-IT"/>
                    </w:rPr>
                  </w:pPr>
                </w:p>
                <w:p w:rsidR="0082044A" w:rsidRPr="0082044A" w:rsidRDefault="0082044A" w:rsidP="0082044A">
                  <w:pPr>
                    <w:spacing w:after="0" w:line="240" w:lineRule="auto"/>
                    <w:rPr>
                      <w:rFonts w:ascii="Times New Roman" w:eastAsia="Times New Roman" w:hAnsi="Times New Roman" w:cs="Times New Roman"/>
                      <w:sz w:val="20"/>
                      <w:szCs w:val="20"/>
                      <w:lang w:eastAsia="it-IT"/>
                    </w:rPr>
                  </w:pPr>
                  <w:r w:rsidRPr="0082044A">
                    <w:rPr>
                      <w:rFonts w:ascii="Times New Roman" w:eastAsia="Times New Roman" w:hAnsi="Times New Roman" w:cs="Times New Roman"/>
                      <w:sz w:val="20"/>
                      <w:szCs w:val="20"/>
                      <w:lang w:eastAsia="it-IT"/>
                    </w:rPr>
                    <w:t xml:space="preserve">Schema sinottico </w:t>
                  </w:r>
                </w:p>
              </w:tc>
              <w:tc>
                <w:tcPr>
                  <w:tcW w:w="2228" w:type="dxa"/>
                  <w:gridSpan w:val="2"/>
                  <w:tcBorders>
                    <w:top w:val="single" w:sz="8" w:space="0" w:color="auto"/>
                    <w:left w:val="single" w:sz="8" w:space="0" w:color="auto"/>
                    <w:bottom w:val="single" w:sz="8" w:space="0" w:color="auto"/>
                    <w:right w:val="single" w:sz="8" w:space="0" w:color="000000"/>
                  </w:tcBorders>
                  <w:noWrap/>
                  <w:tcMar>
                    <w:top w:w="0" w:type="dxa"/>
                    <w:left w:w="70" w:type="dxa"/>
                    <w:bottom w:w="0" w:type="dxa"/>
                    <w:right w:w="70" w:type="dxa"/>
                  </w:tcMar>
                  <w:vAlign w:val="center"/>
                  <w:hideMark/>
                </w:tcPr>
                <w:p w:rsidR="0082044A" w:rsidRPr="0082044A" w:rsidRDefault="0082044A" w:rsidP="0082044A">
                  <w:pPr>
                    <w:spacing w:after="0" w:line="240" w:lineRule="auto"/>
                    <w:jc w:val="center"/>
                    <w:rPr>
                      <w:rFonts w:ascii="Calibri" w:eastAsia="Calibri" w:hAnsi="Calibri" w:cs="Calibri"/>
                      <w:b/>
                      <w:bCs/>
                      <w:color w:val="000000"/>
                      <w:lang w:eastAsia="it-IT"/>
                    </w:rPr>
                  </w:pPr>
                  <w:r w:rsidRPr="0082044A">
                    <w:rPr>
                      <w:rFonts w:ascii="Calibri" w:eastAsia="Calibri" w:hAnsi="Calibri" w:cs="Calibri"/>
                      <w:b/>
                      <w:bCs/>
                      <w:color w:val="000000"/>
                      <w:lang w:eastAsia="it-IT"/>
                    </w:rPr>
                    <w:t>ESITO 1° GRADO</w:t>
                  </w:r>
                </w:p>
              </w:tc>
            </w:tr>
            <w:tr w:rsidR="0082044A" w:rsidRPr="0082044A" w:rsidTr="0082044A">
              <w:trPr>
                <w:trHeight w:val="315"/>
              </w:trPr>
              <w:tc>
                <w:tcPr>
                  <w:tcW w:w="315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2044A" w:rsidRPr="0082044A" w:rsidRDefault="0082044A" w:rsidP="0082044A">
                  <w:pPr>
                    <w:spacing w:after="0" w:line="240" w:lineRule="auto"/>
                    <w:jc w:val="center"/>
                    <w:rPr>
                      <w:rFonts w:ascii="Calibri" w:eastAsia="Calibri" w:hAnsi="Calibri" w:cs="Calibri"/>
                      <w:b/>
                      <w:bCs/>
                      <w:color w:val="000000"/>
                      <w:lang w:eastAsia="it-IT"/>
                    </w:rPr>
                  </w:pPr>
                  <w:r w:rsidRPr="0082044A">
                    <w:rPr>
                      <w:rFonts w:ascii="Calibri" w:eastAsia="Calibri" w:hAnsi="Calibri" w:cs="Calibri"/>
                      <w:b/>
                      <w:bCs/>
                      <w:color w:val="000000"/>
                      <w:lang w:eastAsia="it-IT"/>
                    </w:rPr>
                    <w:t>ESITO APPELLO</w:t>
                  </w:r>
                </w:p>
              </w:tc>
              <w:tc>
                <w:tcPr>
                  <w:tcW w:w="109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2044A" w:rsidRPr="0082044A" w:rsidRDefault="0082044A" w:rsidP="0082044A">
                  <w:pPr>
                    <w:spacing w:after="0" w:line="240" w:lineRule="auto"/>
                    <w:jc w:val="center"/>
                    <w:rPr>
                      <w:rFonts w:ascii="Calibri" w:eastAsia="Calibri" w:hAnsi="Calibri" w:cs="Calibri"/>
                      <w:b/>
                      <w:bCs/>
                      <w:color w:val="000000"/>
                      <w:lang w:eastAsia="it-IT"/>
                    </w:rPr>
                  </w:pPr>
                  <w:r w:rsidRPr="0082044A">
                    <w:rPr>
                      <w:rFonts w:ascii="Calibri" w:eastAsia="Calibri" w:hAnsi="Calibri" w:cs="Calibri"/>
                      <w:b/>
                      <w:bCs/>
                      <w:color w:val="000000"/>
                      <w:lang w:eastAsia="it-IT"/>
                    </w:rPr>
                    <w:t>Accoglie</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2044A" w:rsidRPr="0082044A" w:rsidRDefault="0082044A" w:rsidP="0082044A">
                  <w:pPr>
                    <w:spacing w:after="0" w:line="240" w:lineRule="auto"/>
                    <w:jc w:val="center"/>
                    <w:rPr>
                      <w:rFonts w:ascii="Calibri" w:eastAsia="Calibri" w:hAnsi="Calibri" w:cs="Calibri"/>
                      <w:b/>
                      <w:bCs/>
                      <w:color w:val="000000"/>
                      <w:lang w:eastAsia="it-IT"/>
                    </w:rPr>
                  </w:pPr>
                  <w:r w:rsidRPr="0082044A">
                    <w:rPr>
                      <w:rFonts w:ascii="Calibri" w:eastAsia="Calibri" w:hAnsi="Calibri" w:cs="Calibri"/>
                      <w:b/>
                      <w:bCs/>
                      <w:color w:val="000000"/>
                      <w:lang w:eastAsia="it-IT"/>
                    </w:rPr>
                    <w:t>Respinge</w:t>
                  </w:r>
                </w:p>
              </w:tc>
            </w:tr>
            <w:tr w:rsidR="0082044A" w:rsidRPr="0082044A" w:rsidTr="0082044A">
              <w:trPr>
                <w:trHeight w:val="315"/>
              </w:trPr>
              <w:tc>
                <w:tcPr>
                  <w:tcW w:w="3159" w:type="dxa"/>
                  <w:tcBorders>
                    <w:top w:val="nil"/>
                    <w:left w:val="single" w:sz="8" w:space="0" w:color="auto"/>
                    <w:bottom w:val="single" w:sz="8" w:space="0" w:color="auto"/>
                    <w:right w:val="single" w:sz="8" w:space="0" w:color="auto"/>
                  </w:tcBorders>
                  <w:shd w:val="clear" w:color="auto" w:fill="DDEBF7"/>
                  <w:noWrap/>
                  <w:tcMar>
                    <w:top w:w="0" w:type="dxa"/>
                    <w:left w:w="70" w:type="dxa"/>
                    <w:bottom w:w="0" w:type="dxa"/>
                    <w:right w:w="70" w:type="dxa"/>
                  </w:tcMar>
                  <w:vAlign w:val="center"/>
                  <w:hideMark/>
                </w:tcPr>
                <w:p w:rsidR="0082044A" w:rsidRPr="0082044A" w:rsidRDefault="0082044A" w:rsidP="0082044A">
                  <w:pPr>
                    <w:spacing w:after="0" w:line="240" w:lineRule="auto"/>
                    <w:rPr>
                      <w:rFonts w:ascii="Calibri" w:eastAsia="Calibri" w:hAnsi="Calibri" w:cs="Calibri"/>
                      <w:color w:val="000000"/>
                      <w:lang w:eastAsia="it-IT"/>
                    </w:rPr>
                  </w:pPr>
                  <w:r w:rsidRPr="0082044A">
                    <w:rPr>
                      <w:rFonts w:ascii="Calibri" w:eastAsia="Calibri" w:hAnsi="Calibri" w:cs="Calibri"/>
                      <w:color w:val="000000"/>
                      <w:lang w:eastAsia="it-IT"/>
                    </w:rPr>
                    <w:t>ACCOGLIE</w:t>
                  </w:r>
                </w:p>
              </w:tc>
              <w:tc>
                <w:tcPr>
                  <w:tcW w:w="1094" w:type="dxa"/>
                  <w:tcBorders>
                    <w:top w:val="nil"/>
                    <w:left w:val="nil"/>
                    <w:bottom w:val="single" w:sz="8" w:space="0" w:color="auto"/>
                    <w:right w:val="single" w:sz="8" w:space="0" w:color="auto"/>
                  </w:tcBorders>
                  <w:shd w:val="clear" w:color="auto" w:fill="DDEBF7"/>
                  <w:noWrap/>
                  <w:tcMar>
                    <w:top w:w="0" w:type="dxa"/>
                    <w:left w:w="70" w:type="dxa"/>
                    <w:bottom w:w="0" w:type="dxa"/>
                    <w:right w:w="70" w:type="dxa"/>
                  </w:tcMar>
                  <w:vAlign w:val="center"/>
                  <w:hideMark/>
                </w:tcPr>
                <w:p w:rsidR="0082044A" w:rsidRPr="0082044A" w:rsidRDefault="0082044A" w:rsidP="0082044A">
                  <w:pPr>
                    <w:spacing w:after="0" w:line="240" w:lineRule="auto"/>
                    <w:jc w:val="right"/>
                    <w:rPr>
                      <w:rFonts w:ascii="Calibri" w:eastAsia="Calibri" w:hAnsi="Calibri" w:cs="Calibri"/>
                      <w:color w:val="000000"/>
                      <w:lang w:eastAsia="it-IT"/>
                    </w:rPr>
                  </w:pPr>
                  <w:r w:rsidRPr="0082044A">
                    <w:rPr>
                      <w:rFonts w:ascii="Calibri" w:eastAsia="Calibri" w:hAnsi="Calibri" w:cs="Calibri"/>
                      <w:color w:val="000000"/>
                      <w:lang w:eastAsia="it-IT"/>
                    </w:rPr>
                    <w:t>32</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2044A" w:rsidRPr="0082044A" w:rsidRDefault="0082044A" w:rsidP="0082044A">
                  <w:pPr>
                    <w:spacing w:after="0" w:line="240" w:lineRule="auto"/>
                    <w:jc w:val="right"/>
                    <w:rPr>
                      <w:rFonts w:ascii="Calibri" w:eastAsia="Calibri" w:hAnsi="Calibri" w:cs="Calibri"/>
                      <w:color w:val="000000"/>
                      <w:lang w:eastAsia="it-IT"/>
                    </w:rPr>
                  </w:pPr>
                  <w:r w:rsidRPr="0082044A">
                    <w:rPr>
                      <w:rFonts w:ascii="Calibri" w:eastAsia="Calibri" w:hAnsi="Calibri" w:cs="Calibri"/>
                      <w:color w:val="000000"/>
                      <w:lang w:eastAsia="it-IT"/>
                    </w:rPr>
                    <w:t>70</w:t>
                  </w:r>
                </w:p>
              </w:tc>
            </w:tr>
            <w:tr w:rsidR="0082044A" w:rsidRPr="0082044A" w:rsidTr="0082044A">
              <w:trPr>
                <w:trHeight w:val="315"/>
              </w:trPr>
              <w:tc>
                <w:tcPr>
                  <w:tcW w:w="3159" w:type="dxa"/>
                  <w:tcBorders>
                    <w:top w:val="nil"/>
                    <w:left w:val="single" w:sz="8" w:space="0" w:color="auto"/>
                    <w:bottom w:val="single" w:sz="8" w:space="0" w:color="auto"/>
                    <w:right w:val="single" w:sz="8" w:space="0" w:color="auto"/>
                  </w:tcBorders>
                  <w:shd w:val="clear" w:color="auto" w:fill="DDEBF7"/>
                  <w:noWrap/>
                  <w:tcMar>
                    <w:top w:w="0" w:type="dxa"/>
                    <w:left w:w="70" w:type="dxa"/>
                    <w:bottom w:w="0" w:type="dxa"/>
                    <w:right w:w="70" w:type="dxa"/>
                  </w:tcMar>
                  <w:vAlign w:val="center"/>
                  <w:hideMark/>
                </w:tcPr>
                <w:p w:rsidR="0082044A" w:rsidRPr="0082044A" w:rsidRDefault="0082044A" w:rsidP="0082044A">
                  <w:pPr>
                    <w:spacing w:after="0" w:line="240" w:lineRule="auto"/>
                    <w:rPr>
                      <w:rFonts w:ascii="Calibri" w:eastAsia="Calibri" w:hAnsi="Calibri" w:cs="Calibri"/>
                      <w:color w:val="000000"/>
                      <w:lang w:eastAsia="it-IT"/>
                    </w:rPr>
                  </w:pPr>
                  <w:r w:rsidRPr="0082044A">
                    <w:rPr>
                      <w:rFonts w:ascii="Calibri" w:eastAsia="Calibri" w:hAnsi="Calibri" w:cs="Calibri"/>
                      <w:color w:val="000000"/>
                      <w:lang w:eastAsia="it-IT"/>
                    </w:rPr>
                    <w:t>RESPINGE</w:t>
                  </w:r>
                </w:p>
              </w:tc>
              <w:tc>
                <w:tcPr>
                  <w:tcW w:w="109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2044A" w:rsidRPr="0082044A" w:rsidRDefault="0082044A" w:rsidP="0082044A">
                  <w:pPr>
                    <w:spacing w:after="0" w:line="240" w:lineRule="auto"/>
                    <w:jc w:val="right"/>
                    <w:rPr>
                      <w:rFonts w:ascii="Calibri" w:eastAsia="Calibri" w:hAnsi="Calibri" w:cs="Calibri"/>
                      <w:color w:val="000000"/>
                      <w:lang w:eastAsia="it-IT"/>
                    </w:rPr>
                  </w:pPr>
                  <w:r w:rsidRPr="0082044A">
                    <w:rPr>
                      <w:rFonts w:ascii="Calibri" w:eastAsia="Calibri" w:hAnsi="Calibri" w:cs="Calibri"/>
                      <w:color w:val="000000"/>
                      <w:lang w:eastAsia="it-IT"/>
                    </w:rPr>
                    <w:t>38</w:t>
                  </w:r>
                </w:p>
              </w:tc>
              <w:tc>
                <w:tcPr>
                  <w:tcW w:w="1134" w:type="dxa"/>
                  <w:tcBorders>
                    <w:top w:val="nil"/>
                    <w:left w:val="nil"/>
                    <w:bottom w:val="single" w:sz="8" w:space="0" w:color="auto"/>
                    <w:right w:val="single" w:sz="8" w:space="0" w:color="auto"/>
                  </w:tcBorders>
                  <w:shd w:val="clear" w:color="auto" w:fill="DDEBF7"/>
                  <w:noWrap/>
                  <w:tcMar>
                    <w:top w:w="0" w:type="dxa"/>
                    <w:left w:w="70" w:type="dxa"/>
                    <w:bottom w:w="0" w:type="dxa"/>
                    <w:right w:w="70" w:type="dxa"/>
                  </w:tcMar>
                  <w:vAlign w:val="center"/>
                  <w:hideMark/>
                </w:tcPr>
                <w:p w:rsidR="0082044A" w:rsidRPr="0082044A" w:rsidRDefault="0082044A" w:rsidP="0082044A">
                  <w:pPr>
                    <w:spacing w:after="0" w:line="240" w:lineRule="auto"/>
                    <w:jc w:val="right"/>
                    <w:rPr>
                      <w:rFonts w:ascii="Calibri" w:eastAsia="Calibri" w:hAnsi="Calibri" w:cs="Calibri"/>
                      <w:color w:val="000000"/>
                      <w:lang w:eastAsia="it-IT"/>
                    </w:rPr>
                  </w:pPr>
                  <w:r w:rsidRPr="0082044A">
                    <w:rPr>
                      <w:rFonts w:ascii="Calibri" w:eastAsia="Calibri" w:hAnsi="Calibri" w:cs="Calibri"/>
                      <w:color w:val="000000"/>
                      <w:lang w:eastAsia="it-IT"/>
                    </w:rPr>
                    <w:t>233</w:t>
                  </w:r>
                </w:p>
              </w:tc>
            </w:tr>
            <w:tr w:rsidR="0082044A" w:rsidRPr="0082044A" w:rsidTr="0082044A">
              <w:trPr>
                <w:trHeight w:val="315"/>
              </w:trPr>
              <w:tc>
                <w:tcPr>
                  <w:tcW w:w="315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2044A" w:rsidRPr="0082044A" w:rsidRDefault="0082044A" w:rsidP="0082044A">
                  <w:pPr>
                    <w:spacing w:after="0" w:line="240" w:lineRule="auto"/>
                    <w:rPr>
                      <w:rFonts w:ascii="Calibri" w:eastAsia="Calibri" w:hAnsi="Calibri" w:cs="Calibri"/>
                      <w:b/>
                      <w:bCs/>
                      <w:color w:val="000000"/>
                      <w:lang w:eastAsia="it-IT"/>
                    </w:rPr>
                  </w:pPr>
                  <w:r w:rsidRPr="0082044A">
                    <w:rPr>
                      <w:rFonts w:ascii="Calibri" w:eastAsia="Calibri" w:hAnsi="Calibri" w:cs="Calibri"/>
                      <w:b/>
                      <w:bCs/>
                      <w:color w:val="000000"/>
                      <w:lang w:eastAsia="it-IT"/>
                    </w:rPr>
                    <w:t>Totale complessivo</w:t>
                  </w:r>
                </w:p>
              </w:tc>
              <w:tc>
                <w:tcPr>
                  <w:tcW w:w="109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2044A" w:rsidRPr="0082044A" w:rsidRDefault="0082044A" w:rsidP="0082044A">
                  <w:pPr>
                    <w:spacing w:after="0" w:line="240" w:lineRule="auto"/>
                    <w:jc w:val="right"/>
                    <w:rPr>
                      <w:rFonts w:ascii="Calibri" w:eastAsia="Calibri" w:hAnsi="Calibri" w:cs="Calibri"/>
                      <w:b/>
                      <w:bCs/>
                      <w:color w:val="000000"/>
                      <w:lang w:eastAsia="it-IT"/>
                    </w:rPr>
                  </w:pPr>
                  <w:r w:rsidRPr="0082044A">
                    <w:rPr>
                      <w:rFonts w:ascii="Calibri" w:eastAsia="Calibri" w:hAnsi="Calibri" w:cs="Calibri"/>
                      <w:b/>
                      <w:bCs/>
                      <w:color w:val="000000"/>
                      <w:lang w:eastAsia="it-IT"/>
                    </w:rPr>
                    <w:t>70</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2044A" w:rsidRPr="0082044A" w:rsidRDefault="0082044A" w:rsidP="0082044A">
                  <w:pPr>
                    <w:spacing w:after="0" w:line="240" w:lineRule="auto"/>
                    <w:jc w:val="right"/>
                    <w:rPr>
                      <w:rFonts w:ascii="Calibri" w:eastAsia="Calibri" w:hAnsi="Calibri" w:cs="Calibri"/>
                      <w:b/>
                      <w:bCs/>
                      <w:color w:val="000000"/>
                      <w:lang w:eastAsia="it-IT"/>
                    </w:rPr>
                  </w:pPr>
                  <w:r w:rsidRPr="0082044A">
                    <w:rPr>
                      <w:rFonts w:ascii="Calibri" w:eastAsia="Calibri" w:hAnsi="Calibri" w:cs="Calibri"/>
                      <w:b/>
                      <w:bCs/>
                      <w:color w:val="000000"/>
                      <w:lang w:eastAsia="it-IT"/>
                    </w:rPr>
                    <w:t>303</w:t>
                  </w:r>
                </w:p>
              </w:tc>
            </w:tr>
          </w:tbl>
          <w:p w:rsidR="0082044A" w:rsidRPr="0082044A" w:rsidRDefault="0082044A" w:rsidP="0082044A">
            <w:pPr>
              <w:spacing w:after="0" w:line="240" w:lineRule="auto"/>
              <w:rPr>
                <w:rFonts w:ascii="Calibri" w:eastAsia="Calibri" w:hAnsi="Calibri" w:cs="Calibri"/>
                <w:color w:val="212121"/>
                <w:lang w:eastAsia="it-IT"/>
              </w:rPr>
            </w:pPr>
          </w:p>
          <w:p w:rsidR="0082044A" w:rsidRPr="0082044A" w:rsidRDefault="0082044A" w:rsidP="0082044A">
            <w:pPr>
              <w:spacing w:after="0" w:line="240" w:lineRule="auto"/>
              <w:rPr>
                <w:rFonts w:ascii="Calibri" w:eastAsia="Calibri" w:hAnsi="Calibri" w:cs="Calibri"/>
                <w:color w:val="212121"/>
                <w:lang w:eastAsia="it-IT"/>
              </w:rPr>
            </w:pPr>
          </w:p>
          <w:p w:rsidR="0082044A" w:rsidRPr="0082044A" w:rsidRDefault="0082044A" w:rsidP="0082044A">
            <w:pPr>
              <w:spacing w:after="0" w:line="240" w:lineRule="auto"/>
              <w:rPr>
                <w:rFonts w:ascii="Calibri" w:eastAsia="Calibri" w:hAnsi="Calibri" w:cs="Calibri"/>
                <w:color w:val="212121"/>
                <w:lang w:eastAsia="it-IT"/>
              </w:rPr>
            </w:pPr>
            <w:r w:rsidRPr="0082044A">
              <w:rPr>
                <w:rFonts w:ascii="Calibri" w:eastAsia="Calibri" w:hAnsi="Calibri" w:cs="Calibri"/>
                <w:noProof/>
                <w:color w:val="212121"/>
                <w:lang w:eastAsia="it-IT"/>
              </w:rPr>
              <w:drawing>
                <wp:inline distT="0" distB="0" distL="0" distR="0" wp14:anchorId="5A5BB0F8" wp14:editId="0AA0ED7E">
                  <wp:extent cx="5438692" cy="3482896"/>
                  <wp:effectExtent l="0" t="0" r="0" b="381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5.JPG"/>
                          <pic:cNvPicPr/>
                        </pic:nvPicPr>
                        <pic:blipFill>
                          <a:blip r:embed="rId36">
                            <a:extLst>
                              <a:ext uri="{28A0092B-C50C-407E-A947-70E740481C1C}">
                                <a14:useLocalDpi xmlns:a14="http://schemas.microsoft.com/office/drawing/2010/main" val="0"/>
                              </a:ext>
                            </a:extLst>
                          </a:blip>
                          <a:stretch>
                            <a:fillRect/>
                          </a:stretch>
                        </pic:blipFill>
                        <pic:spPr>
                          <a:xfrm>
                            <a:off x="0" y="0"/>
                            <a:ext cx="5457918" cy="3495208"/>
                          </a:xfrm>
                          <a:prstGeom prst="rect">
                            <a:avLst/>
                          </a:prstGeom>
                        </pic:spPr>
                      </pic:pic>
                    </a:graphicData>
                  </a:graphic>
                </wp:inline>
              </w:drawing>
            </w:r>
          </w:p>
          <w:p w:rsidR="0082044A" w:rsidRPr="0082044A" w:rsidRDefault="0082044A" w:rsidP="0082044A">
            <w:pPr>
              <w:spacing w:after="0" w:line="240" w:lineRule="auto"/>
              <w:rPr>
                <w:rFonts w:ascii="Calibri" w:eastAsia="Calibri" w:hAnsi="Calibri" w:cs="Calibri"/>
                <w:color w:val="212121"/>
                <w:lang w:eastAsia="it-IT"/>
              </w:rPr>
            </w:pPr>
          </w:p>
          <w:p w:rsidR="0082044A" w:rsidRPr="0082044A" w:rsidRDefault="0082044A" w:rsidP="0082044A">
            <w:pPr>
              <w:spacing w:after="0" w:line="240" w:lineRule="auto"/>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color w:val="212121"/>
                <w:sz w:val="24"/>
                <w:szCs w:val="24"/>
                <w:lang w:eastAsia="it-IT"/>
              </w:rPr>
              <w:t xml:space="preserve">Nel 2016, 17 sospensive sono state ribaltate ed è quindi rapidamente cessato l’effetto sospensivo della procedura. Al contempo, però, 140 ordinanze TAR di tenore </w:t>
            </w:r>
            <w:proofErr w:type="spellStart"/>
            <w:r w:rsidRPr="0082044A">
              <w:rPr>
                <w:rFonts w:ascii="Times New Roman" w:eastAsia="Calibri" w:hAnsi="Times New Roman" w:cs="Times New Roman"/>
                <w:color w:val="212121"/>
                <w:sz w:val="24"/>
                <w:szCs w:val="24"/>
                <w:lang w:eastAsia="it-IT"/>
              </w:rPr>
              <w:t>reiettivo</w:t>
            </w:r>
            <w:proofErr w:type="spellEnd"/>
            <w:r w:rsidRPr="0082044A">
              <w:rPr>
                <w:rFonts w:ascii="Times New Roman" w:eastAsia="Calibri" w:hAnsi="Times New Roman" w:cs="Times New Roman"/>
                <w:color w:val="212121"/>
                <w:sz w:val="24"/>
                <w:szCs w:val="24"/>
                <w:lang w:eastAsia="it-IT"/>
              </w:rPr>
              <w:t xml:space="preserve"> sono state riformate dal Consiglio di Stato, ed hanno assunto effetto sospensivo (+123).</w:t>
            </w:r>
          </w:p>
          <w:tbl>
            <w:tblPr>
              <w:tblW w:w="6080" w:type="dxa"/>
              <w:tblCellMar>
                <w:left w:w="0" w:type="dxa"/>
                <w:right w:w="0" w:type="dxa"/>
              </w:tblCellMar>
              <w:tblLook w:val="04A0" w:firstRow="1" w:lastRow="0" w:firstColumn="1" w:lastColumn="0" w:noHBand="0" w:noVBand="1"/>
            </w:tblPr>
            <w:tblGrid>
              <w:gridCol w:w="3159"/>
              <w:gridCol w:w="1399"/>
              <w:gridCol w:w="1522"/>
            </w:tblGrid>
            <w:tr w:rsidR="0082044A" w:rsidRPr="0082044A" w:rsidTr="0082044A">
              <w:trPr>
                <w:trHeight w:val="315"/>
              </w:trPr>
              <w:tc>
                <w:tcPr>
                  <w:tcW w:w="3159" w:type="dxa"/>
                  <w:noWrap/>
                  <w:tcMar>
                    <w:top w:w="0" w:type="dxa"/>
                    <w:left w:w="70" w:type="dxa"/>
                    <w:bottom w:w="0" w:type="dxa"/>
                    <w:right w:w="70" w:type="dxa"/>
                  </w:tcMar>
                  <w:vAlign w:val="center"/>
                  <w:hideMark/>
                </w:tcPr>
                <w:p w:rsidR="0082044A" w:rsidRPr="0082044A" w:rsidRDefault="0082044A" w:rsidP="0082044A">
                  <w:pPr>
                    <w:spacing w:after="0" w:line="240" w:lineRule="auto"/>
                    <w:rPr>
                      <w:rFonts w:ascii="Calibri" w:eastAsia="Calibri" w:hAnsi="Calibri" w:cs="Calibri"/>
                      <w:b/>
                      <w:bCs/>
                      <w:color w:val="000000"/>
                      <w:lang w:eastAsia="it-IT"/>
                    </w:rPr>
                  </w:pPr>
                </w:p>
              </w:tc>
              <w:tc>
                <w:tcPr>
                  <w:tcW w:w="1399" w:type="dxa"/>
                  <w:noWrap/>
                  <w:tcMar>
                    <w:top w:w="0" w:type="dxa"/>
                    <w:left w:w="70" w:type="dxa"/>
                    <w:bottom w:w="0" w:type="dxa"/>
                    <w:right w:w="70" w:type="dxa"/>
                  </w:tcMar>
                  <w:vAlign w:val="center"/>
                  <w:hideMark/>
                </w:tcPr>
                <w:p w:rsidR="0082044A" w:rsidRPr="0082044A" w:rsidRDefault="0082044A" w:rsidP="0082044A">
                  <w:pPr>
                    <w:spacing w:after="0" w:line="240" w:lineRule="auto"/>
                    <w:rPr>
                      <w:rFonts w:ascii="Times New Roman" w:eastAsia="Times New Roman" w:hAnsi="Times New Roman" w:cs="Times New Roman"/>
                      <w:sz w:val="20"/>
                      <w:szCs w:val="20"/>
                      <w:lang w:eastAsia="it-IT"/>
                    </w:rPr>
                  </w:pPr>
                </w:p>
              </w:tc>
              <w:tc>
                <w:tcPr>
                  <w:tcW w:w="1522" w:type="dxa"/>
                  <w:noWrap/>
                  <w:tcMar>
                    <w:top w:w="0" w:type="dxa"/>
                    <w:left w:w="70" w:type="dxa"/>
                    <w:bottom w:w="0" w:type="dxa"/>
                    <w:right w:w="70" w:type="dxa"/>
                  </w:tcMar>
                  <w:vAlign w:val="center"/>
                  <w:hideMark/>
                </w:tcPr>
                <w:p w:rsidR="0082044A" w:rsidRPr="0082044A" w:rsidRDefault="0082044A" w:rsidP="0082044A">
                  <w:pPr>
                    <w:spacing w:after="0" w:line="240" w:lineRule="auto"/>
                    <w:rPr>
                      <w:rFonts w:ascii="Times New Roman" w:eastAsia="Times New Roman" w:hAnsi="Times New Roman" w:cs="Times New Roman"/>
                      <w:sz w:val="20"/>
                      <w:szCs w:val="20"/>
                      <w:lang w:eastAsia="it-IT"/>
                    </w:rPr>
                  </w:pPr>
                </w:p>
              </w:tc>
            </w:tr>
            <w:tr w:rsidR="0082044A" w:rsidRPr="0082044A" w:rsidTr="0082044A">
              <w:trPr>
                <w:trHeight w:val="315"/>
              </w:trPr>
              <w:tc>
                <w:tcPr>
                  <w:tcW w:w="3159" w:type="dxa"/>
                  <w:noWrap/>
                  <w:tcMar>
                    <w:top w:w="0" w:type="dxa"/>
                    <w:left w:w="70" w:type="dxa"/>
                    <w:bottom w:w="0" w:type="dxa"/>
                    <w:right w:w="70" w:type="dxa"/>
                  </w:tcMar>
                  <w:vAlign w:val="center"/>
                  <w:hideMark/>
                </w:tcPr>
                <w:p w:rsidR="0082044A" w:rsidRPr="0082044A" w:rsidRDefault="0082044A" w:rsidP="0082044A">
                  <w:pPr>
                    <w:spacing w:after="0" w:line="240" w:lineRule="auto"/>
                    <w:rPr>
                      <w:rFonts w:ascii="Times New Roman" w:eastAsia="Times New Roman" w:hAnsi="Times New Roman" w:cs="Times New Roman"/>
                      <w:sz w:val="20"/>
                      <w:szCs w:val="20"/>
                      <w:lang w:eastAsia="it-IT"/>
                    </w:rPr>
                  </w:pPr>
                  <w:r w:rsidRPr="0082044A">
                    <w:rPr>
                      <w:rFonts w:ascii="Times New Roman" w:eastAsia="Times New Roman" w:hAnsi="Times New Roman" w:cs="Times New Roman"/>
                      <w:sz w:val="20"/>
                      <w:szCs w:val="20"/>
                      <w:lang w:eastAsia="it-IT"/>
                    </w:rPr>
                    <w:t>Schema sinottico</w:t>
                  </w:r>
                </w:p>
              </w:tc>
              <w:tc>
                <w:tcPr>
                  <w:tcW w:w="2921" w:type="dxa"/>
                  <w:gridSpan w:val="2"/>
                  <w:tcBorders>
                    <w:top w:val="single" w:sz="8" w:space="0" w:color="auto"/>
                    <w:left w:val="single" w:sz="8" w:space="0" w:color="auto"/>
                    <w:bottom w:val="single" w:sz="8" w:space="0" w:color="auto"/>
                    <w:right w:val="single" w:sz="8" w:space="0" w:color="000000"/>
                  </w:tcBorders>
                  <w:noWrap/>
                  <w:tcMar>
                    <w:top w:w="0" w:type="dxa"/>
                    <w:left w:w="70" w:type="dxa"/>
                    <w:bottom w:w="0" w:type="dxa"/>
                    <w:right w:w="70" w:type="dxa"/>
                  </w:tcMar>
                  <w:vAlign w:val="center"/>
                  <w:hideMark/>
                </w:tcPr>
                <w:p w:rsidR="0082044A" w:rsidRPr="0082044A" w:rsidRDefault="0082044A" w:rsidP="0082044A">
                  <w:pPr>
                    <w:spacing w:after="0" w:line="240" w:lineRule="auto"/>
                    <w:jc w:val="center"/>
                    <w:rPr>
                      <w:rFonts w:ascii="Calibri" w:eastAsia="Calibri" w:hAnsi="Calibri" w:cs="Calibri"/>
                      <w:b/>
                      <w:bCs/>
                      <w:color w:val="000000"/>
                      <w:lang w:eastAsia="it-IT"/>
                    </w:rPr>
                  </w:pPr>
                  <w:r w:rsidRPr="0082044A">
                    <w:rPr>
                      <w:rFonts w:ascii="Calibri" w:eastAsia="Calibri" w:hAnsi="Calibri" w:cs="Calibri"/>
                      <w:b/>
                      <w:bCs/>
                      <w:color w:val="000000"/>
                      <w:lang w:eastAsia="it-IT"/>
                    </w:rPr>
                    <w:t>ESITO 1° GRADO</w:t>
                  </w:r>
                </w:p>
              </w:tc>
            </w:tr>
            <w:tr w:rsidR="0082044A" w:rsidRPr="0082044A" w:rsidTr="0082044A">
              <w:trPr>
                <w:trHeight w:val="315"/>
              </w:trPr>
              <w:tc>
                <w:tcPr>
                  <w:tcW w:w="315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2044A" w:rsidRPr="0082044A" w:rsidRDefault="0082044A" w:rsidP="0082044A">
                  <w:pPr>
                    <w:spacing w:after="0" w:line="240" w:lineRule="auto"/>
                    <w:jc w:val="center"/>
                    <w:rPr>
                      <w:rFonts w:ascii="Calibri" w:eastAsia="Calibri" w:hAnsi="Calibri" w:cs="Calibri"/>
                      <w:b/>
                      <w:bCs/>
                      <w:color w:val="000000"/>
                      <w:lang w:eastAsia="it-IT"/>
                    </w:rPr>
                  </w:pPr>
                  <w:r w:rsidRPr="0082044A">
                    <w:rPr>
                      <w:rFonts w:ascii="Calibri" w:eastAsia="Calibri" w:hAnsi="Calibri" w:cs="Calibri"/>
                      <w:b/>
                      <w:bCs/>
                      <w:color w:val="000000"/>
                      <w:lang w:eastAsia="it-IT"/>
                    </w:rPr>
                    <w:t>ESITO APPELLO</w:t>
                  </w:r>
                </w:p>
              </w:tc>
              <w:tc>
                <w:tcPr>
                  <w:tcW w:w="139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2044A" w:rsidRPr="0082044A" w:rsidRDefault="0082044A" w:rsidP="0082044A">
                  <w:pPr>
                    <w:spacing w:after="0" w:line="240" w:lineRule="auto"/>
                    <w:jc w:val="center"/>
                    <w:rPr>
                      <w:rFonts w:ascii="Calibri" w:eastAsia="Calibri" w:hAnsi="Calibri" w:cs="Calibri"/>
                      <w:b/>
                      <w:bCs/>
                      <w:color w:val="000000"/>
                      <w:lang w:eastAsia="it-IT"/>
                    </w:rPr>
                  </w:pPr>
                  <w:r w:rsidRPr="0082044A">
                    <w:rPr>
                      <w:rFonts w:ascii="Calibri" w:eastAsia="Calibri" w:hAnsi="Calibri" w:cs="Calibri"/>
                      <w:b/>
                      <w:bCs/>
                      <w:color w:val="000000"/>
                      <w:lang w:eastAsia="it-IT"/>
                    </w:rPr>
                    <w:t>Accoglie</w:t>
                  </w:r>
                </w:p>
              </w:tc>
              <w:tc>
                <w:tcPr>
                  <w:tcW w:w="152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2044A" w:rsidRPr="0082044A" w:rsidRDefault="0082044A" w:rsidP="0082044A">
                  <w:pPr>
                    <w:spacing w:after="0" w:line="240" w:lineRule="auto"/>
                    <w:jc w:val="center"/>
                    <w:rPr>
                      <w:rFonts w:ascii="Calibri" w:eastAsia="Calibri" w:hAnsi="Calibri" w:cs="Calibri"/>
                      <w:b/>
                      <w:bCs/>
                      <w:color w:val="000000"/>
                      <w:lang w:eastAsia="it-IT"/>
                    </w:rPr>
                  </w:pPr>
                  <w:r w:rsidRPr="0082044A">
                    <w:rPr>
                      <w:rFonts w:ascii="Calibri" w:eastAsia="Calibri" w:hAnsi="Calibri" w:cs="Calibri"/>
                      <w:b/>
                      <w:bCs/>
                      <w:color w:val="000000"/>
                      <w:lang w:eastAsia="it-IT"/>
                    </w:rPr>
                    <w:t>Respinge</w:t>
                  </w:r>
                </w:p>
              </w:tc>
            </w:tr>
            <w:tr w:rsidR="0082044A" w:rsidRPr="0082044A" w:rsidTr="0082044A">
              <w:trPr>
                <w:trHeight w:val="315"/>
              </w:trPr>
              <w:tc>
                <w:tcPr>
                  <w:tcW w:w="3159" w:type="dxa"/>
                  <w:tcBorders>
                    <w:top w:val="nil"/>
                    <w:left w:val="single" w:sz="8" w:space="0" w:color="auto"/>
                    <w:bottom w:val="single" w:sz="8" w:space="0" w:color="auto"/>
                    <w:right w:val="single" w:sz="8" w:space="0" w:color="auto"/>
                  </w:tcBorders>
                  <w:shd w:val="clear" w:color="auto" w:fill="DDEBF7"/>
                  <w:noWrap/>
                  <w:tcMar>
                    <w:top w:w="0" w:type="dxa"/>
                    <w:left w:w="70" w:type="dxa"/>
                    <w:bottom w:w="0" w:type="dxa"/>
                    <w:right w:w="70" w:type="dxa"/>
                  </w:tcMar>
                  <w:vAlign w:val="center"/>
                  <w:hideMark/>
                </w:tcPr>
                <w:p w:rsidR="0082044A" w:rsidRPr="0082044A" w:rsidRDefault="0082044A" w:rsidP="0082044A">
                  <w:pPr>
                    <w:spacing w:after="0" w:line="240" w:lineRule="auto"/>
                    <w:rPr>
                      <w:rFonts w:ascii="Calibri" w:eastAsia="Calibri" w:hAnsi="Calibri" w:cs="Calibri"/>
                      <w:color w:val="000000"/>
                      <w:lang w:eastAsia="it-IT"/>
                    </w:rPr>
                  </w:pPr>
                  <w:r w:rsidRPr="0082044A">
                    <w:rPr>
                      <w:rFonts w:ascii="Calibri" w:eastAsia="Calibri" w:hAnsi="Calibri" w:cs="Calibri"/>
                      <w:color w:val="000000"/>
                      <w:lang w:eastAsia="it-IT"/>
                    </w:rPr>
                    <w:t>ACCOGLIE</w:t>
                  </w:r>
                </w:p>
              </w:tc>
              <w:tc>
                <w:tcPr>
                  <w:tcW w:w="1399" w:type="dxa"/>
                  <w:tcBorders>
                    <w:top w:val="nil"/>
                    <w:left w:val="nil"/>
                    <w:bottom w:val="single" w:sz="8" w:space="0" w:color="auto"/>
                    <w:right w:val="single" w:sz="8" w:space="0" w:color="auto"/>
                  </w:tcBorders>
                  <w:shd w:val="clear" w:color="auto" w:fill="DDEBF7"/>
                  <w:noWrap/>
                  <w:tcMar>
                    <w:top w:w="0" w:type="dxa"/>
                    <w:left w:w="70" w:type="dxa"/>
                    <w:bottom w:w="0" w:type="dxa"/>
                    <w:right w:w="70" w:type="dxa"/>
                  </w:tcMar>
                  <w:vAlign w:val="center"/>
                  <w:hideMark/>
                </w:tcPr>
                <w:p w:rsidR="0082044A" w:rsidRPr="0082044A" w:rsidRDefault="0082044A" w:rsidP="0082044A">
                  <w:pPr>
                    <w:spacing w:after="0" w:line="240" w:lineRule="auto"/>
                    <w:jc w:val="right"/>
                    <w:rPr>
                      <w:rFonts w:ascii="Calibri" w:eastAsia="Calibri" w:hAnsi="Calibri" w:cs="Calibri"/>
                      <w:color w:val="000000"/>
                      <w:lang w:eastAsia="it-IT"/>
                    </w:rPr>
                  </w:pPr>
                  <w:r w:rsidRPr="0082044A">
                    <w:rPr>
                      <w:rFonts w:ascii="Calibri" w:eastAsia="Calibri" w:hAnsi="Calibri" w:cs="Calibri"/>
                      <w:color w:val="000000"/>
                      <w:lang w:eastAsia="it-IT"/>
                    </w:rPr>
                    <w:t>17</w:t>
                  </w:r>
                </w:p>
              </w:tc>
              <w:tc>
                <w:tcPr>
                  <w:tcW w:w="152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2044A" w:rsidRPr="0082044A" w:rsidRDefault="0082044A" w:rsidP="0082044A">
                  <w:pPr>
                    <w:spacing w:after="0" w:line="240" w:lineRule="auto"/>
                    <w:jc w:val="right"/>
                    <w:rPr>
                      <w:rFonts w:ascii="Calibri" w:eastAsia="Calibri" w:hAnsi="Calibri" w:cs="Calibri"/>
                      <w:color w:val="000000"/>
                      <w:lang w:eastAsia="it-IT"/>
                    </w:rPr>
                  </w:pPr>
                  <w:r w:rsidRPr="0082044A">
                    <w:rPr>
                      <w:rFonts w:ascii="Calibri" w:eastAsia="Calibri" w:hAnsi="Calibri" w:cs="Calibri"/>
                      <w:color w:val="000000"/>
                      <w:lang w:eastAsia="it-IT"/>
                    </w:rPr>
                    <w:t>140</w:t>
                  </w:r>
                </w:p>
              </w:tc>
            </w:tr>
            <w:tr w:rsidR="0082044A" w:rsidRPr="0082044A" w:rsidTr="0082044A">
              <w:trPr>
                <w:trHeight w:val="315"/>
              </w:trPr>
              <w:tc>
                <w:tcPr>
                  <w:tcW w:w="3159" w:type="dxa"/>
                  <w:tcBorders>
                    <w:top w:val="nil"/>
                    <w:left w:val="single" w:sz="8" w:space="0" w:color="auto"/>
                    <w:bottom w:val="single" w:sz="8" w:space="0" w:color="auto"/>
                    <w:right w:val="single" w:sz="8" w:space="0" w:color="auto"/>
                  </w:tcBorders>
                  <w:shd w:val="clear" w:color="auto" w:fill="DDEBF7"/>
                  <w:noWrap/>
                  <w:tcMar>
                    <w:top w:w="0" w:type="dxa"/>
                    <w:left w:w="70" w:type="dxa"/>
                    <w:bottom w:w="0" w:type="dxa"/>
                    <w:right w:w="70" w:type="dxa"/>
                  </w:tcMar>
                  <w:vAlign w:val="center"/>
                  <w:hideMark/>
                </w:tcPr>
                <w:p w:rsidR="0082044A" w:rsidRPr="0082044A" w:rsidRDefault="0082044A" w:rsidP="0082044A">
                  <w:pPr>
                    <w:spacing w:after="0" w:line="240" w:lineRule="auto"/>
                    <w:rPr>
                      <w:rFonts w:ascii="Calibri" w:eastAsia="Calibri" w:hAnsi="Calibri" w:cs="Calibri"/>
                      <w:color w:val="000000"/>
                      <w:lang w:eastAsia="it-IT"/>
                    </w:rPr>
                  </w:pPr>
                  <w:r w:rsidRPr="0082044A">
                    <w:rPr>
                      <w:rFonts w:ascii="Calibri" w:eastAsia="Calibri" w:hAnsi="Calibri" w:cs="Calibri"/>
                      <w:color w:val="000000"/>
                      <w:lang w:eastAsia="it-IT"/>
                    </w:rPr>
                    <w:t>RESPINGE</w:t>
                  </w:r>
                </w:p>
              </w:tc>
              <w:tc>
                <w:tcPr>
                  <w:tcW w:w="139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2044A" w:rsidRPr="0082044A" w:rsidRDefault="0082044A" w:rsidP="0082044A">
                  <w:pPr>
                    <w:spacing w:after="0" w:line="240" w:lineRule="auto"/>
                    <w:jc w:val="right"/>
                    <w:rPr>
                      <w:rFonts w:ascii="Calibri" w:eastAsia="Calibri" w:hAnsi="Calibri" w:cs="Calibri"/>
                      <w:color w:val="000000"/>
                      <w:lang w:eastAsia="it-IT"/>
                    </w:rPr>
                  </w:pPr>
                  <w:r w:rsidRPr="0082044A">
                    <w:rPr>
                      <w:rFonts w:ascii="Calibri" w:eastAsia="Calibri" w:hAnsi="Calibri" w:cs="Calibri"/>
                      <w:color w:val="000000"/>
                      <w:lang w:eastAsia="it-IT"/>
                    </w:rPr>
                    <w:t>37</w:t>
                  </w:r>
                </w:p>
              </w:tc>
              <w:tc>
                <w:tcPr>
                  <w:tcW w:w="1522" w:type="dxa"/>
                  <w:tcBorders>
                    <w:top w:val="nil"/>
                    <w:left w:val="nil"/>
                    <w:bottom w:val="single" w:sz="8" w:space="0" w:color="auto"/>
                    <w:right w:val="single" w:sz="8" w:space="0" w:color="auto"/>
                  </w:tcBorders>
                  <w:shd w:val="clear" w:color="auto" w:fill="DDEBF7"/>
                  <w:noWrap/>
                  <w:tcMar>
                    <w:top w:w="0" w:type="dxa"/>
                    <w:left w:w="70" w:type="dxa"/>
                    <w:bottom w:w="0" w:type="dxa"/>
                    <w:right w:w="70" w:type="dxa"/>
                  </w:tcMar>
                  <w:vAlign w:val="center"/>
                  <w:hideMark/>
                </w:tcPr>
                <w:p w:rsidR="0082044A" w:rsidRPr="0082044A" w:rsidRDefault="0082044A" w:rsidP="0082044A">
                  <w:pPr>
                    <w:spacing w:after="0" w:line="240" w:lineRule="auto"/>
                    <w:jc w:val="right"/>
                    <w:rPr>
                      <w:rFonts w:ascii="Calibri" w:eastAsia="Calibri" w:hAnsi="Calibri" w:cs="Calibri"/>
                      <w:color w:val="000000"/>
                      <w:lang w:eastAsia="it-IT"/>
                    </w:rPr>
                  </w:pPr>
                  <w:r w:rsidRPr="0082044A">
                    <w:rPr>
                      <w:rFonts w:ascii="Calibri" w:eastAsia="Calibri" w:hAnsi="Calibri" w:cs="Calibri"/>
                      <w:color w:val="000000"/>
                      <w:lang w:eastAsia="it-IT"/>
                    </w:rPr>
                    <w:t>54</w:t>
                  </w:r>
                </w:p>
              </w:tc>
            </w:tr>
            <w:tr w:rsidR="0082044A" w:rsidRPr="0082044A" w:rsidTr="0082044A">
              <w:trPr>
                <w:trHeight w:val="315"/>
              </w:trPr>
              <w:tc>
                <w:tcPr>
                  <w:tcW w:w="315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2044A" w:rsidRPr="0082044A" w:rsidRDefault="0082044A" w:rsidP="0082044A">
                  <w:pPr>
                    <w:spacing w:after="0" w:line="240" w:lineRule="auto"/>
                    <w:rPr>
                      <w:rFonts w:ascii="Calibri" w:eastAsia="Calibri" w:hAnsi="Calibri" w:cs="Calibri"/>
                      <w:b/>
                      <w:bCs/>
                      <w:color w:val="000000"/>
                      <w:lang w:eastAsia="it-IT"/>
                    </w:rPr>
                  </w:pPr>
                  <w:r w:rsidRPr="0082044A">
                    <w:rPr>
                      <w:rFonts w:ascii="Calibri" w:eastAsia="Calibri" w:hAnsi="Calibri" w:cs="Calibri"/>
                      <w:b/>
                      <w:bCs/>
                      <w:color w:val="000000"/>
                      <w:lang w:eastAsia="it-IT"/>
                    </w:rPr>
                    <w:t>Totale complessivo</w:t>
                  </w:r>
                </w:p>
              </w:tc>
              <w:tc>
                <w:tcPr>
                  <w:tcW w:w="139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2044A" w:rsidRPr="0082044A" w:rsidRDefault="0082044A" w:rsidP="0082044A">
                  <w:pPr>
                    <w:spacing w:after="0" w:line="240" w:lineRule="auto"/>
                    <w:jc w:val="right"/>
                    <w:rPr>
                      <w:rFonts w:ascii="Calibri" w:eastAsia="Calibri" w:hAnsi="Calibri" w:cs="Calibri"/>
                      <w:b/>
                      <w:bCs/>
                      <w:color w:val="000000"/>
                      <w:lang w:eastAsia="it-IT"/>
                    </w:rPr>
                  </w:pPr>
                  <w:r w:rsidRPr="0082044A">
                    <w:rPr>
                      <w:rFonts w:ascii="Calibri" w:eastAsia="Calibri" w:hAnsi="Calibri" w:cs="Calibri"/>
                      <w:b/>
                      <w:bCs/>
                      <w:color w:val="000000"/>
                      <w:lang w:eastAsia="it-IT"/>
                    </w:rPr>
                    <w:t>54</w:t>
                  </w:r>
                </w:p>
              </w:tc>
              <w:tc>
                <w:tcPr>
                  <w:tcW w:w="152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2044A" w:rsidRPr="0082044A" w:rsidRDefault="0082044A" w:rsidP="0082044A">
                  <w:pPr>
                    <w:spacing w:after="0" w:line="240" w:lineRule="auto"/>
                    <w:jc w:val="right"/>
                    <w:rPr>
                      <w:rFonts w:ascii="Calibri" w:eastAsia="Calibri" w:hAnsi="Calibri" w:cs="Calibri"/>
                      <w:b/>
                      <w:bCs/>
                      <w:color w:val="000000"/>
                      <w:lang w:eastAsia="it-IT"/>
                    </w:rPr>
                  </w:pPr>
                  <w:r w:rsidRPr="0082044A">
                    <w:rPr>
                      <w:rFonts w:ascii="Calibri" w:eastAsia="Calibri" w:hAnsi="Calibri" w:cs="Calibri"/>
                      <w:b/>
                      <w:bCs/>
                      <w:color w:val="000000"/>
                      <w:lang w:eastAsia="it-IT"/>
                    </w:rPr>
                    <w:t>194</w:t>
                  </w:r>
                </w:p>
              </w:tc>
            </w:tr>
          </w:tbl>
          <w:p w:rsidR="0082044A" w:rsidRPr="0082044A" w:rsidRDefault="0082044A" w:rsidP="0082044A">
            <w:pPr>
              <w:spacing w:after="0" w:line="240" w:lineRule="auto"/>
              <w:rPr>
                <w:rFonts w:ascii="Calibri" w:eastAsia="Calibri" w:hAnsi="Calibri" w:cs="Calibri"/>
                <w:color w:val="212121"/>
                <w:lang w:eastAsia="it-IT"/>
              </w:rPr>
            </w:pPr>
          </w:p>
          <w:p w:rsidR="0082044A" w:rsidRPr="0082044A" w:rsidRDefault="0082044A" w:rsidP="0082044A">
            <w:pPr>
              <w:spacing w:after="0" w:line="240" w:lineRule="auto"/>
              <w:rPr>
                <w:rFonts w:ascii="Calibri" w:eastAsia="Calibri" w:hAnsi="Calibri" w:cs="Calibri"/>
                <w:color w:val="212121"/>
                <w:lang w:eastAsia="it-IT"/>
              </w:rPr>
            </w:pPr>
            <w:r w:rsidRPr="0082044A">
              <w:rPr>
                <w:rFonts w:ascii="Calibri" w:eastAsia="Calibri" w:hAnsi="Calibri" w:cs="Calibri"/>
                <w:noProof/>
                <w:color w:val="212121"/>
                <w:lang w:eastAsia="it-IT"/>
              </w:rPr>
              <w:lastRenderedPageBreak/>
              <w:drawing>
                <wp:inline distT="0" distB="0" distL="0" distR="0" wp14:anchorId="5AC3B49E" wp14:editId="20F4F3EE">
                  <wp:extent cx="5467350" cy="364490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6.JPG"/>
                          <pic:cNvPicPr/>
                        </pic:nvPicPr>
                        <pic:blipFill>
                          <a:blip r:embed="rId37">
                            <a:extLst>
                              <a:ext uri="{28A0092B-C50C-407E-A947-70E740481C1C}">
                                <a14:useLocalDpi xmlns:a14="http://schemas.microsoft.com/office/drawing/2010/main" val="0"/>
                              </a:ext>
                            </a:extLst>
                          </a:blip>
                          <a:stretch>
                            <a:fillRect/>
                          </a:stretch>
                        </pic:blipFill>
                        <pic:spPr>
                          <a:xfrm>
                            <a:off x="0" y="0"/>
                            <a:ext cx="5468183" cy="3645455"/>
                          </a:xfrm>
                          <a:prstGeom prst="rect">
                            <a:avLst/>
                          </a:prstGeom>
                        </pic:spPr>
                      </pic:pic>
                    </a:graphicData>
                  </a:graphic>
                </wp:inline>
              </w:drawing>
            </w:r>
          </w:p>
          <w:p w:rsidR="0082044A" w:rsidRPr="0082044A" w:rsidRDefault="0082044A" w:rsidP="0082044A">
            <w:pPr>
              <w:spacing w:after="0" w:line="240" w:lineRule="auto"/>
              <w:rPr>
                <w:rFonts w:ascii="Calibri" w:eastAsia="Calibri" w:hAnsi="Calibri" w:cs="Calibri"/>
                <w:color w:val="212121"/>
                <w:lang w:eastAsia="it-IT"/>
              </w:rPr>
            </w:pPr>
          </w:p>
          <w:p w:rsidR="0082044A" w:rsidRPr="0082044A" w:rsidRDefault="0082044A" w:rsidP="0082044A">
            <w:pPr>
              <w:spacing w:after="0" w:line="240" w:lineRule="auto"/>
              <w:rPr>
                <w:rFonts w:ascii="Calibri" w:eastAsia="Calibri" w:hAnsi="Calibri" w:cs="Calibri"/>
                <w:color w:val="212121"/>
                <w:lang w:eastAsia="it-IT"/>
              </w:rPr>
            </w:pPr>
          </w:p>
          <w:p w:rsidR="0082044A" w:rsidRPr="0082044A" w:rsidRDefault="0082044A" w:rsidP="0082044A">
            <w:pPr>
              <w:spacing w:after="0" w:line="240" w:lineRule="auto"/>
              <w:jc w:val="both"/>
              <w:rPr>
                <w:rFonts w:ascii="Times New Roman" w:eastAsia="Calibri" w:hAnsi="Times New Roman" w:cs="Times New Roman"/>
                <w:b/>
                <w:color w:val="212121"/>
                <w:sz w:val="24"/>
                <w:szCs w:val="24"/>
                <w:lang w:eastAsia="it-IT"/>
              </w:rPr>
            </w:pPr>
            <w:r w:rsidRPr="0082044A">
              <w:rPr>
                <w:rFonts w:ascii="Times New Roman" w:eastAsia="Calibri" w:hAnsi="Times New Roman" w:cs="Times New Roman"/>
                <w:b/>
                <w:color w:val="212121"/>
                <w:sz w:val="24"/>
                <w:szCs w:val="24"/>
                <w:lang w:eastAsia="it-IT"/>
              </w:rPr>
              <w:t>Il ricalcolo delle percentuali di “blocco” alla luce degli esiti del gravame conduce ai seguenti risultati:</w:t>
            </w:r>
          </w:p>
          <w:p w:rsidR="0082044A" w:rsidRPr="0082044A" w:rsidRDefault="0082044A" w:rsidP="0082044A">
            <w:pPr>
              <w:spacing w:after="0" w:line="240" w:lineRule="auto"/>
              <w:jc w:val="both"/>
              <w:rPr>
                <w:rFonts w:ascii="Times New Roman" w:eastAsia="Calibri" w:hAnsi="Times New Roman" w:cs="Times New Roman"/>
                <w:b/>
                <w:color w:val="212121"/>
                <w:sz w:val="24"/>
                <w:szCs w:val="24"/>
                <w:lang w:eastAsia="it-IT"/>
              </w:rPr>
            </w:pPr>
            <w:r w:rsidRPr="0082044A">
              <w:rPr>
                <w:rFonts w:ascii="Times New Roman" w:eastAsia="Calibri" w:hAnsi="Times New Roman" w:cs="Times New Roman"/>
                <w:b/>
                <w:color w:val="212121"/>
                <w:sz w:val="24"/>
                <w:szCs w:val="24"/>
                <w:lang w:eastAsia="it-IT"/>
              </w:rPr>
              <w:t>per il 2015 la percentuale è dello 0,73% (959+38/136.645*100);</w:t>
            </w:r>
          </w:p>
          <w:p w:rsidR="0082044A" w:rsidRPr="0082044A" w:rsidRDefault="0082044A" w:rsidP="0082044A">
            <w:pPr>
              <w:spacing w:after="0" w:line="240" w:lineRule="auto"/>
              <w:jc w:val="both"/>
              <w:rPr>
                <w:rFonts w:ascii="Times New Roman" w:eastAsia="Calibri" w:hAnsi="Times New Roman" w:cs="Times New Roman"/>
                <w:b/>
                <w:color w:val="212121"/>
                <w:sz w:val="24"/>
                <w:szCs w:val="24"/>
                <w:lang w:eastAsia="it-IT"/>
              </w:rPr>
            </w:pPr>
            <w:r w:rsidRPr="0082044A">
              <w:rPr>
                <w:rFonts w:ascii="Times New Roman" w:eastAsia="Calibri" w:hAnsi="Times New Roman" w:cs="Times New Roman"/>
                <w:b/>
                <w:color w:val="212121"/>
                <w:sz w:val="24"/>
                <w:szCs w:val="24"/>
                <w:lang w:eastAsia="it-IT"/>
              </w:rPr>
              <w:t>per il 2016 è dello 0,81% (849+123/120.628*100).</w:t>
            </w:r>
          </w:p>
          <w:p w:rsidR="0082044A" w:rsidRPr="0082044A" w:rsidRDefault="0082044A" w:rsidP="0082044A">
            <w:pPr>
              <w:spacing w:after="0" w:line="240" w:lineRule="auto"/>
              <w:ind w:left="218"/>
              <w:jc w:val="both"/>
              <w:rPr>
                <w:rFonts w:ascii="Calibri" w:eastAsia="Calibri" w:hAnsi="Calibri" w:cs="Calibri"/>
                <w:color w:val="212121"/>
                <w:lang w:eastAsia="it-IT"/>
              </w:rPr>
            </w:pPr>
          </w:p>
          <w:p w:rsidR="0082044A" w:rsidRPr="0082044A" w:rsidRDefault="0082044A" w:rsidP="0082044A">
            <w:pPr>
              <w:spacing w:after="0" w:line="240" w:lineRule="auto"/>
              <w:ind w:left="218"/>
              <w:jc w:val="both"/>
              <w:rPr>
                <w:rFonts w:ascii="Calibri" w:eastAsia="Calibri" w:hAnsi="Calibri" w:cs="Calibri"/>
                <w:color w:val="212121"/>
                <w:lang w:eastAsia="it-IT"/>
              </w:rPr>
            </w:pPr>
          </w:p>
          <w:p w:rsidR="0082044A" w:rsidRPr="0082044A" w:rsidRDefault="0082044A" w:rsidP="0082044A">
            <w:pPr>
              <w:spacing w:after="0" w:line="240" w:lineRule="auto"/>
              <w:jc w:val="both"/>
              <w:rPr>
                <w:rFonts w:ascii="Times New Roman" w:eastAsia="Calibri" w:hAnsi="Times New Roman" w:cs="Times New Roman"/>
                <w:b/>
                <w:i/>
                <w:color w:val="212121"/>
                <w:sz w:val="24"/>
                <w:szCs w:val="24"/>
                <w:lang w:eastAsia="it-IT"/>
              </w:rPr>
            </w:pPr>
            <w:r w:rsidRPr="0082044A">
              <w:rPr>
                <w:rFonts w:ascii="Times New Roman" w:eastAsia="Calibri" w:hAnsi="Times New Roman" w:cs="Times New Roman"/>
                <w:b/>
                <w:i/>
                <w:color w:val="212121"/>
                <w:sz w:val="24"/>
                <w:szCs w:val="24"/>
                <w:lang w:eastAsia="it-IT"/>
              </w:rPr>
              <w:t>8. Un ulteriore approfondimento degli esiti, per soglie d’importo</w:t>
            </w:r>
          </w:p>
          <w:p w:rsidR="0082044A" w:rsidRPr="0082044A" w:rsidRDefault="0082044A" w:rsidP="0082044A">
            <w:pPr>
              <w:spacing w:after="0" w:line="240" w:lineRule="auto"/>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color w:val="212121"/>
                <w:sz w:val="24"/>
                <w:szCs w:val="24"/>
                <w:lang w:eastAsia="it-IT"/>
              </w:rPr>
              <w:t>La ricerca ha consentito di disaggregare ulteriormente il dato delle ordinanze cautelari, per tre soglie di importo (200.000, sino ad 1 milione, oltre 1 milione di Euro).</w:t>
            </w:r>
          </w:p>
          <w:p w:rsidR="0082044A" w:rsidRPr="0082044A" w:rsidRDefault="0082044A" w:rsidP="0082044A">
            <w:pPr>
              <w:spacing w:after="0" w:line="240" w:lineRule="auto"/>
              <w:jc w:val="both"/>
              <w:rPr>
                <w:rFonts w:ascii="Times New Roman" w:eastAsia="Calibri" w:hAnsi="Times New Roman" w:cs="Times New Roman"/>
                <w:color w:val="212121"/>
                <w:sz w:val="24"/>
                <w:szCs w:val="24"/>
                <w:lang w:eastAsia="it-IT"/>
              </w:rPr>
            </w:pPr>
          </w:p>
          <w:p w:rsidR="0082044A" w:rsidRPr="0082044A" w:rsidRDefault="0082044A" w:rsidP="0082044A">
            <w:pPr>
              <w:spacing w:after="0" w:line="240" w:lineRule="auto"/>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color w:val="212121"/>
                <w:sz w:val="24"/>
                <w:szCs w:val="24"/>
                <w:lang w:eastAsia="it-IT"/>
              </w:rPr>
              <w:t xml:space="preserve">Nelle tabelle che seguono sono esposti dapprima i dati delle ordinanze cautelari (di qualsiasi tenore) e poi le ordinanze cautelari con effetto sospensivo. </w:t>
            </w:r>
          </w:p>
          <w:p w:rsidR="0082044A" w:rsidRPr="0082044A" w:rsidRDefault="0082044A" w:rsidP="0082044A">
            <w:pPr>
              <w:spacing w:after="0" w:line="240" w:lineRule="auto"/>
              <w:jc w:val="both"/>
              <w:rPr>
                <w:rFonts w:ascii="Calibri" w:eastAsia="Calibri" w:hAnsi="Calibri" w:cs="Calibri"/>
                <w:color w:val="212121"/>
                <w:lang w:eastAsia="it-IT"/>
              </w:rPr>
            </w:pPr>
          </w:p>
          <w:p w:rsidR="0082044A" w:rsidRPr="0082044A" w:rsidRDefault="0082044A" w:rsidP="0082044A">
            <w:pPr>
              <w:spacing w:after="0" w:line="240" w:lineRule="auto"/>
              <w:jc w:val="both"/>
              <w:rPr>
                <w:rFonts w:ascii="Calibri" w:eastAsia="Calibri" w:hAnsi="Calibri" w:cs="Calibri"/>
                <w:color w:val="212121"/>
                <w:lang w:eastAsia="it-IT"/>
              </w:rPr>
            </w:pPr>
          </w:p>
          <w:p w:rsidR="0082044A" w:rsidRPr="0082044A" w:rsidRDefault="0082044A" w:rsidP="0082044A">
            <w:pPr>
              <w:spacing w:after="0" w:line="240" w:lineRule="auto"/>
              <w:jc w:val="both"/>
              <w:rPr>
                <w:rFonts w:ascii="Calibri" w:eastAsia="Calibri" w:hAnsi="Calibri" w:cs="Calibri"/>
                <w:color w:val="212121"/>
                <w:lang w:eastAsia="it-IT"/>
              </w:rPr>
            </w:pPr>
            <w:r w:rsidRPr="0082044A">
              <w:rPr>
                <w:rFonts w:ascii="Calibri" w:eastAsia="Calibri" w:hAnsi="Calibri" w:cs="Calibri"/>
                <w:color w:val="212121"/>
                <w:lang w:eastAsia="it-IT"/>
              </w:rPr>
              <w:t>Anno 2015 (ordinanze depositate)</w:t>
            </w:r>
          </w:p>
          <w:tbl>
            <w:tblPr>
              <w:tblW w:w="8055" w:type="dxa"/>
              <w:tblCellMar>
                <w:left w:w="70" w:type="dxa"/>
                <w:right w:w="70" w:type="dxa"/>
              </w:tblCellMar>
              <w:tblLook w:val="04A0" w:firstRow="1" w:lastRow="0" w:firstColumn="1" w:lastColumn="0" w:noHBand="0" w:noVBand="1"/>
            </w:tblPr>
            <w:tblGrid>
              <w:gridCol w:w="2622"/>
              <w:gridCol w:w="978"/>
              <w:gridCol w:w="1303"/>
              <w:gridCol w:w="1451"/>
              <w:gridCol w:w="1701"/>
            </w:tblGrid>
            <w:tr w:rsidR="0082044A" w:rsidRPr="0082044A" w:rsidTr="0082044A">
              <w:trPr>
                <w:trHeight w:val="300"/>
              </w:trPr>
              <w:tc>
                <w:tcPr>
                  <w:tcW w:w="2622"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SEDE</w:t>
                  </w:r>
                </w:p>
              </w:tc>
              <w:tc>
                <w:tcPr>
                  <w:tcW w:w="978" w:type="dxa"/>
                  <w:tcBorders>
                    <w:top w:val="single" w:sz="4" w:space="0" w:color="auto"/>
                    <w:left w:val="nil"/>
                    <w:bottom w:val="single" w:sz="4" w:space="0" w:color="auto"/>
                    <w:right w:val="single" w:sz="4" w:space="0" w:color="auto"/>
                  </w:tcBorders>
                  <w:shd w:val="clear" w:color="000000" w:fill="DDEBF7"/>
                  <w:noWrap/>
                  <w:vAlign w:val="center"/>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≤200.000</w:t>
                  </w:r>
                </w:p>
              </w:tc>
              <w:tc>
                <w:tcPr>
                  <w:tcW w:w="1303" w:type="dxa"/>
                  <w:tcBorders>
                    <w:top w:val="single" w:sz="4" w:space="0" w:color="auto"/>
                    <w:left w:val="nil"/>
                    <w:bottom w:val="single" w:sz="4" w:space="0" w:color="auto"/>
                    <w:right w:val="single" w:sz="4" w:space="0" w:color="auto"/>
                  </w:tcBorders>
                  <w:shd w:val="clear" w:color="000000" w:fill="DDEBF7"/>
                  <w:noWrap/>
                  <w:vAlign w:val="center"/>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 xml:space="preserve"> &gt;200.000 </w:t>
                  </w:r>
                </w:p>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 1milione</w:t>
                  </w:r>
                </w:p>
              </w:tc>
              <w:tc>
                <w:tcPr>
                  <w:tcW w:w="1451" w:type="dxa"/>
                  <w:tcBorders>
                    <w:top w:val="single" w:sz="4" w:space="0" w:color="auto"/>
                    <w:left w:val="nil"/>
                    <w:bottom w:val="single" w:sz="4" w:space="0" w:color="auto"/>
                    <w:right w:val="single" w:sz="4" w:space="0" w:color="auto"/>
                  </w:tcBorders>
                  <w:shd w:val="clear" w:color="000000" w:fill="DDEBF7"/>
                  <w:noWrap/>
                  <w:vAlign w:val="center"/>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 xml:space="preserve"> &gt;1milione</w:t>
                  </w:r>
                </w:p>
              </w:tc>
              <w:tc>
                <w:tcPr>
                  <w:tcW w:w="1701" w:type="dxa"/>
                  <w:tcBorders>
                    <w:top w:val="single" w:sz="4" w:space="0" w:color="auto"/>
                    <w:left w:val="nil"/>
                    <w:bottom w:val="single" w:sz="4" w:space="0" w:color="auto"/>
                    <w:right w:val="single" w:sz="4" w:space="0" w:color="auto"/>
                  </w:tcBorders>
                  <w:shd w:val="clear" w:color="000000" w:fill="DDEBF7"/>
                  <w:vAlign w:val="center"/>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TOTALE Depositi per Sede</w:t>
                  </w:r>
                </w:p>
              </w:tc>
            </w:tr>
            <w:tr w:rsidR="0082044A" w:rsidRPr="0082044A" w:rsidTr="0082044A">
              <w:trPr>
                <w:trHeight w:val="30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ANCONA</w:t>
                  </w:r>
                </w:p>
              </w:tc>
              <w:tc>
                <w:tcPr>
                  <w:tcW w:w="978"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14</w:t>
                  </w:r>
                </w:p>
              </w:tc>
              <w:tc>
                <w:tcPr>
                  <w:tcW w:w="13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10</w:t>
                  </w:r>
                </w:p>
              </w:tc>
              <w:tc>
                <w:tcPr>
                  <w:tcW w:w="145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22</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46</w:t>
                  </w:r>
                </w:p>
              </w:tc>
            </w:tr>
            <w:tr w:rsidR="0082044A" w:rsidRPr="0082044A" w:rsidTr="0082044A">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AOSTA</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3</w:t>
                  </w:r>
                </w:p>
              </w:tc>
              <w:tc>
                <w:tcPr>
                  <w:tcW w:w="13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5</w:t>
                  </w:r>
                </w:p>
              </w:tc>
              <w:tc>
                <w:tcPr>
                  <w:tcW w:w="145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10</w:t>
                  </w:r>
                </w:p>
              </w:tc>
            </w:tr>
            <w:tr w:rsidR="0082044A" w:rsidRPr="0082044A" w:rsidTr="0082044A">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BARI</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49</w:t>
                  </w:r>
                </w:p>
              </w:tc>
              <w:tc>
                <w:tcPr>
                  <w:tcW w:w="13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38</w:t>
                  </w:r>
                </w:p>
              </w:tc>
              <w:tc>
                <w:tcPr>
                  <w:tcW w:w="145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77</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164</w:t>
                  </w:r>
                </w:p>
              </w:tc>
            </w:tr>
            <w:tr w:rsidR="0082044A" w:rsidRPr="0082044A" w:rsidTr="0082044A">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BOLOGNA</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28</w:t>
                  </w:r>
                </w:p>
              </w:tc>
              <w:tc>
                <w:tcPr>
                  <w:tcW w:w="13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17</w:t>
                  </w:r>
                </w:p>
              </w:tc>
              <w:tc>
                <w:tcPr>
                  <w:tcW w:w="145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39</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84</w:t>
                  </w:r>
                </w:p>
              </w:tc>
            </w:tr>
            <w:tr w:rsidR="0082044A" w:rsidRPr="0082044A" w:rsidTr="0082044A">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BOLZANO</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6</w:t>
                  </w:r>
                </w:p>
              </w:tc>
              <w:tc>
                <w:tcPr>
                  <w:tcW w:w="13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8</w:t>
                  </w:r>
                </w:p>
              </w:tc>
              <w:tc>
                <w:tcPr>
                  <w:tcW w:w="145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17</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31</w:t>
                  </w:r>
                </w:p>
              </w:tc>
            </w:tr>
            <w:tr w:rsidR="0082044A" w:rsidRPr="0082044A" w:rsidTr="0082044A">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BRESCIA</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20</w:t>
                  </w:r>
                </w:p>
              </w:tc>
              <w:tc>
                <w:tcPr>
                  <w:tcW w:w="13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14</w:t>
                  </w:r>
                </w:p>
              </w:tc>
              <w:tc>
                <w:tcPr>
                  <w:tcW w:w="145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39</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73</w:t>
                  </w:r>
                </w:p>
              </w:tc>
            </w:tr>
            <w:tr w:rsidR="0082044A" w:rsidRPr="0082044A" w:rsidTr="0082044A">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CAGLIARI</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27</w:t>
                  </w:r>
                </w:p>
              </w:tc>
              <w:tc>
                <w:tcPr>
                  <w:tcW w:w="13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25</w:t>
                  </w:r>
                </w:p>
              </w:tc>
              <w:tc>
                <w:tcPr>
                  <w:tcW w:w="145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50</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102</w:t>
                  </w:r>
                </w:p>
              </w:tc>
            </w:tr>
            <w:tr w:rsidR="0082044A" w:rsidRPr="0082044A" w:rsidTr="0082044A">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CAMPOBASSO</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8</w:t>
                  </w:r>
                </w:p>
              </w:tc>
              <w:tc>
                <w:tcPr>
                  <w:tcW w:w="13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5</w:t>
                  </w:r>
                </w:p>
              </w:tc>
              <w:tc>
                <w:tcPr>
                  <w:tcW w:w="145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8</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21</w:t>
                  </w:r>
                </w:p>
              </w:tc>
            </w:tr>
            <w:tr w:rsidR="0082044A" w:rsidRPr="0082044A" w:rsidTr="0082044A">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CATANIA</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54</w:t>
                  </w:r>
                </w:p>
              </w:tc>
              <w:tc>
                <w:tcPr>
                  <w:tcW w:w="13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46</w:t>
                  </w:r>
                </w:p>
              </w:tc>
              <w:tc>
                <w:tcPr>
                  <w:tcW w:w="145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58</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158</w:t>
                  </w:r>
                </w:p>
              </w:tc>
            </w:tr>
            <w:tr w:rsidR="0082044A" w:rsidRPr="0082044A" w:rsidTr="0082044A">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CATANZARO</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23</w:t>
                  </w:r>
                </w:p>
              </w:tc>
              <w:tc>
                <w:tcPr>
                  <w:tcW w:w="13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23</w:t>
                  </w:r>
                </w:p>
              </w:tc>
              <w:tc>
                <w:tcPr>
                  <w:tcW w:w="145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40</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86</w:t>
                  </w:r>
                </w:p>
              </w:tc>
            </w:tr>
            <w:tr w:rsidR="0082044A" w:rsidRPr="0082044A" w:rsidTr="0082044A">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lastRenderedPageBreak/>
                    <w:t>FIRENZE</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37</w:t>
                  </w:r>
                </w:p>
              </w:tc>
              <w:tc>
                <w:tcPr>
                  <w:tcW w:w="13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33</w:t>
                  </w:r>
                </w:p>
              </w:tc>
              <w:tc>
                <w:tcPr>
                  <w:tcW w:w="145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55</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125</w:t>
                  </w:r>
                </w:p>
              </w:tc>
            </w:tr>
            <w:tr w:rsidR="0082044A" w:rsidRPr="0082044A" w:rsidTr="0082044A">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GENOVA</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15</w:t>
                  </w:r>
                </w:p>
              </w:tc>
              <w:tc>
                <w:tcPr>
                  <w:tcW w:w="13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8</w:t>
                  </w:r>
                </w:p>
              </w:tc>
              <w:tc>
                <w:tcPr>
                  <w:tcW w:w="145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23</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46</w:t>
                  </w:r>
                </w:p>
              </w:tc>
            </w:tr>
            <w:tr w:rsidR="0082044A" w:rsidRPr="0082044A" w:rsidTr="0082044A">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L'AQUILA</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9</w:t>
                  </w:r>
                </w:p>
              </w:tc>
              <w:tc>
                <w:tcPr>
                  <w:tcW w:w="13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6</w:t>
                  </w:r>
                </w:p>
              </w:tc>
              <w:tc>
                <w:tcPr>
                  <w:tcW w:w="145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29</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44</w:t>
                  </w:r>
                </w:p>
              </w:tc>
            </w:tr>
            <w:tr w:rsidR="0082044A" w:rsidRPr="0082044A" w:rsidTr="0082044A">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LATINA</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8</w:t>
                  </w:r>
                </w:p>
              </w:tc>
              <w:tc>
                <w:tcPr>
                  <w:tcW w:w="13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8</w:t>
                  </w:r>
                </w:p>
              </w:tc>
              <w:tc>
                <w:tcPr>
                  <w:tcW w:w="145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26</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42</w:t>
                  </w:r>
                </w:p>
              </w:tc>
            </w:tr>
            <w:tr w:rsidR="0082044A" w:rsidRPr="0082044A" w:rsidTr="0082044A">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LECCE</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45</w:t>
                  </w:r>
                </w:p>
              </w:tc>
              <w:tc>
                <w:tcPr>
                  <w:tcW w:w="13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31</w:t>
                  </w:r>
                </w:p>
              </w:tc>
              <w:tc>
                <w:tcPr>
                  <w:tcW w:w="145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45</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121</w:t>
                  </w:r>
                </w:p>
              </w:tc>
            </w:tr>
            <w:tr w:rsidR="0082044A" w:rsidRPr="0082044A" w:rsidTr="0082044A">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MILANO</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77</w:t>
                  </w:r>
                </w:p>
              </w:tc>
              <w:tc>
                <w:tcPr>
                  <w:tcW w:w="13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48</w:t>
                  </w:r>
                </w:p>
              </w:tc>
              <w:tc>
                <w:tcPr>
                  <w:tcW w:w="145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176</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301</w:t>
                  </w:r>
                </w:p>
              </w:tc>
            </w:tr>
            <w:tr w:rsidR="0082044A" w:rsidRPr="0082044A" w:rsidTr="0082044A">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NAPOLI</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110</w:t>
                  </w:r>
                </w:p>
              </w:tc>
              <w:tc>
                <w:tcPr>
                  <w:tcW w:w="13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74</w:t>
                  </w:r>
                </w:p>
              </w:tc>
              <w:tc>
                <w:tcPr>
                  <w:tcW w:w="145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233</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417</w:t>
                  </w:r>
                </w:p>
              </w:tc>
            </w:tr>
            <w:tr w:rsidR="0082044A" w:rsidRPr="0082044A" w:rsidTr="0082044A">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PALERMO</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30</w:t>
                  </w:r>
                </w:p>
              </w:tc>
              <w:tc>
                <w:tcPr>
                  <w:tcW w:w="13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43</w:t>
                  </w:r>
                </w:p>
              </w:tc>
              <w:tc>
                <w:tcPr>
                  <w:tcW w:w="145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57</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130</w:t>
                  </w:r>
                </w:p>
              </w:tc>
            </w:tr>
            <w:tr w:rsidR="0082044A" w:rsidRPr="0082044A" w:rsidTr="0082044A">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PARMA</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4</w:t>
                  </w:r>
                </w:p>
              </w:tc>
              <w:tc>
                <w:tcPr>
                  <w:tcW w:w="13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6</w:t>
                  </w:r>
                </w:p>
              </w:tc>
              <w:tc>
                <w:tcPr>
                  <w:tcW w:w="145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10</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20</w:t>
                  </w:r>
                </w:p>
              </w:tc>
            </w:tr>
            <w:tr w:rsidR="0082044A" w:rsidRPr="0082044A" w:rsidTr="0082044A">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PERUGIA</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15</w:t>
                  </w:r>
                </w:p>
              </w:tc>
              <w:tc>
                <w:tcPr>
                  <w:tcW w:w="13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6</w:t>
                  </w:r>
                </w:p>
              </w:tc>
              <w:tc>
                <w:tcPr>
                  <w:tcW w:w="145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12</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33</w:t>
                  </w:r>
                </w:p>
              </w:tc>
            </w:tr>
            <w:tr w:rsidR="0082044A" w:rsidRPr="0082044A" w:rsidTr="0082044A">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PESCARA</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12</w:t>
                  </w:r>
                </w:p>
              </w:tc>
              <w:tc>
                <w:tcPr>
                  <w:tcW w:w="13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13</w:t>
                  </w:r>
                </w:p>
              </w:tc>
              <w:tc>
                <w:tcPr>
                  <w:tcW w:w="145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20</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45</w:t>
                  </w:r>
                </w:p>
              </w:tc>
            </w:tr>
            <w:tr w:rsidR="0082044A" w:rsidRPr="0082044A" w:rsidTr="0082044A">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POTENZA</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15</w:t>
                  </w:r>
                </w:p>
              </w:tc>
              <w:tc>
                <w:tcPr>
                  <w:tcW w:w="13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19</w:t>
                  </w:r>
                </w:p>
              </w:tc>
              <w:tc>
                <w:tcPr>
                  <w:tcW w:w="145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17</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51</w:t>
                  </w:r>
                </w:p>
              </w:tc>
            </w:tr>
            <w:tr w:rsidR="0082044A" w:rsidRPr="0082044A" w:rsidTr="0082044A">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REGGIO C.</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13</w:t>
                  </w:r>
                </w:p>
              </w:tc>
              <w:tc>
                <w:tcPr>
                  <w:tcW w:w="13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13</w:t>
                  </w:r>
                </w:p>
              </w:tc>
              <w:tc>
                <w:tcPr>
                  <w:tcW w:w="145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18</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44</w:t>
                  </w:r>
                </w:p>
              </w:tc>
            </w:tr>
            <w:tr w:rsidR="0082044A" w:rsidRPr="0082044A" w:rsidTr="0082044A">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ROMA</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140</w:t>
                  </w:r>
                </w:p>
              </w:tc>
              <w:tc>
                <w:tcPr>
                  <w:tcW w:w="13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76</w:t>
                  </w:r>
                </w:p>
              </w:tc>
              <w:tc>
                <w:tcPr>
                  <w:tcW w:w="145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253</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469</w:t>
                  </w:r>
                </w:p>
              </w:tc>
            </w:tr>
            <w:tr w:rsidR="0082044A" w:rsidRPr="0082044A" w:rsidTr="0082044A">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SALERNO</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38</w:t>
                  </w:r>
                </w:p>
              </w:tc>
              <w:tc>
                <w:tcPr>
                  <w:tcW w:w="13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52</w:t>
                  </w:r>
                </w:p>
              </w:tc>
              <w:tc>
                <w:tcPr>
                  <w:tcW w:w="145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76</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166</w:t>
                  </w:r>
                </w:p>
              </w:tc>
            </w:tr>
            <w:tr w:rsidR="0082044A" w:rsidRPr="0082044A" w:rsidTr="0082044A">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TORINO</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24</w:t>
                  </w:r>
                </w:p>
              </w:tc>
              <w:tc>
                <w:tcPr>
                  <w:tcW w:w="13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30</w:t>
                  </w:r>
                </w:p>
              </w:tc>
              <w:tc>
                <w:tcPr>
                  <w:tcW w:w="145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63</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117</w:t>
                  </w:r>
                </w:p>
              </w:tc>
            </w:tr>
            <w:tr w:rsidR="0082044A" w:rsidRPr="0082044A" w:rsidTr="0082044A">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TRENTO</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7</w:t>
                  </w:r>
                </w:p>
              </w:tc>
              <w:tc>
                <w:tcPr>
                  <w:tcW w:w="13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w:t>
                  </w:r>
                </w:p>
              </w:tc>
              <w:tc>
                <w:tcPr>
                  <w:tcW w:w="145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15</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23</w:t>
                  </w:r>
                </w:p>
              </w:tc>
            </w:tr>
            <w:tr w:rsidR="0082044A" w:rsidRPr="0082044A" w:rsidTr="0082044A">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TRIESTE</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6</w:t>
                  </w:r>
                </w:p>
              </w:tc>
              <w:tc>
                <w:tcPr>
                  <w:tcW w:w="13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10</w:t>
                  </w:r>
                </w:p>
              </w:tc>
              <w:tc>
                <w:tcPr>
                  <w:tcW w:w="145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21</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37</w:t>
                  </w:r>
                </w:p>
              </w:tc>
            </w:tr>
            <w:tr w:rsidR="0082044A" w:rsidRPr="0082044A" w:rsidTr="0082044A">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VENEZIA</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34</w:t>
                  </w:r>
                </w:p>
              </w:tc>
              <w:tc>
                <w:tcPr>
                  <w:tcW w:w="13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32</w:t>
                  </w:r>
                </w:p>
              </w:tc>
              <w:tc>
                <w:tcPr>
                  <w:tcW w:w="145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64</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130</w:t>
                  </w:r>
                </w:p>
              </w:tc>
            </w:tr>
            <w:tr w:rsidR="0082044A" w:rsidRPr="0082044A" w:rsidTr="0082044A">
              <w:trPr>
                <w:trHeight w:val="300"/>
              </w:trPr>
              <w:tc>
                <w:tcPr>
                  <w:tcW w:w="2622" w:type="dxa"/>
                  <w:tcBorders>
                    <w:top w:val="nil"/>
                    <w:left w:val="single" w:sz="4" w:space="0" w:color="auto"/>
                    <w:bottom w:val="single" w:sz="4" w:space="0" w:color="auto"/>
                    <w:right w:val="single" w:sz="4" w:space="0" w:color="auto"/>
                  </w:tcBorders>
                  <w:shd w:val="clear" w:color="auto" w:fill="auto"/>
                  <w:vAlign w:val="center"/>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TOTALE Depositi per fascia</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871</w:t>
                  </w:r>
                </w:p>
              </w:tc>
              <w:tc>
                <w:tcPr>
                  <w:tcW w:w="13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700</w:t>
                  </w:r>
                </w:p>
              </w:tc>
              <w:tc>
                <w:tcPr>
                  <w:tcW w:w="145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1.565</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lang w:eastAsia="it-IT"/>
                    </w:rPr>
                    <w:t>3.136</w:t>
                  </w:r>
                </w:p>
              </w:tc>
            </w:tr>
          </w:tbl>
          <w:p w:rsidR="0082044A" w:rsidRPr="0082044A" w:rsidRDefault="0082044A" w:rsidP="0082044A">
            <w:pPr>
              <w:spacing w:after="0" w:line="240" w:lineRule="auto"/>
              <w:rPr>
                <w:rFonts w:ascii="Calibri" w:eastAsia="Calibri" w:hAnsi="Calibri" w:cs="Calibri"/>
                <w:color w:val="212121"/>
                <w:lang w:eastAsia="it-IT"/>
              </w:rPr>
            </w:pPr>
          </w:p>
          <w:p w:rsidR="0082044A" w:rsidRPr="0082044A" w:rsidRDefault="0082044A" w:rsidP="0082044A">
            <w:pPr>
              <w:spacing w:after="0" w:line="240" w:lineRule="auto"/>
              <w:rPr>
                <w:rFonts w:ascii="Calibri" w:eastAsia="Calibri" w:hAnsi="Calibri" w:cs="Calibri"/>
                <w:color w:val="212121"/>
                <w:lang w:eastAsia="it-IT"/>
              </w:rPr>
            </w:pPr>
            <w:r w:rsidRPr="0082044A">
              <w:rPr>
                <w:rFonts w:ascii="Calibri" w:eastAsia="Calibri" w:hAnsi="Calibri" w:cs="Calibri"/>
                <w:color w:val="212121"/>
                <w:lang w:eastAsia="it-IT"/>
              </w:rPr>
              <w:t>Anno 2016 (ordinanze depositate)</w:t>
            </w:r>
          </w:p>
          <w:tbl>
            <w:tblPr>
              <w:tblW w:w="8009" w:type="dxa"/>
              <w:tblCellMar>
                <w:left w:w="70" w:type="dxa"/>
                <w:right w:w="70" w:type="dxa"/>
              </w:tblCellMar>
              <w:tblLook w:val="04A0" w:firstRow="1" w:lastRow="0" w:firstColumn="1" w:lastColumn="0" w:noHBand="0" w:noVBand="1"/>
            </w:tblPr>
            <w:tblGrid>
              <w:gridCol w:w="2600"/>
              <w:gridCol w:w="978"/>
              <w:gridCol w:w="1312"/>
              <w:gridCol w:w="1418"/>
              <w:gridCol w:w="1701"/>
            </w:tblGrid>
            <w:tr w:rsidR="0082044A" w:rsidRPr="0082044A" w:rsidTr="0082044A">
              <w:trPr>
                <w:trHeight w:val="300"/>
              </w:trPr>
              <w:tc>
                <w:tcPr>
                  <w:tcW w:w="260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SEDE</w:t>
                  </w:r>
                </w:p>
              </w:tc>
              <w:tc>
                <w:tcPr>
                  <w:tcW w:w="978" w:type="dxa"/>
                  <w:tcBorders>
                    <w:top w:val="single" w:sz="4" w:space="0" w:color="auto"/>
                    <w:left w:val="nil"/>
                    <w:bottom w:val="single" w:sz="4" w:space="0" w:color="auto"/>
                    <w:right w:val="single" w:sz="4" w:space="0" w:color="auto"/>
                  </w:tcBorders>
                  <w:shd w:val="clear" w:color="000000" w:fill="DDEBF7"/>
                  <w:noWrap/>
                  <w:vAlign w:val="center"/>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≤200.000</w:t>
                  </w:r>
                </w:p>
              </w:tc>
              <w:tc>
                <w:tcPr>
                  <w:tcW w:w="1312" w:type="dxa"/>
                  <w:tcBorders>
                    <w:top w:val="single" w:sz="4" w:space="0" w:color="auto"/>
                    <w:left w:val="nil"/>
                    <w:bottom w:val="single" w:sz="4" w:space="0" w:color="auto"/>
                    <w:right w:val="single" w:sz="4" w:space="0" w:color="auto"/>
                  </w:tcBorders>
                  <w:shd w:val="clear" w:color="000000" w:fill="DDEBF7"/>
                  <w:noWrap/>
                  <w:vAlign w:val="center"/>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 xml:space="preserve"> &gt;200.000 </w:t>
                  </w:r>
                </w:p>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 1milione</w:t>
                  </w:r>
                </w:p>
              </w:tc>
              <w:tc>
                <w:tcPr>
                  <w:tcW w:w="1418" w:type="dxa"/>
                  <w:tcBorders>
                    <w:top w:val="single" w:sz="4" w:space="0" w:color="auto"/>
                    <w:left w:val="nil"/>
                    <w:bottom w:val="single" w:sz="4" w:space="0" w:color="auto"/>
                    <w:right w:val="single" w:sz="4" w:space="0" w:color="auto"/>
                  </w:tcBorders>
                  <w:shd w:val="clear" w:color="000000" w:fill="DDEBF7"/>
                  <w:noWrap/>
                  <w:vAlign w:val="center"/>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 xml:space="preserve"> &gt;1milione</w:t>
                  </w:r>
                </w:p>
              </w:tc>
              <w:tc>
                <w:tcPr>
                  <w:tcW w:w="1701" w:type="dxa"/>
                  <w:tcBorders>
                    <w:top w:val="single" w:sz="4" w:space="0" w:color="auto"/>
                    <w:left w:val="nil"/>
                    <w:bottom w:val="single" w:sz="4" w:space="0" w:color="auto"/>
                    <w:right w:val="single" w:sz="4" w:space="0" w:color="auto"/>
                  </w:tcBorders>
                  <w:shd w:val="clear" w:color="000000" w:fill="DDEBF7"/>
                  <w:vAlign w:val="center"/>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TOTALE Depositi per Sede</w:t>
                  </w:r>
                </w:p>
              </w:tc>
            </w:tr>
            <w:tr w:rsidR="0082044A" w:rsidRPr="0082044A" w:rsidTr="0082044A">
              <w:trPr>
                <w:trHeight w:val="300"/>
              </w:trPr>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ANCONA</w:t>
                  </w:r>
                </w:p>
              </w:tc>
              <w:tc>
                <w:tcPr>
                  <w:tcW w:w="978"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10</w:t>
                  </w:r>
                </w:p>
              </w:tc>
              <w:tc>
                <w:tcPr>
                  <w:tcW w:w="131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13</w:t>
                  </w:r>
                </w:p>
              </w:tc>
              <w:tc>
                <w:tcPr>
                  <w:tcW w:w="141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26</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49</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AOSTA</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7</w:t>
                  </w:r>
                </w:p>
              </w:tc>
              <w:tc>
                <w:tcPr>
                  <w:tcW w:w="131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w:t>
                  </w:r>
                </w:p>
              </w:tc>
              <w:tc>
                <w:tcPr>
                  <w:tcW w:w="141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11</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BARI</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34</w:t>
                  </w:r>
                </w:p>
              </w:tc>
              <w:tc>
                <w:tcPr>
                  <w:tcW w:w="131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41</w:t>
                  </w:r>
                </w:p>
              </w:tc>
              <w:tc>
                <w:tcPr>
                  <w:tcW w:w="141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73</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148</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BOLOGNA</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28</w:t>
                  </w:r>
                </w:p>
              </w:tc>
              <w:tc>
                <w:tcPr>
                  <w:tcW w:w="131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19</w:t>
                  </w:r>
                </w:p>
              </w:tc>
              <w:tc>
                <w:tcPr>
                  <w:tcW w:w="141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57</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104</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BOLZANO</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w:t>
                  </w:r>
                </w:p>
              </w:tc>
              <w:tc>
                <w:tcPr>
                  <w:tcW w:w="131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7</w:t>
                  </w:r>
                </w:p>
              </w:tc>
              <w:tc>
                <w:tcPr>
                  <w:tcW w:w="141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7</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16</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BRESCIA</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15</w:t>
                  </w:r>
                </w:p>
              </w:tc>
              <w:tc>
                <w:tcPr>
                  <w:tcW w:w="131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12</w:t>
                  </w:r>
                </w:p>
              </w:tc>
              <w:tc>
                <w:tcPr>
                  <w:tcW w:w="141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23</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50</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CAGLIARI</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22</w:t>
                  </w:r>
                </w:p>
              </w:tc>
              <w:tc>
                <w:tcPr>
                  <w:tcW w:w="131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30</w:t>
                  </w:r>
                </w:p>
              </w:tc>
              <w:tc>
                <w:tcPr>
                  <w:tcW w:w="141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50</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102</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CAMPOBASSO</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9</w:t>
                  </w:r>
                </w:p>
              </w:tc>
              <w:tc>
                <w:tcPr>
                  <w:tcW w:w="131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4</w:t>
                  </w:r>
                </w:p>
              </w:tc>
              <w:tc>
                <w:tcPr>
                  <w:tcW w:w="141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6</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19</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CATANIA</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56</w:t>
                  </w:r>
                </w:p>
              </w:tc>
              <w:tc>
                <w:tcPr>
                  <w:tcW w:w="131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45</w:t>
                  </w:r>
                </w:p>
              </w:tc>
              <w:tc>
                <w:tcPr>
                  <w:tcW w:w="141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58</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159</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CATANZARO</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23</w:t>
                  </w:r>
                </w:p>
              </w:tc>
              <w:tc>
                <w:tcPr>
                  <w:tcW w:w="131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31</w:t>
                  </w:r>
                </w:p>
              </w:tc>
              <w:tc>
                <w:tcPr>
                  <w:tcW w:w="141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34</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88</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FIRENZE</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27</w:t>
                  </w:r>
                </w:p>
              </w:tc>
              <w:tc>
                <w:tcPr>
                  <w:tcW w:w="131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26</w:t>
                  </w:r>
                </w:p>
              </w:tc>
              <w:tc>
                <w:tcPr>
                  <w:tcW w:w="141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74</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127</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GENOVA</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22</w:t>
                  </w:r>
                </w:p>
              </w:tc>
              <w:tc>
                <w:tcPr>
                  <w:tcW w:w="131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14</w:t>
                  </w:r>
                </w:p>
              </w:tc>
              <w:tc>
                <w:tcPr>
                  <w:tcW w:w="141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22</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58</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L'AQUILA</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8</w:t>
                  </w:r>
                </w:p>
              </w:tc>
              <w:tc>
                <w:tcPr>
                  <w:tcW w:w="131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11</w:t>
                  </w:r>
                </w:p>
              </w:tc>
              <w:tc>
                <w:tcPr>
                  <w:tcW w:w="141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33</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52</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LATINA</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15</w:t>
                  </w:r>
                </w:p>
              </w:tc>
              <w:tc>
                <w:tcPr>
                  <w:tcW w:w="131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7</w:t>
                  </w:r>
                </w:p>
              </w:tc>
              <w:tc>
                <w:tcPr>
                  <w:tcW w:w="141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15</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37</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LECCE</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42</w:t>
                  </w:r>
                </w:p>
              </w:tc>
              <w:tc>
                <w:tcPr>
                  <w:tcW w:w="131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33</w:t>
                  </w:r>
                </w:p>
              </w:tc>
              <w:tc>
                <w:tcPr>
                  <w:tcW w:w="141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42</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117</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MILANO</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45</w:t>
                  </w:r>
                </w:p>
              </w:tc>
              <w:tc>
                <w:tcPr>
                  <w:tcW w:w="131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61</w:t>
                  </w:r>
                </w:p>
              </w:tc>
              <w:tc>
                <w:tcPr>
                  <w:tcW w:w="141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151</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257</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NAPOLI</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95</w:t>
                  </w:r>
                </w:p>
              </w:tc>
              <w:tc>
                <w:tcPr>
                  <w:tcW w:w="131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41</w:t>
                  </w:r>
                </w:p>
              </w:tc>
              <w:tc>
                <w:tcPr>
                  <w:tcW w:w="141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131</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267</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PALERMO</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39</w:t>
                  </w:r>
                </w:p>
              </w:tc>
              <w:tc>
                <w:tcPr>
                  <w:tcW w:w="131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40</w:t>
                  </w:r>
                </w:p>
              </w:tc>
              <w:tc>
                <w:tcPr>
                  <w:tcW w:w="141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50</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129</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PARMA</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3</w:t>
                  </w:r>
                </w:p>
              </w:tc>
              <w:tc>
                <w:tcPr>
                  <w:tcW w:w="131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3</w:t>
                  </w:r>
                </w:p>
              </w:tc>
              <w:tc>
                <w:tcPr>
                  <w:tcW w:w="141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15</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21</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PERUGIA</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7</w:t>
                  </w:r>
                </w:p>
              </w:tc>
              <w:tc>
                <w:tcPr>
                  <w:tcW w:w="131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10</w:t>
                  </w:r>
                </w:p>
              </w:tc>
              <w:tc>
                <w:tcPr>
                  <w:tcW w:w="141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15</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32</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PESCARA</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11</w:t>
                  </w:r>
                </w:p>
              </w:tc>
              <w:tc>
                <w:tcPr>
                  <w:tcW w:w="131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12</w:t>
                  </w:r>
                </w:p>
              </w:tc>
              <w:tc>
                <w:tcPr>
                  <w:tcW w:w="141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35</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58</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POTENZA</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23</w:t>
                  </w:r>
                </w:p>
              </w:tc>
              <w:tc>
                <w:tcPr>
                  <w:tcW w:w="131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15</w:t>
                  </w:r>
                </w:p>
              </w:tc>
              <w:tc>
                <w:tcPr>
                  <w:tcW w:w="141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25</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63</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lastRenderedPageBreak/>
                    <w:t>REGGIO C.</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7</w:t>
                  </w:r>
                </w:p>
              </w:tc>
              <w:tc>
                <w:tcPr>
                  <w:tcW w:w="131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5</w:t>
                  </w:r>
                </w:p>
              </w:tc>
              <w:tc>
                <w:tcPr>
                  <w:tcW w:w="141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14</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26</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ROMA</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113</w:t>
                  </w:r>
                </w:p>
              </w:tc>
              <w:tc>
                <w:tcPr>
                  <w:tcW w:w="131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65</w:t>
                  </w:r>
                </w:p>
              </w:tc>
              <w:tc>
                <w:tcPr>
                  <w:tcW w:w="141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289</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467</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SALERNO</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36</w:t>
                  </w:r>
                </w:p>
              </w:tc>
              <w:tc>
                <w:tcPr>
                  <w:tcW w:w="131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23</w:t>
                  </w:r>
                </w:p>
              </w:tc>
              <w:tc>
                <w:tcPr>
                  <w:tcW w:w="141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45</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104</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TORINO</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30</w:t>
                  </w:r>
                </w:p>
              </w:tc>
              <w:tc>
                <w:tcPr>
                  <w:tcW w:w="131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33</w:t>
                  </w:r>
                </w:p>
              </w:tc>
              <w:tc>
                <w:tcPr>
                  <w:tcW w:w="141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66</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129</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TRENTO</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7</w:t>
                  </w:r>
                </w:p>
              </w:tc>
              <w:tc>
                <w:tcPr>
                  <w:tcW w:w="131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5</w:t>
                  </w:r>
                </w:p>
              </w:tc>
              <w:tc>
                <w:tcPr>
                  <w:tcW w:w="141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21</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33</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TRIESTE</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9</w:t>
                  </w:r>
                </w:p>
              </w:tc>
              <w:tc>
                <w:tcPr>
                  <w:tcW w:w="131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19</w:t>
                  </w:r>
                </w:p>
              </w:tc>
              <w:tc>
                <w:tcPr>
                  <w:tcW w:w="141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19</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47</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VENEZIA</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38</w:t>
                  </w:r>
                </w:p>
              </w:tc>
              <w:tc>
                <w:tcPr>
                  <w:tcW w:w="131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30</w:t>
                  </w:r>
                </w:p>
              </w:tc>
              <w:tc>
                <w:tcPr>
                  <w:tcW w:w="141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80</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148</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TOTALE Depositi per fascia</w:t>
                  </w:r>
                </w:p>
              </w:tc>
              <w:tc>
                <w:tcPr>
                  <w:tcW w:w="97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783</w:t>
                  </w:r>
                </w:p>
              </w:tc>
              <w:tc>
                <w:tcPr>
                  <w:tcW w:w="1312"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657</w:t>
                  </w:r>
                </w:p>
              </w:tc>
              <w:tc>
                <w:tcPr>
                  <w:tcW w:w="1418"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1.478</w:t>
                  </w:r>
                </w:p>
              </w:tc>
              <w:tc>
                <w:tcPr>
                  <w:tcW w:w="1701"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lang w:eastAsia="it-IT"/>
                    </w:rPr>
                    <w:t>2.918</w:t>
                  </w:r>
                </w:p>
              </w:tc>
            </w:tr>
          </w:tbl>
          <w:p w:rsidR="0082044A" w:rsidRPr="0082044A" w:rsidRDefault="0082044A" w:rsidP="0082044A">
            <w:pPr>
              <w:spacing w:after="0" w:line="240" w:lineRule="auto"/>
              <w:rPr>
                <w:rFonts w:ascii="Calibri" w:eastAsia="Calibri" w:hAnsi="Calibri" w:cs="Calibri"/>
                <w:color w:val="212121"/>
                <w:lang w:eastAsia="it-IT"/>
              </w:rPr>
            </w:pPr>
          </w:p>
          <w:p w:rsidR="0082044A" w:rsidRPr="0082044A" w:rsidRDefault="0082044A" w:rsidP="0082044A">
            <w:pPr>
              <w:spacing w:after="0" w:line="240" w:lineRule="auto"/>
              <w:rPr>
                <w:rFonts w:ascii="Calibri" w:eastAsia="Calibri" w:hAnsi="Calibri" w:cs="Calibri"/>
                <w:color w:val="1F497D"/>
                <w:lang w:eastAsia="it-IT"/>
              </w:rPr>
            </w:pPr>
          </w:p>
          <w:p w:rsidR="0082044A" w:rsidRPr="0082044A" w:rsidRDefault="0082044A" w:rsidP="0082044A">
            <w:pPr>
              <w:spacing w:after="0" w:line="240" w:lineRule="auto"/>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color w:val="212121"/>
                <w:sz w:val="24"/>
                <w:szCs w:val="24"/>
                <w:lang w:eastAsia="it-IT"/>
              </w:rPr>
              <w:t>Le ordinanze con tenore sospensivo disaggregate per fasce di importo dell’appalto sono descritte dalla tabella che segue:</w:t>
            </w:r>
          </w:p>
          <w:p w:rsidR="0082044A" w:rsidRPr="0082044A" w:rsidRDefault="0082044A" w:rsidP="0082044A">
            <w:pPr>
              <w:spacing w:after="0" w:line="240" w:lineRule="auto"/>
              <w:rPr>
                <w:rFonts w:ascii="Calibri" w:eastAsia="Calibri" w:hAnsi="Calibri" w:cs="Calibri"/>
                <w:color w:val="212121"/>
                <w:lang w:eastAsia="it-IT"/>
              </w:rPr>
            </w:pPr>
          </w:p>
          <w:p w:rsidR="0082044A" w:rsidRPr="0082044A" w:rsidRDefault="0082044A" w:rsidP="0082044A">
            <w:pPr>
              <w:spacing w:after="0" w:line="240" w:lineRule="auto"/>
              <w:rPr>
                <w:rFonts w:ascii="Calibri" w:eastAsia="Calibri" w:hAnsi="Calibri" w:cs="Calibri"/>
                <w:color w:val="212121"/>
                <w:lang w:eastAsia="it-IT"/>
              </w:rPr>
            </w:pPr>
            <w:r w:rsidRPr="0082044A">
              <w:rPr>
                <w:rFonts w:ascii="Calibri" w:eastAsia="Calibri" w:hAnsi="Calibri" w:cs="Calibri"/>
                <w:color w:val="212121"/>
                <w:lang w:eastAsia="it-IT"/>
              </w:rPr>
              <w:t>Anno 2015 (ordinanze sospensive)</w:t>
            </w:r>
          </w:p>
          <w:tbl>
            <w:tblPr>
              <w:tblW w:w="8009" w:type="dxa"/>
              <w:tblCellMar>
                <w:left w:w="70" w:type="dxa"/>
                <w:right w:w="70" w:type="dxa"/>
              </w:tblCellMar>
              <w:tblLook w:val="04A0" w:firstRow="1" w:lastRow="0" w:firstColumn="1" w:lastColumn="0" w:noHBand="0" w:noVBand="1"/>
            </w:tblPr>
            <w:tblGrid>
              <w:gridCol w:w="2600"/>
              <w:gridCol w:w="1087"/>
              <w:gridCol w:w="1203"/>
              <w:gridCol w:w="1276"/>
              <w:gridCol w:w="1843"/>
            </w:tblGrid>
            <w:tr w:rsidR="0082044A" w:rsidRPr="0082044A" w:rsidTr="0082044A">
              <w:trPr>
                <w:trHeight w:val="300"/>
              </w:trPr>
              <w:tc>
                <w:tcPr>
                  <w:tcW w:w="260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SEDE</w:t>
                  </w:r>
                </w:p>
              </w:tc>
              <w:tc>
                <w:tcPr>
                  <w:tcW w:w="1087" w:type="dxa"/>
                  <w:tcBorders>
                    <w:top w:val="single" w:sz="4" w:space="0" w:color="auto"/>
                    <w:left w:val="nil"/>
                    <w:bottom w:val="single" w:sz="4" w:space="0" w:color="auto"/>
                    <w:right w:val="single" w:sz="4" w:space="0" w:color="auto"/>
                  </w:tcBorders>
                  <w:shd w:val="clear" w:color="000000" w:fill="DDEBF7"/>
                  <w:noWrap/>
                  <w:vAlign w:val="center"/>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≤200.000</w:t>
                  </w:r>
                </w:p>
              </w:tc>
              <w:tc>
                <w:tcPr>
                  <w:tcW w:w="1203" w:type="dxa"/>
                  <w:tcBorders>
                    <w:top w:val="single" w:sz="4" w:space="0" w:color="auto"/>
                    <w:left w:val="nil"/>
                    <w:bottom w:val="single" w:sz="4" w:space="0" w:color="auto"/>
                    <w:right w:val="single" w:sz="4" w:space="0" w:color="auto"/>
                  </w:tcBorders>
                  <w:shd w:val="clear" w:color="000000" w:fill="DDEBF7"/>
                  <w:noWrap/>
                  <w:vAlign w:val="center"/>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 xml:space="preserve"> &gt;200.000 </w:t>
                  </w:r>
                </w:p>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 1milione</w:t>
                  </w:r>
                </w:p>
              </w:tc>
              <w:tc>
                <w:tcPr>
                  <w:tcW w:w="1276" w:type="dxa"/>
                  <w:tcBorders>
                    <w:top w:val="single" w:sz="4" w:space="0" w:color="auto"/>
                    <w:left w:val="nil"/>
                    <w:bottom w:val="single" w:sz="4" w:space="0" w:color="auto"/>
                    <w:right w:val="single" w:sz="4" w:space="0" w:color="auto"/>
                  </w:tcBorders>
                  <w:shd w:val="clear" w:color="000000" w:fill="DDEBF7"/>
                  <w:noWrap/>
                  <w:vAlign w:val="center"/>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 xml:space="preserve"> &gt;1milione</w:t>
                  </w:r>
                </w:p>
              </w:tc>
              <w:tc>
                <w:tcPr>
                  <w:tcW w:w="1843" w:type="dxa"/>
                  <w:tcBorders>
                    <w:top w:val="single" w:sz="4" w:space="0" w:color="auto"/>
                    <w:left w:val="nil"/>
                    <w:bottom w:val="single" w:sz="4" w:space="0" w:color="auto"/>
                    <w:right w:val="single" w:sz="4" w:space="0" w:color="auto"/>
                  </w:tcBorders>
                  <w:shd w:val="clear" w:color="000000" w:fill="DDEBF7"/>
                  <w:vAlign w:val="center"/>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TOTALE Depositi per Sede</w:t>
                  </w:r>
                </w:p>
              </w:tc>
            </w:tr>
            <w:tr w:rsidR="0082044A" w:rsidRPr="0082044A" w:rsidTr="0082044A">
              <w:trPr>
                <w:trHeight w:val="300"/>
              </w:trPr>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ANCONA</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4</w:t>
                  </w:r>
                </w:p>
              </w:tc>
              <w:tc>
                <w:tcPr>
                  <w:tcW w:w="1203"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7</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17</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AOSTA</w:t>
                  </w:r>
                </w:p>
              </w:tc>
              <w:tc>
                <w:tcPr>
                  <w:tcW w:w="1087"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0</w:t>
                  </w:r>
                </w:p>
              </w:tc>
              <w:tc>
                <w:tcPr>
                  <w:tcW w:w="12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0</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BARI</w:t>
                  </w:r>
                </w:p>
              </w:tc>
              <w:tc>
                <w:tcPr>
                  <w:tcW w:w="1087"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5</w:t>
                  </w:r>
                </w:p>
              </w:tc>
              <w:tc>
                <w:tcPr>
                  <w:tcW w:w="12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16</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24</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45</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BOLOGNA</w:t>
                  </w:r>
                </w:p>
              </w:tc>
              <w:tc>
                <w:tcPr>
                  <w:tcW w:w="1087"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10</w:t>
                  </w:r>
                </w:p>
              </w:tc>
              <w:tc>
                <w:tcPr>
                  <w:tcW w:w="12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9</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20</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BOLZANO</w:t>
                  </w:r>
                </w:p>
              </w:tc>
              <w:tc>
                <w:tcPr>
                  <w:tcW w:w="1087"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0</w:t>
                  </w:r>
                </w:p>
              </w:tc>
              <w:tc>
                <w:tcPr>
                  <w:tcW w:w="12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4</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5</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9</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BRESCIA</w:t>
                  </w:r>
                </w:p>
              </w:tc>
              <w:tc>
                <w:tcPr>
                  <w:tcW w:w="1087"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7</w:t>
                  </w:r>
                </w:p>
              </w:tc>
              <w:tc>
                <w:tcPr>
                  <w:tcW w:w="12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7</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9</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23</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CAGLIARI</w:t>
                  </w:r>
                </w:p>
              </w:tc>
              <w:tc>
                <w:tcPr>
                  <w:tcW w:w="1087"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10</w:t>
                  </w:r>
                </w:p>
              </w:tc>
              <w:tc>
                <w:tcPr>
                  <w:tcW w:w="12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7</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19</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CAMPOBASSO</w:t>
                  </w:r>
                </w:p>
              </w:tc>
              <w:tc>
                <w:tcPr>
                  <w:tcW w:w="1087"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w:t>
                  </w:r>
                </w:p>
              </w:tc>
              <w:tc>
                <w:tcPr>
                  <w:tcW w:w="12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5</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CATANIA</w:t>
                  </w:r>
                </w:p>
              </w:tc>
              <w:tc>
                <w:tcPr>
                  <w:tcW w:w="1087"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21</w:t>
                  </w:r>
                </w:p>
              </w:tc>
              <w:tc>
                <w:tcPr>
                  <w:tcW w:w="12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16</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16</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53</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CATANZARO</w:t>
                  </w:r>
                </w:p>
              </w:tc>
              <w:tc>
                <w:tcPr>
                  <w:tcW w:w="1087"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4</w:t>
                  </w:r>
                </w:p>
              </w:tc>
              <w:tc>
                <w:tcPr>
                  <w:tcW w:w="12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8</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12</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24</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FIRENZE</w:t>
                  </w:r>
                </w:p>
              </w:tc>
              <w:tc>
                <w:tcPr>
                  <w:tcW w:w="1087"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8</w:t>
                  </w:r>
                </w:p>
              </w:tc>
              <w:tc>
                <w:tcPr>
                  <w:tcW w:w="12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15</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23</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46</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GENOVA</w:t>
                  </w:r>
                </w:p>
              </w:tc>
              <w:tc>
                <w:tcPr>
                  <w:tcW w:w="1087"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5</w:t>
                  </w:r>
                </w:p>
              </w:tc>
              <w:tc>
                <w:tcPr>
                  <w:tcW w:w="12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11</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17</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L'AQUILA</w:t>
                  </w:r>
                </w:p>
              </w:tc>
              <w:tc>
                <w:tcPr>
                  <w:tcW w:w="1087"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3</w:t>
                  </w:r>
                </w:p>
              </w:tc>
              <w:tc>
                <w:tcPr>
                  <w:tcW w:w="12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11</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15</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LATINA</w:t>
                  </w:r>
                </w:p>
              </w:tc>
              <w:tc>
                <w:tcPr>
                  <w:tcW w:w="1087"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4</w:t>
                  </w:r>
                </w:p>
              </w:tc>
              <w:tc>
                <w:tcPr>
                  <w:tcW w:w="12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15</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21</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LECCE</w:t>
                  </w:r>
                </w:p>
              </w:tc>
              <w:tc>
                <w:tcPr>
                  <w:tcW w:w="1087"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17</w:t>
                  </w:r>
                </w:p>
              </w:tc>
              <w:tc>
                <w:tcPr>
                  <w:tcW w:w="12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8</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11</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36</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MILANO</w:t>
                  </w:r>
                </w:p>
              </w:tc>
              <w:tc>
                <w:tcPr>
                  <w:tcW w:w="1087"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24</w:t>
                  </w:r>
                </w:p>
              </w:tc>
              <w:tc>
                <w:tcPr>
                  <w:tcW w:w="12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23</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53</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100</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NAPOLI</w:t>
                  </w:r>
                </w:p>
              </w:tc>
              <w:tc>
                <w:tcPr>
                  <w:tcW w:w="1087"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42</w:t>
                  </w:r>
                </w:p>
              </w:tc>
              <w:tc>
                <w:tcPr>
                  <w:tcW w:w="12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24</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69</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135</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PALERMO</w:t>
                  </w:r>
                </w:p>
              </w:tc>
              <w:tc>
                <w:tcPr>
                  <w:tcW w:w="1087"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6</w:t>
                  </w:r>
                </w:p>
              </w:tc>
              <w:tc>
                <w:tcPr>
                  <w:tcW w:w="12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19</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18</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43</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PARMA</w:t>
                  </w:r>
                </w:p>
              </w:tc>
              <w:tc>
                <w:tcPr>
                  <w:tcW w:w="1087"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w:t>
                  </w:r>
                </w:p>
              </w:tc>
              <w:tc>
                <w:tcPr>
                  <w:tcW w:w="12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3</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6</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PERUGIA</w:t>
                  </w:r>
                </w:p>
              </w:tc>
              <w:tc>
                <w:tcPr>
                  <w:tcW w:w="1087"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3</w:t>
                  </w:r>
                </w:p>
              </w:tc>
              <w:tc>
                <w:tcPr>
                  <w:tcW w:w="12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3</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7</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PESCARA</w:t>
                  </w:r>
                </w:p>
              </w:tc>
              <w:tc>
                <w:tcPr>
                  <w:tcW w:w="1087"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5</w:t>
                  </w:r>
                </w:p>
              </w:tc>
              <w:tc>
                <w:tcPr>
                  <w:tcW w:w="12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5</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12</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22</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POTENZA</w:t>
                  </w:r>
                </w:p>
              </w:tc>
              <w:tc>
                <w:tcPr>
                  <w:tcW w:w="1087"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5</w:t>
                  </w:r>
                </w:p>
              </w:tc>
              <w:tc>
                <w:tcPr>
                  <w:tcW w:w="12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12</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10</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27</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REGGIO C.</w:t>
                  </w:r>
                </w:p>
              </w:tc>
              <w:tc>
                <w:tcPr>
                  <w:tcW w:w="1087"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4</w:t>
                  </w:r>
                </w:p>
              </w:tc>
              <w:tc>
                <w:tcPr>
                  <w:tcW w:w="12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6</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9</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19</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ROMA</w:t>
                  </w:r>
                </w:p>
              </w:tc>
              <w:tc>
                <w:tcPr>
                  <w:tcW w:w="1087"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21</w:t>
                  </w:r>
                </w:p>
              </w:tc>
              <w:tc>
                <w:tcPr>
                  <w:tcW w:w="12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18</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56</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95</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SALERNO</w:t>
                  </w:r>
                </w:p>
              </w:tc>
              <w:tc>
                <w:tcPr>
                  <w:tcW w:w="1087"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15</w:t>
                  </w:r>
                </w:p>
              </w:tc>
              <w:tc>
                <w:tcPr>
                  <w:tcW w:w="12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21</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24</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60</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TORINO</w:t>
                  </w:r>
                </w:p>
              </w:tc>
              <w:tc>
                <w:tcPr>
                  <w:tcW w:w="1087"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9</w:t>
                  </w:r>
                </w:p>
              </w:tc>
              <w:tc>
                <w:tcPr>
                  <w:tcW w:w="12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11</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21</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41</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TRENTO</w:t>
                  </w:r>
                </w:p>
              </w:tc>
              <w:tc>
                <w:tcPr>
                  <w:tcW w:w="1087"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w:t>
                  </w:r>
                </w:p>
              </w:tc>
              <w:tc>
                <w:tcPr>
                  <w:tcW w:w="12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3</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5</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TRIESTE</w:t>
                  </w:r>
                </w:p>
              </w:tc>
              <w:tc>
                <w:tcPr>
                  <w:tcW w:w="1087"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4</w:t>
                  </w:r>
                </w:p>
              </w:tc>
              <w:tc>
                <w:tcPr>
                  <w:tcW w:w="12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8</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14</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VENEZIA</w:t>
                  </w:r>
                </w:p>
              </w:tc>
              <w:tc>
                <w:tcPr>
                  <w:tcW w:w="1087"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10</w:t>
                  </w:r>
                </w:p>
              </w:tc>
              <w:tc>
                <w:tcPr>
                  <w:tcW w:w="12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10</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14</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34</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TOTALE Depositi per fascia</w:t>
                  </w:r>
                </w:p>
              </w:tc>
              <w:tc>
                <w:tcPr>
                  <w:tcW w:w="1087"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250</w:t>
                  </w:r>
                </w:p>
              </w:tc>
              <w:tc>
                <w:tcPr>
                  <w:tcW w:w="120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246</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463</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lang w:eastAsia="it-IT"/>
                    </w:rPr>
                    <w:t>959</w:t>
                  </w:r>
                </w:p>
              </w:tc>
            </w:tr>
          </w:tbl>
          <w:p w:rsidR="0082044A" w:rsidRPr="0082044A" w:rsidRDefault="0082044A" w:rsidP="0082044A">
            <w:pPr>
              <w:spacing w:after="0" w:line="240" w:lineRule="auto"/>
              <w:rPr>
                <w:rFonts w:ascii="Calibri" w:eastAsia="Calibri" w:hAnsi="Calibri" w:cs="Calibri"/>
                <w:color w:val="1F497D"/>
                <w:lang w:eastAsia="it-IT"/>
              </w:rPr>
            </w:pPr>
          </w:p>
          <w:p w:rsidR="0082044A" w:rsidRPr="0082044A" w:rsidRDefault="0082044A" w:rsidP="0082044A">
            <w:pPr>
              <w:spacing w:after="0" w:line="240" w:lineRule="auto"/>
              <w:rPr>
                <w:rFonts w:ascii="Calibri" w:eastAsia="Calibri" w:hAnsi="Calibri" w:cs="Calibri"/>
                <w:color w:val="212121"/>
                <w:lang w:eastAsia="it-IT"/>
              </w:rPr>
            </w:pPr>
          </w:p>
          <w:p w:rsidR="0082044A" w:rsidRPr="0082044A" w:rsidRDefault="0082044A" w:rsidP="0082044A">
            <w:pPr>
              <w:spacing w:after="0" w:line="240" w:lineRule="auto"/>
              <w:rPr>
                <w:rFonts w:ascii="Calibri" w:eastAsia="Calibri" w:hAnsi="Calibri" w:cs="Calibri"/>
                <w:color w:val="212121"/>
                <w:lang w:eastAsia="it-IT"/>
              </w:rPr>
            </w:pPr>
            <w:r w:rsidRPr="0082044A">
              <w:rPr>
                <w:rFonts w:ascii="Calibri" w:eastAsia="Calibri" w:hAnsi="Calibri" w:cs="Calibri"/>
                <w:color w:val="212121"/>
                <w:lang w:eastAsia="it-IT"/>
              </w:rPr>
              <w:t>Anno 2016 (ordinanze sospensive)</w:t>
            </w:r>
          </w:p>
          <w:tbl>
            <w:tblPr>
              <w:tblW w:w="8009" w:type="dxa"/>
              <w:tblCellMar>
                <w:left w:w="70" w:type="dxa"/>
                <w:right w:w="70" w:type="dxa"/>
              </w:tblCellMar>
              <w:tblLook w:val="04A0" w:firstRow="1" w:lastRow="0" w:firstColumn="1" w:lastColumn="0" w:noHBand="0" w:noVBand="1"/>
            </w:tblPr>
            <w:tblGrid>
              <w:gridCol w:w="2600"/>
              <w:gridCol w:w="1156"/>
              <w:gridCol w:w="1134"/>
              <w:gridCol w:w="1276"/>
              <w:gridCol w:w="1843"/>
            </w:tblGrid>
            <w:tr w:rsidR="0082044A" w:rsidRPr="0082044A" w:rsidTr="0082044A">
              <w:trPr>
                <w:trHeight w:val="300"/>
              </w:trPr>
              <w:tc>
                <w:tcPr>
                  <w:tcW w:w="260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SEDE</w:t>
                  </w:r>
                </w:p>
              </w:tc>
              <w:tc>
                <w:tcPr>
                  <w:tcW w:w="1156" w:type="dxa"/>
                  <w:tcBorders>
                    <w:top w:val="single" w:sz="4" w:space="0" w:color="auto"/>
                    <w:left w:val="nil"/>
                    <w:bottom w:val="single" w:sz="4" w:space="0" w:color="auto"/>
                    <w:right w:val="single" w:sz="4" w:space="0" w:color="auto"/>
                  </w:tcBorders>
                  <w:shd w:val="clear" w:color="000000" w:fill="DDEBF7"/>
                  <w:noWrap/>
                  <w:vAlign w:val="center"/>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≤200.000</w:t>
                  </w:r>
                </w:p>
              </w:tc>
              <w:tc>
                <w:tcPr>
                  <w:tcW w:w="1134" w:type="dxa"/>
                  <w:tcBorders>
                    <w:top w:val="single" w:sz="4" w:space="0" w:color="auto"/>
                    <w:left w:val="nil"/>
                    <w:bottom w:val="single" w:sz="4" w:space="0" w:color="auto"/>
                    <w:right w:val="single" w:sz="4" w:space="0" w:color="auto"/>
                  </w:tcBorders>
                  <w:shd w:val="clear" w:color="000000" w:fill="DDEBF7"/>
                  <w:noWrap/>
                  <w:vAlign w:val="center"/>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 xml:space="preserve"> &gt;200.000 </w:t>
                  </w:r>
                </w:p>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 1milione</w:t>
                  </w:r>
                </w:p>
              </w:tc>
              <w:tc>
                <w:tcPr>
                  <w:tcW w:w="1276" w:type="dxa"/>
                  <w:tcBorders>
                    <w:top w:val="single" w:sz="4" w:space="0" w:color="auto"/>
                    <w:left w:val="nil"/>
                    <w:bottom w:val="single" w:sz="4" w:space="0" w:color="auto"/>
                    <w:right w:val="single" w:sz="4" w:space="0" w:color="auto"/>
                  </w:tcBorders>
                  <w:shd w:val="clear" w:color="000000" w:fill="DDEBF7"/>
                  <w:noWrap/>
                  <w:vAlign w:val="center"/>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 xml:space="preserve"> &gt;1milione</w:t>
                  </w:r>
                </w:p>
              </w:tc>
              <w:tc>
                <w:tcPr>
                  <w:tcW w:w="1843" w:type="dxa"/>
                  <w:tcBorders>
                    <w:top w:val="single" w:sz="4" w:space="0" w:color="auto"/>
                    <w:left w:val="nil"/>
                    <w:bottom w:val="single" w:sz="4" w:space="0" w:color="auto"/>
                    <w:right w:val="single" w:sz="4" w:space="0" w:color="auto"/>
                  </w:tcBorders>
                  <w:shd w:val="clear" w:color="000000" w:fill="DDEBF7"/>
                  <w:vAlign w:val="center"/>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TOTALE Depositi per Sede</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ANCONA</w:t>
                  </w:r>
                </w:p>
              </w:tc>
              <w:tc>
                <w:tcPr>
                  <w:tcW w:w="115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4</w:t>
                  </w:r>
                </w:p>
              </w:tc>
              <w:tc>
                <w:tcPr>
                  <w:tcW w:w="113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7</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10</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21</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AOSTA</w:t>
                  </w:r>
                </w:p>
              </w:tc>
              <w:tc>
                <w:tcPr>
                  <w:tcW w:w="115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w:t>
                  </w:r>
                </w:p>
              </w:tc>
              <w:tc>
                <w:tcPr>
                  <w:tcW w:w="113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0</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0</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BARI</w:t>
                  </w:r>
                </w:p>
              </w:tc>
              <w:tc>
                <w:tcPr>
                  <w:tcW w:w="115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11</w:t>
                  </w:r>
                </w:p>
              </w:tc>
              <w:tc>
                <w:tcPr>
                  <w:tcW w:w="113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11</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17</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39</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BOLOGNA</w:t>
                  </w:r>
                </w:p>
              </w:tc>
              <w:tc>
                <w:tcPr>
                  <w:tcW w:w="115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5</w:t>
                  </w:r>
                </w:p>
              </w:tc>
              <w:tc>
                <w:tcPr>
                  <w:tcW w:w="113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6</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13</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BOLZANO</w:t>
                  </w:r>
                </w:p>
              </w:tc>
              <w:tc>
                <w:tcPr>
                  <w:tcW w:w="115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0</w:t>
                  </w:r>
                </w:p>
              </w:tc>
              <w:tc>
                <w:tcPr>
                  <w:tcW w:w="113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2</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BRESCIA</w:t>
                  </w:r>
                </w:p>
              </w:tc>
              <w:tc>
                <w:tcPr>
                  <w:tcW w:w="115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6</w:t>
                  </w:r>
                </w:p>
              </w:tc>
              <w:tc>
                <w:tcPr>
                  <w:tcW w:w="113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3</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4</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13</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CAGLIARI</w:t>
                  </w:r>
                </w:p>
              </w:tc>
              <w:tc>
                <w:tcPr>
                  <w:tcW w:w="115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4</w:t>
                  </w:r>
                </w:p>
              </w:tc>
              <w:tc>
                <w:tcPr>
                  <w:tcW w:w="113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7</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11</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22</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CAMPOBASSO</w:t>
                  </w:r>
                </w:p>
              </w:tc>
              <w:tc>
                <w:tcPr>
                  <w:tcW w:w="115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w:t>
                  </w:r>
                </w:p>
              </w:tc>
              <w:tc>
                <w:tcPr>
                  <w:tcW w:w="113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3</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6</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CATANIA</w:t>
                  </w:r>
                </w:p>
              </w:tc>
              <w:tc>
                <w:tcPr>
                  <w:tcW w:w="115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27</w:t>
                  </w:r>
                </w:p>
              </w:tc>
              <w:tc>
                <w:tcPr>
                  <w:tcW w:w="113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13</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15</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55</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CATANZARO</w:t>
                  </w:r>
                </w:p>
              </w:tc>
              <w:tc>
                <w:tcPr>
                  <w:tcW w:w="115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6</w:t>
                  </w:r>
                </w:p>
              </w:tc>
              <w:tc>
                <w:tcPr>
                  <w:tcW w:w="113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8</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12</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26</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FIRENZE</w:t>
                  </w:r>
                </w:p>
              </w:tc>
              <w:tc>
                <w:tcPr>
                  <w:tcW w:w="115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8</w:t>
                  </w:r>
                </w:p>
              </w:tc>
              <w:tc>
                <w:tcPr>
                  <w:tcW w:w="113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7</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26</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41</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GENOVA</w:t>
                  </w:r>
                </w:p>
              </w:tc>
              <w:tc>
                <w:tcPr>
                  <w:tcW w:w="115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4</w:t>
                  </w:r>
                </w:p>
              </w:tc>
              <w:tc>
                <w:tcPr>
                  <w:tcW w:w="113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4</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8</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16</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L'AQUILA</w:t>
                  </w:r>
                </w:p>
              </w:tc>
              <w:tc>
                <w:tcPr>
                  <w:tcW w:w="115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w:t>
                  </w:r>
                </w:p>
              </w:tc>
              <w:tc>
                <w:tcPr>
                  <w:tcW w:w="113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9</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13</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LATINA</w:t>
                  </w:r>
                </w:p>
              </w:tc>
              <w:tc>
                <w:tcPr>
                  <w:tcW w:w="115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4</w:t>
                  </w:r>
                </w:p>
              </w:tc>
              <w:tc>
                <w:tcPr>
                  <w:tcW w:w="113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3</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4</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11</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LECCE</w:t>
                  </w:r>
                </w:p>
              </w:tc>
              <w:tc>
                <w:tcPr>
                  <w:tcW w:w="115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16</w:t>
                  </w:r>
                </w:p>
              </w:tc>
              <w:tc>
                <w:tcPr>
                  <w:tcW w:w="113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16</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15</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47</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MILANO</w:t>
                  </w:r>
                </w:p>
              </w:tc>
              <w:tc>
                <w:tcPr>
                  <w:tcW w:w="115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12</w:t>
                  </w:r>
                </w:p>
              </w:tc>
              <w:tc>
                <w:tcPr>
                  <w:tcW w:w="113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20</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31</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63</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NAPOLI</w:t>
                  </w:r>
                </w:p>
              </w:tc>
              <w:tc>
                <w:tcPr>
                  <w:tcW w:w="115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27</w:t>
                  </w:r>
                </w:p>
              </w:tc>
              <w:tc>
                <w:tcPr>
                  <w:tcW w:w="113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14</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42</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83</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PALERMO</w:t>
                  </w:r>
                </w:p>
              </w:tc>
              <w:tc>
                <w:tcPr>
                  <w:tcW w:w="115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11</w:t>
                  </w:r>
                </w:p>
              </w:tc>
              <w:tc>
                <w:tcPr>
                  <w:tcW w:w="113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10</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18</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39</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PARMA</w:t>
                  </w:r>
                </w:p>
              </w:tc>
              <w:tc>
                <w:tcPr>
                  <w:tcW w:w="115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w:t>
                  </w:r>
                </w:p>
              </w:tc>
              <w:tc>
                <w:tcPr>
                  <w:tcW w:w="113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5</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PERUGIA</w:t>
                  </w:r>
                </w:p>
              </w:tc>
              <w:tc>
                <w:tcPr>
                  <w:tcW w:w="115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4</w:t>
                  </w:r>
                </w:p>
              </w:tc>
              <w:tc>
                <w:tcPr>
                  <w:tcW w:w="113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7</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PESCARA</w:t>
                  </w:r>
                </w:p>
              </w:tc>
              <w:tc>
                <w:tcPr>
                  <w:tcW w:w="115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5</w:t>
                  </w:r>
                </w:p>
              </w:tc>
              <w:tc>
                <w:tcPr>
                  <w:tcW w:w="113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7</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18</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30</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POTENZA</w:t>
                  </w:r>
                </w:p>
              </w:tc>
              <w:tc>
                <w:tcPr>
                  <w:tcW w:w="115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6</w:t>
                  </w:r>
                </w:p>
              </w:tc>
              <w:tc>
                <w:tcPr>
                  <w:tcW w:w="113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6</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13</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REGGIO C.</w:t>
                  </w:r>
                </w:p>
              </w:tc>
              <w:tc>
                <w:tcPr>
                  <w:tcW w:w="115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3</w:t>
                  </w:r>
                </w:p>
              </w:tc>
              <w:tc>
                <w:tcPr>
                  <w:tcW w:w="113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0</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3</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6</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ROMA</w:t>
                  </w:r>
                </w:p>
              </w:tc>
              <w:tc>
                <w:tcPr>
                  <w:tcW w:w="115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22</w:t>
                  </w:r>
                </w:p>
              </w:tc>
              <w:tc>
                <w:tcPr>
                  <w:tcW w:w="113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14</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88</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124</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SALERNO</w:t>
                  </w:r>
                </w:p>
              </w:tc>
              <w:tc>
                <w:tcPr>
                  <w:tcW w:w="115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15</w:t>
                  </w:r>
                </w:p>
              </w:tc>
              <w:tc>
                <w:tcPr>
                  <w:tcW w:w="113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8</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18</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41</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TORINO</w:t>
                  </w:r>
                </w:p>
              </w:tc>
              <w:tc>
                <w:tcPr>
                  <w:tcW w:w="115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11</w:t>
                  </w:r>
                </w:p>
              </w:tc>
              <w:tc>
                <w:tcPr>
                  <w:tcW w:w="113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17</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21</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49</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TRENTO</w:t>
                  </w:r>
                </w:p>
              </w:tc>
              <w:tc>
                <w:tcPr>
                  <w:tcW w:w="115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w:t>
                  </w:r>
                </w:p>
              </w:tc>
              <w:tc>
                <w:tcPr>
                  <w:tcW w:w="113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3</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5</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9</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TRIESTE</w:t>
                  </w:r>
                </w:p>
              </w:tc>
              <w:tc>
                <w:tcPr>
                  <w:tcW w:w="115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3</w:t>
                  </w:r>
                </w:p>
              </w:tc>
              <w:tc>
                <w:tcPr>
                  <w:tcW w:w="113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5</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8</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16</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ind w:firstLineChars="100" w:firstLine="220"/>
                    <w:rPr>
                      <w:rFonts w:ascii="Calibri" w:eastAsia="Times New Roman" w:hAnsi="Calibri" w:cs="Calibri"/>
                      <w:color w:val="000000"/>
                      <w:lang w:eastAsia="it-IT"/>
                    </w:rPr>
                  </w:pPr>
                  <w:r w:rsidRPr="0082044A">
                    <w:rPr>
                      <w:rFonts w:ascii="Calibri" w:eastAsia="Times New Roman" w:hAnsi="Calibri" w:cs="Calibri"/>
                      <w:color w:val="000000"/>
                      <w:lang w:eastAsia="it-IT"/>
                    </w:rPr>
                    <w:t>VENEZIA</w:t>
                  </w:r>
                </w:p>
              </w:tc>
              <w:tc>
                <w:tcPr>
                  <w:tcW w:w="115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16</w:t>
                  </w:r>
                </w:p>
              </w:tc>
              <w:tc>
                <w:tcPr>
                  <w:tcW w:w="113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6</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16</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38</w:t>
                  </w:r>
                </w:p>
              </w:tc>
            </w:tr>
            <w:tr w:rsidR="0082044A" w:rsidRPr="0082044A" w:rsidTr="0082044A">
              <w:trPr>
                <w:trHeight w:val="300"/>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TOTALE Depositi per fascia</w:t>
                  </w:r>
                </w:p>
              </w:tc>
              <w:tc>
                <w:tcPr>
                  <w:tcW w:w="115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238</w:t>
                  </w:r>
                </w:p>
              </w:tc>
              <w:tc>
                <w:tcPr>
                  <w:tcW w:w="1134"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193</w:t>
                  </w:r>
                </w:p>
              </w:tc>
              <w:tc>
                <w:tcPr>
                  <w:tcW w:w="1276"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color w:val="000000"/>
                      <w:lang w:eastAsia="it-IT"/>
                    </w:rPr>
                  </w:pPr>
                  <w:r w:rsidRPr="0082044A">
                    <w:rPr>
                      <w:rFonts w:ascii="Calibri" w:eastAsia="Times New Roman" w:hAnsi="Calibri" w:cs="Calibri"/>
                      <w:color w:val="000000"/>
                      <w:lang w:eastAsia="it-IT"/>
                    </w:rPr>
                    <w:t>418</w:t>
                  </w:r>
                </w:p>
              </w:tc>
              <w:tc>
                <w:tcPr>
                  <w:tcW w:w="1843" w:type="dxa"/>
                  <w:tcBorders>
                    <w:top w:val="nil"/>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lang w:eastAsia="it-IT"/>
                    </w:rPr>
                    <w:t>849</w:t>
                  </w:r>
                </w:p>
              </w:tc>
            </w:tr>
          </w:tbl>
          <w:p w:rsidR="0082044A" w:rsidRPr="0082044A" w:rsidRDefault="0082044A" w:rsidP="0082044A">
            <w:pPr>
              <w:spacing w:after="0" w:line="240" w:lineRule="auto"/>
              <w:rPr>
                <w:rFonts w:ascii="Calibri" w:eastAsia="Calibri" w:hAnsi="Calibri" w:cs="Calibri"/>
                <w:color w:val="1F497D"/>
                <w:lang w:eastAsia="it-IT"/>
              </w:rPr>
            </w:pPr>
          </w:p>
          <w:p w:rsidR="0082044A" w:rsidRPr="0082044A" w:rsidRDefault="0082044A" w:rsidP="0082044A">
            <w:pPr>
              <w:spacing w:after="0" w:line="240" w:lineRule="auto"/>
              <w:rPr>
                <w:rFonts w:ascii="Calibri" w:eastAsia="Calibri" w:hAnsi="Calibri" w:cs="Calibri"/>
                <w:color w:val="1F497D"/>
                <w:lang w:eastAsia="it-IT"/>
              </w:rPr>
            </w:pPr>
          </w:p>
          <w:p w:rsidR="0082044A" w:rsidRPr="0082044A" w:rsidRDefault="0082044A" w:rsidP="0082044A">
            <w:pPr>
              <w:spacing w:after="0" w:line="240" w:lineRule="auto"/>
              <w:rPr>
                <w:rFonts w:ascii="Calibri" w:eastAsia="Calibri" w:hAnsi="Calibri" w:cs="Calibri"/>
                <w:color w:val="212121"/>
                <w:lang w:eastAsia="it-IT"/>
              </w:rPr>
            </w:pPr>
            <w:r w:rsidRPr="0082044A">
              <w:rPr>
                <w:rFonts w:ascii="Calibri" w:eastAsia="Calibri" w:hAnsi="Calibri" w:cs="Calibri"/>
                <w:noProof/>
                <w:color w:val="212121"/>
                <w:lang w:eastAsia="it-IT"/>
              </w:rPr>
              <w:lastRenderedPageBreak/>
              <w:drawing>
                <wp:inline distT="0" distB="0" distL="0" distR="0" wp14:anchorId="703EC5D4" wp14:editId="33384416">
                  <wp:extent cx="5972175" cy="3675380"/>
                  <wp:effectExtent l="0" t="0" r="0" b="127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3645" cy="3676285"/>
                          </a:xfrm>
                          <a:prstGeom prst="rect">
                            <a:avLst/>
                          </a:prstGeom>
                          <a:noFill/>
                        </pic:spPr>
                      </pic:pic>
                    </a:graphicData>
                  </a:graphic>
                </wp:inline>
              </w:drawing>
            </w:r>
          </w:p>
          <w:p w:rsidR="0082044A" w:rsidRPr="0082044A" w:rsidRDefault="0082044A" w:rsidP="0082044A">
            <w:pPr>
              <w:spacing w:after="0" w:line="240" w:lineRule="auto"/>
              <w:rPr>
                <w:rFonts w:ascii="Calibri" w:eastAsia="Calibri" w:hAnsi="Calibri" w:cs="Calibri"/>
                <w:b/>
                <w:i/>
                <w:color w:val="212121"/>
                <w:lang w:eastAsia="it-IT"/>
              </w:rPr>
            </w:pPr>
          </w:p>
          <w:p w:rsidR="0082044A" w:rsidRPr="0082044A" w:rsidRDefault="0082044A" w:rsidP="0082044A">
            <w:pPr>
              <w:spacing w:after="0" w:line="240" w:lineRule="auto"/>
              <w:rPr>
                <w:rFonts w:ascii="Calibri" w:eastAsia="Calibri" w:hAnsi="Calibri" w:cs="Calibri"/>
                <w:b/>
                <w:i/>
                <w:color w:val="212121"/>
                <w:lang w:eastAsia="it-IT"/>
              </w:rPr>
            </w:pPr>
          </w:p>
          <w:p w:rsidR="0082044A" w:rsidRPr="0082044A" w:rsidRDefault="0082044A" w:rsidP="0082044A">
            <w:pPr>
              <w:spacing w:after="0" w:line="240" w:lineRule="auto"/>
              <w:jc w:val="both"/>
              <w:rPr>
                <w:rFonts w:ascii="Times New Roman" w:eastAsia="Calibri" w:hAnsi="Times New Roman" w:cs="Times New Roman"/>
                <w:b/>
                <w:i/>
                <w:color w:val="212121"/>
                <w:sz w:val="24"/>
                <w:szCs w:val="24"/>
                <w:lang w:eastAsia="it-IT"/>
              </w:rPr>
            </w:pPr>
            <w:r w:rsidRPr="0082044A">
              <w:rPr>
                <w:rFonts w:ascii="Times New Roman" w:eastAsia="Calibri" w:hAnsi="Times New Roman" w:cs="Times New Roman"/>
                <w:b/>
                <w:i/>
                <w:color w:val="212121"/>
                <w:sz w:val="24"/>
                <w:szCs w:val="24"/>
                <w:lang w:eastAsia="it-IT"/>
              </w:rPr>
              <w:t>9. I tempi del giudizio cautelare.</w:t>
            </w:r>
          </w:p>
          <w:p w:rsidR="0082044A" w:rsidRPr="0082044A" w:rsidRDefault="0082044A" w:rsidP="0082044A">
            <w:pPr>
              <w:spacing w:after="0" w:line="240" w:lineRule="auto"/>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color w:val="212121"/>
                <w:sz w:val="24"/>
                <w:szCs w:val="24"/>
                <w:lang w:eastAsia="it-IT"/>
              </w:rPr>
              <w:t xml:space="preserve">Grazie alle riforme degli ultimi anni (su tutte il codice del processo amministrativo) e agli sforzi organizzativi per garantirne una piena e puntuale applicazione, </w:t>
            </w:r>
            <w:r w:rsidRPr="0082044A">
              <w:rPr>
                <w:rFonts w:ascii="Times New Roman" w:eastAsia="Calibri" w:hAnsi="Times New Roman" w:cs="Times New Roman"/>
                <w:b/>
                <w:color w:val="212121"/>
                <w:sz w:val="24"/>
                <w:szCs w:val="24"/>
                <w:lang w:eastAsia="it-IT"/>
              </w:rPr>
              <w:t>la durata del giudizio cautelare si è estrema ridotta</w:t>
            </w:r>
            <w:r w:rsidRPr="0082044A">
              <w:rPr>
                <w:rFonts w:ascii="Times New Roman" w:eastAsia="Calibri" w:hAnsi="Times New Roman" w:cs="Times New Roman"/>
                <w:color w:val="212121"/>
                <w:sz w:val="24"/>
                <w:szCs w:val="24"/>
                <w:lang w:eastAsia="it-IT"/>
              </w:rPr>
              <w:t>.</w:t>
            </w:r>
          </w:p>
          <w:p w:rsidR="0082044A" w:rsidRPr="0082044A" w:rsidRDefault="0082044A" w:rsidP="0082044A">
            <w:pPr>
              <w:spacing w:after="0" w:line="240" w:lineRule="auto"/>
              <w:jc w:val="both"/>
              <w:rPr>
                <w:rFonts w:ascii="Times New Roman" w:eastAsia="Calibri" w:hAnsi="Times New Roman" w:cs="Times New Roman"/>
                <w:b/>
                <w:color w:val="212121"/>
                <w:sz w:val="24"/>
                <w:szCs w:val="24"/>
                <w:lang w:eastAsia="it-IT"/>
              </w:rPr>
            </w:pPr>
            <w:r w:rsidRPr="0082044A">
              <w:rPr>
                <w:rFonts w:ascii="Times New Roman" w:eastAsia="Calibri" w:hAnsi="Times New Roman" w:cs="Times New Roman"/>
                <w:color w:val="212121"/>
                <w:sz w:val="24"/>
                <w:szCs w:val="24"/>
                <w:lang w:eastAsia="it-IT"/>
              </w:rPr>
              <w:t xml:space="preserve">I tempi </w:t>
            </w:r>
            <w:r w:rsidRPr="0082044A">
              <w:rPr>
                <w:rFonts w:ascii="Times New Roman" w:eastAsia="Calibri" w:hAnsi="Times New Roman" w:cs="Times New Roman"/>
                <w:b/>
                <w:color w:val="212121"/>
                <w:sz w:val="24"/>
                <w:szCs w:val="24"/>
                <w:lang w:eastAsia="it-IT"/>
              </w:rPr>
              <w:t>per ottenere una prima delibazione dal TAR</w:t>
            </w:r>
            <w:r w:rsidRPr="0082044A">
              <w:rPr>
                <w:rFonts w:ascii="Times New Roman" w:eastAsia="Calibri" w:hAnsi="Times New Roman" w:cs="Times New Roman"/>
                <w:color w:val="212121"/>
                <w:sz w:val="24"/>
                <w:szCs w:val="24"/>
                <w:lang w:eastAsia="it-IT"/>
              </w:rPr>
              <w:t xml:space="preserve"> in ordine alla necessità di sospendere la procedura in ragione dell’eventuale sua contrarietà a legge, oppure di consentire la naturale prosecuzione della stessa, si attestano su </w:t>
            </w:r>
            <w:r w:rsidRPr="0082044A">
              <w:rPr>
                <w:rFonts w:ascii="Times New Roman" w:eastAsia="Calibri" w:hAnsi="Times New Roman" w:cs="Times New Roman"/>
                <w:b/>
                <w:color w:val="212121"/>
                <w:sz w:val="24"/>
                <w:szCs w:val="24"/>
                <w:lang w:eastAsia="it-IT"/>
              </w:rPr>
              <w:t>una durata media di:</w:t>
            </w:r>
          </w:p>
          <w:p w:rsidR="0082044A" w:rsidRPr="0082044A" w:rsidRDefault="0082044A" w:rsidP="0082044A">
            <w:pPr>
              <w:spacing w:after="0" w:line="240" w:lineRule="auto"/>
              <w:jc w:val="both"/>
              <w:rPr>
                <w:rFonts w:ascii="Times New Roman" w:eastAsia="Calibri" w:hAnsi="Times New Roman" w:cs="Times New Roman"/>
                <w:b/>
                <w:color w:val="212121"/>
                <w:sz w:val="24"/>
                <w:szCs w:val="24"/>
                <w:lang w:eastAsia="it-IT"/>
              </w:rPr>
            </w:pPr>
            <w:r w:rsidRPr="0082044A">
              <w:rPr>
                <w:rFonts w:ascii="Times New Roman" w:eastAsia="Calibri" w:hAnsi="Times New Roman" w:cs="Times New Roman"/>
                <w:b/>
                <w:color w:val="212121"/>
                <w:sz w:val="24"/>
                <w:szCs w:val="24"/>
                <w:lang w:eastAsia="it-IT"/>
              </w:rPr>
              <w:t>- 42 giorni nel 2015,</w:t>
            </w:r>
          </w:p>
          <w:p w:rsidR="0082044A" w:rsidRPr="0082044A" w:rsidRDefault="0082044A" w:rsidP="0082044A">
            <w:pPr>
              <w:spacing w:after="0" w:line="240" w:lineRule="auto"/>
              <w:jc w:val="both"/>
              <w:rPr>
                <w:rFonts w:ascii="Times New Roman" w:eastAsia="Calibri" w:hAnsi="Times New Roman" w:cs="Times New Roman"/>
                <w:b/>
                <w:color w:val="212121"/>
                <w:sz w:val="24"/>
                <w:szCs w:val="24"/>
                <w:lang w:eastAsia="it-IT"/>
              </w:rPr>
            </w:pPr>
            <w:r w:rsidRPr="0082044A">
              <w:rPr>
                <w:rFonts w:ascii="Times New Roman" w:eastAsia="Calibri" w:hAnsi="Times New Roman" w:cs="Times New Roman"/>
                <w:b/>
                <w:color w:val="212121"/>
                <w:sz w:val="24"/>
                <w:szCs w:val="24"/>
                <w:lang w:eastAsia="it-IT"/>
              </w:rPr>
              <w:t>- 38 giorni nel 2016</w:t>
            </w:r>
          </w:p>
          <w:p w:rsidR="0082044A" w:rsidRPr="0082044A" w:rsidRDefault="0082044A" w:rsidP="0082044A">
            <w:pPr>
              <w:spacing w:after="0" w:line="240" w:lineRule="auto"/>
              <w:jc w:val="both"/>
              <w:rPr>
                <w:rFonts w:ascii="Times New Roman" w:eastAsia="Calibri" w:hAnsi="Times New Roman" w:cs="Times New Roman"/>
                <w:b/>
                <w:color w:val="212121"/>
                <w:sz w:val="24"/>
                <w:szCs w:val="24"/>
                <w:lang w:eastAsia="it-IT"/>
              </w:rPr>
            </w:pPr>
            <w:r w:rsidRPr="0082044A">
              <w:rPr>
                <w:rFonts w:ascii="Times New Roman" w:eastAsia="Calibri" w:hAnsi="Times New Roman" w:cs="Times New Roman"/>
                <w:b/>
                <w:color w:val="212121"/>
                <w:sz w:val="24"/>
                <w:szCs w:val="24"/>
                <w:lang w:eastAsia="it-IT"/>
              </w:rPr>
              <w:t>- 33 giorni nel 2017.</w:t>
            </w:r>
          </w:p>
          <w:p w:rsidR="0082044A" w:rsidRPr="0082044A" w:rsidRDefault="0082044A" w:rsidP="0082044A">
            <w:pPr>
              <w:spacing w:after="0" w:line="240" w:lineRule="auto"/>
              <w:jc w:val="both"/>
              <w:rPr>
                <w:rFonts w:ascii="Calibri" w:eastAsia="Calibri" w:hAnsi="Calibri" w:cs="Calibri"/>
                <w:lang w:eastAsia="it-IT"/>
              </w:rPr>
            </w:pPr>
          </w:p>
          <w:p w:rsidR="0082044A" w:rsidRPr="0082044A" w:rsidRDefault="0082044A" w:rsidP="0082044A">
            <w:pPr>
              <w:spacing w:after="0" w:line="240" w:lineRule="auto"/>
              <w:jc w:val="both"/>
              <w:rPr>
                <w:rFonts w:ascii="Calibri" w:eastAsia="Calibri" w:hAnsi="Calibri" w:cs="Calibri"/>
                <w:b/>
                <w:lang w:eastAsia="it-IT"/>
              </w:rPr>
            </w:pPr>
            <w:r w:rsidRPr="0082044A">
              <w:rPr>
                <w:rFonts w:ascii="Calibri" w:eastAsia="Calibri" w:hAnsi="Calibri" w:cs="Calibri"/>
                <w:b/>
                <w:lang w:eastAsia="it-IT"/>
              </w:rPr>
              <w:t>Durata media dei giudizi cautelari presso i Tar</w:t>
            </w:r>
          </w:p>
          <w:tbl>
            <w:tblPr>
              <w:tblW w:w="5300" w:type="dxa"/>
              <w:tblCellMar>
                <w:left w:w="70" w:type="dxa"/>
                <w:right w:w="70" w:type="dxa"/>
              </w:tblCellMar>
              <w:tblLook w:val="04A0" w:firstRow="1" w:lastRow="0" w:firstColumn="1" w:lastColumn="0" w:noHBand="0" w:noVBand="1"/>
            </w:tblPr>
            <w:tblGrid>
              <w:gridCol w:w="2420"/>
              <w:gridCol w:w="960"/>
              <w:gridCol w:w="960"/>
              <w:gridCol w:w="960"/>
            </w:tblGrid>
            <w:tr w:rsidR="0082044A" w:rsidRPr="0082044A" w:rsidTr="0082044A">
              <w:trPr>
                <w:trHeight w:val="300"/>
              </w:trPr>
              <w:tc>
                <w:tcPr>
                  <w:tcW w:w="2420" w:type="dxa"/>
                  <w:tcBorders>
                    <w:top w:val="single" w:sz="4" w:space="0" w:color="auto"/>
                    <w:left w:val="single" w:sz="4" w:space="0" w:color="auto"/>
                    <w:bottom w:val="single" w:sz="4" w:space="0" w:color="auto"/>
                    <w:right w:val="single" w:sz="4" w:space="0" w:color="auto"/>
                  </w:tcBorders>
                  <w:shd w:val="clear" w:color="DDEBF7" w:fill="D9D9D9"/>
                  <w:noWrap/>
                  <w:vAlign w:val="center"/>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lang w:eastAsia="it-IT"/>
                    </w:rPr>
                    <w:t>SEDE</w:t>
                  </w:r>
                </w:p>
              </w:tc>
              <w:tc>
                <w:tcPr>
                  <w:tcW w:w="960" w:type="dxa"/>
                  <w:tcBorders>
                    <w:top w:val="single" w:sz="4" w:space="0" w:color="auto"/>
                    <w:left w:val="nil"/>
                    <w:bottom w:val="single" w:sz="4" w:space="0" w:color="auto"/>
                    <w:right w:val="single" w:sz="4" w:space="0" w:color="auto"/>
                  </w:tcBorders>
                  <w:shd w:val="clear" w:color="DDEBF7" w:fill="D9D9D9"/>
                  <w:noWrap/>
                  <w:vAlign w:val="center"/>
                  <w:hideMark/>
                </w:tcPr>
                <w:p w:rsidR="0082044A" w:rsidRPr="0082044A" w:rsidRDefault="0082044A" w:rsidP="0082044A">
                  <w:pPr>
                    <w:spacing w:after="0" w:line="240" w:lineRule="auto"/>
                    <w:jc w:val="center"/>
                    <w:rPr>
                      <w:rFonts w:ascii="Calibri" w:eastAsia="Times New Roman" w:hAnsi="Calibri" w:cs="Calibri"/>
                      <w:b/>
                      <w:bCs/>
                      <w:color w:val="000000"/>
                      <w:lang w:eastAsia="it-IT"/>
                    </w:rPr>
                  </w:pPr>
                  <w:r w:rsidRPr="0082044A">
                    <w:rPr>
                      <w:rFonts w:ascii="Calibri" w:eastAsia="Times New Roman" w:hAnsi="Calibri" w:cs="Calibri"/>
                      <w:b/>
                      <w:bCs/>
                      <w:color w:val="000000"/>
                      <w:lang w:eastAsia="it-IT"/>
                    </w:rPr>
                    <w:t>2015</w:t>
                  </w:r>
                </w:p>
              </w:tc>
              <w:tc>
                <w:tcPr>
                  <w:tcW w:w="960" w:type="dxa"/>
                  <w:tcBorders>
                    <w:top w:val="single" w:sz="4" w:space="0" w:color="auto"/>
                    <w:left w:val="nil"/>
                    <w:bottom w:val="single" w:sz="4" w:space="0" w:color="auto"/>
                    <w:right w:val="single" w:sz="4" w:space="0" w:color="auto"/>
                  </w:tcBorders>
                  <w:shd w:val="clear" w:color="DDEBF7" w:fill="D9D9D9"/>
                  <w:noWrap/>
                  <w:vAlign w:val="center"/>
                  <w:hideMark/>
                </w:tcPr>
                <w:p w:rsidR="0082044A" w:rsidRPr="0082044A" w:rsidRDefault="0082044A" w:rsidP="0082044A">
                  <w:pPr>
                    <w:spacing w:after="0" w:line="240" w:lineRule="auto"/>
                    <w:jc w:val="center"/>
                    <w:rPr>
                      <w:rFonts w:ascii="Calibri" w:eastAsia="Times New Roman" w:hAnsi="Calibri" w:cs="Calibri"/>
                      <w:b/>
                      <w:bCs/>
                      <w:lang w:eastAsia="it-IT"/>
                    </w:rPr>
                  </w:pPr>
                  <w:r w:rsidRPr="0082044A">
                    <w:rPr>
                      <w:rFonts w:ascii="Calibri" w:eastAsia="Times New Roman" w:hAnsi="Calibri" w:cs="Calibri"/>
                      <w:b/>
                      <w:bCs/>
                      <w:lang w:eastAsia="it-IT"/>
                    </w:rPr>
                    <w:t>2016</w:t>
                  </w:r>
                </w:p>
              </w:tc>
              <w:tc>
                <w:tcPr>
                  <w:tcW w:w="960" w:type="dxa"/>
                  <w:tcBorders>
                    <w:top w:val="single" w:sz="4" w:space="0" w:color="auto"/>
                    <w:bottom w:val="single" w:sz="4" w:space="0" w:color="auto"/>
                    <w:right w:val="single" w:sz="4" w:space="0" w:color="auto"/>
                  </w:tcBorders>
                  <w:vAlign w:val="center"/>
                </w:tcPr>
                <w:p w:rsidR="0082044A" w:rsidRPr="0082044A" w:rsidRDefault="0082044A" w:rsidP="0082044A">
                  <w:pPr>
                    <w:spacing w:after="0" w:line="240" w:lineRule="auto"/>
                    <w:jc w:val="center"/>
                    <w:rPr>
                      <w:rFonts w:ascii="Calibri" w:eastAsia="Times New Roman" w:hAnsi="Calibri" w:cs="Calibri"/>
                      <w:b/>
                      <w:bCs/>
                      <w:lang w:eastAsia="it-IT"/>
                    </w:rPr>
                  </w:pPr>
                  <w:r w:rsidRPr="0082044A">
                    <w:rPr>
                      <w:rFonts w:ascii="Calibri" w:eastAsia="Times New Roman" w:hAnsi="Calibri" w:cs="Calibri"/>
                      <w:b/>
                      <w:bCs/>
                      <w:lang w:eastAsia="it-IT"/>
                    </w:rPr>
                    <w:t>2017</w:t>
                  </w:r>
                </w:p>
              </w:tc>
            </w:tr>
            <w:tr w:rsidR="0082044A" w:rsidRPr="0082044A" w:rsidTr="0082044A">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ANCONA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35</w:t>
                  </w:r>
                </w:p>
              </w:tc>
              <w:tc>
                <w:tcPr>
                  <w:tcW w:w="960" w:type="dxa"/>
                  <w:tcBorders>
                    <w:top w:val="single" w:sz="4" w:space="0" w:color="auto"/>
                    <w:bottom w:val="single" w:sz="4" w:space="0" w:color="auto"/>
                    <w:right w:val="single" w:sz="4" w:space="0" w:color="auto"/>
                  </w:tcBorders>
                  <w:vAlign w:val="bottom"/>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35</w:t>
                  </w:r>
                </w:p>
              </w:tc>
            </w:tr>
            <w:tr w:rsidR="0082044A" w:rsidRPr="0082044A" w:rsidTr="0082044A">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AOSTA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32</w:t>
                  </w:r>
                </w:p>
              </w:tc>
              <w:tc>
                <w:tcPr>
                  <w:tcW w:w="960" w:type="dxa"/>
                  <w:tcBorders>
                    <w:top w:val="single" w:sz="4" w:space="0" w:color="auto"/>
                    <w:bottom w:val="single" w:sz="4" w:space="0" w:color="auto"/>
                    <w:right w:val="single" w:sz="4" w:space="0" w:color="auto"/>
                  </w:tcBorders>
                  <w:vAlign w:val="bottom"/>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30</w:t>
                  </w:r>
                </w:p>
              </w:tc>
            </w:tr>
            <w:tr w:rsidR="0082044A" w:rsidRPr="0082044A" w:rsidTr="0082044A">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BARI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35</w:t>
                  </w:r>
                </w:p>
              </w:tc>
              <w:tc>
                <w:tcPr>
                  <w:tcW w:w="960" w:type="dxa"/>
                  <w:tcBorders>
                    <w:top w:val="single" w:sz="4" w:space="0" w:color="auto"/>
                    <w:bottom w:val="single" w:sz="4" w:space="0" w:color="auto"/>
                    <w:right w:val="single" w:sz="4" w:space="0" w:color="auto"/>
                  </w:tcBorders>
                  <w:vAlign w:val="bottom"/>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28</w:t>
                  </w:r>
                </w:p>
              </w:tc>
            </w:tr>
            <w:tr w:rsidR="0082044A" w:rsidRPr="0082044A" w:rsidTr="0082044A">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BOLOGNA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42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38</w:t>
                  </w:r>
                </w:p>
              </w:tc>
              <w:tc>
                <w:tcPr>
                  <w:tcW w:w="960" w:type="dxa"/>
                  <w:tcBorders>
                    <w:top w:val="single" w:sz="4" w:space="0" w:color="auto"/>
                    <w:bottom w:val="single" w:sz="4" w:space="0" w:color="auto"/>
                    <w:right w:val="single" w:sz="4" w:space="0" w:color="auto"/>
                  </w:tcBorders>
                  <w:vAlign w:val="bottom"/>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34</w:t>
                  </w:r>
                </w:p>
              </w:tc>
            </w:tr>
            <w:tr w:rsidR="0082044A" w:rsidRPr="0082044A" w:rsidTr="0082044A">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BOLZANO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34</w:t>
                  </w:r>
                </w:p>
              </w:tc>
              <w:tc>
                <w:tcPr>
                  <w:tcW w:w="960" w:type="dxa"/>
                  <w:tcBorders>
                    <w:top w:val="single" w:sz="4" w:space="0" w:color="auto"/>
                    <w:bottom w:val="single" w:sz="4" w:space="0" w:color="auto"/>
                    <w:right w:val="single" w:sz="4" w:space="0" w:color="auto"/>
                  </w:tcBorders>
                  <w:vAlign w:val="bottom"/>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29</w:t>
                  </w:r>
                </w:p>
              </w:tc>
            </w:tr>
            <w:tr w:rsidR="0082044A" w:rsidRPr="0082044A" w:rsidTr="0082044A">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BRESCIA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46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35</w:t>
                  </w:r>
                </w:p>
              </w:tc>
              <w:tc>
                <w:tcPr>
                  <w:tcW w:w="960" w:type="dxa"/>
                  <w:tcBorders>
                    <w:top w:val="single" w:sz="4" w:space="0" w:color="auto"/>
                    <w:bottom w:val="single" w:sz="4" w:space="0" w:color="auto"/>
                    <w:right w:val="single" w:sz="4" w:space="0" w:color="auto"/>
                  </w:tcBorders>
                  <w:vAlign w:val="bottom"/>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31</w:t>
                  </w:r>
                </w:p>
              </w:tc>
            </w:tr>
            <w:tr w:rsidR="0082044A" w:rsidRPr="0082044A" w:rsidTr="0082044A">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CAGLIARI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44</w:t>
                  </w:r>
                </w:p>
              </w:tc>
              <w:tc>
                <w:tcPr>
                  <w:tcW w:w="960" w:type="dxa"/>
                  <w:tcBorders>
                    <w:top w:val="single" w:sz="4" w:space="0" w:color="auto"/>
                    <w:bottom w:val="single" w:sz="4" w:space="0" w:color="auto"/>
                    <w:right w:val="single" w:sz="4" w:space="0" w:color="auto"/>
                  </w:tcBorders>
                  <w:vAlign w:val="bottom"/>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30</w:t>
                  </w:r>
                </w:p>
              </w:tc>
            </w:tr>
            <w:tr w:rsidR="0082044A" w:rsidRPr="0082044A" w:rsidTr="0082044A">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CAMPOBASSO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37</w:t>
                  </w:r>
                </w:p>
              </w:tc>
              <w:tc>
                <w:tcPr>
                  <w:tcW w:w="960" w:type="dxa"/>
                  <w:tcBorders>
                    <w:top w:val="single" w:sz="4" w:space="0" w:color="auto"/>
                    <w:bottom w:val="single" w:sz="4" w:space="0" w:color="auto"/>
                    <w:right w:val="single" w:sz="4" w:space="0" w:color="auto"/>
                  </w:tcBorders>
                  <w:vAlign w:val="bottom"/>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35</w:t>
                  </w:r>
                </w:p>
              </w:tc>
            </w:tr>
            <w:tr w:rsidR="0082044A" w:rsidRPr="0082044A" w:rsidTr="0082044A">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CATANIA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47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50</w:t>
                  </w:r>
                </w:p>
              </w:tc>
              <w:tc>
                <w:tcPr>
                  <w:tcW w:w="960" w:type="dxa"/>
                  <w:tcBorders>
                    <w:top w:val="single" w:sz="4" w:space="0" w:color="auto"/>
                    <w:bottom w:val="single" w:sz="4" w:space="0" w:color="auto"/>
                    <w:right w:val="single" w:sz="4" w:space="0" w:color="auto"/>
                  </w:tcBorders>
                  <w:vAlign w:val="bottom"/>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41</w:t>
                  </w:r>
                </w:p>
              </w:tc>
            </w:tr>
            <w:tr w:rsidR="0082044A" w:rsidRPr="0082044A" w:rsidTr="0082044A">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CATANZARO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44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39</w:t>
                  </w:r>
                </w:p>
              </w:tc>
              <w:tc>
                <w:tcPr>
                  <w:tcW w:w="960" w:type="dxa"/>
                  <w:tcBorders>
                    <w:top w:val="single" w:sz="4" w:space="0" w:color="auto"/>
                    <w:bottom w:val="single" w:sz="4" w:space="0" w:color="auto"/>
                    <w:right w:val="single" w:sz="4" w:space="0" w:color="auto"/>
                  </w:tcBorders>
                  <w:vAlign w:val="bottom"/>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31</w:t>
                  </w:r>
                </w:p>
              </w:tc>
            </w:tr>
            <w:tr w:rsidR="0082044A" w:rsidRPr="0082044A" w:rsidTr="0082044A">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FIRENZE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46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31</w:t>
                  </w:r>
                </w:p>
              </w:tc>
              <w:tc>
                <w:tcPr>
                  <w:tcW w:w="960" w:type="dxa"/>
                  <w:tcBorders>
                    <w:top w:val="single" w:sz="4" w:space="0" w:color="auto"/>
                    <w:bottom w:val="single" w:sz="4" w:space="0" w:color="auto"/>
                    <w:right w:val="single" w:sz="4" w:space="0" w:color="auto"/>
                  </w:tcBorders>
                  <w:vAlign w:val="bottom"/>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29</w:t>
                  </w:r>
                </w:p>
              </w:tc>
            </w:tr>
            <w:tr w:rsidR="0082044A" w:rsidRPr="0082044A" w:rsidTr="0082044A">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GENOVA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35</w:t>
                  </w:r>
                </w:p>
              </w:tc>
              <w:tc>
                <w:tcPr>
                  <w:tcW w:w="960" w:type="dxa"/>
                  <w:tcBorders>
                    <w:top w:val="single" w:sz="4" w:space="0" w:color="auto"/>
                    <w:bottom w:val="single" w:sz="4" w:space="0" w:color="auto"/>
                    <w:right w:val="single" w:sz="4" w:space="0" w:color="auto"/>
                  </w:tcBorders>
                  <w:vAlign w:val="bottom"/>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29</w:t>
                  </w:r>
                </w:p>
              </w:tc>
            </w:tr>
            <w:tr w:rsidR="0082044A" w:rsidRPr="0082044A" w:rsidTr="0082044A">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L'AQUILA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49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44</w:t>
                  </w:r>
                </w:p>
              </w:tc>
              <w:tc>
                <w:tcPr>
                  <w:tcW w:w="960" w:type="dxa"/>
                  <w:tcBorders>
                    <w:top w:val="single" w:sz="4" w:space="0" w:color="auto"/>
                    <w:bottom w:val="single" w:sz="4" w:space="0" w:color="auto"/>
                    <w:right w:val="single" w:sz="4" w:space="0" w:color="auto"/>
                  </w:tcBorders>
                  <w:vAlign w:val="bottom"/>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37</w:t>
                  </w:r>
                </w:p>
              </w:tc>
            </w:tr>
            <w:tr w:rsidR="0082044A" w:rsidRPr="0082044A" w:rsidTr="0082044A">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lastRenderedPageBreak/>
                    <w:t>LATINA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44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42</w:t>
                  </w:r>
                </w:p>
              </w:tc>
              <w:tc>
                <w:tcPr>
                  <w:tcW w:w="960" w:type="dxa"/>
                  <w:tcBorders>
                    <w:top w:val="single" w:sz="4" w:space="0" w:color="auto"/>
                    <w:bottom w:val="single" w:sz="4" w:space="0" w:color="auto"/>
                    <w:right w:val="single" w:sz="4" w:space="0" w:color="auto"/>
                  </w:tcBorders>
                  <w:vAlign w:val="bottom"/>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41</w:t>
                  </w:r>
                </w:p>
              </w:tc>
            </w:tr>
            <w:tr w:rsidR="0082044A" w:rsidRPr="0082044A" w:rsidTr="0082044A">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LECCE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43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40</w:t>
                  </w:r>
                </w:p>
              </w:tc>
              <w:tc>
                <w:tcPr>
                  <w:tcW w:w="960" w:type="dxa"/>
                  <w:tcBorders>
                    <w:top w:val="single" w:sz="4" w:space="0" w:color="auto"/>
                    <w:bottom w:val="single" w:sz="4" w:space="0" w:color="auto"/>
                    <w:right w:val="single" w:sz="4" w:space="0" w:color="auto"/>
                  </w:tcBorders>
                  <w:vAlign w:val="bottom"/>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33</w:t>
                  </w:r>
                </w:p>
              </w:tc>
            </w:tr>
            <w:tr w:rsidR="0082044A" w:rsidRPr="0082044A" w:rsidTr="0082044A">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MILANO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37</w:t>
                  </w:r>
                </w:p>
              </w:tc>
              <w:tc>
                <w:tcPr>
                  <w:tcW w:w="960" w:type="dxa"/>
                  <w:tcBorders>
                    <w:top w:val="single" w:sz="4" w:space="0" w:color="auto"/>
                    <w:bottom w:val="single" w:sz="4" w:space="0" w:color="auto"/>
                    <w:right w:val="single" w:sz="4" w:space="0" w:color="auto"/>
                  </w:tcBorders>
                  <w:vAlign w:val="bottom"/>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31</w:t>
                  </w:r>
                </w:p>
              </w:tc>
            </w:tr>
            <w:tr w:rsidR="0082044A" w:rsidRPr="0082044A" w:rsidTr="0082044A">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NAPOLI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50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44</w:t>
                  </w:r>
                </w:p>
              </w:tc>
              <w:tc>
                <w:tcPr>
                  <w:tcW w:w="960" w:type="dxa"/>
                  <w:tcBorders>
                    <w:top w:val="single" w:sz="4" w:space="0" w:color="auto"/>
                    <w:bottom w:val="single" w:sz="4" w:space="0" w:color="auto"/>
                    <w:right w:val="single" w:sz="4" w:space="0" w:color="auto"/>
                  </w:tcBorders>
                  <w:vAlign w:val="bottom"/>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34</w:t>
                  </w:r>
                </w:p>
              </w:tc>
            </w:tr>
            <w:tr w:rsidR="0082044A" w:rsidRPr="0082044A" w:rsidTr="0082044A">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PALERMO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40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37</w:t>
                  </w:r>
                </w:p>
              </w:tc>
              <w:tc>
                <w:tcPr>
                  <w:tcW w:w="960" w:type="dxa"/>
                  <w:tcBorders>
                    <w:top w:val="single" w:sz="4" w:space="0" w:color="auto"/>
                    <w:bottom w:val="single" w:sz="4" w:space="0" w:color="auto"/>
                    <w:right w:val="single" w:sz="4" w:space="0" w:color="auto"/>
                  </w:tcBorders>
                  <w:vAlign w:val="bottom"/>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39</w:t>
                  </w:r>
                </w:p>
              </w:tc>
            </w:tr>
            <w:tr w:rsidR="0082044A" w:rsidRPr="0082044A" w:rsidTr="0082044A">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PARMA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40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27</w:t>
                  </w:r>
                </w:p>
              </w:tc>
              <w:tc>
                <w:tcPr>
                  <w:tcW w:w="960" w:type="dxa"/>
                  <w:tcBorders>
                    <w:top w:val="single" w:sz="4" w:space="0" w:color="auto"/>
                    <w:bottom w:val="single" w:sz="4" w:space="0" w:color="auto"/>
                    <w:right w:val="single" w:sz="4" w:space="0" w:color="auto"/>
                  </w:tcBorders>
                  <w:vAlign w:val="bottom"/>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31</w:t>
                  </w:r>
                </w:p>
              </w:tc>
            </w:tr>
            <w:tr w:rsidR="0082044A" w:rsidRPr="0082044A" w:rsidTr="0082044A">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PERUGIA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40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27</w:t>
                  </w:r>
                </w:p>
              </w:tc>
              <w:tc>
                <w:tcPr>
                  <w:tcW w:w="960" w:type="dxa"/>
                  <w:tcBorders>
                    <w:top w:val="single" w:sz="4" w:space="0" w:color="auto"/>
                    <w:bottom w:val="single" w:sz="4" w:space="0" w:color="auto"/>
                    <w:right w:val="single" w:sz="4" w:space="0" w:color="auto"/>
                  </w:tcBorders>
                  <w:vAlign w:val="bottom"/>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33</w:t>
                  </w:r>
                </w:p>
              </w:tc>
            </w:tr>
            <w:tr w:rsidR="0082044A" w:rsidRPr="0082044A" w:rsidTr="0082044A">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PESCARA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35</w:t>
                  </w:r>
                </w:p>
              </w:tc>
              <w:tc>
                <w:tcPr>
                  <w:tcW w:w="960" w:type="dxa"/>
                  <w:tcBorders>
                    <w:top w:val="single" w:sz="4" w:space="0" w:color="auto"/>
                    <w:bottom w:val="single" w:sz="4" w:space="0" w:color="auto"/>
                    <w:right w:val="single" w:sz="4" w:space="0" w:color="auto"/>
                  </w:tcBorders>
                  <w:vAlign w:val="bottom"/>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36</w:t>
                  </w:r>
                </w:p>
              </w:tc>
            </w:tr>
            <w:tr w:rsidR="0082044A" w:rsidRPr="0082044A" w:rsidTr="0082044A">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POTENZA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40</w:t>
                  </w:r>
                </w:p>
              </w:tc>
              <w:tc>
                <w:tcPr>
                  <w:tcW w:w="960" w:type="dxa"/>
                  <w:tcBorders>
                    <w:top w:val="single" w:sz="4" w:space="0" w:color="auto"/>
                    <w:bottom w:val="single" w:sz="4" w:space="0" w:color="auto"/>
                    <w:right w:val="single" w:sz="4" w:space="0" w:color="auto"/>
                  </w:tcBorders>
                  <w:vAlign w:val="bottom"/>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31</w:t>
                  </w:r>
                </w:p>
              </w:tc>
            </w:tr>
            <w:tr w:rsidR="0082044A" w:rsidRPr="0082044A" w:rsidTr="0082044A">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R. CALABRIA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27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29</w:t>
                  </w:r>
                </w:p>
              </w:tc>
              <w:tc>
                <w:tcPr>
                  <w:tcW w:w="960" w:type="dxa"/>
                  <w:tcBorders>
                    <w:top w:val="single" w:sz="4" w:space="0" w:color="auto"/>
                    <w:bottom w:val="single" w:sz="4" w:space="0" w:color="auto"/>
                    <w:right w:val="single" w:sz="4" w:space="0" w:color="auto"/>
                  </w:tcBorders>
                  <w:vAlign w:val="bottom"/>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33</w:t>
                  </w:r>
                </w:p>
              </w:tc>
            </w:tr>
            <w:tr w:rsidR="0082044A" w:rsidRPr="0082044A" w:rsidTr="0082044A">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ROMA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69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68</w:t>
                  </w:r>
                </w:p>
              </w:tc>
              <w:tc>
                <w:tcPr>
                  <w:tcW w:w="960" w:type="dxa"/>
                  <w:tcBorders>
                    <w:top w:val="single" w:sz="4" w:space="0" w:color="auto"/>
                    <w:bottom w:val="single" w:sz="4" w:space="0" w:color="auto"/>
                    <w:right w:val="single" w:sz="4" w:space="0" w:color="auto"/>
                  </w:tcBorders>
                  <w:vAlign w:val="bottom"/>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44</w:t>
                  </w:r>
                </w:p>
              </w:tc>
            </w:tr>
            <w:tr w:rsidR="0082044A" w:rsidRPr="0082044A" w:rsidTr="0082044A">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SALERNO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56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44</w:t>
                  </w:r>
                </w:p>
              </w:tc>
              <w:tc>
                <w:tcPr>
                  <w:tcW w:w="960" w:type="dxa"/>
                  <w:tcBorders>
                    <w:top w:val="single" w:sz="4" w:space="0" w:color="auto"/>
                    <w:bottom w:val="single" w:sz="4" w:space="0" w:color="auto"/>
                    <w:right w:val="single" w:sz="4" w:space="0" w:color="auto"/>
                  </w:tcBorders>
                  <w:vAlign w:val="bottom"/>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38</w:t>
                  </w:r>
                </w:p>
              </w:tc>
            </w:tr>
            <w:tr w:rsidR="0082044A" w:rsidRPr="0082044A" w:rsidTr="0082044A">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TORINO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43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36</w:t>
                  </w:r>
                </w:p>
              </w:tc>
              <w:tc>
                <w:tcPr>
                  <w:tcW w:w="960" w:type="dxa"/>
                  <w:tcBorders>
                    <w:top w:val="single" w:sz="4" w:space="0" w:color="auto"/>
                    <w:bottom w:val="single" w:sz="4" w:space="0" w:color="auto"/>
                    <w:right w:val="single" w:sz="4" w:space="0" w:color="auto"/>
                  </w:tcBorders>
                  <w:vAlign w:val="bottom"/>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30</w:t>
                  </w:r>
                </w:p>
              </w:tc>
            </w:tr>
            <w:tr w:rsidR="0082044A" w:rsidRPr="0082044A" w:rsidTr="0082044A">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TRENTO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26</w:t>
                  </w:r>
                </w:p>
              </w:tc>
              <w:tc>
                <w:tcPr>
                  <w:tcW w:w="960" w:type="dxa"/>
                  <w:tcBorders>
                    <w:top w:val="single" w:sz="4" w:space="0" w:color="auto"/>
                    <w:bottom w:val="single" w:sz="4" w:space="0" w:color="auto"/>
                    <w:right w:val="single" w:sz="4" w:space="0" w:color="auto"/>
                  </w:tcBorders>
                  <w:vAlign w:val="bottom"/>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31</w:t>
                  </w:r>
                </w:p>
              </w:tc>
            </w:tr>
            <w:tr w:rsidR="0082044A" w:rsidRPr="0082044A" w:rsidTr="0082044A">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TRIESTE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32</w:t>
                  </w:r>
                </w:p>
              </w:tc>
              <w:tc>
                <w:tcPr>
                  <w:tcW w:w="960" w:type="dxa"/>
                  <w:tcBorders>
                    <w:top w:val="single" w:sz="4" w:space="0" w:color="auto"/>
                    <w:bottom w:val="single" w:sz="4" w:space="0" w:color="auto"/>
                    <w:right w:val="single" w:sz="4" w:space="0" w:color="auto"/>
                  </w:tcBorders>
                  <w:vAlign w:val="bottom"/>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28</w:t>
                  </w:r>
                </w:p>
              </w:tc>
            </w:tr>
            <w:tr w:rsidR="0082044A" w:rsidRPr="0082044A" w:rsidTr="0082044A">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color w:val="000000"/>
                      <w:lang w:eastAsia="it-IT"/>
                    </w:rPr>
                  </w:pPr>
                  <w:r w:rsidRPr="0082044A">
                    <w:rPr>
                      <w:rFonts w:ascii="Calibri" w:eastAsia="Times New Roman" w:hAnsi="Calibri" w:cs="Calibri"/>
                      <w:color w:val="000000"/>
                      <w:lang w:eastAsia="it-IT"/>
                    </w:rPr>
                    <w:t>VENEZIA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41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37</w:t>
                  </w:r>
                </w:p>
              </w:tc>
              <w:tc>
                <w:tcPr>
                  <w:tcW w:w="960" w:type="dxa"/>
                  <w:tcBorders>
                    <w:top w:val="single" w:sz="4" w:space="0" w:color="auto"/>
                    <w:bottom w:val="single" w:sz="4" w:space="0" w:color="auto"/>
                    <w:right w:val="single" w:sz="4" w:space="0" w:color="auto"/>
                  </w:tcBorders>
                  <w:vAlign w:val="bottom"/>
                </w:tcPr>
                <w:p w:rsidR="0082044A" w:rsidRPr="0082044A" w:rsidRDefault="0082044A" w:rsidP="0082044A">
                  <w:pPr>
                    <w:spacing w:after="0" w:line="240" w:lineRule="auto"/>
                    <w:jc w:val="right"/>
                    <w:rPr>
                      <w:rFonts w:ascii="Calibri" w:eastAsia="Times New Roman" w:hAnsi="Calibri" w:cs="Calibri"/>
                      <w:color w:val="000000"/>
                      <w:lang w:eastAsia="it-IT"/>
                    </w:rPr>
                  </w:pPr>
                  <w:r w:rsidRPr="0082044A">
                    <w:rPr>
                      <w:rFonts w:ascii="Calibri" w:eastAsia="Times New Roman" w:hAnsi="Calibri" w:cs="Calibri"/>
                      <w:color w:val="000000"/>
                      <w:lang w:eastAsia="it-IT"/>
                    </w:rPr>
                    <w:t>29</w:t>
                  </w:r>
                </w:p>
              </w:tc>
            </w:tr>
            <w:tr w:rsidR="0082044A" w:rsidRPr="0082044A" w:rsidTr="0082044A">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rPr>
                      <w:rFonts w:ascii="Calibri" w:eastAsia="Times New Roman" w:hAnsi="Calibri" w:cs="Calibri"/>
                      <w:b/>
                      <w:color w:val="000000"/>
                      <w:lang w:eastAsia="it-IT"/>
                    </w:rPr>
                  </w:pPr>
                  <w:r w:rsidRPr="0082044A">
                    <w:rPr>
                      <w:rFonts w:ascii="Calibri" w:eastAsia="Times New Roman" w:hAnsi="Calibri" w:cs="Calibri"/>
                      <w:b/>
                      <w:color w:val="000000"/>
                      <w:lang w:eastAsia="it-IT"/>
                    </w:rPr>
                    <w:t>Media in giorni per anno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b/>
                      <w:color w:val="000000"/>
                      <w:lang w:eastAsia="it-IT"/>
                    </w:rPr>
                  </w:pPr>
                  <w:r w:rsidRPr="0082044A">
                    <w:rPr>
                      <w:rFonts w:ascii="Calibri" w:eastAsia="Times New Roman" w:hAnsi="Calibri" w:cs="Calibri"/>
                      <w:b/>
                      <w:color w:val="000000"/>
                      <w:lang w:eastAsia="it-IT"/>
                    </w:rPr>
                    <w:t>42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044A" w:rsidRPr="0082044A" w:rsidRDefault="0082044A" w:rsidP="0082044A">
                  <w:pPr>
                    <w:spacing w:after="0" w:line="240" w:lineRule="auto"/>
                    <w:jc w:val="right"/>
                    <w:rPr>
                      <w:rFonts w:ascii="Calibri" w:eastAsia="Times New Roman" w:hAnsi="Calibri" w:cs="Calibri"/>
                      <w:b/>
                      <w:lang w:eastAsia="it-IT"/>
                    </w:rPr>
                  </w:pPr>
                  <w:r w:rsidRPr="0082044A">
                    <w:rPr>
                      <w:rFonts w:ascii="Calibri" w:eastAsia="Times New Roman" w:hAnsi="Calibri" w:cs="Calibri"/>
                      <w:b/>
                      <w:lang w:eastAsia="it-IT"/>
                    </w:rPr>
                    <w:t>38</w:t>
                  </w:r>
                </w:p>
              </w:tc>
              <w:tc>
                <w:tcPr>
                  <w:tcW w:w="960" w:type="dxa"/>
                  <w:tcBorders>
                    <w:top w:val="single" w:sz="4" w:space="0" w:color="auto"/>
                    <w:bottom w:val="single" w:sz="4" w:space="0" w:color="auto"/>
                    <w:right w:val="single" w:sz="4" w:space="0" w:color="auto"/>
                  </w:tcBorders>
                  <w:vAlign w:val="bottom"/>
                </w:tcPr>
                <w:p w:rsidR="0082044A" w:rsidRPr="0082044A" w:rsidRDefault="0082044A" w:rsidP="0082044A">
                  <w:pPr>
                    <w:spacing w:after="0" w:line="240" w:lineRule="auto"/>
                    <w:jc w:val="right"/>
                    <w:rPr>
                      <w:rFonts w:ascii="Calibri" w:eastAsia="Times New Roman" w:hAnsi="Calibri" w:cs="Calibri"/>
                      <w:b/>
                      <w:lang w:eastAsia="it-IT"/>
                    </w:rPr>
                  </w:pPr>
                  <w:r w:rsidRPr="0082044A">
                    <w:rPr>
                      <w:rFonts w:ascii="Calibri" w:eastAsia="Times New Roman" w:hAnsi="Calibri" w:cs="Calibri"/>
                      <w:b/>
                      <w:lang w:eastAsia="it-IT"/>
                    </w:rPr>
                    <w:t>33</w:t>
                  </w:r>
                </w:p>
              </w:tc>
            </w:tr>
          </w:tbl>
          <w:p w:rsidR="0082044A" w:rsidRPr="0082044A" w:rsidRDefault="0082044A" w:rsidP="0082044A">
            <w:pPr>
              <w:spacing w:after="0" w:line="240" w:lineRule="auto"/>
              <w:rPr>
                <w:rFonts w:ascii="Calibri" w:eastAsia="Calibri" w:hAnsi="Calibri" w:cs="Calibri"/>
                <w:b/>
                <w:i/>
                <w:color w:val="212121"/>
                <w:lang w:eastAsia="it-IT"/>
              </w:rPr>
            </w:pPr>
          </w:p>
          <w:p w:rsidR="0082044A" w:rsidRPr="0082044A" w:rsidRDefault="0082044A" w:rsidP="0082044A">
            <w:pPr>
              <w:spacing w:after="0" w:line="240" w:lineRule="auto"/>
              <w:rPr>
                <w:rFonts w:ascii="Calibri" w:eastAsia="Calibri" w:hAnsi="Calibri" w:cs="Calibri"/>
                <w:b/>
                <w:i/>
                <w:color w:val="212121"/>
                <w:lang w:eastAsia="it-IT"/>
              </w:rPr>
            </w:pPr>
          </w:p>
          <w:p w:rsidR="0082044A" w:rsidRPr="0082044A" w:rsidRDefault="0082044A" w:rsidP="0082044A">
            <w:pPr>
              <w:spacing w:after="0" w:line="240" w:lineRule="auto"/>
              <w:jc w:val="both"/>
              <w:rPr>
                <w:rFonts w:ascii="Times New Roman" w:eastAsia="Calibri" w:hAnsi="Times New Roman" w:cs="Times New Roman"/>
                <w:b/>
                <w:i/>
                <w:color w:val="212121"/>
                <w:sz w:val="24"/>
                <w:szCs w:val="24"/>
                <w:lang w:eastAsia="it-IT"/>
              </w:rPr>
            </w:pPr>
            <w:r w:rsidRPr="0082044A">
              <w:rPr>
                <w:rFonts w:ascii="Times New Roman" w:eastAsia="Calibri" w:hAnsi="Times New Roman" w:cs="Times New Roman"/>
                <w:b/>
                <w:i/>
                <w:color w:val="212121"/>
                <w:sz w:val="24"/>
                <w:szCs w:val="24"/>
                <w:lang w:eastAsia="it-IT"/>
              </w:rPr>
              <w:t xml:space="preserve">10. </w:t>
            </w:r>
            <w:r w:rsidRPr="0082044A">
              <w:rPr>
                <w:rFonts w:ascii="Times New Roman" w:eastAsia="Calibri" w:hAnsi="Times New Roman" w:cs="Times New Roman"/>
                <w:b/>
                <w:color w:val="212121"/>
                <w:sz w:val="24"/>
                <w:szCs w:val="24"/>
                <w:lang w:eastAsia="it-IT"/>
              </w:rPr>
              <w:t>Focus</w:t>
            </w:r>
            <w:r w:rsidRPr="0082044A">
              <w:rPr>
                <w:rFonts w:ascii="Times New Roman" w:eastAsia="Calibri" w:hAnsi="Times New Roman" w:cs="Times New Roman"/>
                <w:b/>
                <w:i/>
                <w:color w:val="212121"/>
                <w:sz w:val="24"/>
                <w:szCs w:val="24"/>
                <w:lang w:eastAsia="it-IT"/>
              </w:rPr>
              <w:t xml:space="preserve"> sui grandi appalti gestiti da CONSIP (forniture e servizi) e da ANAS (lavori)</w:t>
            </w:r>
          </w:p>
          <w:p w:rsidR="0082044A" w:rsidRPr="0082044A" w:rsidRDefault="0082044A" w:rsidP="0082044A">
            <w:pPr>
              <w:spacing w:after="0" w:line="240" w:lineRule="auto"/>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color w:val="212121"/>
                <w:sz w:val="24"/>
                <w:szCs w:val="24"/>
                <w:lang w:eastAsia="it-IT"/>
              </w:rPr>
              <w:t xml:space="preserve">Sia su CONSIP che su ANAS è stato possibile effettuare un ulteriore </w:t>
            </w:r>
            <w:r w:rsidRPr="0082044A">
              <w:rPr>
                <w:rFonts w:ascii="Times New Roman" w:eastAsia="Calibri" w:hAnsi="Times New Roman" w:cs="Times New Roman"/>
                <w:i/>
                <w:color w:val="212121"/>
                <w:sz w:val="24"/>
                <w:szCs w:val="24"/>
                <w:lang w:eastAsia="it-IT"/>
              </w:rPr>
              <w:t>focus</w:t>
            </w:r>
            <w:r w:rsidRPr="0082044A">
              <w:rPr>
                <w:rFonts w:ascii="Times New Roman" w:eastAsia="Calibri" w:hAnsi="Times New Roman" w:cs="Times New Roman"/>
                <w:color w:val="212121"/>
                <w:sz w:val="24"/>
                <w:szCs w:val="24"/>
                <w:lang w:eastAsia="it-IT"/>
              </w:rPr>
              <w:t xml:space="preserve"> grazie al lavoro di monitoraggio del contenzioso svolto dalle stesse stazioni appaltanti.</w:t>
            </w:r>
          </w:p>
          <w:p w:rsidR="0082044A" w:rsidRPr="0082044A" w:rsidRDefault="0082044A" w:rsidP="0082044A">
            <w:pPr>
              <w:spacing w:after="0" w:line="240" w:lineRule="auto"/>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color w:val="212121"/>
                <w:sz w:val="24"/>
                <w:szCs w:val="24"/>
                <w:lang w:eastAsia="it-IT"/>
              </w:rPr>
              <w:t>In particolare, a seguito dell’apporto collaborativo delle stesse, è noto il dato delle procedure aggiudicate nel biennio 2015/ 2016 ed il loro valore, sicché è possibile il calcolo della percentuale specifica del contenzioso, nonché dell’impatto delle sospensive “bloccanti” in termini di valore.</w:t>
            </w:r>
          </w:p>
          <w:p w:rsidR="0082044A" w:rsidRPr="0082044A" w:rsidRDefault="0082044A" w:rsidP="0082044A">
            <w:pPr>
              <w:spacing w:after="0" w:line="240" w:lineRule="auto"/>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color w:val="212121"/>
                <w:sz w:val="24"/>
                <w:szCs w:val="24"/>
                <w:lang w:eastAsia="it-IT"/>
              </w:rPr>
              <w:t xml:space="preserve">All’esito dell’analisi si conferma l’incremento delle percentuali di impugnazione rispetto alla media, in ragione dell’elevatissimo valore dei contratti messi a gara. </w:t>
            </w:r>
          </w:p>
          <w:p w:rsidR="0082044A" w:rsidRPr="0082044A" w:rsidRDefault="0082044A" w:rsidP="0082044A">
            <w:pPr>
              <w:spacing w:after="0" w:line="240" w:lineRule="auto"/>
              <w:jc w:val="both"/>
              <w:rPr>
                <w:rFonts w:ascii="Times New Roman" w:eastAsia="Calibri" w:hAnsi="Times New Roman" w:cs="Times New Roman"/>
                <w:b/>
                <w:i/>
                <w:color w:val="212121"/>
                <w:sz w:val="24"/>
                <w:szCs w:val="24"/>
                <w:lang w:eastAsia="it-IT"/>
              </w:rPr>
            </w:pPr>
          </w:p>
          <w:p w:rsidR="0082044A" w:rsidRPr="0082044A" w:rsidRDefault="0082044A" w:rsidP="0082044A">
            <w:pPr>
              <w:spacing w:after="0" w:line="240" w:lineRule="auto"/>
              <w:jc w:val="both"/>
              <w:rPr>
                <w:rFonts w:ascii="Times New Roman" w:eastAsia="Calibri" w:hAnsi="Times New Roman" w:cs="Times New Roman"/>
                <w:b/>
                <w:i/>
                <w:color w:val="212121"/>
                <w:sz w:val="24"/>
                <w:szCs w:val="24"/>
                <w:lang w:eastAsia="it-IT"/>
              </w:rPr>
            </w:pPr>
            <w:r w:rsidRPr="0082044A">
              <w:rPr>
                <w:rFonts w:ascii="Times New Roman" w:eastAsia="Calibri" w:hAnsi="Times New Roman" w:cs="Times New Roman"/>
                <w:b/>
                <w:i/>
                <w:color w:val="212121"/>
                <w:sz w:val="24"/>
                <w:szCs w:val="24"/>
                <w:lang w:eastAsia="it-IT"/>
              </w:rPr>
              <w:t xml:space="preserve">10.1. </w:t>
            </w:r>
            <w:proofErr w:type="spellStart"/>
            <w:r w:rsidRPr="0082044A">
              <w:rPr>
                <w:rFonts w:ascii="Times New Roman" w:eastAsia="Calibri" w:hAnsi="Times New Roman" w:cs="Times New Roman"/>
                <w:b/>
                <w:i/>
                <w:color w:val="212121"/>
                <w:sz w:val="24"/>
                <w:szCs w:val="24"/>
                <w:lang w:eastAsia="it-IT"/>
              </w:rPr>
              <w:t>Consip</w:t>
            </w:r>
            <w:proofErr w:type="spellEnd"/>
          </w:p>
          <w:p w:rsidR="0082044A" w:rsidRPr="0082044A" w:rsidRDefault="0082044A" w:rsidP="0082044A">
            <w:pPr>
              <w:spacing w:after="0" w:line="240" w:lineRule="auto"/>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color w:val="212121"/>
                <w:sz w:val="24"/>
                <w:szCs w:val="24"/>
                <w:lang w:eastAsia="it-IT"/>
              </w:rPr>
              <w:t>Le gare bandite CONSIP nel 2015 sono state 233 per un totale di 11,501 miliardi, mentre nel 2016 sono state 215 per un totale di 6,416 miliardi. Trattasi quindi di gare che si attestano in media sopra il valore dei 40 milioni di euro.</w:t>
            </w:r>
          </w:p>
          <w:p w:rsidR="0082044A" w:rsidRPr="0082044A" w:rsidRDefault="0082044A" w:rsidP="0082044A">
            <w:pPr>
              <w:spacing w:after="0" w:line="240" w:lineRule="auto"/>
              <w:jc w:val="both"/>
              <w:rPr>
                <w:rFonts w:ascii="Times New Roman" w:eastAsia="Calibri" w:hAnsi="Times New Roman" w:cs="Times New Roman"/>
                <w:color w:val="212121"/>
                <w:sz w:val="24"/>
                <w:szCs w:val="24"/>
                <w:lang w:eastAsia="it-IT"/>
              </w:rPr>
            </w:pPr>
          </w:p>
          <w:p w:rsidR="0082044A" w:rsidRPr="0082044A" w:rsidRDefault="0082044A" w:rsidP="0082044A">
            <w:pPr>
              <w:autoSpaceDE w:val="0"/>
              <w:autoSpaceDN w:val="0"/>
              <w:adjustRightInd w:val="0"/>
              <w:spacing w:after="0" w:line="240" w:lineRule="auto"/>
              <w:rPr>
                <w:rFonts w:ascii="Calibri" w:eastAsia="Calibri" w:hAnsi="Calibri" w:cs="Calibri"/>
                <w:b/>
                <w:i/>
                <w:color w:val="FF0000"/>
                <w:sz w:val="24"/>
                <w:szCs w:val="24"/>
              </w:rPr>
            </w:pPr>
            <w:r w:rsidRPr="0082044A">
              <w:rPr>
                <w:rFonts w:ascii="Calibri" w:eastAsia="Calibri" w:hAnsi="Calibri" w:cs="Calibri"/>
                <w:noProof/>
                <w:color w:val="000000"/>
                <w:sz w:val="24"/>
                <w:szCs w:val="24"/>
                <w:lang w:eastAsia="it-IT"/>
              </w:rPr>
              <w:drawing>
                <wp:inline distT="0" distB="0" distL="0" distR="0" wp14:anchorId="1098D364" wp14:editId="51F25D2C">
                  <wp:extent cx="6120130" cy="2336165"/>
                  <wp:effectExtent l="0" t="0" r="0" b="6985"/>
                  <wp:docPr id="2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9"/>
                          <a:stretch>
                            <a:fillRect/>
                          </a:stretch>
                        </pic:blipFill>
                        <pic:spPr>
                          <a:xfrm>
                            <a:off x="0" y="0"/>
                            <a:ext cx="6120130" cy="2336165"/>
                          </a:xfrm>
                          <a:prstGeom prst="rect">
                            <a:avLst/>
                          </a:prstGeom>
                        </pic:spPr>
                      </pic:pic>
                    </a:graphicData>
                  </a:graphic>
                </wp:inline>
              </w:drawing>
            </w:r>
          </w:p>
          <w:p w:rsidR="0082044A" w:rsidRPr="0082044A" w:rsidRDefault="0082044A" w:rsidP="0082044A">
            <w:pPr>
              <w:spacing w:after="0" w:line="240" w:lineRule="auto"/>
              <w:jc w:val="both"/>
              <w:rPr>
                <w:rFonts w:ascii="Times New Roman" w:eastAsia="Calibri" w:hAnsi="Times New Roman" w:cs="Times New Roman"/>
                <w:color w:val="212121"/>
                <w:sz w:val="24"/>
                <w:szCs w:val="24"/>
                <w:lang w:eastAsia="it-IT"/>
              </w:rPr>
            </w:pPr>
          </w:p>
          <w:p w:rsidR="0082044A" w:rsidRPr="0082044A" w:rsidRDefault="0082044A" w:rsidP="0082044A">
            <w:pPr>
              <w:spacing w:after="0" w:line="240" w:lineRule="auto"/>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color w:val="212121"/>
                <w:sz w:val="24"/>
                <w:szCs w:val="24"/>
                <w:lang w:eastAsia="it-IT"/>
              </w:rPr>
              <w:t xml:space="preserve">Complessivamente nel biennio 2015-2016 sono stati notificati al TAR 125 ricorsi, dunque </w:t>
            </w:r>
            <w:r w:rsidRPr="0082044A">
              <w:rPr>
                <w:rFonts w:ascii="Times New Roman" w:eastAsia="Calibri" w:hAnsi="Times New Roman" w:cs="Times New Roman"/>
                <w:b/>
                <w:color w:val="212121"/>
                <w:sz w:val="24"/>
                <w:szCs w:val="24"/>
                <w:lang w:eastAsia="it-IT"/>
              </w:rPr>
              <w:t xml:space="preserve">poco </w:t>
            </w:r>
            <w:r w:rsidRPr="0082044A">
              <w:rPr>
                <w:rFonts w:ascii="Times New Roman" w:eastAsia="Calibri" w:hAnsi="Times New Roman" w:cs="Times New Roman"/>
                <w:b/>
                <w:color w:val="212121"/>
                <w:sz w:val="24"/>
                <w:szCs w:val="24"/>
                <w:lang w:eastAsia="it-IT"/>
              </w:rPr>
              <w:lastRenderedPageBreak/>
              <w:t>meno del 30% delle procedure bandite sono state impugnate</w:t>
            </w:r>
            <w:r w:rsidRPr="0082044A">
              <w:rPr>
                <w:rFonts w:ascii="Times New Roman" w:eastAsia="Calibri" w:hAnsi="Times New Roman" w:cs="Times New Roman"/>
                <w:color w:val="212121"/>
                <w:sz w:val="24"/>
                <w:szCs w:val="24"/>
                <w:lang w:eastAsia="it-IT"/>
              </w:rPr>
              <w:t xml:space="preserve">. </w:t>
            </w:r>
          </w:p>
          <w:p w:rsidR="0082044A" w:rsidRPr="0082044A" w:rsidRDefault="0082044A" w:rsidP="0082044A">
            <w:pPr>
              <w:spacing w:after="0" w:line="240" w:lineRule="auto"/>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color w:val="212121"/>
                <w:sz w:val="24"/>
                <w:szCs w:val="24"/>
                <w:lang w:eastAsia="it-IT"/>
              </w:rPr>
              <w:t xml:space="preserve">Il dato del 30% è da considerare approssimato per eccesso, giusto quanto sopra chiarito al par. 3. In particolare, nel caso delle gare CONSIP in cui i partecipanti sono numerosissimi, il fenomeno della pluralità dei ricorsi per ogni singola gara è molto accentuato (solo per fare un esempio, la sola gara n. 1460, relativa a servizi di pulizia SSN, dell’importo di €. 1.455.000.000, è stata interessata da 13 ricorsi). Ciò nonostante, può affermarsi che </w:t>
            </w:r>
            <w:r w:rsidRPr="0082044A">
              <w:rPr>
                <w:rFonts w:ascii="Times New Roman" w:eastAsia="Calibri" w:hAnsi="Times New Roman" w:cs="Times New Roman"/>
                <w:b/>
                <w:color w:val="212121"/>
                <w:sz w:val="24"/>
                <w:szCs w:val="24"/>
                <w:lang w:eastAsia="it-IT"/>
              </w:rPr>
              <w:t>la percentuale di impugnazione delle grandi gare bandite da CONSIP si pone molto al di sopra della media</w:t>
            </w:r>
            <w:r w:rsidRPr="0082044A">
              <w:rPr>
                <w:rFonts w:ascii="Times New Roman" w:eastAsia="Calibri" w:hAnsi="Times New Roman" w:cs="Times New Roman"/>
                <w:color w:val="212121"/>
                <w:sz w:val="24"/>
                <w:szCs w:val="24"/>
                <w:lang w:eastAsia="it-IT"/>
              </w:rPr>
              <w:t>, che come visto al par. 3 si attesta sul 2,7%.</w:t>
            </w:r>
          </w:p>
          <w:p w:rsidR="0082044A" w:rsidRPr="0082044A" w:rsidRDefault="0082044A" w:rsidP="0082044A">
            <w:pPr>
              <w:spacing w:after="0" w:line="240" w:lineRule="auto"/>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color w:val="212121"/>
                <w:sz w:val="24"/>
                <w:szCs w:val="24"/>
                <w:lang w:eastAsia="it-IT"/>
              </w:rPr>
              <w:t xml:space="preserve">Secondo i dati </w:t>
            </w:r>
            <w:proofErr w:type="spellStart"/>
            <w:r w:rsidRPr="0082044A">
              <w:rPr>
                <w:rFonts w:ascii="Times New Roman" w:eastAsia="Calibri" w:hAnsi="Times New Roman" w:cs="Times New Roman"/>
                <w:color w:val="212121"/>
                <w:sz w:val="24"/>
                <w:szCs w:val="24"/>
                <w:lang w:eastAsia="it-IT"/>
              </w:rPr>
              <w:t>Consip</w:t>
            </w:r>
            <w:proofErr w:type="spellEnd"/>
            <w:r w:rsidRPr="0082044A">
              <w:rPr>
                <w:rFonts w:ascii="Times New Roman" w:eastAsia="Calibri" w:hAnsi="Times New Roman" w:cs="Times New Roman"/>
                <w:color w:val="212121"/>
                <w:sz w:val="24"/>
                <w:szCs w:val="24"/>
                <w:lang w:eastAsia="it-IT"/>
              </w:rPr>
              <w:t>, in 102 ricorsi è stata avanzata dalle imprese istanza cautelare. Il 53% delle istanze cautelari non sono state discusse perché rinviate al merito o rinunciate dalle ricorrenti.</w:t>
            </w:r>
          </w:p>
          <w:p w:rsidR="0082044A" w:rsidRPr="0082044A" w:rsidRDefault="0082044A" w:rsidP="0082044A">
            <w:pPr>
              <w:spacing w:after="0" w:line="240" w:lineRule="auto"/>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color w:val="212121"/>
                <w:sz w:val="24"/>
                <w:szCs w:val="24"/>
                <w:lang w:eastAsia="it-IT"/>
              </w:rPr>
              <w:t xml:space="preserve">Delle 43 istanze cautelari </w:t>
            </w:r>
            <w:r w:rsidRPr="0082044A">
              <w:rPr>
                <w:rFonts w:ascii="Times New Roman" w:eastAsia="Calibri" w:hAnsi="Times New Roman" w:cs="Times New Roman"/>
                <w:b/>
                <w:color w:val="212121"/>
                <w:sz w:val="24"/>
                <w:szCs w:val="24"/>
                <w:lang w:eastAsia="it-IT"/>
              </w:rPr>
              <w:t>solo 1</w:t>
            </w:r>
            <w:r w:rsidRPr="0082044A">
              <w:rPr>
                <w:rFonts w:ascii="Times New Roman" w:eastAsia="Calibri" w:hAnsi="Times New Roman" w:cs="Times New Roman"/>
                <w:color w:val="212121"/>
                <w:sz w:val="24"/>
                <w:szCs w:val="24"/>
                <w:lang w:eastAsia="it-IT"/>
              </w:rPr>
              <w:t xml:space="preserve"> è stata accolta con concessione della sospensiva. Dunque solo l’1% delle impugnazioni ha generato sospensive. Il dato è nettamente inferiore alla media, che come visto al par. 7 è di circa il 30%.</w:t>
            </w:r>
          </w:p>
          <w:p w:rsidR="0082044A" w:rsidRPr="0082044A" w:rsidRDefault="0082044A" w:rsidP="0082044A">
            <w:pPr>
              <w:spacing w:after="0" w:line="240" w:lineRule="auto"/>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b/>
                <w:color w:val="212121"/>
                <w:sz w:val="24"/>
                <w:szCs w:val="24"/>
                <w:lang w:eastAsia="it-IT"/>
              </w:rPr>
              <w:t>La “percentuale di blocco” dovuta a una pronuncia del giudice amministrativo</w:t>
            </w:r>
            <w:r w:rsidRPr="0082044A">
              <w:rPr>
                <w:rFonts w:ascii="Times New Roman" w:eastAsia="Calibri" w:hAnsi="Times New Roman" w:cs="Times New Roman"/>
                <w:color w:val="212121"/>
                <w:sz w:val="24"/>
                <w:szCs w:val="24"/>
                <w:lang w:eastAsia="it-IT"/>
              </w:rPr>
              <w:t xml:space="preserve">, calcolata secondo la formula di cui al par. 6, </w:t>
            </w:r>
            <w:r w:rsidRPr="0082044A">
              <w:rPr>
                <w:rFonts w:ascii="Times New Roman" w:eastAsia="Calibri" w:hAnsi="Times New Roman" w:cs="Times New Roman"/>
                <w:b/>
                <w:color w:val="212121"/>
                <w:sz w:val="24"/>
                <w:szCs w:val="24"/>
                <w:lang w:eastAsia="it-IT"/>
              </w:rPr>
              <w:t>è dunque dello 0,8%</w:t>
            </w:r>
            <w:r w:rsidRPr="0082044A">
              <w:rPr>
                <w:rFonts w:ascii="Times New Roman" w:eastAsia="Calibri" w:hAnsi="Times New Roman" w:cs="Times New Roman"/>
                <w:color w:val="212121"/>
                <w:sz w:val="24"/>
                <w:szCs w:val="24"/>
                <w:lang w:eastAsia="it-IT"/>
              </w:rPr>
              <w:t xml:space="preserve"> (1 sospensiva su 125 ricorsi), del tutto in linea con la media generale riportata a par. 7.</w:t>
            </w:r>
          </w:p>
          <w:p w:rsidR="0082044A" w:rsidRPr="0082044A" w:rsidRDefault="0082044A" w:rsidP="0082044A">
            <w:pPr>
              <w:spacing w:after="0" w:line="240" w:lineRule="auto"/>
              <w:jc w:val="both"/>
              <w:rPr>
                <w:rFonts w:ascii="Times New Roman" w:eastAsia="Calibri" w:hAnsi="Times New Roman" w:cs="Times New Roman"/>
                <w:color w:val="212121"/>
                <w:sz w:val="24"/>
                <w:szCs w:val="24"/>
                <w:lang w:eastAsia="it-IT"/>
              </w:rPr>
            </w:pPr>
          </w:p>
          <w:p w:rsidR="0082044A" w:rsidRPr="0082044A" w:rsidRDefault="0082044A" w:rsidP="0082044A">
            <w:pPr>
              <w:spacing w:after="0" w:line="240" w:lineRule="auto"/>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color w:val="212121"/>
                <w:sz w:val="24"/>
                <w:szCs w:val="24"/>
                <w:lang w:eastAsia="it-IT"/>
              </w:rPr>
              <w:t xml:space="preserve">Sui tempi, i dati </w:t>
            </w:r>
            <w:proofErr w:type="spellStart"/>
            <w:r w:rsidRPr="0082044A">
              <w:rPr>
                <w:rFonts w:ascii="Times New Roman" w:eastAsia="Calibri" w:hAnsi="Times New Roman" w:cs="Times New Roman"/>
                <w:color w:val="212121"/>
                <w:sz w:val="24"/>
                <w:szCs w:val="24"/>
                <w:lang w:eastAsia="it-IT"/>
              </w:rPr>
              <w:t>Consip</w:t>
            </w:r>
            <w:proofErr w:type="spellEnd"/>
            <w:r w:rsidRPr="0082044A">
              <w:rPr>
                <w:rFonts w:ascii="Times New Roman" w:eastAsia="Calibri" w:hAnsi="Times New Roman" w:cs="Times New Roman"/>
                <w:color w:val="212121"/>
                <w:sz w:val="24"/>
                <w:szCs w:val="24"/>
                <w:lang w:eastAsia="it-IT"/>
              </w:rPr>
              <w:t xml:space="preserve"> di cui alla tabella allegata confermano la rapidità riscontrata al par. 9: la fascia più numerosa di ricorsi (il 46%) viene definita in meno di 30 giorni, e più dei tre quarti (il 79%) non supera i 60 giorni per la trattazione in sede cautelare.</w:t>
            </w:r>
          </w:p>
          <w:p w:rsidR="0082044A" w:rsidRPr="0082044A" w:rsidRDefault="0082044A" w:rsidP="0082044A">
            <w:pPr>
              <w:spacing w:after="0" w:line="240" w:lineRule="auto"/>
              <w:jc w:val="both"/>
              <w:rPr>
                <w:rFonts w:ascii="Calibri" w:eastAsia="Calibri" w:hAnsi="Calibri" w:cs="Calibri"/>
                <w:sz w:val="23"/>
                <w:szCs w:val="23"/>
                <w:lang w:eastAsia="it-IT"/>
              </w:rPr>
            </w:pPr>
          </w:p>
          <w:p w:rsidR="0082044A" w:rsidRPr="0082044A" w:rsidRDefault="0082044A" w:rsidP="0082044A">
            <w:pPr>
              <w:spacing w:after="0" w:line="240" w:lineRule="auto"/>
              <w:jc w:val="both"/>
              <w:rPr>
                <w:rFonts w:ascii="Times New Roman" w:eastAsia="Calibri" w:hAnsi="Times New Roman" w:cs="Times New Roman"/>
                <w:color w:val="212121"/>
                <w:sz w:val="24"/>
                <w:szCs w:val="24"/>
                <w:lang w:eastAsia="it-IT"/>
              </w:rPr>
            </w:pPr>
            <w:r w:rsidRPr="0082044A">
              <w:rPr>
                <w:rFonts w:ascii="Calibri" w:eastAsia="Calibri" w:hAnsi="Calibri" w:cs="Calibri"/>
                <w:sz w:val="23"/>
                <w:szCs w:val="23"/>
                <w:lang w:eastAsia="it-IT"/>
              </w:rPr>
              <w:t xml:space="preserve">Tempi di definizione delle istanze cautelari su appalti </w:t>
            </w:r>
            <w:proofErr w:type="spellStart"/>
            <w:r w:rsidRPr="0082044A">
              <w:rPr>
                <w:rFonts w:ascii="Calibri" w:eastAsia="Calibri" w:hAnsi="Calibri" w:cs="Calibri"/>
                <w:sz w:val="23"/>
                <w:szCs w:val="23"/>
                <w:lang w:eastAsia="it-IT"/>
              </w:rPr>
              <w:t>Consip</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9"/>
              <w:gridCol w:w="419"/>
              <w:gridCol w:w="562"/>
              <w:gridCol w:w="521"/>
              <w:gridCol w:w="521"/>
            </w:tblGrid>
            <w:tr w:rsidR="0082044A" w:rsidRPr="0082044A" w:rsidTr="0082044A">
              <w:trPr>
                <w:trHeight w:val="99"/>
              </w:trPr>
              <w:tc>
                <w:tcPr>
                  <w:tcW w:w="0" w:type="auto"/>
                </w:tcPr>
                <w:p w:rsidR="0082044A" w:rsidRPr="0082044A" w:rsidRDefault="0082044A" w:rsidP="0082044A">
                  <w:pPr>
                    <w:autoSpaceDE w:val="0"/>
                    <w:autoSpaceDN w:val="0"/>
                    <w:adjustRightInd w:val="0"/>
                    <w:spacing w:after="0" w:line="240" w:lineRule="auto"/>
                    <w:rPr>
                      <w:rFonts w:ascii="Calibri" w:eastAsia="Calibri" w:hAnsi="Calibri" w:cs="Calibri"/>
                      <w:color w:val="000000"/>
                      <w:sz w:val="20"/>
                      <w:szCs w:val="20"/>
                    </w:rPr>
                  </w:pPr>
                  <w:r w:rsidRPr="0082044A">
                    <w:rPr>
                      <w:rFonts w:ascii="Calibri" w:eastAsia="Calibri" w:hAnsi="Calibri" w:cs="Calibri"/>
                      <w:color w:val="000000"/>
                      <w:sz w:val="20"/>
                      <w:szCs w:val="20"/>
                    </w:rPr>
                    <w:t xml:space="preserve">≤ 30 giorni </w:t>
                  </w:r>
                </w:p>
              </w:tc>
              <w:tc>
                <w:tcPr>
                  <w:tcW w:w="0" w:type="auto"/>
                </w:tcPr>
                <w:p w:rsidR="0082044A" w:rsidRPr="0082044A" w:rsidRDefault="0082044A" w:rsidP="0082044A">
                  <w:pPr>
                    <w:autoSpaceDE w:val="0"/>
                    <w:autoSpaceDN w:val="0"/>
                    <w:adjustRightInd w:val="0"/>
                    <w:spacing w:after="0" w:line="240" w:lineRule="auto"/>
                    <w:rPr>
                      <w:rFonts w:ascii="Calibri" w:eastAsia="Calibri" w:hAnsi="Calibri" w:cs="Calibri"/>
                      <w:color w:val="000000"/>
                      <w:sz w:val="20"/>
                      <w:szCs w:val="20"/>
                    </w:rPr>
                  </w:pPr>
                  <w:r w:rsidRPr="0082044A">
                    <w:rPr>
                      <w:rFonts w:ascii="Calibri" w:eastAsia="Calibri" w:hAnsi="Calibri" w:cs="Calibri"/>
                      <w:color w:val="000000"/>
                      <w:sz w:val="20"/>
                      <w:szCs w:val="20"/>
                    </w:rPr>
                    <w:t xml:space="preserve">20 </w:t>
                  </w:r>
                </w:p>
              </w:tc>
              <w:tc>
                <w:tcPr>
                  <w:tcW w:w="0" w:type="auto"/>
                </w:tcPr>
                <w:p w:rsidR="0082044A" w:rsidRPr="0082044A" w:rsidRDefault="0082044A" w:rsidP="0082044A">
                  <w:pPr>
                    <w:autoSpaceDE w:val="0"/>
                    <w:autoSpaceDN w:val="0"/>
                    <w:adjustRightInd w:val="0"/>
                    <w:spacing w:after="0" w:line="240" w:lineRule="auto"/>
                    <w:rPr>
                      <w:rFonts w:ascii="Calibri" w:eastAsia="Calibri" w:hAnsi="Calibri" w:cs="Calibri"/>
                      <w:color w:val="000000"/>
                      <w:sz w:val="20"/>
                      <w:szCs w:val="20"/>
                    </w:rPr>
                  </w:pPr>
                  <w:r w:rsidRPr="0082044A">
                    <w:rPr>
                      <w:rFonts w:ascii="Calibri" w:eastAsia="Calibri" w:hAnsi="Calibri" w:cs="Calibri"/>
                      <w:color w:val="000000"/>
                      <w:sz w:val="20"/>
                      <w:szCs w:val="20"/>
                    </w:rPr>
                    <w:t xml:space="preserve">46% </w:t>
                  </w:r>
                </w:p>
              </w:tc>
              <w:tc>
                <w:tcPr>
                  <w:tcW w:w="0" w:type="auto"/>
                </w:tcPr>
                <w:p w:rsidR="0082044A" w:rsidRPr="0082044A" w:rsidRDefault="0082044A" w:rsidP="0082044A">
                  <w:pPr>
                    <w:autoSpaceDE w:val="0"/>
                    <w:autoSpaceDN w:val="0"/>
                    <w:adjustRightInd w:val="0"/>
                    <w:spacing w:after="0" w:line="240" w:lineRule="auto"/>
                    <w:rPr>
                      <w:rFonts w:ascii="Calibri" w:eastAsia="Calibri" w:hAnsi="Calibri" w:cs="Calibri"/>
                      <w:color w:val="000000"/>
                      <w:sz w:val="20"/>
                      <w:szCs w:val="20"/>
                    </w:rPr>
                  </w:pPr>
                  <w:r w:rsidRPr="0082044A">
                    <w:rPr>
                      <w:rFonts w:ascii="Calibri" w:eastAsia="Calibri" w:hAnsi="Calibri" w:cs="Calibri"/>
                      <w:color w:val="000000"/>
                      <w:sz w:val="20"/>
                      <w:szCs w:val="20"/>
                    </w:rPr>
                    <w:t xml:space="preserve">7 </w:t>
                  </w:r>
                </w:p>
              </w:tc>
              <w:tc>
                <w:tcPr>
                  <w:tcW w:w="0" w:type="auto"/>
                </w:tcPr>
                <w:p w:rsidR="0082044A" w:rsidRPr="0082044A" w:rsidRDefault="0082044A" w:rsidP="0082044A">
                  <w:pPr>
                    <w:autoSpaceDE w:val="0"/>
                    <w:autoSpaceDN w:val="0"/>
                    <w:adjustRightInd w:val="0"/>
                    <w:spacing w:after="0" w:line="240" w:lineRule="auto"/>
                    <w:rPr>
                      <w:rFonts w:ascii="Calibri" w:eastAsia="Calibri" w:hAnsi="Calibri" w:cs="Calibri"/>
                      <w:color w:val="000000"/>
                      <w:sz w:val="20"/>
                      <w:szCs w:val="20"/>
                    </w:rPr>
                  </w:pPr>
                  <w:r w:rsidRPr="0082044A">
                    <w:rPr>
                      <w:rFonts w:ascii="Calibri" w:eastAsia="Calibri" w:hAnsi="Calibri" w:cs="Calibri"/>
                      <w:color w:val="000000"/>
                      <w:sz w:val="20"/>
                      <w:szCs w:val="20"/>
                    </w:rPr>
                    <w:t xml:space="preserve">30 </w:t>
                  </w:r>
                </w:p>
              </w:tc>
            </w:tr>
            <w:tr w:rsidR="0082044A" w:rsidRPr="0082044A" w:rsidTr="0082044A">
              <w:trPr>
                <w:trHeight w:val="103"/>
              </w:trPr>
              <w:tc>
                <w:tcPr>
                  <w:tcW w:w="0" w:type="auto"/>
                </w:tcPr>
                <w:p w:rsidR="0082044A" w:rsidRPr="0082044A" w:rsidRDefault="0082044A" w:rsidP="0082044A">
                  <w:pPr>
                    <w:autoSpaceDE w:val="0"/>
                    <w:autoSpaceDN w:val="0"/>
                    <w:adjustRightInd w:val="0"/>
                    <w:spacing w:after="0" w:line="240" w:lineRule="auto"/>
                    <w:rPr>
                      <w:rFonts w:ascii="Calibri" w:eastAsia="Calibri" w:hAnsi="Calibri" w:cs="Calibri"/>
                      <w:color w:val="000000"/>
                      <w:sz w:val="20"/>
                      <w:szCs w:val="20"/>
                    </w:rPr>
                  </w:pPr>
                  <w:r w:rsidRPr="0082044A">
                    <w:rPr>
                      <w:rFonts w:ascii="Calibri" w:eastAsia="Calibri" w:hAnsi="Calibri" w:cs="Calibri"/>
                      <w:color w:val="000000"/>
                      <w:sz w:val="20"/>
                      <w:szCs w:val="20"/>
                    </w:rPr>
                    <w:t xml:space="preserve">31 giorni ≤ X ≤ 60 giorni </w:t>
                  </w:r>
                </w:p>
              </w:tc>
              <w:tc>
                <w:tcPr>
                  <w:tcW w:w="0" w:type="auto"/>
                </w:tcPr>
                <w:p w:rsidR="0082044A" w:rsidRPr="0082044A" w:rsidRDefault="0082044A" w:rsidP="0082044A">
                  <w:pPr>
                    <w:autoSpaceDE w:val="0"/>
                    <w:autoSpaceDN w:val="0"/>
                    <w:adjustRightInd w:val="0"/>
                    <w:spacing w:after="0" w:line="240" w:lineRule="auto"/>
                    <w:rPr>
                      <w:rFonts w:ascii="Calibri" w:eastAsia="Calibri" w:hAnsi="Calibri" w:cs="Calibri"/>
                      <w:color w:val="000000"/>
                      <w:sz w:val="20"/>
                      <w:szCs w:val="20"/>
                    </w:rPr>
                  </w:pPr>
                  <w:r w:rsidRPr="0082044A">
                    <w:rPr>
                      <w:rFonts w:ascii="Calibri" w:eastAsia="Calibri" w:hAnsi="Calibri" w:cs="Calibri"/>
                      <w:color w:val="000000"/>
                      <w:sz w:val="20"/>
                      <w:szCs w:val="20"/>
                    </w:rPr>
                    <w:t xml:space="preserve">14 </w:t>
                  </w:r>
                </w:p>
              </w:tc>
              <w:tc>
                <w:tcPr>
                  <w:tcW w:w="0" w:type="auto"/>
                </w:tcPr>
                <w:p w:rsidR="0082044A" w:rsidRPr="0082044A" w:rsidRDefault="0082044A" w:rsidP="0082044A">
                  <w:pPr>
                    <w:autoSpaceDE w:val="0"/>
                    <w:autoSpaceDN w:val="0"/>
                    <w:adjustRightInd w:val="0"/>
                    <w:spacing w:after="0" w:line="240" w:lineRule="auto"/>
                    <w:rPr>
                      <w:rFonts w:ascii="Calibri" w:eastAsia="Calibri" w:hAnsi="Calibri" w:cs="Calibri"/>
                      <w:color w:val="000000"/>
                      <w:sz w:val="20"/>
                      <w:szCs w:val="20"/>
                    </w:rPr>
                  </w:pPr>
                  <w:r w:rsidRPr="0082044A">
                    <w:rPr>
                      <w:rFonts w:ascii="Calibri" w:eastAsia="Calibri" w:hAnsi="Calibri" w:cs="Calibri"/>
                      <w:color w:val="000000"/>
                      <w:sz w:val="20"/>
                      <w:szCs w:val="20"/>
                    </w:rPr>
                    <w:t xml:space="preserve">33% </w:t>
                  </w:r>
                </w:p>
              </w:tc>
              <w:tc>
                <w:tcPr>
                  <w:tcW w:w="0" w:type="auto"/>
                </w:tcPr>
                <w:p w:rsidR="0082044A" w:rsidRPr="0082044A" w:rsidRDefault="0082044A" w:rsidP="0082044A">
                  <w:pPr>
                    <w:autoSpaceDE w:val="0"/>
                    <w:autoSpaceDN w:val="0"/>
                    <w:adjustRightInd w:val="0"/>
                    <w:spacing w:after="0" w:line="240" w:lineRule="auto"/>
                    <w:rPr>
                      <w:rFonts w:ascii="Calibri" w:eastAsia="Calibri" w:hAnsi="Calibri" w:cs="Calibri"/>
                      <w:color w:val="000000"/>
                      <w:sz w:val="20"/>
                      <w:szCs w:val="20"/>
                    </w:rPr>
                  </w:pPr>
                  <w:r w:rsidRPr="0082044A">
                    <w:rPr>
                      <w:rFonts w:ascii="Calibri" w:eastAsia="Calibri" w:hAnsi="Calibri" w:cs="Calibri"/>
                      <w:color w:val="000000"/>
                      <w:sz w:val="20"/>
                      <w:szCs w:val="20"/>
                    </w:rPr>
                    <w:t xml:space="preserve">33 </w:t>
                  </w:r>
                </w:p>
              </w:tc>
              <w:tc>
                <w:tcPr>
                  <w:tcW w:w="0" w:type="auto"/>
                </w:tcPr>
                <w:p w:rsidR="0082044A" w:rsidRPr="0082044A" w:rsidRDefault="0082044A" w:rsidP="0082044A">
                  <w:pPr>
                    <w:autoSpaceDE w:val="0"/>
                    <w:autoSpaceDN w:val="0"/>
                    <w:adjustRightInd w:val="0"/>
                    <w:spacing w:after="0" w:line="240" w:lineRule="auto"/>
                    <w:rPr>
                      <w:rFonts w:ascii="Calibri" w:eastAsia="Calibri" w:hAnsi="Calibri" w:cs="Calibri"/>
                      <w:color w:val="000000"/>
                      <w:sz w:val="20"/>
                      <w:szCs w:val="20"/>
                    </w:rPr>
                  </w:pPr>
                  <w:r w:rsidRPr="0082044A">
                    <w:rPr>
                      <w:rFonts w:ascii="Calibri" w:eastAsia="Calibri" w:hAnsi="Calibri" w:cs="Calibri"/>
                      <w:color w:val="000000"/>
                      <w:sz w:val="20"/>
                      <w:szCs w:val="20"/>
                    </w:rPr>
                    <w:t xml:space="preserve">50 </w:t>
                  </w:r>
                </w:p>
              </w:tc>
            </w:tr>
            <w:tr w:rsidR="0082044A" w:rsidRPr="0082044A" w:rsidTr="0082044A">
              <w:trPr>
                <w:trHeight w:val="103"/>
              </w:trPr>
              <w:tc>
                <w:tcPr>
                  <w:tcW w:w="0" w:type="auto"/>
                </w:tcPr>
                <w:p w:rsidR="0082044A" w:rsidRPr="0082044A" w:rsidRDefault="0082044A" w:rsidP="0082044A">
                  <w:pPr>
                    <w:autoSpaceDE w:val="0"/>
                    <w:autoSpaceDN w:val="0"/>
                    <w:adjustRightInd w:val="0"/>
                    <w:spacing w:after="0" w:line="240" w:lineRule="auto"/>
                    <w:rPr>
                      <w:rFonts w:ascii="Calibri" w:eastAsia="Calibri" w:hAnsi="Calibri" w:cs="Calibri"/>
                      <w:color w:val="000000"/>
                      <w:sz w:val="20"/>
                      <w:szCs w:val="20"/>
                    </w:rPr>
                  </w:pPr>
                  <w:r w:rsidRPr="0082044A">
                    <w:rPr>
                      <w:rFonts w:ascii="Calibri" w:eastAsia="Calibri" w:hAnsi="Calibri" w:cs="Calibri"/>
                      <w:color w:val="000000"/>
                      <w:sz w:val="20"/>
                      <w:szCs w:val="20"/>
                    </w:rPr>
                    <w:t xml:space="preserve">61 giorni ≤ X ≤ 90 giorni </w:t>
                  </w:r>
                </w:p>
              </w:tc>
              <w:tc>
                <w:tcPr>
                  <w:tcW w:w="0" w:type="auto"/>
                </w:tcPr>
                <w:p w:rsidR="0082044A" w:rsidRPr="0082044A" w:rsidRDefault="0082044A" w:rsidP="0082044A">
                  <w:pPr>
                    <w:autoSpaceDE w:val="0"/>
                    <w:autoSpaceDN w:val="0"/>
                    <w:adjustRightInd w:val="0"/>
                    <w:spacing w:after="0" w:line="240" w:lineRule="auto"/>
                    <w:rPr>
                      <w:rFonts w:ascii="Calibri" w:eastAsia="Calibri" w:hAnsi="Calibri" w:cs="Calibri"/>
                      <w:color w:val="000000"/>
                      <w:sz w:val="20"/>
                      <w:szCs w:val="20"/>
                    </w:rPr>
                  </w:pPr>
                  <w:r w:rsidRPr="0082044A">
                    <w:rPr>
                      <w:rFonts w:ascii="Calibri" w:eastAsia="Calibri" w:hAnsi="Calibri" w:cs="Calibri"/>
                      <w:color w:val="000000"/>
                      <w:sz w:val="20"/>
                      <w:szCs w:val="20"/>
                    </w:rPr>
                    <w:t xml:space="preserve">3 </w:t>
                  </w:r>
                </w:p>
              </w:tc>
              <w:tc>
                <w:tcPr>
                  <w:tcW w:w="0" w:type="auto"/>
                </w:tcPr>
                <w:p w:rsidR="0082044A" w:rsidRPr="0082044A" w:rsidRDefault="0082044A" w:rsidP="0082044A">
                  <w:pPr>
                    <w:autoSpaceDE w:val="0"/>
                    <w:autoSpaceDN w:val="0"/>
                    <w:adjustRightInd w:val="0"/>
                    <w:spacing w:after="0" w:line="240" w:lineRule="auto"/>
                    <w:rPr>
                      <w:rFonts w:ascii="Calibri" w:eastAsia="Calibri" w:hAnsi="Calibri" w:cs="Calibri"/>
                      <w:color w:val="000000"/>
                      <w:sz w:val="20"/>
                      <w:szCs w:val="20"/>
                    </w:rPr>
                  </w:pPr>
                  <w:r w:rsidRPr="0082044A">
                    <w:rPr>
                      <w:rFonts w:ascii="Calibri" w:eastAsia="Calibri" w:hAnsi="Calibri" w:cs="Calibri"/>
                      <w:color w:val="000000"/>
                      <w:sz w:val="20"/>
                      <w:szCs w:val="20"/>
                    </w:rPr>
                    <w:t xml:space="preserve">7% </w:t>
                  </w:r>
                </w:p>
              </w:tc>
              <w:tc>
                <w:tcPr>
                  <w:tcW w:w="0" w:type="auto"/>
                </w:tcPr>
                <w:p w:rsidR="0082044A" w:rsidRPr="0082044A" w:rsidRDefault="0082044A" w:rsidP="0082044A">
                  <w:pPr>
                    <w:autoSpaceDE w:val="0"/>
                    <w:autoSpaceDN w:val="0"/>
                    <w:adjustRightInd w:val="0"/>
                    <w:spacing w:after="0" w:line="240" w:lineRule="auto"/>
                    <w:rPr>
                      <w:rFonts w:ascii="Calibri" w:eastAsia="Calibri" w:hAnsi="Calibri" w:cs="Calibri"/>
                      <w:color w:val="000000"/>
                      <w:sz w:val="20"/>
                      <w:szCs w:val="20"/>
                    </w:rPr>
                  </w:pPr>
                  <w:r w:rsidRPr="0082044A">
                    <w:rPr>
                      <w:rFonts w:ascii="Calibri" w:eastAsia="Calibri" w:hAnsi="Calibri" w:cs="Calibri"/>
                      <w:color w:val="000000"/>
                      <w:sz w:val="20"/>
                      <w:szCs w:val="20"/>
                    </w:rPr>
                    <w:t xml:space="preserve">64 </w:t>
                  </w:r>
                </w:p>
              </w:tc>
              <w:tc>
                <w:tcPr>
                  <w:tcW w:w="0" w:type="auto"/>
                </w:tcPr>
                <w:p w:rsidR="0082044A" w:rsidRPr="0082044A" w:rsidRDefault="0082044A" w:rsidP="0082044A">
                  <w:pPr>
                    <w:autoSpaceDE w:val="0"/>
                    <w:autoSpaceDN w:val="0"/>
                    <w:adjustRightInd w:val="0"/>
                    <w:spacing w:after="0" w:line="240" w:lineRule="auto"/>
                    <w:rPr>
                      <w:rFonts w:ascii="Calibri" w:eastAsia="Calibri" w:hAnsi="Calibri" w:cs="Calibri"/>
                      <w:color w:val="000000"/>
                      <w:sz w:val="20"/>
                      <w:szCs w:val="20"/>
                    </w:rPr>
                  </w:pPr>
                  <w:r w:rsidRPr="0082044A">
                    <w:rPr>
                      <w:rFonts w:ascii="Calibri" w:eastAsia="Calibri" w:hAnsi="Calibri" w:cs="Calibri"/>
                      <w:color w:val="000000"/>
                      <w:sz w:val="20"/>
                      <w:szCs w:val="20"/>
                    </w:rPr>
                    <w:t xml:space="preserve">66 </w:t>
                  </w:r>
                </w:p>
              </w:tc>
            </w:tr>
            <w:tr w:rsidR="0082044A" w:rsidRPr="0082044A" w:rsidTr="0082044A">
              <w:trPr>
                <w:trHeight w:val="103"/>
              </w:trPr>
              <w:tc>
                <w:tcPr>
                  <w:tcW w:w="0" w:type="auto"/>
                </w:tcPr>
                <w:p w:rsidR="0082044A" w:rsidRPr="0082044A" w:rsidRDefault="0082044A" w:rsidP="0082044A">
                  <w:pPr>
                    <w:autoSpaceDE w:val="0"/>
                    <w:autoSpaceDN w:val="0"/>
                    <w:adjustRightInd w:val="0"/>
                    <w:spacing w:after="0" w:line="240" w:lineRule="auto"/>
                    <w:rPr>
                      <w:rFonts w:ascii="Calibri" w:eastAsia="Calibri" w:hAnsi="Calibri" w:cs="Calibri"/>
                      <w:color w:val="000000"/>
                      <w:sz w:val="20"/>
                      <w:szCs w:val="20"/>
                    </w:rPr>
                  </w:pPr>
                  <w:r w:rsidRPr="0082044A">
                    <w:rPr>
                      <w:rFonts w:ascii="Calibri" w:eastAsia="Calibri" w:hAnsi="Calibri" w:cs="Calibri"/>
                      <w:color w:val="000000"/>
                      <w:sz w:val="20"/>
                      <w:szCs w:val="20"/>
                    </w:rPr>
                    <w:t xml:space="preserve">&gt; 90 giorni </w:t>
                  </w:r>
                </w:p>
              </w:tc>
              <w:tc>
                <w:tcPr>
                  <w:tcW w:w="0" w:type="auto"/>
                </w:tcPr>
                <w:p w:rsidR="0082044A" w:rsidRPr="0082044A" w:rsidRDefault="0082044A" w:rsidP="0082044A">
                  <w:pPr>
                    <w:autoSpaceDE w:val="0"/>
                    <w:autoSpaceDN w:val="0"/>
                    <w:adjustRightInd w:val="0"/>
                    <w:spacing w:after="0" w:line="240" w:lineRule="auto"/>
                    <w:rPr>
                      <w:rFonts w:ascii="Calibri" w:eastAsia="Calibri" w:hAnsi="Calibri" w:cs="Calibri"/>
                      <w:color w:val="000000"/>
                      <w:sz w:val="20"/>
                      <w:szCs w:val="20"/>
                    </w:rPr>
                  </w:pPr>
                  <w:r w:rsidRPr="0082044A">
                    <w:rPr>
                      <w:rFonts w:ascii="Calibri" w:eastAsia="Calibri" w:hAnsi="Calibri" w:cs="Calibri"/>
                      <w:color w:val="000000"/>
                      <w:sz w:val="20"/>
                      <w:szCs w:val="20"/>
                    </w:rPr>
                    <w:t xml:space="preserve">6 </w:t>
                  </w:r>
                </w:p>
              </w:tc>
              <w:tc>
                <w:tcPr>
                  <w:tcW w:w="0" w:type="auto"/>
                </w:tcPr>
                <w:p w:rsidR="0082044A" w:rsidRPr="0082044A" w:rsidRDefault="0082044A" w:rsidP="0082044A">
                  <w:pPr>
                    <w:autoSpaceDE w:val="0"/>
                    <w:autoSpaceDN w:val="0"/>
                    <w:adjustRightInd w:val="0"/>
                    <w:spacing w:after="0" w:line="240" w:lineRule="auto"/>
                    <w:rPr>
                      <w:rFonts w:ascii="Calibri" w:eastAsia="Calibri" w:hAnsi="Calibri" w:cs="Calibri"/>
                      <w:color w:val="000000"/>
                      <w:sz w:val="20"/>
                      <w:szCs w:val="20"/>
                    </w:rPr>
                  </w:pPr>
                  <w:r w:rsidRPr="0082044A">
                    <w:rPr>
                      <w:rFonts w:ascii="Calibri" w:eastAsia="Calibri" w:hAnsi="Calibri" w:cs="Calibri"/>
                      <w:color w:val="000000"/>
                      <w:sz w:val="20"/>
                      <w:szCs w:val="20"/>
                    </w:rPr>
                    <w:t xml:space="preserve">14% </w:t>
                  </w:r>
                </w:p>
              </w:tc>
              <w:tc>
                <w:tcPr>
                  <w:tcW w:w="0" w:type="auto"/>
                </w:tcPr>
                <w:p w:rsidR="0082044A" w:rsidRPr="0082044A" w:rsidRDefault="0082044A" w:rsidP="0082044A">
                  <w:pPr>
                    <w:autoSpaceDE w:val="0"/>
                    <w:autoSpaceDN w:val="0"/>
                    <w:adjustRightInd w:val="0"/>
                    <w:spacing w:after="0" w:line="240" w:lineRule="auto"/>
                    <w:rPr>
                      <w:rFonts w:ascii="Calibri" w:eastAsia="Calibri" w:hAnsi="Calibri" w:cs="Calibri"/>
                      <w:color w:val="000000"/>
                      <w:sz w:val="20"/>
                      <w:szCs w:val="20"/>
                    </w:rPr>
                  </w:pPr>
                  <w:r w:rsidRPr="0082044A">
                    <w:rPr>
                      <w:rFonts w:ascii="Calibri" w:eastAsia="Calibri" w:hAnsi="Calibri" w:cs="Calibri"/>
                      <w:color w:val="000000"/>
                      <w:sz w:val="20"/>
                      <w:szCs w:val="20"/>
                    </w:rPr>
                    <w:t xml:space="preserve">112 </w:t>
                  </w:r>
                </w:p>
              </w:tc>
              <w:tc>
                <w:tcPr>
                  <w:tcW w:w="0" w:type="auto"/>
                </w:tcPr>
                <w:p w:rsidR="0082044A" w:rsidRPr="0082044A" w:rsidRDefault="0082044A" w:rsidP="0082044A">
                  <w:pPr>
                    <w:autoSpaceDE w:val="0"/>
                    <w:autoSpaceDN w:val="0"/>
                    <w:adjustRightInd w:val="0"/>
                    <w:spacing w:after="0" w:line="240" w:lineRule="auto"/>
                    <w:rPr>
                      <w:rFonts w:ascii="Calibri" w:eastAsia="Calibri" w:hAnsi="Calibri" w:cs="Calibri"/>
                      <w:color w:val="000000"/>
                      <w:sz w:val="20"/>
                      <w:szCs w:val="20"/>
                    </w:rPr>
                  </w:pPr>
                  <w:r w:rsidRPr="0082044A">
                    <w:rPr>
                      <w:rFonts w:ascii="Calibri" w:eastAsia="Calibri" w:hAnsi="Calibri" w:cs="Calibri"/>
                      <w:color w:val="000000"/>
                      <w:sz w:val="20"/>
                      <w:szCs w:val="20"/>
                    </w:rPr>
                    <w:t xml:space="preserve">325 </w:t>
                  </w:r>
                </w:p>
              </w:tc>
            </w:tr>
          </w:tbl>
          <w:p w:rsidR="0082044A" w:rsidRPr="0082044A" w:rsidRDefault="0082044A" w:rsidP="0082044A">
            <w:pPr>
              <w:spacing w:after="0" w:line="240" w:lineRule="auto"/>
              <w:jc w:val="both"/>
              <w:rPr>
                <w:rFonts w:ascii="Calibri" w:eastAsia="Calibri" w:hAnsi="Calibri" w:cs="Calibri"/>
                <w:b/>
                <w:i/>
                <w:color w:val="FF0000"/>
                <w:lang w:eastAsia="it-IT"/>
              </w:rPr>
            </w:pPr>
          </w:p>
          <w:p w:rsidR="0082044A" w:rsidRPr="0082044A" w:rsidRDefault="0082044A" w:rsidP="0082044A">
            <w:pPr>
              <w:spacing w:after="0" w:line="240" w:lineRule="auto"/>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color w:val="212121"/>
                <w:sz w:val="24"/>
                <w:szCs w:val="24"/>
                <w:lang w:eastAsia="it-IT"/>
              </w:rPr>
              <w:t>Dal monitoraggio CONSIP emerge tuttavia un dato peculiare, di estremo interesse per l’indagine: quello della cd. “autosospensione”, che si verifica in presenza di gare o lotti sospesi non già in forza di ordinanze cautelari, ma di autonome decisioni di opportunità della centrale di committenza che ha preferito, in molti casi, attendere l’esito del giudizio.</w:t>
            </w:r>
          </w:p>
          <w:p w:rsidR="0082044A" w:rsidRPr="0082044A" w:rsidRDefault="0082044A" w:rsidP="0082044A">
            <w:pPr>
              <w:spacing w:after="0" w:line="240" w:lineRule="auto"/>
              <w:jc w:val="both"/>
              <w:rPr>
                <w:rFonts w:ascii="Times New Roman" w:eastAsia="Calibri" w:hAnsi="Times New Roman" w:cs="Times New Roman"/>
                <w:color w:val="212121"/>
                <w:sz w:val="24"/>
                <w:szCs w:val="24"/>
                <w:lang w:eastAsia="it-IT"/>
              </w:rPr>
            </w:pPr>
          </w:p>
          <w:p w:rsidR="0082044A" w:rsidRPr="0082044A" w:rsidRDefault="0082044A" w:rsidP="0082044A">
            <w:pPr>
              <w:spacing w:after="0" w:line="240" w:lineRule="auto"/>
              <w:jc w:val="both"/>
              <w:rPr>
                <w:rFonts w:ascii="Times New Roman" w:eastAsia="Calibri" w:hAnsi="Times New Roman" w:cs="Times New Roman"/>
                <w:b/>
                <w:i/>
                <w:color w:val="212121"/>
                <w:sz w:val="24"/>
                <w:szCs w:val="24"/>
                <w:lang w:eastAsia="it-IT"/>
              </w:rPr>
            </w:pPr>
            <w:r w:rsidRPr="0082044A">
              <w:rPr>
                <w:rFonts w:ascii="Times New Roman" w:eastAsia="Calibri" w:hAnsi="Times New Roman" w:cs="Times New Roman"/>
                <w:b/>
                <w:i/>
                <w:color w:val="212121"/>
                <w:sz w:val="24"/>
                <w:szCs w:val="24"/>
                <w:lang w:eastAsia="it-IT"/>
              </w:rPr>
              <w:t>10.2. ANAS</w:t>
            </w:r>
          </w:p>
          <w:p w:rsidR="0082044A" w:rsidRPr="0082044A" w:rsidRDefault="0082044A" w:rsidP="0082044A">
            <w:pPr>
              <w:spacing w:after="0" w:line="240" w:lineRule="auto"/>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color w:val="212121"/>
                <w:sz w:val="24"/>
                <w:szCs w:val="24"/>
                <w:lang w:eastAsia="it-IT"/>
              </w:rPr>
              <w:t>La disaggregazione in possesso di ANAS non ha il dettaglio di quella precedente, ma anche per le grandi gare di questa stazione appaltante si confermano le medesime conclusioni:</w:t>
            </w:r>
          </w:p>
          <w:p w:rsidR="0082044A" w:rsidRPr="0082044A" w:rsidRDefault="0082044A" w:rsidP="0082044A">
            <w:pPr>
              <w:spacing w:after="0" w:line="240" w:lineRule="auto"/>
              <w:jc w:val="both"/>
              <w:rPr>
                <w:rFonts w:ascii="Times New Roman" w:eastAsia="Calibri" w:hAnsi="Times New Roman" w:cs="Times New Roman"/>
                <w:b/>
                <w:color w:val="212121"/>
                <w:sz w:val="24"/>
                <w:szCs w:val="24"/>
                <w:lang w:eastAsia="it-IT"/>
              </w:rPr>
            </w:pPr>
            <w:r w:rsidRPr="0082044A">
              <w:rPr>
                <w:rFonts w:ascii="Times New Roman" w:eastAsia="Calibri" w:hAnsi="Times New Roman" w:cs="Times New Roman"/>
                <w:color w:val="212121"/>
                <w:sz w:val="24"/>
                <w:szCs w:val="24"/>
                <w:lang w:eastAsia="it-IT"/>
              </w:rPr>
              <w:t xml:space="preserve">- </w:t>
            </w:r>
            <w:r w:rsidRPr="0082044A">
              <w:rPr>
                <w:rFonts w:ascii="Times New Roman" w:eastAsia="Calibri" w:hAnsi="Times New Roman" w:cs="Times New Roman"/>
                <w:b/>
                <w:color w:val="212121"/>
                <w:sz w:val="24"/>
                <w:szCs w:val="24"/>
                <w:lang w:eastAsia="it-IT"/>
              </w:rPr>
              <w:t xml:space="preserve">il tasso di impugnazione degli appalti ANAS è superiore alla media, trattandosi anche in questo caso di appalti di valore elevatissimo </w:t>
            </w:r>
            <w:r w:rsidRPr="0082044A">
              <w:rPr>
                <w:rFonts w:ascii="Times New Roman" w:eastAsia="Calibri" w:hAnsi="Times New Roman" w:cs="Times New Roman"/>
                <w:color w:val="212121"/>
                <w:sz w:val="24"/>
                <w:szCs w:val="24"/>
                <w:lang w:eastAsia="it-IT"/>
              </w:rPr>
              <w:t>(cfr. tabelle ANAS allegate);</w:t>
            </w:r>
          </w:p>
          <w:p w:rsidR="0082044A" w:rsidRPr="0082044A" w:rsidRDefault="0082044A" w:rsidP="0082044A">
            <w:pPr>
              <w:spacing w:after="0" w:line="240" w:lineRule="auto"/>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color w:val="212121"/>
                <w:sz w:val="24"/>
                <w:szCs w:val="24"/>
                <w:lang w:eastAsia="it-IT"/>
              </w:rPr>
              <w:t>ma …</w:t>
            </w:r>
          </w:p>
          <w:p w:rsidR="0082044A" w:rsidRPr="0082044A" w:rsidRDefault="0082044A" w:rsidP="0082044A">
            <w:pPr>
              <w:spacing w:after="0" w:line="240" w:lineRule="auto"/>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color w:val="212121"/>
                <w:sz w:val="24"/>
                <w:szCs w:val="24"/>
                <w:lang w:eastAsia="it-IT"/>
              </w:rPr>
              <w:t xml:space="preserve">- </w:t>
            </w:r>
            <w:r w:rsidRPr="0082044A">
              <w:rPr>
                <w:rFonts w:ascii="Times New Roman" w:eastAsia="Calibri" w:hAnsi="Times New Roman" w:cs="Times New Roman"/>
                <w:b/>
                <w:color w:val="212121"/>
                <w:sz w:val="24"/>
                <w:szCs w:val="24"/>
                <w:lang w:eastAsia="it-IT"/>
              </w:rPr>
              <w:t>la “percentuale di blocco” è in linea con la media generale (1 sospensiva concessa nel 2015 e 2 nel 2016)</w:t>
            </w:r>
            <w:r w:rsidRPr="0082044A">
              <w:rPr>
                <w:rFonts w:ascii="Times New Roman" w:eastAsia="Calibri" w:hAnsi="Times New Roman" w:cs="Times New Roman"/>
                <w:color w:val="212121"/>
                <w:sz w:val="24"/>
                <w:szCs w:val="24"/>
                <w:lang w:eastAsia="it-IT"/>
              </w:rPr>
              <w:t xml:space="preserve">. </w:t>
            </w:r>
          </w:p>
          <w:p w:rsidR="0082044A" w:rsidRPr="0082044A" w:rsidRDefault="0082044A" w:rsidP="0082044A">
            <w:pPr>
              <w:spacing w:after="0" w:line="240" w:lineRule="auto"/>
              <w:jc w:val="both"/>
              <w:rPr>
                <w:rFonts w:ascii="Times New Roman" w:eastAsia="Calibri" w:hAnsi="Times New Roman" w:cs="Times New Roman"/>
                <w:b/>
                <w:i/>
                <w:color w:val="212121"/>
                <w:sz w:val="24"/>
                <w:szCs w:val="24"/>
                <w:lang w:eastAsia="it-IT"/>
              </w:rPr>
            </w:pPr>
          </w:p>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RICORSI “LAVORI” 2015</w:t>
            </w:r>
            <w:r w:rsidRPr="0082044A">
              <w:rPr>
                <w:rFonts w:ascii="Times New Roman" w:eastAsia="Calibri" w:hAnsi="Times New Roman" w:cs="Times New Roman"/>
                <w:i/>
                <w:color w:val="212121"/>
                <w:sz w:val="20"/>
                <w:szCs w:val="20"/>
                <w:lang w:eastAsia="it-IT"/>
              </w:rPr>
              <w:tab/>
            </w:r>
            <w:r w:rsidRPr="0082044A">
              <w:rPr>
                <w:rFonts w:ascii="Times New Roman" w:eastAsia="Calibri" w:hAnsi="Times New Roman" w:cs="Times New Roman"/>
                <w:i/>
                <w:color w:val="212121"/>
                <w:sz w:val="20"/>
                <w:szCs w:val="20"/>
                <w:lang w:eastAsia="it-IT"/>
              </w:rPr>
              <w:tab/>
            </w:r>
            <w:r w:rsidRPr="0082044A">
              <w:rPr>
                <w:rFonts w:ascii="Times New Roman" w:eastAsia="Calibri" w:hAnsi="Times New Roman" w:cs="Times New Roman"/>
                <w:i/>
                <w:color w:val="212121"/>
                <w:sz w:val="20"/>
                <w:szCs w:val="20"/>
                <w:lang w:eastAsia="it-IT"/>
              </w:rPr>
              <w:tab/>
            </w:r>
            <w:r w:rsidRPr="0082044A">
              <w:rPr>
                <w:rFonts w:ascii="Times New Roman" w:eastAsia="Calibri" w:hAnsi="Times New Roman" w:cs="Times New Roman"/>
                <w:i/>
                <w:color w:val="212121"/>
                <w:sz w:val="20"/>
                <w:szCs w:val="20"/>
                <w:lang w:eastAsia="it-IT"/>
              </w:rPr>
              <w:tab/>
            </w:r>
            <w:r w:rsidRPr="0082044A">
              <w:rPr>
                <w:rFonts w:ascii="Times New Roman" w:eastAsia="Calibri" w:hAnsi="Times New Roman" w:cs="Times New Roman"/>
                <w:i/>
                <w:color w:val="212121"/>
                <w:sz w:val="20"/>
                <w:szCs w:val="20"/>
                <w:lang w:eastAsia="it-IT"/>
              </w:rPr>
              <w:tab/>
            </w:r>
            <w:r w:rsidRPr="0082044A">
              <w:rPr>
                <w:rFonts w:ascii="Times New Roman" w:eastAsia="Calibri" w:hAnsi="Times New Roman" w:cs="Times New Roman"/>
                <w:i/>
                <w:color w:val="212121"/>
                <w:sz w:val="20"/>
                <w:szCs w:val="20"/>
                <w:lang w:eastAsia="it-IT"/>
              </w:rPr>
              <w:tab/>
            </w:r>
            <w:r w:rsidRPr="0082044A">
              <w:rPr>
                <w:rFonts w:ascii="Times New Roman" w:eastAsia="Calibri" w:hAnsi="Times New Roman" w:cs="Times New Roman"/>
                <w:i/>
                <w:color w:val="212121"/>
                <w:sz w:val="20"/>
                <w:szCs w:val="20"/>
                <w:lang w:eastAsia="it-IT"/>
              </w:rPr>
              <w:tab/>
              <w:t xml:space="preserve">           Importo a base di gara</w:t>
            </w:r>
          </w:p>
          <w:tbl>
            <w:tblPr>
              <w:tblW w:w="11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309"/>
              <w:gridCol w:w="6662"/>
              <w:gridCol w:w="3761"/>
            </w:tblGrid>
            <w:tr w:rsidR="0082044A" w:rsidRPr="0082044A" w:rsidTr="0082044A">
              <w:tc>
                <w:tcPr>
                  <w:tcW w:w="1309"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AQ 04/14</w:t>
                  </w:r>
                </w:p>
              </w:tc>
              <w:tc>
                <w:tcPr>
                  <w:tcW w:w="6662"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S.S. 260 "</w:t>
                  </w:r>
                  <w:proofErr w:type="spellStart"/>
                  <w:r w:rsidRPr="0082044A">
                    <w:rPr>
                      <w:rFonts w:ascii="Times New Roman" w:eastAsia="Calibri" w:hAnsi="Times New Roman" w:cs="Times New Roman"/>
                      <w:i/>
                      <w:color w:val="212121"/>
                      <w:sz w:val="20"/>
                      <w:szCs w:val="20"/>
                      <w:lang w:eastAsia="it-IT"/>
                    </w:rPr>
                    <w:t>Picente</w:t>
                  </w:r>
                  <w:proofErr w:type="spellEnd"/>
                  <w:r w:rsidRPr="0082044A">
                    <w:rPr>
                      <w:rFonts w:ascii="Times New Roman" w:eastAsia="Calibri" w:hAnsi="Times New Roman" w:cs="Times New Roman"/>
                      <w:i/>
                      <w:color w:val="212121"/>
                      <w:sz w:val="20"/>
                      <w:szCs w:val="20"/>
                      <w:lang w:eastAsia="it-IT"/>
                    </w:rPr>
                    <w:t>”: Adeguamento alla sezione C2 del DM 5/11/2001</w:t>
                  </w:r>
                </w:p>
              </w:tc>
              <w:tc>
                <w:tcPr>
                  <w:tcW w:w="3761"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€ 61.370.677,93</w:t>
                  </w:r>
                </w:p>
              </w:tc>
            </w:tr>
            <w:tr w:rsidR="0082044A" w:rsidRPr="0082044A" w:rsidTr="0082044A">
              <w:tc>
                <w:tcPr>
                  <w:tcW w:w="1309"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BA 11/12</w:t>
                  </w:r>
                </w:p>
              </w:tc>
              <w:tc>
                <w:tcPr>
                  <w:tcW w:w="6662"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S.S 96 “Barese” e S.S. 99 “di Matera”: Lavori di adeguamento della sede stradale alla sezione tipo III delle norme CNR 80</w:t>
                  </w:r>
                </w:p>
              </w:tc>
              <w:tc>
                <w:tcPr>
                  <w:tcW w:w="3761"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€ 33.904.000.03</w:t>
                  </w:r>
                </w:p>
              </w:tc>
            </w:tr>
            <w:tr w:rsidR="0082044A" w:rsidRPr="0082044A" w:rsidTr="0082044A">
              <w:tc>
                <w:tcPr>
                  <w:tcW w:w="1309"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BA 23/09</w:t>
                  </w:r>
                </w:p>
              </w:tc>
              <w:tc>
                <w:tcPr>
                  <w:tcW w:w="6662"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xml:space="preserve">S.S. 275 “di S. Maria di Leuca”: </w:t>
                  </w:r>
                  <w:r w:rsidRPr="0082044A">
                    <w:rPr>
                      <w:rFonts w:ascii="Times New Roman" w:eastAsia="Calibri" w:hAnsi="Times New Roman" w:cs="Times New Roman"/>
                      <w:bCs/>
                      <w:i/>
                      <w:color w:val="212121"/>
                      <w:sz w:val="20"/>
                      <w:szCs w:val="20"/>
                      <w:lang w:eastAsia="it-IT"/>
                    </w:rPr>
                    <w:t>Lavori di a</w:t>
                  </w:r>
                  <w:r w:rsidRPr="0082044A">
                    <w:rPr>
                      <w:rFonts w:ascii="Times New Roman" w:eastAsia="Calibri" w:hAnsi="Times New Roman" w:cs="Times New Roman"/>
                      <w:i/>
                      <w:color w:val="212121"/>
                      <w:sz w:val="20"/>
                      <w:szCs w:val="20"/>
                      <w:lang w:eastAsia="it-IT"/>
                    </w:rPr>
                    <w:t>mmodernamento e adeguamento al tipo B</w:t>
                  </w:r>
                </w:p>
              </w:tc>
              <w:tc>
                <w:tcPr>
                  <w:tcW w:w="3761"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€ 200.702.186,59</w:t>
                  </w:r>
                </w:p>
              </w:tc>
            </w:tr>
            <w:tr w:rsidR="0082044A" w:rsidRPr="0082044A" w:rsidTr="0082044A">
              <w:tc>
                <w:tcPr>
                  <w:tcW w:w="1309"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CA 06/12</w:t>
                  </w:r>
                </w:p>
              </w:tc>
              <w:tc>
                <w:tcPr>
                  <w:tcW w:w="6662"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S.S. 199 “di Monti”: Adeguamento al tipo B dell’itinerario</w:t>
                  </w:r>
                  <w:r w:rsidRPr="0082044A">
                    <w:rPr>
                      <w:rFonts w:ascii="Times New Roman" w:eastAsia="Calibri" w:hAnsi="Times New Roman" w:cs="Times New Roman"/>
                      <w:bCs/>
                      <w:i/>
                      <w:color w:val="212121"/>
                      <w:sz w:val="20"/>
                      <w:szCs w:val="20"/>
                      <w:lang w:eastAsia="it-IT"/>
                    </w:rPr>
                    <w:t xml:space="preserve"> Sassari – Olbia</w:t>
                  </w:r>
                </w:p>
              </w:tc>
              <w:tc>
                <w:tcPr>
                  <w:tcW w:w="3761"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€ 78.890.417,90</w:t>
                  </w:r>
                </w:p>
              </w:tc>
            </w:tr>
            <w:tr w:rsidR="0082044A" w:rsidRPr="0082044A" w:rsidTr="0082044A">
              <w:tc>
                <w:tcPr>
                  <w:tcW w:w="1309"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CA 08/14</w:t>
                  </w:r>
                </w:p>
              </w:tc>
              <w:tc>
                <w:tcPr>
                  <w:tcW w:w="6662"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bCs/>
                      <w:i/>
                      <w:color w:val="212121"/>
                      <w:sz w:val="20"/>
                      <w:szCs w:val="20"/>
                      <w:lang w:eastAsia="it-IT"/>
                    </w:rPr>
                    <w:t>Tronco Tertenia-San Priam</w:t>
                  </w:r>
                  <w:r w:rsidRPr="0082044A">
                    <w:rPr>
                      <w:rFonts w:ascii="Times New Roman" w:eastAsia="Calibri" w:hAnsi="Times New Roman" w:cs="Times New Roman"/>
                      <w:i/>
                      <w:color w:val="212121"/>
                      <w:sz w:val="20"/>
                      <w:szCs w:val="20"/>
                      <w:lang w:eastAsia="it-IT"/>
                    </w:rPr>
                    <w:t>o: 1° Lotto, 1° Stralcio dal Km 0+000 al Km 5+665</w:t>
                  </w:r>
                </w:p>
              </w:tc>
              <w:tc>
                <w:tcPr>
                  <w:tcW w:w="3761"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€ 42.222.189,31</w:t>
                  </w:r>
                </w:p>
              </w:tc>
            </w:tr>
            <w:tr w:rsidR="0082044A" w:rsidRPr="0082044A" w:rsidTr="0082044A">
              <w:tc>
                <w:tcPr>
                  <w:tcW w:w="1309"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CA 08/14</w:t>
                  </w:r>
                </w:p>
              </w:tc>
              <w:tc>
                <w:tcPr>
                  <w:tcW w:w="6662"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bCs/>
                      <w:i/>
                      <w:color w:val="212121"/>
                      <w:sz w:val="20"/>
                      <w:szCs w:val="20"/>
                      <w:lang w:eastAsia="it-IT"/>
                    </w:rPr>
                    <w:t>Tronco Tertenia-San Priam</w:t>
                  </w:r>
                  <w:r w:rsidRPr="0082044A">
                    <w:rPr>
                      <w:rFonts w:ascii="Times New Roman" w:eastAsia="Calibri" w:hAnsi="Times New Roman" w:cs="Times New Roman"/>
                      <w:i/>
                      <w:color w:val="212121"/>
                      <w:sz w:val="20"/>
                      <w:szCs w:val="20"/>
                      <w:lang w:eastAsia="it-IT"/>
                    </w:rPr>
                    <w:t>o: 1° Lotto, 1° Stralcio dal Km 0+000 al Km 5+665</w:t>
                  </w:r>
                </w:p>
              </w:tc>
              <w:tc>
                <w:tcPr>
                  <w:tcW w:w="3761"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€ 42.222.189,31</w:t>
                  </w:r>
                </w:p>
              </w:tc>
            </w:tr>
            <w:tr w:rsidR="0082044A" w:rsidRPr="0082044A" w:rsidTr="0082044A">
              <w:tc>
                <w:tcPr>
                  <w:tcW w:w="1309"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CA 09/14</w:t>
                  </w:r>
                </w:p>
              </w:tc>
              <w:tc>
                <w:tcPr>
                  <w:tcW w:w="6662"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xml:space="preserve">S.S. 125 "Orientale Sarda": Lavori di completamento del Tronco </w:t>
                  </w:r>
                  <w:r w:rsidRPr="0082044A">
                    <w:rPr>
                      <w:rFonts w:ascii="Times New Roman" w:eastAsia="Calibri" w:hAnsi="Times New Roman" w:cs="Times New Roman"/>
                      <w:bCs/>
                      <w:i/>
                      <w:color w:val="212121"/>
                      <w:sz w:val="20"/>
                      <w:szCs w:val="20"/>
                      <w:lang w:eastAsia="it-IT"/>
                    </w:rPr>
                    <w:t>Tertenia – Tortolì</w:t>
                  </w:r>
                </w:p>
              </w:tc>
              <w:tc>
                <w:tcPr>
                  <w:tcW w:w="3761"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€ 28.680.175,80</w:t>
                  </w:r>
                </w:p>
              </w:tc>
            </w:tr>
            <w:tr w:rsidR="0082044A" w:rsidRPr="0082044A" w:rsidTr="0082044A">
              <w:tc>
                <w:tcPr>
                  <w:tcW w:w="1309"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CA 09/14</w:t>
                  </w:r>
                </w:p>
              </w:tc>
              <w:tc>
                <w:tcPr>
                  <w:tcW w:w="6662"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xml:space="preserve">S.S. 125 "Orientale Sarda": Lavori di completamento Tronco </w:t>
                  </w:r>
                  <w:r w:rsidRPr="0082044A">
                    <w:rPr>
                      <w:rFonts w:ascii="Times New Roman" w:eastAsia="Calibri" w:hAnsi="Times New Roman" w:cs="Times New Roman"/>
                      <w:bCs/>
                      <w:i/>
                      <w:color w:val="212121"/>
                      <w:sz w:val="20"/>
                      <w:szCs w:val="20"/>
                      <w:lang w:eastAsia="it-IT"/>
                    </w:rPr>
                    <w:t>Tertenia - Tortolì</w:t>
                  </w:r>
                </w:p>
              </w:tc>
              <w:tc>
                <w:tcPr>
                  <w:tcW w:w="3761"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€ 28.680.175,80</w:t>
                  </w:r>
                </w:p>
              </w:tc>
            </w:tr>
            <w:tr w:rsidR="0082044A" w:rsidRPr="0082044A" w:rsidTr="0082044A">
              <w:tc>
                <w:tcPr>
                  <w:tcW w:w="1309"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lastRenderedPageBreak/>
                    <w:t>CA 10/14</w:t>
                  </w:r>
                </w:p>
              </w:tc>
              <w:tc>
                <w:tcPr>
                  <w:tcW w:w="6662"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S.S. 131 “Carlo Felice: Lavori di ammodernamento e di adeguamento</w:t>
                  </w:r>
                </w:p>
              </w:tc>
              <w:tc>
                <w:tcPr>
                  <w:tcW w:w="3761"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€ 45.859.436,53</w:t>
                  </w:r>
                </w:p>
              </w:tc>
            </w:tr>
            <w:tr w:rsidR="0082044A" w:rsidRPr="0082044A" w:rsidTr="0082044A">
              <w:tc>
                <w:tcPr>
                  <w:tcW w:w="1309"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CZ 09/11</w:t>
                  </w:r>
                </w:p>
              </w:tc>
              <w:tc>
                <w:tcPr>
                  <w:tcW w:w="6662"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xml:space="preserve">S.S. 106 “Jonica”: Lavori di costruzione della </w:t>
                  </w:r>
                  <w:r w:rsidRPr="0082044A">
                    <w:rPr>
                      <w:rFonts w:ascii="Times New Roman" w:eastAsia="Calibri" w:hAnsi="Times New Roman" w:cs="Times New Roman"/>
                      <w:bCs/>
                      <w:i/>
                      <w:color w:val="212121"/>
                      <w:sz w:val="20"/>
                      <w:szCs w:val="20"/>
                      <w:lang w:eastAsia="it-IT"/>
                    </w:rPr>
                    <w:t>Variante di Palizzi</w:t>
                  </w:r>
                </w:p>
              </w:tc>
              <w:tc>
                <w:tcPr>
                  <w:tcW w:w="3761"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€ 90.307.812,51</w:t>
                  </w:r>
                </w:p>
              </w:tc>
            </w:tr>
            <w:tr w:rsidR="0082044A" w:rsidRPr="0082044A" w:rsidTr="0082044A">
              <w:tc>
                <w:tcPr>
                  <w:tcW w:w="1309"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FI 15/14</w:t>
                  </w:r>
                </w:p>
              </w:tc>
              <w:tc>
                <w:tcPr>
                  <w:tcW w:w="6662"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S.S. 3 bis (E 45) “Orte – Ravenna”: Lavori relativi al rifacimento degli appoggi, ripristino delle testate di soletta nonché dei giunti di dilatazione del Viadotto Tevere IV</w:t>
                  </w:r>
                </w:p>
              </w:tc>
              <w:tc>
                <w:tcPr>
                  <w:tcW w:w="3761"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€ 24.855.422,36</w:t>
                  </w:r>
                </w:p>
              </w:tc>
            </w:tr>
            <w:tr w:rsidR="0082044A" w:rsidRPr="0082044A" w:rsidTr="0082044A">
              <w:tc>
                <w:tcPr>
                  <w:tcW w:w="1309"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PA 14/14</w:t>
                  </w:r>
                </w:p>
              </w:tc>
              <w:tc>
                <w:tcPr>
                  <w:tcW w:w="6662"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bCs/>
                      <w:i/>
                      <w:color w:val="212121"/>
                      <w:sz w:val="20"/>
                      <w:szCs w:val="20"/>
                      <w:lang w:eastAsia="it-IT"/>
                    </w:rPr>
                    <w:t>S.S. 626 “della Valle del Salso”: Tronco Tertenia-San Priam</w:t>
                  </w:r>
                  <w:r w:rsidRPr="0082044A">
                    <w:rPr>
                      <w:rFonts w:ascii="Times New Roman" w:eastAsia="Calibri" w:hAnsi="Times New Roman" w:cs="Times New Roman"/>
                      <w:i/>
                      <w:color w:val="212121"/>
                      <w:sz w:val="20"/>
                      <w:szCs w:val="20"/>
                      <w:lang w:eastAsia="it-IT"/>
                    </w:rPr>
                    <w:t>o</w:t>
                  </w:r>
                </w:p>
              </w:tc>
              <w:tc>
                <w:tcPr>
                  <w:tcW w:w="3761"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€ 13.044.067,94</w:t>
                  </w:r>
                </w:p>
              </w:tc>
            </w:tr>
            <w:tr w:rsidR="0082044A" w:rsidRPr="0082044A" w:rsidTr="0082044A">
              <w:tc>
                <w:tcPr>
                  <w:tcW w:w="1309"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PA 14/14</w:t>
                  </w:r>
                </w:p>
              </w:tc>
              <w:tc>
                <w:tcPr>
                  <w:tcW w:w="6662"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bCs/>
                      <w:i/>
                      <w:color w:val="212121"/>
                      <w:sz w:val="20"/>
                      <w:szCs w:val="20"/>
                      <w:lang w:eastAsia="it-IT"/>
                    </w:rPr>
                    <w:t>S.S. 626 “della Valle del Salso”: Tronco Tertenia-San Priam</w:t>
                  </w:r>
                  <w:r w:rsidRPr="0082044A">
                    <w:rPr>
                      <w:rFonts w:ascii="Times New Roman" w:eastAsia="Calibri" w:hAnsi="Times New Roman" w:cs="Times New Roman"/>
                      <w:i/>
                      <w:color w:val="212121"/>
                      <w:sz w:val="20"/>
                      <w:szCs w:val="20"/>
                      <w:lang w:eastAsia="it-IT"/>
                    </w:rPr>
                    <w:t>o</w:t>
                  </w:r>
                </w:p>
              </w:tc>
              <w:tc>
                <w:tcPr>
                  <w:tcW w:w="3761"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€ 13.044.067,94</w:t>
                  </w:r>
                </w:p>
              </w:tc>
            </w:tr>
            <w:tr w:rsidR="0082044A" w:rsidRPr="0082044A" w:rsidTr="0082044A">
              <w:tc>
                <w:tcPr>
                  <w:tcW w:w="1309"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RM 01/15</w:t>
                  </w:r>
                </w:p>
              </w:tc>
              <w:tc>
                <w:tcPr>
                  <w:tcW w:w="6662"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A/90 “Autostrada del GRA” e A/91 “Roma-Fiumicino”: Lavori di ripristino urgente impianti di illuminazione e interventi di implementazione dei sistemi di protezione della rete di alimentazione e degli impianti, 1° stralcio</w:t>
                  </w:r>
                </w:p>
              </w:tc>
              <w:tc>
                <w:tcPr>
                  <w:tcW w:w="3761"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€ 12.222.500,00</w:t>
                  </w:r>
                </w:p>
              </w:tc>
            </w:tr>
            <w:tr w:rsidR="0082044A" w:rsidRPr="0082044A" w:rsidTr="0082044A">
              <w:tc>
                <w:tcPr>
                  <w:tcW w:w="1309"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VE 18/14</w:t>
                  </w:r>
                </w:p>
              </w:tc>
              <w:tc>
                <w:tcPr>
                  <w:tcW w:w="6662"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Completamento della Tangenziale di Vicenza</w:t>
                  </w:r>
                </w:p>
              </w:tc>
              <w:tc>
                <w:tcPr>
                  <w:tcW w:w="3761"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€ 45.941.045,61</w:t>
                  </w:r>
                </w:p>
              </w:tc>
            </w:tr>
            <w:tr w:rsidR="0082044A" w:rsidRPr="0082044A" w:rsidTr="0082044A">
              <w:tc>
                <w:tcPr>
                  <w:tcW w:w="1309"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VE 18/14</w:t>
                  </w:r>
                </w:p>
              </w:tc>
              <w:tc>
                <w:tcPr>
                  <w:tcW w:w="6662"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Completamento della Tangenziale di Vicenza</w:t>
                  </w:r>
                </w:p>
              </w:tc>
              <w:tc>
                <w:tcPr>
                  <w:tcW w:w="3761" w:type="dxa"/>
                  <w:shd w:val="clear" w:color="auto" w:fill="FFFFFF" w:themeFill="background1"/>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€ 45.941.045,61</w:t>
                  </w:r>
                </w:p>
              </w:tc>
            </w:tr>
          </w:tbl>
          <w:p w:rsidR="0082044A" w:rsidRPr="0082044A" w:rsidRDefault="0082044A" w:rsidP="0082044A">
            <w:pPr>
              <w:spacing w:after="0" w:line="240" w:lineRule="auto"/>
              <w:jc w:val="both"/>
              <w:rPr>
                <w:rFonts w:ascii="Times New Roman" w:eastAsia="Calibri" w:hAnsi="Times New Roman" w:cs="Times New Roman"/>
                <w:b/>
                <w:i/>
                <w:color w:val="212121"/>
                <w:sz w:val="20"/>
                <w:szCs w:val="20"/>
                <w:lang w:eastAsia="it-IT"/>
              </w:rPr>
            </w:pPr>
          </w:p>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p>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RICORSI “LAVORI” 2016</w:t>
            </w:r>
            <w:r w:rsidRPr="0082044A">
              <w:rPr>
                <w:rFonts w:ascii="Times New Roman" w:eastAsia="Calibri" w:hAnsi="Times New Roman" w:cs="Times New Roman"/>
                <w:i/>
                <w:color w:val="212121"/>
                <w:sz w:val="20"/>
                <w:szCs w:val="20"/>
                <w:lang w:eastAsia="it-IT"/>
              </w:rPr>
              <w:tab/>
            </w:r>
            <w:r w:rsidRPr="0082044A">
              <w:rPr>
                <w:rFonts w:ascii="Times New Roman" w:eastAsia="Calibri" w:hAnsi="Times New Roman" w:cs="Times New Roman"/>
                <w:i/>
                <w:color w:val="212121"/>
                <w:sz w:val="20"/>
                <w:szCs w:val="20"/>
                <w:lang w:eastAsia="it-IT"/>
              </w:rPr>
              <w:tab/>
            </w:r>
            <w:r w:rsidRPr="0082044A">
              <w:rPr>
                <w:rFonts w:ascii="Times New Roman" w:eastAsia="Calibri" w:hAnsi="Times New Roman" w:cs="Times New Roman"/>
                <w:i/>
                <w:color w:val="212121"/>
                <w:sz w:val="20"/>
                <w:szCs w:val="20"/>
                <w:lang w:eastAsia="it-IT"/>
              </w:rPr>
              <w:tab/>
            </w:r>
            <w:r w:rsidRPr="0082044A">
              <w:rPr>
                <w:rFonts w:ascii="Times New Roman" w:eastAsia="Calibri" w:hAnsi="Times New Roman" w:cs="Times New Roman"/>
                <w:i/>
                <w:color w:val="212121"/>
                <w:sz w:val="20"/>
                <w:szCs w:val="20"/>
                <w:lang w:eastAsia="it-IT"/>
              </w:rPr>
              <w:tab/>
            </w:r>
            <w:r w:rsidRPr="0082044A">
              <w:rPr>
                <w:rFonts w:ascii="Times New Roman" w:eastAsia="Calibri" w:hAnsi="Times New Roman" w:cs="Times New Roman"/>
                <w:i/>
                <w:color w:val="212121"/>
                <w:sz w:val="20"/>
                <w:szCs w:val="20"/>
                <w:lang w:eastAsia="it-IT"/>
              </w:rPr>
              <w:tab/>
            </w:r>
            <w:r w:rsidRPr="0082044A">
              <w:rPr>
                <w:rFonts w:ascii="Times New Roman" w:eastAsia="Calibri" w:hAnsi="Times New Roman" w:cs="Times New Roman"/>
                <w:i/>
                <w:color w:val="212121"/>
                <w:sz w:val="20"/>
                <w:szCs w:val="20"/>
                <w:lang w:eastAsia="it-IT"/>
              </w:rPr>
              <w:tab/>
            </w:r>
            <w:r w:rsidRPr="0082044A">
              <w:rPr>
                <w:rFonts w:ascii="Times New Roman" w:eastAsia="Calibri" w:hAnsi="Times New Roman" w:cs="Times New Roman"/>
                <w:i/>
                <w:color w:val="212121"/>
                <w:sz w:val="20"/>
                <w:szCs w:val="20"/>
                <w:lang w:eastAsia="it-IT"/>
              </w:rPr>
              <w:tab/>
              <w:t xml:space="preserve">           Importo a base di gara</w:t>
            </w:r>
          </w:p>
          <w:tbl>
            <w:tblPr>
              <w:tblW w:w="11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6662"/>
              <w:gridCol w:w="3761"/>
            </w:tblGrid>
            <w:tr w:rsidR="0082044A" w:rsidRPr="0082044A" w:rsidTr="0082044A">
              <w:tc>
                <w:tcPr>
                  <w:tcW w:w="1309"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RM 01/15</w:t>
                  </w:r>
                </w:p>
              </w:tc>
              <w:tc>
                <w:tcPr>
                  <w:tcW w:w="6662"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A/90 “Autostrada del GRA” e A/99 “Roma-Fiumicino”: Ripristino urgente impianti di illuminazione</w:t>
                  </w:r>
                </w:p>
              </w:tc>
              <w:tc>
                <w:tcPr>
                  <w:tcW w:w="3761"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€ 12.222.500,00</w:t>
                  </w:r>
                </w:p>
              </w:tc>
            </w:tr>
            <w:tr w:rsidR="0082044A" w:rsidRPr="0082044A" w:rsidTr="0082044A">
              <w:tc>
                <w:tcPr>
                  <w:tcW w:w="1309"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PZ 05/13</w:t>
                  </w:r>
                </w:p>
              </w:tc>
              <w:tc>
                <w:tcPr>
                  <w:tcW w:w="6662"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S.S. 658 "Potenza-Melfi": Lavori di messa in sicurezza</w:t>
                  </w:r>
                </w:p>
              </w:tc>
              <w:tc>
                <w:tcPr>
                  <w:tcW w:w="3761"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€ 24.769.879,25</w:t>
                  </w:r>
                </w:p>
              </w:tc>
            </w:tr>
            <w:tr w:rsidR="0082044A" w:rsidRPr="0082044A" w:rsidTr="0082044A">
              <w:tc>
                <w:tcPr>
                  <w:tcW w:w="1309"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PA 14/14</w:t>
                  </w:r>
                </w:p>
              </w:tc>
              <w:tc>
                <w:tcPr>
                  <w:tcW w:w="6662"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xml:space="preserve">S.S. 626 “della Valle del Salso”: Lotto 7, Dir. Licata-Torrente </w:t>
                  </w:r>
                  <w:proofErr w:type="spellStart"/>
                  <w:r w:rsidRPr="0082044A">
                    <w:rPr>
                      <w:rFonts w:ascii="Times New Roman" w:eastAsia="Calibri" w:hAnsi="Times New Roman" w:cs="Times New Roman"/>
                      <w:i/>
                      <w:color w:val="212121"/>
                      <w:sz w:val="20"/>
                      <w:szCs w:val="20"/>
                      <w:lang w:eastAsia="it-IT"/>
                    </w:rPr>
                    <w:t>Braemi</w:t>
                  </w:r>
                  <w:proofErr w:type="spellEnd"/>
                  <w:r w:rsidRPr="0082044A">
                    <w:rPr>
                      <w:rFonts w:ascii="Times New Roman" w:eastAsia="Calibri" w:hAnsi="Times New Roman" w:cs="Times New Roman"/>
                      <w:i/>
                      <w:color w:val="212121"/>
                      <w:sz w:val="20"/>
                      <w:szCs w:val="20"/>
                      <w:lang w:eastAsia="it-IT"/>
                    </w:rPr>
                    <w:t xml:space="preserve"> M.S.</w:t>
                  </w:r>
                </w:p>
              </w:tc>
              <w:tc>
                <w:tcPr>
                  <w:tcW w:w="3761"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€ 13.044.067,94</w:t>
                  </w:r>
                </w:p>
              </w:tc>
            </w:tr>
            <w:tr w:rsidR="0082044A" w:rsidRPr="0082044A" w:rsidTr="0082044A">
              <w:tc>
                <w:tcPr>
                  <w:tcW w:w="1309"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BO 05/14</w:t>
                  </w:r>
                </w:p>
              </w:tc>
              <w:tc>
                <w:tcPr>
                  <w:tcW w:w="6662"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S.S. 64 "Porrettana": Lavori di realizzazione del nodo ferro stradale di Casalecchio di Reno</w:t>
                  </w:r>
                </w:p>
              </w:tc>
              <w:tc>
                <w:tcPr>
                  <w:tcW w:w="3761"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€ 101.078.445,22</w:t>
                  </w:r>
                </w:p>
              </w:tc>
            </w:tr>
            <w:tr w:rsidR="0082044A" w:rsidRPr="0082044A" w:rsidTr="0082044A">
              <w:tc>
                <w:tcPr>
                  <w:tcW w:w="1309"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VE 18/14</w:t>
                  </w:r>
                </w:p>
              </w:tc>
              <w:tc>
                <w:tcPr>
                  <w:tcW w:w="6662"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Completamento della Tangenziale di Vicenza</w:t>
                  </w:r>
                </w:p>
              </w:tc>
              <w:tc>
                <w:tcPr>
                  <w:tcW w:w="3761"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€ 45.941.045,61</w:t>
                  </w:r>
                </w:p>
              </w:tc>
            </w:tr>
            <w:tr w:rsidR="0082044A" w:rsidRPr="0082044A" w:rsidTr="0082044A">
              <w:tc>
                <w:tcPr>
                  <w:tcW w:w="1309"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VE 18/14</w:t>
                  </w:r>
                </w:p>
              </w:tc>
              <w:tc>
                <w:tcPr>
                  <w:tcW w:w="6662"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Completamento della Tangenziale di Vicenza</w:t>
                  </w:r>
                </w:p>
              </w:tc>
              <w:tc>
                <w:tcPr>
                  <w:tcW w:w="3761"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€ 45.941.045,61</w:t>
                  </w:r>
                </w:p>
              </w:tc>
            </w:tr>
            <w:tr w:rsidR="0082044A" w:rsidRPr="0082044A" w:rsidTr="0082044A">
              <w:tc>
                <w:tcPr>
                  <w:tcW w:w="1309"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FI 15/14</w:t>
                  </w:r>
                </w:p>
              </w:tc>
              <w:tc>
                <w:tcPr>
                  <w:tcW w:w="6662"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xml:space="preserve">S.S. 3Bis (E/45): Lavori relativi al rifacimento degli appoggi, ripristino delle testate di soletta </w:t>
                  </w:r>
                  <w:proofErr w:type="spellStart"/>
                  <w:r w:rsidRPr="0082044A">
                    <w:rPr>
                      <w:rFonts w:ascii="Times New Roman" w:eastAsia="Calibri" w:hAnsi="Times New Roman" w:cs="Times New Roman"/>
                      <w:i/>
                      <w:color w:val="212121"/>
                      <w:sz w:val="20"/>
                      <w:szCs w:val="20"/>
                      <w:lang w:eastAsia="it-IT"/>
                    </w:rPr>
                    <w:t>nonchè</w:t>
                  </w:r>
                  <w:proofErr w:type="spellEnd"/>
                  <w:r w:rsidRPr="0082044A">
                    <w:rPr>
                      <w:rFonts w:ascii="Times New Roman" w:eastAsia="Calibri" w:hAnsi="Times New Roman" w:cs="Times New Roman"/>
                      <w:i/>
                      <w:color w:val="212121"/>
                      <w:sz w:val="20"/>
                      <w:szCs w:val="20"/>
                      <w:lang w:eastAsia="it-IT"/>
                    </w:rPr>
                    <w:t xml:space="preserve"> dei giunti di dilatazione del Viadotto Tevere IV</w:t>
                  </w:r>
                </w:p>
              </w:tc>
              <w:tc>
                <w:tcPr>
                  <w:tcW w:w="3761"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€ 24.855.422,36</w:t>
                  </w:r>
                </w:p>
              </w:tc>
            </w:tr>
            <w:tr w:rsidR="0082044A" w:rsidRPr="0082044A" w:rsidTr="0082044A">
              <w:tc>
                <w:tcPr>
                  <w:tcW w:w="1309"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PG 13/14</w:t>
                  </w:r>
                </w:p>
              </w:tc>
              <w:tc>
                <w:tcPr>
                  <w:tcW w:w="6662"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S.S.219 “di Gubbio e Pian d’</w:t>
                  </w:r>
                  <w:proofErr w:type="spellStart"/>
                  <w:r w:rsidRPr="0082044A">
                    <w:rPr>
                      <w:rFonts w:ascii="Times New Roman" w:eastAsia="Calibri" w:hAnsi="Times New Roman" w:cs="Times New Roman"/>
                      <w:i/>
                      <w:color w:val="212121"/>
                      <w:sz w:val="20"/>
                      <w:szCs w:val="20"/>
                      <w:lang w:eastAsia="it-IT"/>
                    </w:rPr>
                    <w:t>Assino</w:t>
                  </w:r>
                  <w:proofErr w:type="spellEnd"/>
                  <w:r w:rsidRPr="0082044A">
                    <w:rPr>
                      <w:rFonts w:ascii="Times New Roman" w:eastAsia="Calibri" w:hAnsi="Times New Roman" w:cs="Times New Roman"/>
                      <w:i/>
                      <w:color w:val="212121"/>
                      <w:sz w:val="20"/>
                      <w:szCs w:val="20"/>
                      <w:lang w:eastAsia="it-IT"/>
                    </w:rPr>
                    <w:t>”: tratto GUBBIO-Umbertide, Lotto 2 Mocaiana-Pietralunga</w:t>
                  </w:r>
                </w:p>
              </w:tc>
              <w:tc>
                <w:tcPr>
                  <w:tcW w:w="3761"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€ 60.483.990,77</w:t>
                  </w:r>
                </w:p>
              </w:tc>
            </w:tr>
            <w:tr w:rsidR="0082044A" w:rsidRPr="0082044A" w:rsidTr="0082044A">
              <w:tc>
                <w:tcPr>
                  <w:tcW w:w="1309"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PA 01/14</w:t>
                  </w:r>
                </w:p>
              </w:tc>
              <w:tc>
                <w:tcPr>
                  <w:tcW w:w="6662"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xml:space="preserve">S.S. 117 “Centrale Sicula”: </w:t>
                  </w:r>
                  <w:proofErr w:type="spellStart"/>
                  <w:r w:rsidRPr="0082044A">
                    <w:rPr>
                      <w:rFonts w:ascii="Times New Roman" w:eastAsia="Calibri" w:hAnsi="Times New Roman" w:cs="Times New Roman"/>
                      <w:i/>
                      <w:color w:val="212121"/>
                      <w:sz w:val="20"/>
                      <w:szCs w:val="20"/>
                      <w:lang w:eastAsia="it-IT"/>
                    </w:rPr>
                    <w:t>Intinerario</w:t>
                  </w:r>
                  <w:proofErr w:type="spellEnd"/>
                  <w:r w:rsidRPr="0082044A">
                    <w:rPr>
                      <w:rFonts w:ascii="Times New Roman" w:eastAsia="Calibri" w:hAnsi="Times New Roman" w:cs="Times New Roman"/>
                      <w:i/>
                      <w:color w:val="212121"/>
                      <w:sz w:val="20"/>
                      <w:szCs w:val="20"/>
                      <w:lang w:eastAsia="it-IT"/>
                    </w:rPr>
                    <w:t xml:space="preserve"> Nord-Sud, S. Stefano di Camastra - Gela.</w:t>
                  </w:r>
                </w:p>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Lavori di ammodernamento e sistemazione</w:t>
                  </w:r>
                </w:p>
              </w:tc>
              <w:tc>
                <w:tcPr>
                  <w:tcW w:w="3761"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€ 57.494.285,04</w:t>
                  </w:r>
                </w:p>
              </w:tc>
            </w:tr>
            <w:tr w:rsidR="0082044A" w:rsidRPr="0082044A" w:rsidTr="0082044A">
              <w:tc>
                <w:tcPr>
                  <w:tcW w:w="1309"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PA 01/14</w:t>
                  </w:r>
                </w:p>
              </w:tc>
              <w:tc>
                <w:tcPr>
                  <w:tcW w:w="6662"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xml:space="preserve">S.S. 117 “Centrale Sicula”: </w:t>
                  </w:r>
                  <w:proofErr w:type="spellStart"/>
                  <w:r w:rsidRPr="0082044A">
                    <w:rPr>
                      <w:rFonts w:ascii="Times New Roman" w:eastAsia="Calibri" w:hAnsi="Times New Roman" w:cs="Times New Roman"/>
                      <w:i/>
                      <w:color w:val="212121"/>
                      <w:sz w:val="20"/>
                      <w:szCs w:val="20"/>
                      <w:lang w:eastAsia="it-IT"/>
                    </w:rPr>
                    <w:t>Intinerario</w:t>
                  </w:r>
                  <w:proofErr w:type="spellEnd"/>
                  <w:r w:rsidRPr="0082044A">
                    <w:rPr>
                      <w:rFonts w:ascii="Times New Roman" w:eastAsia="Calibri" w:hAnsi="Times New Roman" w:cs="Times New Roman"/>
                      <w:i/>
                      <w:color w:val="212121"/>
                      <w:sz w:val="20"/>
                      <w:szCs w:val="20"/>
                      <w:lang w:eastAsia="it-IT"/>
                    </w:rPr>
                    <w:t xml:space="preserve"> Nord-Sud, S. Stefano di Camastra - Gela.</w:t>
                  </w:r>
                </w:p>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Lavori di ammodernamento e sistemazione</w:t>
                  </w:r>
                </w:p>
              </w:tc>
              <w:tc>
                <w:tcPr>
                  <w:tcW w:w="3761"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€ 57.494.285,04</w:t>
                  </w:r>
                </w:p>
              </w:tc>
            </w:tr>
            <w:tr w:rsidR="0082044A" w:rsidRPr="0082044A" w:rsidTr="0082044A">
              <w:tc>
                <w:tcPr>
                  <w:tcW w:w="1309"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PA 01/14</w:t>
                  </w:r>
                </w:p>
              </w:tc>
              <w:tc>
                <w:tcPr>
                  <w:tcW w:w="6662"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xml:space="preserve">S.S. 117 “Centrale Sicula”: </w:t>
                  </w:r>
                  <w:proofErr w:type="spellStart"/>
                  <w:r w:rsidRPr="0082044A">
                    <w:rPr>
                      <w:rFonts w:ascii="Times New Roman" w:eastAsia="Calibri" w:hAnsi="Times New Roman" w:cs="Times New Roman"/>
                      <w:i/>
                      <w:color w:val="212121"/>
                      <w:sz w:val="20"/>
                      <w:szCs w:val="20"/>
                      <w:lang w:eastAsia="it-IT"/>
                    </w:rPr>
                    <w:t>Intinerario</w:t>
                  </w:r>
                  <w:proofErr w:type="spellEnd"/>
                  <w:r w:rsidRPr="0082044A">
                    <w:rPr>
                      <w:rFonts w:ascii="Times New Roman" w:eastAsia="Calibri" w:hAnsi="Times New Roman" w:cs="Times New Roman"/>
                      <w:i/>
                      <w:color w:val="212121"/>
                      <w:sz w:val="20"/>
                      <w:szCs w:val="20"/>
                      <w:lang w:eastAsia="it-IT"/>
                    </w:rPr>
                    <w:t xml:space="preserve"> Nord-Sud, S. Stefano di Camastra - Gela.</w:t>
                  </w:r>
                </w:p>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Lavori di ammodernamento e sistemazione</w:t>
                  </w:r>
                </w:p>
              </w:tc>
              <w:tc>
                <w:tcPr>
                  <w:tcW w:w="3761"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€ 57.494.285,04</w:t>
                  </w:r>
                </w:p>
              </w:tc>
            </w:tr>
            <w:tr w:rsidR="0082044A" w:rsidRPr="0082044A" w:rsidTr="0082044A">
              <w:tc>
                <w:tcPr>
                  <w:tcW w:w="1309"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BA 06-15</w:t>
                  </w:r>
                </w:p>
              </w:tc>
              <w:tc>
                <w:tcPr>
                  <w:tcW w:w="6662"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S.S. 100 “di Gioia del Colle”: Accordo quadro per l'esecuzione di lavori di manutenzione delle pavimentazioni e della relativa segnaletica orizzontale</w:t>
                  </w:r>
                </w:p>
              </w:tc>
              <w:tc>
                <w:tcPr>
                  <w:tcW w:w="3761"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€ 21.000.000,00</w:t>
                  </w:r>
                </w:p>
              </w:tc>
            </w:tr>
            <w:tr w:rsidR="0082044A" w:rsidRPr="0082044A" w:rsidTr="0082044A">
              <w:tc>
                <w:tcPr>
                  <w:tcW w:w="1309"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BA 06-15</w:t>
                  </w:r>
                </w:p>
              </w:tc>
              <w:tc>
                <w:tcPr>
                  <w:tcW w:w="6662"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S.S. 100 “di Gioia del Colle”: Accordo quadro per l'esecuzione di lavori di manutenzione delle pavimentazioni e della relativa segnaletica orizzontale</w:t>
                  </w:r>
                </w:p>
              </w:tc>
              <w:tc>
                <w:tcPr>
                  <w:tcW w:w="3761"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€ 21.000.000,00</w:t>
                  </w:r>
                </w:p>
              </w:tc>
            </w:tr>
            <w:tr w:rsidR="0082044A" w:rsidRPr="0082044A" w:rsidTr="0082044A">
              <w:tc>
                <w:tcPr>
                  <w:tcW w:w="1309"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CZ 08/11</w:t>
                  </w:r>
                </w:p>
              </w:tc>
              <w:tc>
                <w:tcPr>
                  <w:tcW w:w="6662"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xml:space="preserve">S.S. 106 “Jonica”: Raccordo tra la A3 SA-RC e la S.S. 106 Firmo - Sibari - Lavori di adeguamento alla </w:t>
                  </w:r>
                  <w:proofErr w:type="spellStart"/>
                  <w:r w:rsidRPr="0082044A">
                    <w:rPr>
                      <w:rFonts w:ascii="Times New Roman" w:eastAsia="Calibri" w:hAnsi="Times New Roman" w:cs="Times New Roman"/>
                      <w:i/>
                      <w:color w:val="212121"/>
                      <w:sz w:val="20"/>
                      <w:szCs w:val="20"/>
                      <w:lang w:eastAsia="it-IT"/>
                    </w:rPr>
                    <w:t>cat</w:t>
                  </w:r>
                  <w:proofErr w:type="spellEnd"/>
                  <w:r w:rsidRPr="0082044A">
                    <w:rPr>
                      <w:rFonts w:ascii="Times New Roman" w:eastAsia="Calibri" w:hAnsi="Times New Roman" w:cs="Times New Roman"/>
                      <w:i/>
                      <w:color w:val="212121"/>
                      <w:sz w:val="20"/>
                      <w:szCs w:val="20"/>
                      <w:lang w:eastAsia="it-IT"/>
                    </w:rPr>
                    <w:t>. B della S.S. 534</w:t>
                  </w:r>
                </w:p>
              </w:tc>
              <w:tc>
                <w:tcPr>
                  <w:tcW w:w="3761"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€ 129.380.170,84</w:t>
                  </w:r>
                </w:p>
              </w:tc>
            </w:tr>
            <w:tr w:rsidR="0082044A" w:rsidRPr="0082044A" w:rsidTr="0082044A">
              <w:tc>
                <w:tcPr>
                  <w:tcW w:w="1309"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CA 07/12</w:t>
                  </w:r>
                </w:p>
              </w:tc>
              <w:tc>
                <w:tcPr>
                  <w:tcW w:w="6662"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Adeguamento al tipo B dell'Itinerario Sassari -Olbia</w:t>
                  </w:r>
                </w:p>
              </w:tc>
              <w:tc>
                <w:tcPr>
                  <w:tcW w:w="3761"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€ 66.630.253,16</w:t>
                  </w:r>
                </w:p>
              </w:tc>
            </w:tr>
            <w:tr w:rsidR="0082044A" w:rsidRPr="0082044A" w:rsidTr="0082044A">
              <w:tc>
                <w:tcPr>
                  <w:tcW w:w="1309"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ASR 02/15</w:t>
                  </w:r>
                </w:p>
              </w:tc>
              <w:tc>
                <w:tcPr>
                  <w:tcW w:w="6662"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A/3: Lavori di manutenzione straordinaria tra lo svincolo di Campo Calabro  (escluso) e lo svincolo di Santa Caterina (incluso)</w:t>
                  </w:r>
                </w:p>
              </w:tc>
              <w:tc>
                <w:tcPr>
                  <w:tcW w:w="3761"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€ 44.401.638,4</w:t>
                  </w:r>
                </w:p>
              </w:tc>
            </w:tr>
            <w:tr w:rsidR="0082044A" w:rsidRPr="0082044A" w:rsidTr="0082044A">
              <w:tc>
                <w:tcPr>
                  <w:tcW w:w="1309"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AQ 04/14</w:t>
                  </w:r>
                </w:p>
              </w:tc>
              <w:tc>
                <w:tcPr>
                  <w:tcW w:w="6662"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S.S. 260 “</w:t>
                  </w:r>
                  <w:proofErr w:type="spellStart"/>
                  <w:r w:rsidRPr="0082044A">
                    <w:rPr>
                      <w:rFonts w:ascii="Times New Roman" w:eastAsia="Calibri" w:hAnsi="Times New Roman" w:cs="Times New Roman"/>
                      <w:i/>
                      <w:color w:val="212121"/>
                      <w:sz w:val="20"/>
                      <w:szCs w:val="20"/>
                      <w:lang w:eastAsia="it-IT"/>
                    </w:rPr>
                    <w:t>Picente</w:t>
                  </w:r>
                  <w:proofErr w:type="spellEnd"/>
                  <w:r w:rsidRPr="0082044A">
                    <w:rPr>
                      <w:rFonts w:ascii="Times New Roman" w:eastAsia="Calibri" w:hAnsi="Times New Roman" w:cs="Times New Roman"/>
                      <w:i/>
                      <w:color w:val="212121"/>
                      <w:sz w:val="20"/>
                      <w:szCs w:val="20"/>
                      <w:lang w:eastAsia="it-IT"/>
                    </w:rPr>
                    <w:t>”: Lavori di adeguamento della sezione C2 del D.M. 5.11.2011</w:t>
                  </w:r>
                </w:p>
              </w:tc>
              <w:tc>
                <w:tcPr>
                  <w:tcW w:w="3761"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€ 61.370.677,93</w:t>
                  </w:r>
                </w:p>
              </w:tc>
            </w:tr>
            <w:tr w:rsidR="0082044A" w:rsidRPr="0082044A" w:rsidTr="0082044A">
              <w:tc>
                <w:tcPr>
                  <w:tcW w:w="1309"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RM 16/14</w:t>
                  </w:r>
                </w:p>
              </w:tc>
              <w:tc>
                <w:tcPr>
                  <w:tcW w:w="6662"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Direttrice Terni – Rieti: Tratto laziale dalla galleria Montelungo</w:t>
                  </w:r>
                </w:p>
              </w:tc>
              <w:tc>
                <w:tcPr>
                  <w:tcW w:w="3761"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€ 16.413.510,79</w:t>
                  </w:r>
                </w:p>
              </w:tc>
            </w:tr>
            <w:tr w:rsidR="0082044A" w:rsidRPr="0082044A" w:rsidTr="0082044A">
              <w:tc>
                <w:tcPr>
                  <w:tcW w:w="1309"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RM 16/14</w:t>
                  </w:r>
                </w:p>
              </w:tc>
              <w:tc>
                <w:tcPr>
                  <w:tcW w:w="6662"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Direttrice Terni – Rieti: Tratto laziale dalla galleria Montelungo</w:t>
                  </w:r>
                </w:p>
              </w:tc>
              <w:tc>
                <w:tcPr>
                  <w:tcW w:w="3761"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€ 16.413.510,79</w:t>
                  </w:r>
                </w:p>
              </w:tc>
            </w:tr>
            <w:tr w:rsidR="0082044A" w:rsidRPr="0082044A" w:rsidTr="0082044A">
              <w:tc>
                <w:tcPr>
                  <w:tcW w:w="1309"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BA 07/14</w:t>
                  </w:r>
                </w:p>
              </w:tc>
              <w:tc>
                <w:tcPr>
                  <w:tcW w:w="6662"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S.S. 172 “dei Trulli”: Adeguamento e ammodernamento in sede e in variante</w:t>
                  </w:r>
                </w:p>
              </w:tc>
              <w:tc>
                <w:tcPr>
                  <w:tcW w:w="3761"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€ 23.907.025,98</w:t>
                  </w:r>
                </w:p>
              </w:tc>
            </w:tr>
            <w:tr w:rsidR="0082044A" w:rsidRPr="0082044A" w:rsidTr="0082044A">
              <w:tc>
                <w:tcPr>
                  <w:tcW w:w="1309"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AN 20/14</w:t>
                  </w:r>
                </w:p>
              </w:tc>
              <w:tc>
                <w:tcPr>
                  <w:tcW w:w="6662"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xml:space="preserve">S.S. 4 “Salaria”: lavori di adeguamento del tratto compreso tra l’abitato di Trisungo e la Galleria </w:t>
                  </w:r>
                  <w:proofErr w:type="spellStart"/>
                  <w:r w:rsidRPr="0082044A">
                    <w:rPr>
                      <w:rFonts w:ascii="Times New Roman" w:eastAsia="Calibri" w:hAnsi="Times New Roman" w:cs="Times New Roman"/>
                      <w:i/>
                      <w:color w:val="212121"/>
                      <w:sz w:val="20"/>
                      <w:szCs w:val="20"/>
                      <w:lang w:eastAsia="it-IT"/>
                    </w:rPr>
                    <w:t>Valgarizia</w:t>
                  </w:r>
                  <w:proofErr w:type="spellEnd"/>
                </w:p>
              </w:tc>
              <w:tc>
                <w:tcPr>
                  <w:tcW w:w="3761"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€ 89.876.352,47</w:t>
                  </w:r>
                </w:p>
              </w:tc>
            </w:tr>
            <w:tr w:rsidR="0082044A" w:rsidRPr="0082044A" w:rsidTr="0082044A">
              <w:tc>
                <w:tcPr>
                  <w:tcW w:w="1309"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MI 27/07</w:t>
                  </w:r>
                </w:p>
              </w:tc>
              <w:tc>
                <w:tcPr>
                  <w:tcW w:w="6662"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Realizzazione del Raccordo autostradale tra l’Autostrada A/$ e la Val Trompia, Tronco Ospitaletto-Sarezzo</w:t>
                  </w:r>
                </w:p>
              </w:tc>
              <w:tc>
                <w:tcPr>
                  <w:tcW w:w="3761"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€ 235.281.018,40</w:t>
                  </w:r>
                </w:p>
              </w:tc>
            </w:tr>
            <w:tr w:rsidR="0082044A" w:rsidRPr="0082044A" w:rsidTr="0082044A">
              <w:tc>
                <w:tcPr>
                  <w:tcW w:w="1309"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BA 23/09</w:t>
                  </w:r>
                </w:p>
              </w:tc>
              <w:tc>
                <w:tcPr>
                  <w:tcW w:w="6662"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S.S 275  “di Santa Maria di Leuca”: progettazione esecutiva e dei lavori del tratto Maglie-S. Maria di Leuca</w:t>
                  </w:r>
                </w:p>
              </w:tc>
              <w:tc>
                <w:tcPr>
                  <w:tcW w:w="3761"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€ 200.702.186,59</w:t>
                  </w:r>
                </w:p>
              </w:tc>
            </w:tr>
            <w:tr w:rsidR="0082044A" w:rsidRPr="0082044A" w:rsidTr="0082044A">
              <w:tc>
                <w:tcPr>
                  <w:tcW w:w="1309"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BA 23/09</w:t>
                  </w:r>
                </w:p>
              </w:tc>
              <w:tc>
                <w:tcPr>
                  <w:tcW w:w="6662"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S.S 275  “di Santa Maria di Leuca”: progettazione esecutiva e dei lavori del tratto Maglie-S. Maria di Leuca</w:t>
                  </w:r>
                </w:p>
              </w:tc>
              <w:tc>
                <w:tcPr>
                  <w:tcW w:w="3761"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€ 200.702.186,59</w:t>
                  </w:r>
                </w:p>
              </w:tc>
            </w:tr>
            <w:tr w:rsidR="0082044A" w:rsidRPr="0082044A" w:rsidTr="0082044A">
              <w:tc>
                <w:tcPr>
                  <w:tcW w:w="1309"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BA 23/09</w:t>
                  </w:r>
                </w:p>
              </w:tc>
              <w:tc>
                <w:tcPr>
                  <w:tcW w:w="6662"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S.S 275  “di Santa Maria di Leuca”: progettazione esecutiva e dei lavori del tratto Maglie-S. Maria di Leuca</w:t>
                  </w:r>
                </w:p>
              </w:tc>
              <w:tc>
                <w:tcPr>
                  <w:tcW w:w="3761"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€ 200.702.186,59</w:t>
                  </w:r>
                </w:p>
              </w:tc>
            </w:tr>
            <w:tr w:rsidR="0082044A" w:rsidRPr="0082044A" w:rsidTr="0082044A">
              <w:tc>
                <w:tcPr>
                  <w:tcW w:w="1309"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lastRenderedPageBreak/>
                    <w:t>BA 23/09</w:t>
                  </w:r>
                </w:p>
              </w:tc>
              <w:tc>
                <w:tcPr>
                  <w:tcW w:w="6662"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S.S 275  “di Santa Maria di Leuca”: progettazione esecutiva e dei lavori del tratto Maglie-S. Maria di Leuca</w:t>
                  </w:r>
                </w:p>
              </w:tc>
              <w:tc>
                <w:tcPr>
                  <w:tcW w:w="3761"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€ 200.702.186,59</w:t>
                  </w:r>
                </w:p>
              </w:tc>
            </w:tr>
            <w:tr w:rsidR="0082044A" w:rsidRPr="0082044A" w:rsidTr="0082044A">
              <w:tc>
                <w:tcPr>
                  <w:tcW w:w="1309"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PA 02/14</w:t>
                  </w:r>
                </w:p>
              </w:tc>
              <w:tc>
                <w:tcPr>
                  <w:tcW w:w="6662"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Progettazione esecutiva ed esecuzione dell’</w:t>
                  </w:r>
                  <w:proofErr w:type="spellStart"/>
                  <w:r w:rsidRPr="0082044A">
                    <w:rPr>
                      <w:rFonts w:ascii="Times New Roman" w:eastAsia="Calibri" w:hAnsi="Times New Roman" w:cs="Times New Roman"/>
                      <w:i/>
                      <w:color w:val="212121"/>
                      <w:sz w:val="20"/>
                      <w:szCs w:val="20"/>
                      <w:lang w:eastAsia="it-IT"/>
                    </w:rPr>
                    <w:t>oprea</w:t>
                  </w:r>
                  <w:proofErr w:type="spellEnd"/>
                  <w:r w:rsidRPr="0082044A">
                    <w:rPr>
                      <w:rFonts w:ascii="Times New Roman" w:eastAsia="Calibri" w:hAnsi="Times New Roman" w:cs="Times New Roman"/>
                      <w:i/>
                      <w:color w:val="212121"/>
                      <w:sz w:val="20"/>
                      <w:szCs w:val="20"/>
                      <w:lang w:eastAsia="it-IT"/>
                    </w:rPr>
                    <w:t xml:space="preserve"> “Itinerario Nord – Sud, S. Stefano di Camastra – Gela” </w:t>
                  </w:r>
                </w:p>
              </w:tc>
              <w:tc>
                <w:tcPr>
                  <w:tcW w:w="3761"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€ 91.589.621,62</w:t>
                  </w:r>
                </w:p>
              </w:tc>
            </w:tr>
            <w:tr w:rsidR="0082044A" w:rsidRPr="0082044A" w:rsidTr="0082044A">
              <w:tc>
                <w:tcPr>
                  <w:tcW w:w="1309"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CA 08/15</w:t>
                  </w:r>
                </w:p>
              </w:tc>
              <w:tc>
                <w:tcPr>
                  <w:tcW w:w="6662"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S.S. 554 “Cagliaritana”: Adeguamento all’asse attrezzato urbano ed eliminazione delle intersezioni a raso</w:t>
                  </w:r>
                </w:p>
              </w:tc>
              <w:tc>
                <w:tcPr>
                  <w:tcW w:w="3761" w:type="dxa"/>
                  <w:shd w:val="clear" w:color="auto" w:fill="auto"/>
                </w:tcPr>
                <w:p w:rsidR="0082044A" w:rsidRPr="0082044A" w:rsidRDefault="0082044A" w:rsidP="0082044A">
                  <w:pPr>
                    <w:spacing w:after="0" w:line="240" w:lineRule="auto"/>
                    <w:jc w:val="both"/>
                    <w:rPr>
                      <w:rFonts w:ascii="Times New Roman" w:eastAsia="Calibri" w:hAnsi="Times New Roman" w:cs="Times New Roman"/>
                      <w:i/>
                      <w:color w:val="212121"/>
                      <w:sz w:val="20"/>
                      <w:szCs w:val="20"/>
                      <w:lang w:eastAsia="it-IT"/>
                    </w:rPr>
                  </w:pPr>
                  <w:r w:rsidRPr="0082044A">
                    <w:rPr>
                      <w:rFonts w:ascii="Times New Roman" w:eastAsia="Calibri" w:hAnsi="Times New Roman" w:cs="Times New Roman"/>
                      <w:i/>
                      <w:color w:val="212121"/>
                      <w:sz w:val="20"/>
                      <w:szCs w:val="20"/>
                      <w:lang w:eastAsia="it-IT"/>
                    </w:rPr>
                    <w:t>€ 79.003.837,27</w:t>
                  </w:r>
                </w:p>
              </w:tc>
            </w:tr>
          </w:tbl>
          <w:p w:rsidR="0082044A" w:rsidRPr="0082044A" w:rsidRDefault="0082044A" w:rsidP="0082044A">
            <w:pPr>
              <w:spacing w:after="0" w:line="240" w:lineRule="auto"/>
              <w:jc w:val="both"/>
              <w:rPr>
                <w:rFonts w:ascii="Times New Roman" w:eastAsia="Calibri" w:hAnsi="Times New Roman" w:cs="Times New Roman"/>
                <w:color w:val="212121"/>
                <w:sz w:val="16"/>
                <w:szCs w:val="16"/>
                <w:lang w:eastAsia="it-IT"/>
              </w:rPr>
            </w:pPr>
          </w:p>
          <w:p w:rsidR="0082044A" w:rsidRPr="0082044A" w:rsidRDefault="0082044A" w:rsidP="0082044A">
            <w:pPr>
              <w:spacing w:after="0" w:line="240" w:lineRule="auto"/>
              <w:jc w:val="both"/>
              <w:rPr>
                <w:rFonts w:ascii="Times New Roman" w:eastAsia="Calibri" w:hAnsi="Times New Roman" w:cs="Times New Roman"/>
                <w:color w:val="212121"/>
                <w:sz w:val="16"/>
                <w:szCs w:val="16"/>
                <w:lang w:eastAsia="it-IT"/>
              </w:rPr>
            </w:pPr>
          </w:p>
          <w:p w:rsidR="0082044A" w:rsidRPr="0082044A" w:rsidRDefault="0082044A" w:rsidP="0082044A">
            <w:pPr>
              <w:spacing w:after="0" w:line="240" w:lineRule="auto"/>
              <w:rPr>
                <w:rFonts w:ascii="Times New Roman" w:eastAsia="Calibri" w:hAnsi="Times New Roman" w:cs="Times New Roman"/>
                <w:color w:val="212121"/>
                <w:sz w:val="16"/>
                <w:szCs w:val="16"/>
                <w:lang w:eastAsia="it-IT"/>
              </w:rPr>
            </w:pPr>
          </w:p>
          <w:p w:rsidR="0082044A" w:rsidRPr="008F0BDF" w:rsidRDefault="0082044A" w:rsidP="0082044A">
            <w:pPr>
              <w:spacing w:after="0" w:line="240" w:lineRule="auto"/>
              <w:rPr>
                <w:rFonts w:ascii="Times New Roman" w:eastAsia="Calibri" w:hAnsi="Times New Roman" w:cs="Times New Roman"/>
                <w:b/>
                <w:i/>
                <w:sz w:val="24"/>
                <w:szCs w:val="24"/>
                <w:lang w:eastAsia="it-IT"/>
              </w:rPr>
            </w:pPr>
            <w:r w:rsidRPr="0082044A">
              <w:rPr>
                <w:rFonts w:ascii="Times New Roman" w:eastAsia="Calibri" w:hAnsi="Times New Roman" w:cs="Times New Roman"/>
                <w:b/>
                <w:i/>
                <w:color w:val="212121"/>
                <w:sz w:val="24"/>
                <w:szCs w:val="24"/>
                <w:lang w:eastAsia="it-IT"/>
              </w:rPr>
              <w:t>11. Considerazioni finali e indicazioni per possibili proposte di intervento</w:t>
            </w:r>
          </w:p>
          <w:p w:rsidR="0082044A" w:rsidRPr="0082044A" w:rsidRDefault="0082044A" w:rsidP="0082044A">
            <w:pPr>
              <w:spacing w:after="0" w:line="240" w:lineRule="auto"/>
              <w:rPr>
                <w:rFonts w:ascii="Times New Roman" w:eastAsia="Calibri" w:hAnsi="Times New Roman" w:cs="Times New Roman"/>
                <w:b/>
                <w:i/>
                <w:color w:val="212121"/>
                <w:sz w:val="24"/>
                <w:szCs w:val="24"/>
                <w:lang w:eastAsia="it-IT"/>
              </w:rPr>
            </w:pPr>
          </w:p>
          <w:p w:rsidR="0082044A" w:rsidRPr="0082044A" w:rsidRDefault="0082044A" w:rsidP="0082044A">
            <w:pPr>
              <w:spacing w:after="0" w:line="240" w:lineRule="auto"/>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color w:val="212121"/>
                <w:sz w:val="24"/>
                <w:szCs w:val="24"/>
                <w:lang w:eastAsia="it-IT"/>
              </w:rPr>
              <w:t>I dati salienti emersi dallo studio consentono di validare le seguenti conclusioni:</w:t>
            </w:r>
          </w:p>
          <w:p w:rsidR="0082044A" w:rsidRPr="0082044A" w:rsidRDefault="0082044A" w:rsidP="0082044A">
            <w:pPr>
              <w:spacing w:after="0" w:line="240" w:lineRule="auto"/>
              <w:jc w:val="both"/>
              <w:rPr>
                <w:rFonts w:ascii="Times New Roman" w:eastAsia="Calibri" w:hAnsi="Times New Roman" w:cs="Times New Roman"/>
                <w:color w:val="212121"/>
                <w:sz w:val="24"/>
                <w:szCs w:val="24"/>
                <w:lang w:eastAsia="it-IT"/>
              </w:rPr>
            </w:pPr>
          </w:p>
          <w:p w:rsidR="0082044A" w:rsidRPr="0082044A" w:rsidRDefault="0082044A" w:rsidP="0082044A">
            <w:pPr>
              <w:spacing w:after="0" w:line="240" w:lineRule="auto"/>
              <w:jc w:val="both"/>
              <w:rPr>
                <w:rFonts w:ascii="Times New Roman" w:eastAsia="Calibri" w:hAnsi="Times New Roman" w:cs="Times New Roman"/>
                <w:b/>
                <w:i/>
                <w:color w:val="212121"/>
                <w:sz w:val="24"/>
                <w:szCs w:val="24"/>
                <w:lang w:eastAsia="it-IT"/>
              </w:rPr>
            </w:pPr>
            <w:r w:rsidRPr="0082044A">
              <w:rPr>
                <w:rFonts w:ascii="Times New Roman" w:eastAsia="Calibri" w:hAnsi="Times New Roman" w:cs="Times New Roman"/>
                <w:b/>
                <w:i/>
                <w:color w:val="212121"/>
                <w:sz w:val="24"/>
                <w:szCs w:val="24"/>
                <w:lang w:eastAsia="it-IT"/>
              </w:rPr>
              <w:t xml:space="preserve">Sui tempi del contenzioso </w:t>
            </w:r>
          </w:p>
          <w:p w:rsidR="0082044A" w:rsidRPr="0082044A" w:rsidRDefault="0082044A" w:rsidP="00AA1A94">
            <w:pPr>
              <w:numPr>
                <w:ilvl w:val="0"/>
                <w:numId w:val="8"/>
              </w:numPr>
              <w:spacing w:after="160" w:line="252" w:lineRule="auto"/>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b/>
                <w:color w:val="212121"/>
                <w:sz w:val="24"/>
                <w:szCs w:val="24"/>
                <w:lang w:eastAsia="it-IT"/>
              </w:rPr>
              <w:t>Il giudizio cautelare</w:t>
            </w:r>
            <w:r w:rsidRPr="0082044A">
              <w:rPr>
                <w:rFonts w:ascii="Times New Roman" w:eastAsia="Calibri" w:hAnsi="Times New Roman" w:cs="Times New Roman"/>
                <w:color w:val="212121"/>
                <w:sz w:val="24"/>
                <w:szCs w:val="24"/>
                <w:lang w:eastAsia="it-IT"/>
              </w:rPr>
              <w:t xml:space="preserve">, il vero terreno sul quale si decide la </w:t>
            </w:r>
            <w:proofErr w:type="spellStart"/>
            <w:r w:rsidRPr="0082044A">
              <w:rPr>
                <w:rFonts w:ascii="Times New Roman" w:eastAsia="Calibri" w:hAnsi="Times New Roman" w:cs="Times New Roman"/>
                <w:color w:val="212121"/>
                <w:sz w:val="24"/>
                <w:szCs w:val="24"/>
                <w:lang w:eastAsia="it-IT"/>
              </w:rPr>
              <w:t>proseguibilità</w:t>
            </w:r>
            <w:proofErr w:type="spellEnd"/>
            <w:r w:rsidRPr="0082044A">
              <w:rPr>
                <w:rFonts w:ascii="Times New Roman" w:eastAsia="Calibri" w:hAnsi="Times New Roman" w:cs="Times New Roman"/>
                <w:color w:val="212121"/>
                <w:sz w:val="24"/>
                <w:szCs w:val="24"/>
                <w:lang w:eastAsia="it-IT"/>
              </w:rPr>
              <w:t xml:space="preserve"> o meno della realizzazione dell’appalto come definito dall’aggiudicazione, </w:t>
            </w:r>
            <w:r w:rsidRPr="0082044A">
              <w:rPr>
                <w:rFonts w:ascii="Times New Roman" w:eastAsia="Calibri" w:hAnsi="Times New Roman" w:cs="Times New Roman"/>
                <w:b/>
                <w:color w:val="212121"/>
                <w:sz w:val="24"/>
                <w:szCs w:val="24"/>
                <w:lang w:eastAsia="it-IT"/>
              </w:rPr>
              <w:t>ha tempi estremamente rapidi e non ulteriormente comprimibili</w:t>
            </w:r>
            <w:r w:rsidRPr="0082044A">
              <w:rPr>
                <w:rFonts w:ascii="Times New Roman" w:eastAsia="Calibri" w:hAnsi="Times New Roman" w:cs="Times New Roman"/>
                <w:color w:val="212121"/>
                <w:sz w:val="24"/>
                <w:szCs w:val="24"/>
                <w:lang w:eastAsia="it-IT"/>
              </w:rPr>
              <w:t>;</w:t>
            </w:r>
          </w:p>
          <w:p w:rsidR="0082044A" w:rsidRPr="0082044A" w:rsidRDefault="0082044A" w:rsidP="0082044A">
            <w:pPr>
              <w:spacing w:after="0" w:line="240" w:lineRule="auto"/>
              <w:jc w:val="both"/>
              <w:rPr>
                <w:rFonts w:ascii="Times New Roman" w:eastAsia="Calibri" w:hAnsi="Times New Roman" w:cs="Times New Roman"/>
                <w:b/>
                <w:i/>
                <w:color w:val="212121"/>
                <w:sz w:val="24"/>
                <w:szCs w:val="24"/>
                <w:lang w:eastAsia="it-IT"/>
              </w:rPr>
            </w:pPr>
            <w:r w:rsidRPr="0082044A">
              <w:rPr>
                <w:rFonts w:ascii="Times New Roman" w:eastAsia="Calibri" w:hAnsi="Times New Roman" w:cs="Times New Roman"/>
                <w:b/>
                <w:i/>
                <w:color w:val="212121"/>
                <w:sz w:val="24"/>
                <w:szCs w:val="24"/>
                <w:lang w:eastAsia="it-IT"/>
              </w:rPr>
              <w:t>Sulla percentuale di contenzioso</w:t>
            </w:r>
          </w:p>
          <w:p w:rsidR="0082044A" w:rsidRPr="0082044A" w:rsidRDefault="0082044A" w:rsidP="00AA1A94">
            <w:pPr>
              <w:numPr>
                <w:ilvl w:val="0"/>
                <w:numId w:val="8"/>
              </w:numPr>
              <w:spacing w:after="160" w:line="252" w:lineRule="auto"/>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b/>
                <w:color w:val="212121"/>
                <w:sz w:val="24"/>
                <w:szCs w:val="24"/>
                <w:lang w:eastAsia="it-IT"/>
              </w:rPr>
              <w:t>la percentuale di impugnazione in relazione al monte complessivo delle gare bandite in Italia è oggettivamente bassa</w:t>
            </w:r>
            <w:r w:rsidRPr="0082044A">
              <w:rPr>
                <w:rFonts w:ascii="Times New Roman" w:eastAsia="Calibri" w:hAnsi="Times New Roman" w:cs="Times New Roman"/>
                <w:color w:val="212121"/>
                <w:sz w:val="24"/>
                <w:szCs w:val="24"/>
                <w:lang w:eastAsia="it-IT"/>
              </w:rPr>
              <w:t xml:space="preserve"> (una media di circa il </w:t>
            </w:r>
            <w:r w:rsidRPr="0082044A">
              <w:rPr>
                <w:rFonts w:ascii="Times New Roman" w:eastAsia="Calibri" w:hAnsi="Times New Roman" w:cs="Times New Roman"/>
                <w:b/>
                <w:color w:val="212121"/>
                <w:sz w:val="24"/>
                <w:szCs w:val="24"/>
                <w:lang w:eastAsia="it-IT"/>
              </w:rPr>
              <w:t>2,7%</w:t>
            </w:r>
            <w:r w:rsidRPr="0082044A">
              <w:rPr>
                <w:rFonts w:ascii="Times New Roman" w:eastAsia="Calibri" w:hAnsi="Times New Roman" w:cs="Times New Roman"/>
                <w:color w:val="212121"/>
                <w:sz w:val="24"/>
                <w:szCs w:val="24"/>
                <w:lang w:eastAsia="it-IT"/>
              </w:rPr>
              <w:t>), anche inferiore a quella che può essere la apparente “percezione” delle dimensioni di questo contenzioso;</w:t>
            </w:r>
          </w:p>
          <w:p w:rsidR="0082044A" w:rsidRPr="0082044A" w:rsidRDefault="0082044A" w:rsidP="00AA1A94">
            <w:pPr>
              <w:numPr>
                <w:ilvl w:val="0"/>
                <w:numId w:val="8"/>
              </w:numPr>
              <w:spacing w:after="160" w:line="252" w:lineRule="auto"/>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b/>
                <w:color w:val="212121"/>
                <w:sz w:val="24"/>
                <w:szCs w:val="24"/>
                <w:lang w:eastAsia="it-IT"/>
              </w:rPr>
              <w:t>più è elevato il valore dell’appalto e maggiore è, in termini relativi, la richiesta di tutela</w:t>
            </w:r>
            <w:r w:rsidRPr="0082044A">
              <w:rPr>
                <w:rFonts w:ascii="Times New Roman" w:eastAsia="Calibri" w:hAnsi="Times New Roman" w:cs="Times New Roman"/>
                <w:color w:val="212121"/>
                <w:sz w:val="24"/>
                <w:szCs w:val="24"/>
                <w:lang w:eastAsia="it-IT"/>
              </w:rPr>
              <w:t xml:space="preserve">. A tali livelli, </w:t>
            </w:r>
            <w:r w:rsidRPr="0082044A">
              <w:rPr>
                <w:rFonts w:ascii="Times New Roman" w:eastAsia="Calibri" w:hAnsi="Times New Roman" w:cs="Times New Roman"/>
                <w:b/>
                <w:color w:val="212121"/>
                <w:sz w:val="24"/>
                <w:szCs w:val="24"/>
                <w:lang w:eastAsia="it-IT"/>
              </w:rPr>
              <w:t>l’ammontare del contributo unificato e le spese legali perdono l’ordinario effetto di deterrenza</w:t>
            </w:r>
            <w:r w:rsidRPr="0082044A">
              <w:rPr>
                <w:rFonts w:ascii="Times New Roman" w:eastAsia="Calibri" w:hAnsi="Times New Roman" w:cs="Times New Roman"/>
                <w:color w:val="212121"/>
                <w:sz w:val="24"/>
                <w:szCs w:val="24"/>
                <w:lang w:eastAsia="it-IT"/>
              </w:rPr>
              <w:t xml:space="preserve"> (i grandi appalti CONSIP giungono a far registrare un tasso di impugnazione che sfiora il 30%, a fronte del 2,7% nazionale);</w:t>
            </w:r>
          </w:p>
          <w:p w:rsidR="0082044A" w:rsidRPr="0082044A" w:rsidRDefault="0082044A" w:rsidP="0082044A">
            <w:pPr>
              <w:spacing w:after="0" w:line="240" w:lineRule="auto"/>
              <w:jc w:val="both"/>
              <w:rPr>
                <w:rFonts w:ascii="Times New Roman" w:eastAsia="Calibri" w:hAnsi="Times New Roman" w:cs="Times New Roman"/>
                <w:b/>
                <w:i/>
                <w:color w:val="212121"/>
                <w:sz w:val="24"/>
                <w:szCs w:val="24"/>
                <w:lang w:eastAsia="it-IT"/>
              </w:rPr>
            </w:pPr>
            <w:r w:rsidRPr="0082044A">
              <w:rPr>
                <w:rFonts w:ascii="Times New Roman" w:eastAsia="Calibri" w:hAnsi="Times New Roman" w:cs="Times New Roman"/>
                <w:b/>
                <w:i/>
                <w:color w:val="212121"/>
                <w:sz w:val="24"/>
                <w:szCs w:val="24"/>
                <w:lang w:eastAsia="it-IT"/>
              </w:rPr>
              <w:t>Sul cd. “effetto bloccante” del contenzioso</w:t>
            </w:r>
          </w:p>
          <w:p w:rsidR="0082044A" w:rsidRPr="0082044A" w:rsidRDefault="0082044A" w:rsidP="00AA1A94">
            <w:pPr>
              <w:numPr>
                <w:ilvl w:val="0"/>
                <w:numId w:val="8"/>
              </w:numPr>
              <w:spacing w:after="160" w:line="252" w:lineRule="auto"/>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b/>
                <w:color w:val="212121"/>
                <w:sz w:val="24"/>
                <w:szCs w:val="24"/>
                <w:lang w:eastAsia="it-IT"/>
              </w:rPr>
              <w:t>ancora più bassi sono, in percentuale, i provvedimenti del giudice amministrativo che “bloccano” le procedure di gara</w:t>
            </w:r>
            <w:r w:rsidRPr="0082044A">
              <w:rPr>
                <w:rFonts w:ascii="Times New Roman" w:eastAsia="Calibri" w:hAnsi="Times New Roman" w:cs="Times New Roman"/>
                <w:color w:val="212121"/>
                <w:sz w:val="24"/>
                <w:szCs w:val="24"/>
                <w:lang w:eastAsia="it-IT"/>
              </w:rPr>
              <w:t xml:space="preserve"> (in media circa lo </w:t>
            </w:r>
            <w:r w:rsidRPr="0082044A">
              <w:rPr>
                <w:rFonts w:ascii="Times New Roman" w:eastAsia="Calibri" w:hAnsi="Times New Roman" w:cs="Times New Roman"/>
                <w:b/>
                <w:color w:val="212121"/>
                <w:sz w:val="24"/>
                <w:szCs w:val="24"/>
                <w:lang w:eastAsia="it-IT"/>
              </w:rPr>
              <w:t>0,75%</w:t>
            </w:r>
            <w:r w:rsidRPr="0082044A">
              <w:rPr>
                <w:rFonts w:ascii="Times New Roman" w:eastAsia="Calibri" w:hAnsi="Times New Roman" w:cs="Times New Roman"/>
                <w:color w:val="212121"/>
                <w:sz w:val="24"/>
                <w:szCs w:val="24"/>
                <w:lang w:eastAsia="it-IT"/>
              </w:rPr>
              <w:t>);</w:t>
            </w:r>
          </w:p>
          <w:p w:rsidR="0082044A" w:rsidRPr="0082044A" w:rsidRDefault="0082044A" w:rsidP="00AA1A94">
            <w:pPr>
              <w:numPr>
                <w:ilvl w:val="0"/>
                <w:numId w:val="8"/>
              </w:numPr>
              <w:spacing w:after="160" w:line="252" w:lineRule="auto"/>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color w:val="212121"/>
                <w:sz w:val="24"/>
                <w:szCs w:val="24"/>
                <w:lang w:eastAsia="it-IT"/>
              </w:rPr>
              <w:t xml:space="preserve">in relazione a tale ultimo dato, si registra una circostanza estremamente interessante: </w:t>
            </w:r>
            <w:r w:rsidRPr="0082044A">
              <w:rPr>
                <w:rFonts w:ascii="Times New Roman" w:eastAsia="Calibri" w:hAnsi="Times New Roman" w:cs="Times New Roman"/>
                <w:b/>
                <w:color w:val="212121"/>
                <w:sz w:val="24"/>
                <w:szCs w:val="24"/>
                <w:lang w:eastAsia="it-IT"/>
              </w:rPr>
              <w:t>nei grandi appalti la percentuale di sospensive accolte, rispetto al totale delle ordinanze emesse in sede cautelare, è sensibilmente più bassa della media</w:t>
            </w:r>
            <w:r w:rsidRPr="0082044A">
              <w:rPr>
                <w:rFonts w:ascii="Times New Roman" w:eastAsia="Calibri" w:hAnsi="Times New Roman" w:cs="Times New Roman"/>
                <w:color w:val="212121"/>
                <w:sz w:val="24"/>
                <w:szCs w:val="24"/>
                <w:lang w:eastAsia="it-IT"/>
              </w:rPr>
              <w:t xml:space="preserve"> (1% del caso CONSIP rispetto a 30% della media; anche per ANAS ci sono riscontri nella stessa direzione)</w:t>
            </w:r>
          </w:p>
          <w:p w:rsidR="0082044A" w:rsidRPr="0082044A" w:rsidRDefault="0082044A" w:rsidP="00AA1A94">
            <w:pPr>
              <w:numPr>
                <w:ilvl w:val="0"/>
                <w:numId w:val="9"/>
              </w:numPr>
              <w:spacing w:after="160" w:line="252" w:lineRule="auto"/>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b/>
                <w:color w:val="212121"/>
                <w:sz w:val="24"/>
                <w:szCs w:val="24"/>
                <w:lang w:eastAsia="it-IT"/>
              </w:rPr>
              <w:t>le percentuali di “blocco” effettivamente provocate dal giudice amministrativo appaiono compatibili con il margine fisiologico di errore delle amministrazioni</w:t>
            </w:r>
            <w:r w:rsidRPr="0082044A">
              <w:rPr>
                <w:rFonts w:ascii="Times New Roman" w:eastAsia="Calibri" w:hAnsi="Times New Roman" w:cs="Times New Roman"/>
                <w:color w:val="212121"/>
                <w:sz w:val="24"/>
                <w:szCs w:val="24"/>
                <w:lang w:eastAsia="it-IT"/>
              </w:rPr>
              <w:t xml:space="preserve">, ove si consideri che trattasi di procedure complesse con molti partecipanti; </w:t>
            </w:r>
          </w:p>
          <w:p w:rsidR="0082044A" w:rsidRPr="0082044A" w:rsidRDefault="0082044A" w:rsidP="0082044A">
            <w:pPr>
              <w:spacing w:after="0" w:line="240" w:lineRule="auto"/>
              <w:jc w:val="both"/>
              <w:rPr>
                <w:rFonts w:ascii="Times New Roman" w:eastAsia="Calibri" w:hAnsi="Times New Roman" w:cs="Times New Roman"/>
                <w:b/>
                <w:i/>
                <w:color w:val="212121"/>
                <w:sz w:val="24"/>
                <w:szCs w:val="24"/>
                <w:lang w:eastAsia="it-IT"/>
              </w:rPr>
            </w:pPr>
            <w:r w:rsidRPr="0082044A">
              <w:rPr>
                <w:rFonts w:ascii="Times New Roman" w:eastAsia="Calibri" w:hAnsi="Times New Roman" w:cs="Times New Roman"/>
                <w:b/>
                <w:i/>
                <w:color w:val="212121"/>
                <w:sz w:val="24"/>
                <w:szCs w:val="24"/>
                <w:lang w:eastAsia="it-IT"/>
              </w:rPr>
              <w:t>Sui fenomeni diversi dal contenzioso ma ad esso collaterali</w:t>
            </w:r>
          </w:p>
          <w:p w:rsidR="0082044A" w:rsidRPr="0082044A" w:rsidRDefault="0082044A" w:rsidP="00AA1A94">
            <w:pPr>
              <w:numPr>
                <w:ilvl w:val="0"/>
                <w:numId w:val="10"/>
              </w:numPr>
              <w:spacing w:after="160" w:line="252" w:lineRule="auto"/>
              <w:jc w:val="both"/>
              <w:rPr>
                <w:rFonts w:ascii="Times New Roman" w:eastAsia="Calibri" w:hAnsi="Times New Roman" w:cs="Times New Roman"/>
                <w:sz w:val="24"/>
                <w:szCs w:val="24"/>
                <w:lang w:eastAsia="it-IT"/>
              </w:rPr>
            </w:pPr>
            <w:r w:rsidRPr="0082044A">
              <w:rPr>
                <w:rFonts w:ascii="Times New Roman" w:eastAsia="Calibri" w:hAnsi="Times New Roman" w:cs="Times New Roman"/>
                <w:b/>
                <w:sz w:val="24"/>
                <w:szCs w:val="24"/>
                <w:lang w:eastAsia="it-IT"/>
              </w:rPr>
              <w:t>le “percentuali di blocco” percepite sono sensibilmente più elevate per effetto delle “autosospensioni” deliberate dalle stazioni appaltanti</w:t>
            </w:r>
            <w:r w:rsidRPr="0082044A">
              <w:rPr>
                <w:rFonts w:ascii="Times New Roman" w:eastAsia="Calibri" w:hAnsi="Times New Roman" w:cs="Times New Roman"/>
                <w:sz w:val="24"/>
                <w:szCs w:val="24"/>
                <w:lang w:eastAsia="it-IT"/>
              </w:rPr>
              <w:t>, in assenza di un provvedimento giurisdizionale cautelare.</w:t>
            </w:r>
          </w:p>
          <w:p w:rsidR="0082044A" w:rsidRPr="0082044A" w:rsidRDefault="0082044A" w:rsidP="0082044A">
            <w:pPr>
              <w:spacing w:after="0" w:line="240" w:lineRule="auto"/>
              <w:jc w:val="both"/>
              <w:rPr>
                <w:rFonts w:ascii="Times New Roman" w:eastAsia="Calibri" w:hAnsi="Times New Roman" w:cs="Times New Roman"/>
                <w:b/>
                <w:sz w:val="24"/>
                <w:szCs w:val="24"/>
                <w:lang w:eastAsia="it-IT"/>
              </w:rPr>
            </w:pPr>
          </w:p>
          <w:p w:rsidR="0082044A" w:rsidRPr="0082044A" w:rsidRDefault="0082044A" w:rsidP="0082044A">
            <w:pPr>
              <w:spacing w:after="0" w:line="240" w:lineRule="auto"/>
              <w:jc w:val="center"/>
              <w:rPr>
                <w:rFonts w:ascii="Times New Roman" w:eastAsia="Calibri" w:hAnsi="Times New Roman" w:cs="Times New Roman"/>
                <w:b/>
                <w:sz w:val="24"/>
                <w:szCs w:val="24"/>
                <w:lang w:eastAsia="it-IT"/>
              </w:rPr>
            </w:pPr>
            <w:r w:rsidRPr="0082044A">
              <w:rPr>
                <w:rFonts w:ascii="Times New Roman" w:eastAsia="Calibri" w:hAnsi="Times New Roman" w:cs="Times New Roman"/>
                <w:b/>
                <w:sz w:val="24"/>
                <w:szCs w:val="24"/>
                <w:lang w:eastAsia="it-IT"/>
              </w:rPr>
              <w:t>** ** **</w:t>
            </w:r>
          </w:p>
          <w:p w:rsidR="0082044A" w:rsidRPr="0082044A" w:rsidRDefault="0082044A" w:rsidP="0082044A">
            <w:pPr>
              <w:spacing w:after="0" w:line="240" w:lineRule="auto"/>
              <w:jc w:val="both"/>
              <w:rPr>
                <w:rFonts w:ascii="Times New Roman" w:eastAsia="Calibri" w:hAnsi="Times New Roman" w:cs="Times New Roman"/>
                <w:b/>
                <w:sz w:val="24"/>
                <w:szCs w:val="24"/>
                <w:lang w:eastAsia="it-IT"/>
              </w:rPr>
            </w:pPr>
          </w:p>
          <w:p w:rsidR="0082044A" w:rsidRPr="0082044A" w:rsidRDefault="0082044A" w:rsidP="0082044A">
            <w:pPr>
              <w:spacing w:after="160" w:line="252" w:lineRule="auto"/>
              <w:ind w:left="720"/>
              <w:jc w:val="both"/>
              <w:rPr>
                <w:rFonts w:ascii="Times New Roman" w:eastAsia="Calibri" w:hAnsi="Times New Roman" w:cs="Times New Roman"/>
                <w:sz w:val="24"/>
                <w:szCs w:val="24"/>
                <w:lang w:eastAsia="it-IT"/>
              </w:rPr>
            </w:pPr>
            <w:r w:rsidRPr="0082044A">
              <w:rPr>
                <w:rFonts w:ascii="Times New Roman" w:eastAsia="Calibri" w:hAnsi="Times New Roman" w:cs="Times New Roman"/>
                <w:sz w:val="24"/>
                <w:szCs w:val="24"/>
                <w:lang w:eastAsia="it-IT"/>
              </w:rPr>
              <w:t xml:space="preserve">Alla stregua delle risultanze sopra descritte, eventuali proposte di intervento in materia potrebbero utilmente tener conto delle seguenti considerazioni:  </w:t>
            </w:r>
          </w:p>
          <w:p w:rsidR="0082044A" w:rsidRPr="0082044A" w:rsidRDefault="0082044A" w:rsidP="00AA1A94">
            <w:pPr>
              <w:numPr>
                <w:ilvl w:val="0"/>
                <w:numId w:val="10"/>
              </w:numPr>
              <w:spacing w:after="160" w:line="252" w:lineRule="auto"/>
              <w:jc w:val="both"/>
              <w:rPr>
                <w:rFonts w:ascii="Times New Roman" w:eastAsia="Calibri" w:hAnsi="Times New Roman" w:cs="Times New Roman"/>
                <w:sz w:val="24"/>
                <w:szCs w:val="24"/>
                <w:lang w:eastAsia="it-IT"/>
              </w:rPr>
            </w:pPr>
            <w:r w:rsidRPr="0082044A">
              <w:rPr>
                <w:rFonts w:ascii="Times New Roman" w:eastAsia="Calibri" w:hAnsi="Times New Roman" w:cs="Times New Roman"/>
                <w:sz w:val="24"/>
                <w:szCs w:val="24"/>
                <w:lang w:eastAsia="it-IT"/>
              </w:rPr>
              <w:t xml:space="preserve">eventuali misure correttive, di carattere sostanziale o processuali, per essere efficaci dovrebbero concentrarsi sugli appalti di elevato o elevatissimo importo, poiché è solo per essi che può porsi un problema di impatto economico e strategico, viste le bassissime </w:t>
            </w:r>
            <w:r w:rsidRPr="0082044A">
              <w:rPr>
                <w:rFonts w:ascii="Times New Roman" w:eastAsia="Calibri" w:hAnsi="Times New Roman" w:cs="Times New Roman"/>
                <w:sz w:val="24"/>
                <w:szCs w:val="24"/>
                <w:lang w:eastAsia="it-IT"/>
              </w:rPr>
              <w:lastRenderedPageBreak/>
              <w:t xml:space="preserve">percentuali di impatto quantitativo sopra evidenziate; </w:t>
            </w:r>
          </w:p>
          <w:p w:rsidR="0082044A" w:rsidRPr="0082044A" w:rsidRDefault="0082044A" w:rsidP="00AA1A94">
            <w:pPr>
              <w:numPr>
                <w:ilvl w:val="0"/>
                <w:numId w:val="10"/>
              </w:numPr>
              <w:spacing w:after="160" w:line="252" w:lineRule="auto"/>
              <w:jc w:val="both"/>
              <w:rPr>
                <w:rFonts w:ascii="Times New Roman" w:eastAsia="Calibri" w:hAnsi="Times New Roman" w:cs="Times New Roman"/>
                <w:sz w:val="24"/>
                <w:szCs w:val="24"/>
                <w:lang w:eastAsia="it-IT"/>
              </w:rPr>
            </w:pPr>
            <w:r w:rsidRPr="0082044A">
              <w:rPr>
                <w:rFonts w:ascii="Times New Roman" w:eastAsia="Calibri" w:hAnsi="Times New Roman" w:cs="Times New Roman"/>
                <w:sz w:val="24"/>
                <w:szCs w:val="24"/>
                <w:lang w:eastAsia="it-IT"/>
              </w:rPr>
              <w:t xml:space="preserve">tra le misure di carattere sostanziale, potrebbero prendersi in considerazione, per i grandi appalti, quelle già vigenti in materia di infrastrutture strategiche di cui all’art. 125 </w:t>
            </w:r>
            <w:proofErr w:type="spellStart"/>
            <w:r w:rsidRPr="0082044A">
              <w:rPr>
                <w:rFonts w:ascii="Times New Roman" w:eastAsia="Calibri" w:hAnsi="Times New Roman" w:cs="Times New Roman"/>
                <w:sz w:val="24"/>
                <w:szCs w:val="24"/>
                <w:lang w:eastAsia="it-IT"/>
              </w:rPr>
              <w:t>c.p.a</w:t>
            </w:r>
            <w:proofErr w:type="spellEnd"/>
            <w:r w:rsidRPr="0082044A">
              <w:rPr>
                <w:rFonts w:ascii="Times New Roman" w:eastAsia="Calibri" w:hAnsi="Times New Roman" w:cs="Times New Roman"/>
                <w:sz w:val="24"/>
                <w:szCs w:val="24"/>
                <w:lang w:eastAsia="it-IT"/>
              </w:rPr>
              <w:t>. comma 2, in forza del quale “</w:t>
            </w:r>
            <w:r w:rsidRPr="0082044A">
              <w:rPr>
                <w:rFonts w:ascii="Times New Roman" w:eastAsia="Calibri" w:hAnsi="Times New Roman" w:cs="Times New Roman"/>
                <w:i/>
                <w:sz w:val="24"/>
                <w:szCs w:val="24"/>
                <w:lang w:eastAsia="it-IT"/>
              </w:rPr>
              <w:t>in sede di pronuncia del provvedimento cautelare, si tiene conto delle probabili conseguenze del provvedimento stesso per tutti gli interessi che possono essere lesi, nonché del preminente interesse nazionale alla sollecita realizzazione dell'opera, e, ai fini dell'accoglimento della domanda cautelare, si valuta anche la irreparabilità del pregiudizio per il ricorrente, il cui interesse va comunque comparato con quello del soggetto aggiudicatore alla celere prosecuzione delle procedure</w:t>
            </w:r>
            <w:r w:rsidRPr="0082044A">
              <w:rPr>
                <w:rFonts w:ascii="Times New Roman" w:eastAsia="Calibri" w:hAnsi="Times New Roman" w:cs="Times New Roman"/>
                <w:sz w:val="24"/>
                <w:szCs w:val="24"/>
                <w:lang w:eastAsia="it-IT"/>
              </w:rPr>
              <w:t>”</w:t>
            </w:r>
          </w:p>
          <w:p w:rsidR="0082044A" w:rsidRPr="0082044A" w:rsidRDefault="0082044A" w:rsidP="00AA1A94">
            <w:pPr>
              <w:numPr>
                <w:ilvl w:val="0"/>
                <w:numId w:val="10"/>
              </w:numPr>
              <w:spacing w:after="160" w:line="252" w:lineRule="auto"/>
              <w:jc w:val="both"/>
              <w:rPr>
                <w:rFonts w:ascii="Times New Roman" w:eastAsia="Calibri" w:hAnsi="Times New Roman" w:cs="Times New Roman"/>
                <w:sz w:val="24"/>
                <w:szCs w:val="24"/>
                <w:lang w:eastAsia="it-IT"/>
              </w:rPr>
            </w:pPr>
            <w:r w:rsidRPr="0082044A">
              <w:rPr>
                <w:rFonts w:ascii="Times New Roman" w:eastAsia="Calibri" w:hAnsi="Times New Roman" w:cs="Times New Roman"/>
                <w:sz w:val="24"/>
                <w:szCs w:val="24"/>
                <w:lang w:eastAsia="it-IT"/>
              </w:rPr>
              <w:t>occorrerebbe una direttiva comportamentale utile ad elidere o a contrastare la prassi di “autosospendere” la procedura in assenza di provvedimenti giurisdizionali che lo impongano;</w:t>
            </w:r>
          </w:p>
          <w:p w:rsidR="0082044A" w:rsidRPr="0082044A" w:rsidRDefault="0082044A" w:rsidP="00AA1A94">
            <w:pPr>
              <w:numPr>
                <w:ilvl w:val="0"/>
                <w:numId w:val="10"/>
              </w:numPr>
              <w:spacing w:after="160" w:line="252" w:lineRule="auto"/>
              <w:jc w:val="both"/>
              <w:rPr>
                <w:rFonts w:ascii="Times New Roman" w:eastAsia="Calibri" w:hAnsi="Times New Roman" w:cs="Times New Roman"/>
                <w:sz w:val="24"/>
                <w:szCs w:val="24"/>
                <w:lang w:eastAsia="it-IT"/>
              </w:rPr>
            </w:pPr>
            <w:r w:rsidRPr="0082044A">
              <w:rPr>
                <w:rFonts w:ascii="Times New Roman" w:eastAsia="Calibri" w:hAnsi="Times New Roman" w:cs="Times New Roman"/>
                <w:sz w:val="24"/>
                <w:szCs w:val="24"/>
                <w:lang w:eastAsia="it-IT"/>
              </w:rPr>
              <w:t>sul versante risarcitorio (aspetto che influisce molto sul fenomeno delle cd. autosospensioni), per i grandi appalti potrebbero valutarsi forme di compartecipazione del soggetto (ingiustamente) risultato aggiudicatario, al risarcimento del danno nei confronti di quello ingiustamente pretermesso;</w:t>
            </w:r>
          </w:p>
          <w:p w:rsidR="0082044A" w:rsidRPr="0082044A" w:rsidRDefault="0082044A" w:rsidP="00AA1A94">
            <w:pPr>
              <w:numPr>
                <w:ilvl w:val="0"/>
                <w:numId w:val="11"/>
              </w:numPr>
              <w:spacing w:after="160" w:line="252" w:lineRule="auto"/>
              <w:jc w:val="both"/>
              <w:rPr>
                <w:rFonts w:ascii="Times New Roman" w:eastAsia="Calibri" w:hAnsi="Times New Roman" w:cs="Times New Roman"/>
                <w:sz w:val="24"/>
                <w:szCs w:val="24"/>
                <w:lang w:eastAsia="it-IT"/>
              </w:rPr>
            </w:pPr>
            <w:r w:rsidRPr="0082044A">
              <w:rPr>
                <w:rFonts w:ascii="Times New Roman" w:eastAsia="Calibri" w:hAnsi="Times New Roman" w:cs="Times New Roman"/>
                <w:sz w:val="24"/>
                <w:szCs w:val="24"/>
                <w:lang w:eastAsia="it-IT"/>
              </w:rPr>
              <w:t>occorrerebbe rimeditare sul comportamento processuale serbato dalle parti che, nel chiedere al TAR il rinvio al “merito” a breve, sostanzialmente si accordano, all’udienza camerale fissata per l’esame della domanda cautelare, per una surrettizia sospensione della stipula del contratto d’appalto;</w:t>
            </w:r>
          </w:p>
          <w:p w:rsidR="0082044A" w:rsidRPr="0082044A" w:rsidRDefault="0082044A" w:rsidP="00AA1A94">
            <w:pPr>
              <w:numPr>
                <w:ilvl w:val="0"/>
                <w:numId w:val="11"/>
              </w:numPr>
              <w:spacing w:after="160" w:line="252" w:lineRule="auto"/>
              <w:jc w:val="both"/>
              <w:rPr>
                <w:rFonts w:ascii="Times New Roman" w:eastAsia="Calibri" w:hAnsi="Times New Roman" w:cs="Times New Roman"/>
                <w:color w:val="212121"/>
                <w:sz w:val="24"/>
                <w:szCs w:val="24"/>
                <w:lang w:eastAsia="it-IT"/>
              </w:rPr>
            </w:pPr>
            <w:r w:rsidRPr="0082044A">
              <w:rPr>
                <w:rFonts w:ascii="Times New Roman" w:eastAsia="Calibri" w:hAnsi="Times New Roman" w:cs="Times New Roman"/>
                <w:sz w:val="24"/>
                <w:szCs w:val="24"/>
                <w:lang w:eastAsia="it-IT"/>
              </w:rPr>
              <w:t xml:space="preserve">occorrerebbe un’indagine di pari approfondimento sulle altre causali di blocco, di carattere meramente amministrativo (mancanza di autorizzazioni, insufficienza di fondi, etc.) o contrattuale (inadempienze, crisi dell’impresa appaltante, provvedimenti del giudice penale, </w:t>
            </w:r>
            <w:proofErr w:type="spellStart"/>
            <w:r w:rsidRPr="0082044A">
              <w:rPr>
                <w:rFonts w:ascii="Times New Roman" w:eastAsia="Calibri" w:hAnsi="Times New Roman" w:cs="Times New Roman"/>
                <w:sz w:val="24"/>
                <w:szCs w:val="24"/>
                <w:lang w:eastAsia="it-IT"/>
              </w:rPr>
              <w:t>etc</w:t>
            </w:r>
            <w:proofErr w:type="spellEnd"/>
            <w:r w:rsidRPr="0082044A">
              <w:rPr>
                <w:rFonts w:ascii="Times New Roman" w:eastAsia="Calibri" w:hAnsi="Times New Roman" w:cs="Times New Roman"/>
                <w:sz w:val="24"/>
                <w:szCs w:val="24"/>
                <w:lang w:eastAsia="it-IT"/>
              </w:rPr>
              <w:t>), che non sono riconducibili al sistema di giustizia amministrativa ma che pure possono incrementare la “percezione” degli effetti bloccanti del contenzioso dinanzi ad essa.</w:t>
            </w:r>
          </w:p>
          <w:p w:rsidR="0082044A" w:rsidRPr="0082044A" w:rsidRDefault="0082044A" w:rsidP="0082044A">
            <w:pPr>
              <w:spacing w:after="0" w:line="240" w:lineRule="auto"/>
              <w:rPr>
                <w:rFonts w:ascii="Calibri" w:eastAsia="Calibri" w:hAnsi="Calibri" w:cs="Calibri"/>
                <w:color w:val="212121"/>
                <w:lang w:eastAsia="it-IT"/>
              </w:rPr>
            </w:pPr>
          </w:p>
        </w:tc>
      </w:tr>
    </w:tbl>
    <w:p w:rsidR="0082044A" w:rsidRDefault="0082044A" w:rsidP="0082044A">
      <w:pPr>
        <w:jc w:val="both"/>
        <w:rPr>
          <w:rFonts w:ascii="Times New Roman" w:hAnsi="Times New Roman" w:cs="Times New Roman"/>
          <w:sz w:val="24"/>
          <w:szCs w:val="24"/>
        </w:rPr>
      </w:pPr>
    </w:p>
    <w:p w:rsidR="0082044A" w:rsidRPr="009D6B8C" w:rsidRDefault="0082044A" w:rsidP="0082044A">
      <w:pPr>
        <w:jc w:val="both"/>
        <w:rPr>
          <w:rFonts w:ascii="Times New Roman" w:hAnsi="Times New Roman" w:cs="Times New Roman"/>
          <w:sz w:val="24"/>
          <w:szCs w:val="24"/>
        </w:rPr>
      </w:pPr>
    </w:p>
    <w:p w:rsidR="0036773D" w:rsidRDefault="0036773D">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8F0BDF" w:rsidRPr="008F0BDF" w:rsidRDefault="008F0BDF" w:rsidP="008F0BDF">
      <w:pPr>
        <w:jc w:val="center"/>
        <w:rPr>
          <w:rFonts w:ascii="Times New Roman" w:hAnsi="Times New Roman" w:cs="Times New Roman"/>
          <w:sz w:val="24"/>
          <w:szCs w:val="24"/>
        </w:rPr>
      </w:pPr>
      <w:r w:rsidRPr="008F0BDF">
        <w:rPr>
          <w:rFonts w:ascii="Times New Roman" w:hAnsi="Times New Roman" w:cs="Times New Roman"/>
          <w:sz w:val="24"/>
          <w:szCs w:val="24"/>
        </w:rPr>
        <w:lastRenderedPageBreak/>
        <w:t>PARTE V</w:t>
      </w:r>
    </w:p>
    <w:p w:rsidR="00716707" w:rsidRDefault="00BD36D2" w:rsidP="00CF17F6">
      <w:pPr>
        <w:jc w:val="both"/>
        <w:rPr>
          <w:rFonts w:ascii="Times New Roman" w:hAnsi="Times New Roman" w:cs="Times New Roman"/>
          <w:sz w:val="24"/>
          <w:szCs w:val="24"/>
        </w:rPr>
      </w:pPr>
      <w:r w:rsidRPr="008F0BDF">
        <w:rPr>
          <w:rFonts w:ascii="Times New Roman" w:hAnsi="Times New Roman" w:cs="Times New Roman"/>
          <w:sz w:val="24"/>
          <w:szCs w:val="24"/>
        </w:rPr>
        <w:t>STRATEGIA NAZIONALE SUL TEMA DELLA LOTTA ALLE IRREGOLARITÀ E ALLE FRODI IN DANNO DEL BILANCIO DELL’UNIONE EUROPEA</w:t>
      </w:r>
    </w:p>
    <w:p w:rsidR="004D26CF" w:rsidRDefault="004D26CF" w:rsidP="00CF17F6">
      <w:pPr>
        <w:jc w:val="both"/>
        <w:rPr>
          <w:rFonts w:ascii="Times New Roman" w:hAnsi="Times New Roman" w:cs="Times New Roman"/>
          <w:sz w:val="24"/>
          <w:szCs w:val="24"/>
        </w:rPr>
      </w:pPr>
    </w:p>
    <w:p w:rsidR="004D26CF" w:rsidRPr="008F0BDF" w:rsidRDefault="004D26CF" w:rsidP="00CF17F6">
      <w:pPr>
        <w:jc w:val="both"/>
        <w:rPr>
          <w:rFonts w:ascii="Times New Roman" w:hAnsi="Times New Roman" w:cs="Times New Roman"/>
          <w:sz w:val="24"/>
          <w:szCs w:val="24"/>
        </w:rPr>
      </w:pPr>
    </w:p>
    <w:p w:rsidR="00CF17F6" w:rsidRDefault="004D26CF" w:rsidP="00B170B3">
      <w:pPr>
        <w:keepNext/>
        <w:keepLines/>
        <w:numPr>
          <w:ilvl w:val="1"/>
          <w:numId w:val="34"/>
        </w:numPr>
        <w:tabs>
          <w:tab w:val="left" w:pos="426"/>
        </w:tabs>
        <w:spacing w:before="200" w:after="0" w:line="240" w:lineRule="auto"/>
        <w:ind w:left="426" w:hanging="426"/>
        <w:contextualSpacing/>
        <w:outlineLvl w:val="2"/>
        <w:rPr>
          <w:rFonts w:ascii="Times New Roman" w:eastAsiaTheme="majorEastAsia" w:hAnsi="Times New Roman" w:cs="Times New Roman"/>
          <w:b/>
          <w:bCs/>
          <w:sz w:val="24"/>
          <w:szCs w:val="24"/>
          <w:lang w:eastAsia="it-IT"/>
        </w:rPr>
      </w:pPr>
      <w:r w:rsidRPr="00B170B3">
        <w:rPr>
          <w:rFonts w:ascii="Times New Roman" w:eastAsiaTheme="majorEastAsia" w:hAnsi="Times New Roman" w:cs="Times New Roman"/>
          <w:b/>
          <w:bCs/>
          <w:sz w:val="24"/>
          <w:szCs w:val="24"/>
          <w:lang w:eastAsia="it-IT"/>
        </w:rPr>
        <w:t>Il Comitato per la lotta contro le frodi nei confronti dell’Unione europea</w:t>
      </w:r>
    </w:p>
    <w:p w:rsidR="00F86A97" w:rsidRPr="00B170B3" w:rsidRDefault="00F86A97" w:rsidP="00F86A97">
      <w:pPr>
        <w:keepNext/>
        <w:keepLines/>
        <w:tabs>
          <w:tab w:val="left" w:pos="426"/>
        </w:tabs>
        <w:spacing w:before="200" w:after="0" w:line="240" w:lineRule="auto"/>
        <w:contextualSpacing/>
        <w:outlineLvl w:val="2"/>
        <w:rPr>
          <w:rFonts w:ascii="Times New Roman" w:eastAsiaTheme="majorEastAsia" w:hAnsi="Times New Roman" w:cs="Times New Roman"/>
          <w:b/>
          <w:bCs/>
          <w:sz w:val="24"/>
          <w:szCs w:val="24"/>
          <w:lang w:eastAsia="it-IT"/>
        </w:rPr>
      </w:pPr>
    </w:p>
    <w:p w:rsidR="00CF17F6" w:rsidRPr="00CF17F6" w:rsidRDefault="00CF17F6" w:rsidP="00CF17F6">
      <w:pPr>
        <w:jc w:val="both"/>
        <w:rPr>
          <w:rFonts w:ascii="Times New Roman" w:hAnsi="Times New Roman" w:cs="Times New Roman"/>
          <w:sz w:val="24"/>
          <w:szCs w:val="24"/>
        </w:rPr>
      </w:pPr>
      <w:r w:rsidRPr="00CF17F6">
        <w:rPr>
          <w:rFonts w:ascii="Times New Roman" w:hAnsi="Times New Roman" w:cs="Times New Roman"/>
          <w:sz w:val="24"/>
          <w:szCs w:val="24"/>
        </w:rPr>
        <w:t xml:space="preserve">Il </w:t>
      </w:r>
      <w:r w:rsidR="00D631AA">
        <w:rPr>
          <w:rFonts w:ascii="Times New Roman" w:hAnsi="Times New Roman" w:cs="Times New Roman"/>
          <w:sz w:val="24"/>
          <w:szCs w:val="24"/>
        </w:rPr>
        <w:t>C</w:t>
      </w:r>
      <w:r w:rsidRPr="00CF17F6">
        <w:rPr>
          <w:rFonts w:ascii="Times New Roman" w:hAnsi="Times New Roman" w:cs="Times New Roman"/>
          <w:sz w:val="24"/>
          <w:szCs w:val="24"/>
        </w:rPr>
        <w:t>omitato per la lotta contro le frodi nei confronti dell’</w:t>
      </w:r>
      <w:r w:rsidR="004D26CF">
        <w:rPr>
          <w:rFonts w:ascii="Times New Roman" w:hAnsi="Times New Roman" w:cs="Times New Roman"/>
          <w:sz w:val="24"/>
          <w:szCs w:val="24"/>
        </w:rPr>
        <w:t>U</w:t>
      </w:r>
      <w:r w:rsidRPr="00CF17F6">
        <w:rPr>
          <w:rFonts w:ascii="Times New Roman" w:hAnsi="Times New Roman" w:cs="Times New Roman"/>
          <w:sz w:val="24"/>
          <w:szCs w:val="24"/>
        </w:rPr>
        <w:t>nione europea è l’Organo di Governo preposto alla elaborazione ed allo sviluppo</w:t>
      </w:r>
      <w:r w:rsidR="00F73EE6">
        <w:rPr>
          <w:rFonts w:ascii="Times New Roman" w:hAnsi="Times New Roman" w:cs="Times New Roman"/>
          <w:sz w:val="24"/>
          <w:szCs w:val="24"/>
        </w:rPr>
        <w:t xml:space="preserve"> </w:t>
      </w:r>
      <w:r w:rsidRPr="00CF17F6">
        <w:rPr>
          <w:rFonts w:ascii="Times New Roman" w:hAnsi="Times New Roman" w:cs="Times New Roman"/>
          <w:sz w:val="24"/>
          <w:szCs w:val="24"/>
        </w:rPr>
        <w:t xml:space="preserve">della strategia nazionale sul tema della lotta alle </w:t>
      </w:r>
      <w:r w:rsidR="00F73EE6">
        <w:rPr>
          <w:rFonts w:ascii="Times New Roman" w:hAnsi="Times New Roman" w:cs="Times New Roman"/>
          <w:sz w:val="24"/>
          <w:szCs w:val="24"/>
        </w:rPr>
        <w:t>i</w:t>
      </w:r>
      <w:r w:rsidRPr="00CF17F6">
        <w:rPr>
          <w:rFonts w:ascii="Times New Roman" w:hAnsi="Times New Roman" w:cs="Times New Roman"/>
          <w:sz w:val="24"/>
          <w:szCs w:val="24"/>
        </w:rPr>
        <w:t xml:space="preserve">rregolarità e alle </w:t>
      </w:r>
      <w:r w:rsidR="00F73EE6">
        <w:rPr>
          <w:rFonts w:ascii="Times New Roman" w:hAnsi="Times New Roman" w:cs="Times New Roman"/>
          <w:sz w:val="24"/>
          <w:szCs w:val="24"/>
        </w:rPr>
        <w:t>f</w:t>
      </w:r>
      <w:r w:rsidRPr="00CF17F6">
        <w:rPr>
          <w:rFonts w:ascii="Times New Roman" w:hAnsi="Times New Roman" w:cs="Times New Roman"/>
          <w:sz w:val="24"/>
          <w:szCs w:val="24"/>
        </w:rPr>
        <w:t>rodi in</w:t>
      </w:r>
      <w:r w:rsidR="00F73EE6">
        <w:rPr>
          <w:rFonts w:ascii="Times New Roman" w:hAnsi="Times New Roman" w:cs="Times New Roman"/>
          <w:sz w:val="24"/>
          <w:szCs w:val="24"/>
        </w:rPr>
        <w:t xml:space="preserve"> </w:t>
      </w:r>
      <w:r w:rsidRPr="00CF17F6">
        <w:rPr>
          <w:rFonts w:ascii="Times New Roman" w:hAnsi="Times New Roman" w:cs="Times New Roman"/>
          <w:sz w:val="24"/>
          <w:szCs w:val="24"/>
        </w:rPr>
        <w:t>danno del Bilancio dell’Unione europea.</w:t>
      </w:r>
    </w:p>
    <w:p w:rsidR="00CF17F6" w:rsidRPr="00CF17F6" w:rsidRDefault="00CF17F6" w:rsidP="00CF17F6">
      <w:pPr>
        <w:jc w:val="both"/>
        <w:rPr>
          <w:rFonts w:ascii="Times New Roman" w:hAnsi="Times New Roman" w:cs="Times New Roman"/>
          <w:sz w:val="24"/>
          <w:szCs w:val="24"/>
        </w:rPr>
      </w:pPr>
      <w:r w:rsidRPr="00CF17F6">
        <w:rPr>
          <w:rFonts w:ascii="Times New Roman" w:hAnsi="Times New Roman" w:cs="Times New Roman"/>
          <w:sz w:val="24"/>
          <w:szCs w:val="24"/>
        </w:rPr>
        <w:t xml:space="preserve">Istituito </w:t>
      </w:r>
      <w:r w:rsidR="00F73EE6">
        <w:rPr>
          <w:rFonts w:ascii="Times New Roman" w:hAnsi="Times New Roman" w:cs="Times New Roman"/>
          <w:sz w:val="24"/>
          <w:szCs w:val="24"/>
        </w:rPr>
        <w:t>dall’a</w:t>
      </w:r>
      <w:r w:rsidR="00F73EE6" w:rsidRPr="00F73EE6">
        <w:rPr>
          <w:rFonts w:ascii="Times New Roman" w:hAnsi="Times New Roman" w:cs="Times New Roman"/>
          <w:sz w:val="24"/>
          <w:szCs w:val="24"/>
        </w:rPr>
        <w:t>rt. 76, comma 2, legge 19 febbraio 1992, n. 142</w:t>
      </w:r>
      <w:r w:rsidRPr="00CF17F6">
        <w:rPr>
          <w:rFonts w:ascii="Times New Roman" w:hAnsi="Times New Roman" w:cs="Times New Roman"/>
          <w:sz w:val="24"/>
          <w:szCs w:val="24"/>
        </w:rPr>
        <w:t xml:space="preserve">, </w:t>
      </w:r>
      <w:r w:rsidR="009E0429">
        <w:rPr>
          <w:rFonts w:ascii="Times New Roman" w:hAnsi="Times New Roman" w:cs="Times New Roman"/>
          <w:sz w:val="24"/>
          <w:szCs w:val="24"/>
        </w:rPr>
        <w:t>recante “</w:t>
      </w:r>
      <w:r w:rsidR="009E0429" w:rsidRPr="009E0429">
        <w:rPr>
          <w:rFonts w:ascii="Times New Roman" w:hAnsi="Times New Roman" w:cs="Times New Roman"/>
          <w:i/>
          <w:sz w:val="24"/>
          <w:szCs w:val="24"/>
        </w:rPr>
        <w:t>Disposizioni per l'adempimento di obblighi derivanti dall'appartenenza dell'Italia alle Comunità europee (legge comunitaria per il 1991)</w:t>
      </w:r>
      <w:r w:rsidR="009E0429">
        <w:rPr>
          <w:rFonts w:ascii="Times New Roman" w:hAnsi="Times New Roman" w:cs="Times New Roman"/>
          <w:sz w:val="24"/>
          <w:szCs w:val="24"/>
        </w:rPr>
        <w:t xml:space="preserve">”, </w:t>
      </w:r>
      <w:r w:rsidRPr="00CF17F6">
        <w:rPr>
          <w:rFonts w:ascii="Times New Roman" w:hAnsi="Times New Roman" w:cs="Times New Roman"/>
          <w:sz w:val="24"/>
          <w:szCs w:val="24"/>
        </w:rPr>
        <w:t>il Comitato è stato ridefinito nella composizione</w:t>
      </w:r>
      <w:r w:rsidR="009E0429">
        <w:rPr>
          <w:rFonts w:ascii="Times New Roman" w:hAnsi="Times New Roman" w:cs="Times New Roman"/>
          <w:sz w:val="24"/>
          <w:szCs w:val="24"/>
        </w:rPr>
        <w:t xml:space="preserve"> </w:t>
      </w:r>
      <w:r w:rsidRPr="00CF17F6">
        <w:rPr>
          <w:rFonts w:ascii="Times New Roman" w:hAnsi="Times New Roman" w:cs="Times New Roman"/>
          <w:sz w:val="24"/>
          <w:szCs w:val="24"/>
        </w:rPr>
        <w:t xml:space="preserve">e nei compiti con il </w:t>
      </w:r>
      <w:r w:rsidR="009E0429">
        <w:rPr>
          <w:rFonts w:ascii="Times New Roman" w:hAnsi="Times New Roman" w:cs="Times New Roman"/>
          <w:sz w:val="24"/>
          <w:szCs w:val="24"/>
        </w:rPr>
        <w:t>decreto del Presidente della Repubblica</w:t>
      </w:r>
      <w:r w:rsidRPr="00CF17F6">
        <w:rPr>
          <w:rFonts w:ascii="Times New Roman" w:hAnsi="Times New Roman" w:cs="Times New Roman"/>
          <w:sz w:val="24"/>
          <w:szCs w:val="24"/>
        </w:rPr>
        <w:t xml:space="preserve"> 14 maggio 2007, n. 913 e, da ultimo, con legge 24</w:t>
      </w:r>
      <w:r w:rsidR="009E0429">
        <w:rPr>
          <w:rFonts w:ascii="Times New Roman" w:hAnsi="Times New Roman" w:cs="Times New Roman"/>
          <w:sz w:val="24"/>
          <w:szCs w:val="24"/>
        </w:rPr>
        <w:t xml:space="preserve"> </w:t>
      </w:r>
      <w:r w:rsidRPr="00CF17F6">
        <w:rPr>
          <w:rFonts w:ascii="Times New Roman" w:hAnsi="Times New Roman" w:cs="Times New Roman"/>
          <w:sz w:val="24"/>
          <w:szCs w:val="24"/>
        </w:rPr>
        <w:t>dicembre 2012, n. 234</w:t>
      </w:r>
      <w:r w:rsidR="00D631AA">
        <w:rPr>
          <w:rFonts w:ascii="Times New Roman" w:hAnsi="Times New Roman" w:cs="Times New Roman"/>
          <w:sz w:val="24"/>
          <w:szCs w:val="24"/>
        </w:rPr>
        <w:t>, recante “</w:t>
      </w:r>
      <w:r w:rsidR="00D631AA" w:rsidRPr="00D631AA">
        <w:rPr>
          <w:rFonts w:ascii="Times New Roman" w:hAnsi="Times New Roman" w:cs="Times New Roman"/>
          <w:i/>
          <w:sz w:val="24"/>
          <w:szCs w:val="24"/>
        </w:rPr>
        <w:t>Norme generali sulla partecipazione dell'Italia alla formazione e all'attuazione della normativa e delle politiche dell'Unione europea</w:t>
      </w:r>
      <w:r w:rsidR="00D631AA">
        <w:rPr>
          <w:rFonts w:ascii="Times New Roman" w:hAnsi="Times New Roman" w:cs="Times New Roman"/>
          <w:sz w:val="24"/>
          <w:szCs w:val="24"/>
        </w:rPr>
        <w:t>”</w:t>
      </w:r>
      <w:r w:rsidRPr="00CF17F6">
        <w:rPr>
          <w:rFonts w:ascii="Times New Roman" w:hAnsi="Times New Roman" w:cs="Times New Roman"/>
          <w:sz w:val="24"/>
          <w:szCs w:val="24"/>
        </w:rPr>
        <w:t>, è inserito definitivamente nella</w:t>
      </w:r>
      <w:r w:rsidR="00D631AA">
        <w:rPr>
          <w:rFonts w:ascii="Times New Roman" w:hAnsi="Times New Roman" w:cs="Times New Roman"/>
          <w:sz w:val="24"/>
          <w:szCs w:val="24"/>
        </w:rPr>
        <w:t xml:space="preserve"> </w:t>
      </w:r>
      <w:r w:rsidRPr="00CF17F6">
        <w:rPr>
          <w:rFonts w:ascii="Times New Roman" w:hAnsi="Times New Roman" w:cs="Times New Roman"/>
          <w:sz w:val="24"/>
          <w:szCs w:val="24"/>
        </w:rPr>
        <w:t>pianta organica della Presidenza del Consiglio dei Ministri - Dipartimento per</w:t>
      </w:r>
      <w:r w:rsidR="00D631AA">
        <w:rPr>
          <w:rFonts w:ascii="Times New Roman" w:hAnsi="Times New Roman" w:cs="Times New Roman"/>
          <w:sz w:val="24"/>
          <w:szCs w:val="24"/>
        </w:rPr>
        <w:t xml:space="preserve"> </w:t>
      </w:r>
      <w:r w:rsidRPr="00CF17F6">
        <w:rPr>
          <w:rFonts w:ascii="Times New Roman" w:hAnsi="Times New Roman" w:cs="Times New Roman"/>
          <w:sz w:val="24"/>
          <w:szCs w:val="24"/>
        </w:rPr>
        <w:t>le politiche europee.</w:t>
      </w:r>
    </w:p>
    <w:p w:rsidR="00CF17F6" w:rsidRPr="00CF17F6" w:rsidRDefault="00CF17F6" w:rsidP="00CF17F6">
      <w:pPr>
        <w:jc w:val="both"/>
        <w:rPr>
          <w:rFonts w:ascii="Times New Roman" w:hAnsi="Times New Roman" w:cs="Times New Roman"/>
          <w:sz w:val="24"/>
          <w:szCs w:val="24"/>
        </w:rPr>
      </w:pPr>
      <w:r w:rsidRPr="00CF17F6">
        <w:rPr>
          <w:rFonts w:ascii="Times New Roman" w:hAnsi="Times New Roman" w:cs="Times New Roman"/>
          <w:sz w:val="24"/>
          <w:szCs w:val="24"/>
        </w:rPr>
        <w:t xml:space="preserve">Al Comitato, in forza </w:t>
      </w:r>
      <w:r w:rsidR="00D631AA">
        <w:rPr>
          <w:rFonts w:ascii="Times New Roman" w:hAnsi="Times New Roman" w:cs="Times New Roman"/>
          <w:sz w:val="24"/>
          <w:szCs w:val="24"/>
        </w:rPr>
        <w:t>dell’articolo 3 del decreto del Presidente della Repubblica</w:t>
      </w:r>
      <w:r w:rsidR="00D631AA" w:rsidRPr="00D631AA">
        <w:rPr>
          <w:rFonts w:ascii="Times New Roman" w:hAnsi="Times New Roman" w:cs="Times New Roman"/>
          <w:sz w:val="24"/>
          <w:szCs w:val="24"/>
        </w:rPr>
        <w:t xml:space="preserve"> 14 maggio 2007, n. 91</w:t>
      </w:r>
      <w:r w:rsidRPr="00CF17F6">
        <w:rPr>
          <w:rFonts w:ascii="Times New Roman" w:hAnsi="Times New Roman" w:cs="Times New Roman"/>
          <w:sz w:val="24"/>
          <w:szCs w:val="24"/>
        </w:rPr>
        <w:t>, sono state attribuite funzioni consultive e</w:t>
      </w:r>
      <w:r w:rsidR="00D631AA">
        <w:rPr>
          <w:rFonts w:ascii="Times New Roman" w:hAnsi="Times New Roman" w:cs="Times New Roman"/>
          <w:sz w:val="24"/>
          <w:szCs w:val="24"/>
        </w:rPr>
        <w:t xml:space="preserve"> </w:t>
      </w:r>
      <w:r w:rsidRPr="00CF17F6">
        <w:rPr>
          <w:rFonts w:ascii="Times New Roman" w:hAnsi="Times New Roman" w:cs="Times New Roman"/>
          <w:sz w:val="24"/>
          <w:szCs w:val="24"/>
        </w:rPr>
        <w:t>di indirizzo per il coordinamento di tutte le Amministrazioni nazionali e</w:t>
      </w:r>
      <w:r w:rsidR="00D631AA">
        <w:rPr>
          <w:rFonts w:ascii="Times New Roman" w:hAnsi="Times New Roman" w:cs="Times New Roman"/>
          <w:sz w:val="24"/>
          <w:szCs w:val="24"/>
        </w:rPr>
        <w:t xml:space="preserve"> </w:t>
      </w:r>
      <w:r w:rsidRPr="00CF17F6">
        <w:rPr>
          <w:rFonts w:ascii="Times New Roman" w:hAnsi="Times New Roman" w:cs="Times New Roman"/>
          <w:sz w:val="24"/>
          <w:szCs w:val="24"/>
        </w:rPr>
        <w:t>regionali che svolgono attività di contrasto alle frodi e alle irregolarità</w:t>
      </w:r>
      <w:r w:rsidR="00D631AA">
        <w:rPr>
          <w:rFonts w:ascii="Times New Roman" w:hAnsi="Times New Roman" w:cs="Times New Roman"/>
          <w:sz w:val="24"/>
          <w:szCs w:val="24"/>
        </w:rPr>
        <w:t xml:space="preserve"> </w:t>
      </w:r>
      <w:r w:rsidRPr="00CF17F6">
        <w:rPr>
          <w:rFonts w:ascii="Times New Roman" w:hAnsi="Times New Roman" w:cs="Times New Roman"/>
          <w:sz w:val="24"/>
          <w:szCs w:val="24"/>
        </w:rPr>
        <w:t>attinenti il settore fiscale, quello della politica agricola comune e dei fondi</w:t>
      </w:r>
      <w:r w:rsidR="00D631AA">
        <w:rPr>
          <w:rFonts w:ascii="Times New Roman" w:hAnsi="Times New Roman" w:cs="Times New Roman"/>
          <w:sz w:val="24"/>
          <w:szCs w:val="24"/>
        </w:rPr>
        <w:t xml:space="preserve"> </w:t>
      </w:r>
      <w:r w:rsidRPr="00CF17F6">
        <w:rPr>
          <w:rFonts w:ascii="Times New Roman" w:hAnsi="Times New Roman" w:cs="Times New Roman"/>
          <w:sz w:val="24"/>
          <w:szCs w:val="24"/>
        </w:rPr>
        <w:t>strutturali.</w:t>
      </w:r>
    </w:p>
    <w:p w:rsidR="00CF17F6" w:rsidRPr="00CF17F6" w:rsidRDefault="00CF17F6" w:rsidP="00CF17F6">
      <w:pPr>
        <w:jc w:val="both"/>
        <w:rPr>
          <w:rFonts w:ascii="Times New Roman" w:hAnsi="Times New Roman" w:cs="Times New Roman"/>
          <w:sz w:val="24"/>
          <w:szCs w:val="24"/>
        </w:rPr>
      </w:pPr>
      <w:r w:rsidRPr="00CF17F6">
        <w:rPr>
          <w:rFonts w:ascii="Times New Roman" w:hAnsi="Times New Roman" w:cs="Times New Roman"/>
          <w:sz w:val="24"/>
          <w:szCs w:val="24"/>
        </w:rPr>
        <w:t>Inoltre, il Comitato ha lo specifico compito di:</w:t>
      </w:r>
    </w:p>
    <w:p w:rsidR="00CF17F6" w:rsidRPr="00CF17F6" w:rsidRDefault="00CF17F6" w:rsidP="00CF17F6">
      <w:pPr>
        <w:jc w:val="both"/>
        <w:rPr>
          <w:rFonts w:ascii="Times New Roman" w:hAnsi="Times New Roman" w:cs="Times New Roman"/>
          <w:sz w:val="24"/>
          <w:szCs w:val="24"/>
        </w:rPr>
      </w:pPr>
      <w:r w:rsidRPr="00CF17F6">
        <w:rPr>
          <w:rFonts w:ascii="Times New Roman" w:hAnsi="Times New Roman" w:cs="Times New Roman"/>
          <w:sz w:val="24"/>
          <w:szCs w:val="24"/>
        </w:rPr>
        <w:t xml:space="preserve">• monitorare il flusso di tutte le comunicazioni di </w:t>
      </w:r>
      <w:r w:rsidR="00D631AA">
        <w:rPr>
          <w:rFonts w:ascii="Times New Roman" w:hAnsi="Times New Roman" w:cs="Times New Roman"/>
          <w:sz w:val="24"/>
          <w:szCs w:val="24"/>
        </w:rPr>
        <w:t>i</w:t>
      </w:r>
      <w:r w:rsidRPr="00CF17F6">
        <w:rPr>
          <w:rFonts w:ascii="Times New Roman" w:hAnsi="Times New Roman" w:cs="Times New Roman"/>
          <w:sz w:val="24"/>
          <w:szCs w:val="24"/>
        </w:rPr>
        <w:t>rregolarità/</w:t>
      </w:r>
      <w:r w:rsidR="00D631AA">
        <w:rPr>
          <w:rFonts w:ascii="Times New Roman" w:hAnsi="Times New Roman" w:cs="Times New Roman"/>
          <w:sz w:val="24"/>
          <w:szCs w:val="24"/>
        </w:rPr>
        <w:t>f</w:t>
      </w:r>
      <w:r w:rsidRPr="00CF17F6">
        <w:rPr>
          <w:rFonts w:ascii="Times New Roman" w:hAnsi="Times New Roman" w:cs="Times New Roman"/>
          <w:sz w:val="24"/>
          <w:szCs w:val="24"/>
        </w:rPr>
        <w:t>rodi che</w:t>
      </w:r>
      <w:r w:rsidR="00D631AA">
        <w:rPr>
          <w:rFonts w:ascii="Times New Roman" w:hAnsi="Times New Roman" w:cs="Times New Roman"/>
          <w:sz w:val="24"/>
          <w:szCs w:val="24"/>
        </w:rPr>
        <w:t xml:space="preserve"> </w:t>
      </w:r>
      <w:r w:rsidRPr="00CF17F6">
        <w:rPr>
          <w:rFonts w:ascii="Times New Roman" w:hAnsi="Times New Roman" w:cs="Times New Roman"/>
          <w:sz w:val="24"/>
          <w:szCs w:val="24"/>
        </w:rPr>
        <w:t xml:space="preserve">l’Italia invia all’OLAF </w:t>
      </w:r>
      <w:r w:rsidR="00D631AA">
        <w:rPr>
          <w:rFonts w:ascii="Times New Roman" w:hAnsi="Times New Roman" w:cs="Times New Roman"/>
          <w:sz w:val="24"/>
          <w:szCs w:val="24"/>
        </w:rPr>
        <w:t>(</w:t>
      </w:r>
      <w:r w:rsidR="00D631AA" w:rsidRPr="00D631AA">
        <w:rPr>
          <w:rFonts w:ascii="Times New Roman" w:hAnsi="Times New Roman" w:cs="Times New Roman"/>
          <w:sz w:val="24"/>
          <w:szCs w:val="24"/>
        </w:rPr>
        <w:t>Ufficio europeo per la lotta antifrode</w:t>
      </w:r>
      <w:r w:rsidR="00D631AA">
        <w:rPr>
          <w:rFonts w:ascii="Times New Roman" w:hAnsi="Times New Roman" w:cs="Times New Roman"/>
          <w:sz w:val="24"/>
          <w:szCs w:val="24"/>
        </w:rPr>
        <w:t>),</w:t>
      </w:r>
      <w:r w:rsidR="0036773D">
        <w:rPr>
          <w:rFonts w:ascii="Times New Roman" w:hAnsi="Times New Roman" w:cs="Times New Roman"/>
          <w:sz w:val="24"/>
          <w:szCs w:val="24"/>
        </w:rPr>
        <w:t xml:space="preserve"> </w:t>
      </w:r>
      <w:r w:rsidRPr="00CF17F6">
        <w:rPr>
          <w:rFonts w:ascii="Times New Roman" w:hAnsi="Times New Roman" w:cs="Times New Roman"/>
          <w:sz w:val="24"/>
          <w:szCs w:val="24"/>
        </w:rPr>
        <w:t>per quanto concerne - in particolare - le somme</w:t>
      </w:r>
      <w:r w:rsidR="00D631AA">
        <w:rPr>
          <w:rFonts w:ascii="Times New Roman" w:hAnsi="Times New Roman" w:cs="Times New Roman"/>
          <w:sz w:val="24"/>
          <w:szCs w:val="24"/>
        </w:rPr>
        <w:t xml:space="preserve"> </w:t>
      </w:r>
      <w:r w:rsidRPr="00CF17F6">
        <w:rPr>
          <w:rFonts w:ascii="Times New Roman" w:hAnsi="Times New Roman" w:cs="Times New Roman"/>
          <w:sz w:val="24"/>
          <w:szCs w:val="24"/>
        </w:rPr>
        <w:t>indebitamente erogate e quelle recuperate;</w:t>
      </w:r>
    </w:p>
    <w:p w:rsidR="00CF17F6" w:rsidRPr="00CF17F6" w:rsidRDefault="00CF17F6" w:rsidP="00CF17F6">
      <w:pPr>
        <w:jc w:val="both"/>
        <w:rPr>
          <w:rFonts w:ascii="Times New Roman" w:hAnsi="Times New Roman" w:cs="Times New Roman"/>
          <w:sz w:val="24"/>
          <w:szCs w:val="24"/>
        </w:rPr>
      </w:pPr>
      <w:r w:rsidRPr="00CF17F6">
        <w:rPr>
          <w:rFonts w:ascii="Times New Roman" w:hAnsi="Times New Roman" w:cs="Times New Roman"/>
          <w:sz w:val="24"/>
          <w:szCs w:val="24"/>
        </w:rPr>
        <w:t>• predisporre il Questionario annuale ex art 325 del Trattato sul</w:t>
      </w:r>
      <w:r w:rsidR="00D631AA">
        <w:rPr>
          <w:rFonts w:ascii="Times New Roman" w:hAnsi="Times New Roman" w:cs="Times New Roman"/>
          <w:sz w:val="24"/>
          <w:szCs w:val="24"/>
        </w:rPr>
        <w:t xml:space="preserve"> </w:t>
      </w:r>
      <w:r w:rsidRPr="00CF17F6">
        <w:rPr>
          <w:rFonts w:ascii="Times New Roman" w:hAnsi="Times New Roman" w:cs="Times New Roman"/>
          <w:sz w:val="24"/>
          <w:szCs w:val="24"/>
        </w:rPr>
        <w:t>funzionamento dell’Unione europea (TFUE), nonché ogni altro documento</w:t>
      </w:r>
      <w:r w:rsidR="00D631AA">
        <w:rPr>
          <w:rFonts w:ascii="Times New Roman" w:hAnsi="Times New Roman" w:cs="Times New Roman"/>
          <w:sz w:val="24"/>
          <w:szCs w:val="24"/>
        </w:rPr>
        <w:t xml:space="preserve"> </w:t>
      </w:r>
      <w:r w:rsidRPr="00CF17F6">
        <w:rPr>
          <w:rFonts w:ascii="Times New Roman" w:hAnsi="Times New Roman" w:cs="Times New Roman"/>
          <w:sz w:val="24"/>
          <w:szCs w:val="24"/>
        </w:rPr>
        <w:t>inerente la peculiare tematica “antifrode”, la cui compilazione sia richiesta</w:t>
      </w:r>
      <w:r w:rsidR="00D631AA">
        <w:rPr>
          <w:rFonts w:ascii="Times New Roman" w:hAnsi="Times New Roman" w:cs="Times New Roman"/>
          <w:sz w:val="24"/>
          <w:szCs w:val="24"/>
        </w:rPr>
        <w:t xml:space="preserve"> </w:t>
      </w:r>
      <w:r w:rsidRPr="00CF17F6">
        <w:rPr>
          <w:rFonts w:ascii="Times New Roman" w:hAnsi="Times New Roman" w:cs="Times New Roman"/>
          <w:sz w:val="24"/>
          <w:szCs w:val="24"/>
        </w:rPr>
        <w:t xml:space="preserve">dalle </w:t>
      </w:r>
      <w:r w:rsidR="00D631AA">
        <w:rPr>
          <w:rFonts w:ascii="Times New Roman" w:hAnsi="Times New Roman" w:cs="Times New Roman"/>
          <w:sz w:val="24"/>
          <w:szCs w:val="24"/>
        </w:rPr>
        <w:t>i</w:t>
      </w:r>
      <w:r w:rsidRPr="00CF17F6">
        <w:rPr>
          <w:rFonts w:ascii="Times New Roman" w:hAnsi="Times New Roman" w:cs="Times New Roman"/>
          <w:sz w:val="24"/>
          <w:szCs w:val="24"/>
        </w:rPr>
        <w:t>stituzioni europee;</w:t>
      </w:r>
    </w:p>
    <w:p w:rsidR="00CF17F6" w:rsidRPr="00CF17F6" w:rsidRDefault="00CF17F6" w:rsidP="00CF17F6">
      <w:pPr>
        <w:jc w:val="both"/>
        <w:rPr>
          <w:rFonts w:ascii="Times New Roman" w:hAnsi="Times New Roman" w:cs="Times New Roman"/>
          <w:sz w:val="24"/>
          <w:szCs w:val="24"/>
        </w:rPr>
      </w:pPr>
      <w:r w:rsidRPr="00CF17F6">
        <w:rPr>
          <w:rFonts w:ascii="Times New Roman" w:hAnsi="Times New Roman" w:cs="Times New Roman"/>
          <w:sz w:val="24"/>
          <w:szCs w:val="24"/>
        </w:rPr>
        <w:t>• partecipare ai competenti tavoli di lavoro europei sul tema della lotta</w:t>
      </w:r>
      <w:r w:rsidR="00D631AA">
        <w:rPr>
          <w:rFonts w:ascii="Times New Roman" w:hAnsi="Times New Roman" w:cs="Times New Roman"/>
          <w:sz w:val="24"/>
          <w:szCs w:val="24"/>
        </w:rPr>
        <w:t xml:space="preserve"> </w:t>
      </w:r>
      <w:r w:rsidRPr="00CF17F6">
        <w:rPr>
          <w:rFonts w:ascii="Times New Roman" w:hAnsi="Times New Roman" w:cs="Times New Roman"/>
          <w:sz w:val="24"/>
          <w:szCs w:val="24"/>
        </w:rPr>
        <w:t>antifrode, ovvero al Comitato europeo lotta antifrode (</w:t>
      </w:r>
      <w:proofErr w:type="spellStart"/>
      <w:r w:rsidRPr="00CF17F6">
        <w:rPr>
          <w:rFonts w:ascii="Times New Roman" w:hAnsi="Times New Roman" w:cs="Times New Roman"/>
          <w:sz w:val="24"/>
          <w:szCs w:val="24"/>
        </w:rPr>
        <w:t>Co.Co.L.A.F</w:t>
      </w:r>
      <w:proofErr w:type="spellEnd"/>
      <w:r w:rsidRPr="00CF17F6">
        <w:rPr>
          <w:rFonts w:ascii="Times New Roman" w:hAnsi="Times New Roman" w:cs="Times New Roman"/>
          <w:sz w:val="24"/>
          <w:szCs w:val="24"/>
        </w:rPr>
        <w:t>.) della</w:t>
      </w:r>
      <w:r w:rsidR="00D631AA">
        <w:rPr>
          <w:rFonts w:ascii="Times New Roman" w:hAnsi="Times New Roman" w:cs="Times New Roman"/>
          <w:sz w:val="24"/>
          <w:szCs w:val="24"/>
        </w:rPr>
        <w:t xml:space="preserve"> </w:t>
      </w:r>
      <w:r w:rsidRPr="00CF17F6">
        <w:rPr>
          <w:rFonts w:ascii="Times New Roman" w:hAnsi="Times New Roman" w:cs="Times New Roman"/>
          <w:sz w:val="24"/>
          <w:szCs w:val="24"/>
        </w:rPr>
        <w:t>Commissione ed al Gruppo Anti Frode (GAF) del Consiglio dell’Unione.</w:t>
      </w:r>
    </w:p>
    <w:p w:rsidR="00CF17F6" w:rsidRPr="00CF17F6" w:rsidRDefault="00CF17F6" w:rsidP="00D631AA">
      <w:pPr>
        <w:jc w:val="both"/>
        <w:rPr>
          <w:rFonts w:ascii="Times New Roman" w:hAnsi="Times New Roman" w:cs="Times New Roman"/>
          <w:sz w:val="24"/>
          <w:szCs w:val="24"/>
        </w:rPr>
      </w:pPr>
      <w:r w:rsidRPr="00CF17F6">
        <w:rPr>
          <w:rFonts w:ascii="Times New Roman" w:hAnsi="Times New Roman" w:cs="Times New Roman"/>
          <w:sz w:val="24"/>
          <w:szCs w:val="24"/>
        </w:rPr>
        <w:t>Fanno parte del Comitato i rappresentanti, ai massimi livelli, di tutte le</w:t>
      </w:r>
      <w:r w:rsidR="00D631AA">
        <w:rPr>
          <w:rFonts w:ascii="Times New Roman" w:hAnsi="Times New Roman" w:cs="Times New Roman"/>
          <w:sz w:val="24"/>
          <w:szCs w:val="24"/>
        </w:rPr>
        <w:t xml:space="preserve"> </w:t>
      </w:r>
      <w:r w:rsidRPr="00CF17F6">
        <w:rPr>
          <w:rFonts w:ascii="Times New Roman" w:hAnsi="Times New Roman" w:cs="Times New Roman"/>
          <w:sz w:val="24"/>
          <w:szCs w:val="24"/>
        </w:rPr>
        <w:t xml:space="preserve">Amministrazioni deputate alla gestione dei Fondi europei, nonché alle </w:t>
      </w:r>
      <w:r w:rsidR="00D631AA" w:rsidRPr="00D631AA">
        <w:rPr>
          <w:rFonts w:ascii="Times New Roman" w:hAnsi="Times New Roman" w:cs="Times New Roman"/>
          <w:sz w:val="24"/>
          <w:szCs w:val="24"/>
        </w:rPr>
        <w:t>attività di controllo</w:t>
      </w:r>
      <w:r w:rsidR="00D631AA">
        <w:rPr>
          <w:rFonts w:ascii="Times New Roman" w:hAnsi="Times New Roman" w:cs="Times New Roman"/>
          <w:sz w:val="24"/>
          <w:szCs w:val="24"/>
        </w:rPr>
        <w:t>.</w:t>
      </w:r>
    </w:p>
    <w:p w:rsidR="00CF17F6" w:rsidRPr="00CF17F6" w:rsidRDefault="00CF17F6" w:rsidP="00CF17F6">
      <w:pPr>
        <w:jc w:val="both"/>
        <w:rPr>
          <w:rFonts w:ascii="Times New Roman" w:hAnsi="Times New Roman" w:cs="Times New Roman"/>
          <w:sz w:val="24"/>
          <w:szCs w:val="24"/>
        </w:rPr>
      </w:pPr>
      <w:r w:rsidRPr="00CF17F6">
        <w:rPr>
          <w:rFonts w:ascii="Times New Roman" w:hAnsi="Times New Roman" w:cs="Times New Roman"/>
          <w:sz w:val="24"/>
          <w:szCs w:val="24"/>
        </w:rPr>
        <w:t>Inoltre, in ossequio al disposto dell’art</w:t>
      </w:r>
      <w:r w:rsidR="00D631AA">
        <w:rPr>
          <w:rFonts w:ascii="Times New Roman" w:hAnsi="Times New Roman" w:cs="Times New Roman"/>
          <w:sz w:val="24"/>
          <w:szCs w:val="24"/>
        </w:rPr>
        <w:t>icolo</w:t>
      </w:r>
      <w:r w:rsidRPr="00CF17F6">
        <w:rPr>
          <w:rFonts w:ascii="Times New Roman" w:hAnsi="Times New Roman" w:cs="Times New Roman"/>
          <w:sz w:val="24"/>
          <w:szCs w:val="24"/>
        </w:rPr>
        <w:t xml:space="preserve"> 3, p</w:t>
      </w:r>
      <w:r w:rsidR="00D631AA">
        <w:rPr>
          <w:rFonts w:ascii="Times New Roman" w:hAnsi="Times New Roman" w:cs="Times New Roman"/>
          <w:sz w:val="24"/>
          <w:szCs w:val="24"/>
        </w:rPr>
        <w:t xml:space="preserve">ar. 4, del Regolamento (UE, </w:t>
      </w:r>
      <w:r w:rsidRPr="00CF17F6">
        <w:rPr>
          <w:rFonts w:ascii="Times New Roman" w:hAnsi="Times New Roman" w:cs="Times New Roman"/>
          <w:sz w:val="24"/>
          <w:szCs w:val="24"/>
        </w:rPr>
        <w:t>EURATOM) n. 883/2013 del Parlamento europeo e del Consiglio, il Comitato</w:t>
      </w:r>
      <w:r w:rsidR="00D631AA">
        <w:rPr>
          <w:rFonts w:ascii="Times New Roman" w:hAnsi="Times New Roman" w:cs="Times New Roman"/>
          <w:sz w:val="24"/>
          <w:szCs w:val="24"/>
        </w:rPr>
        <w:t xml:space="preserve"> </w:t>
      </w:r>
      <w:r w:rsidRPr="00CF17F6">
        <w:rPr>
          <w:rFonts w:ascii="Times New Roman" w:hAnsi="Times New Roman" w:cs="Times New Roman"/>
          <w:sz w:val="24"/>
          <w:szCs w:val="24"/>
        </w:rPr>
        <w:t>ha assunto la qualifica di “Servizio centrale di coordinamento antifrode” (c.d.</w:t>
      </w:r>
      <w:r w:rsidR="00D631AA">
        <w:rPr>
          <w:rFonts w:ascii="Times New Roman" w:hAnsi="Times New Roman" w:cs="Times New Roman"/>
          <w:sz w:val="24"/>
          <w:szCs w:val="24"/>
        </w:rPr>
        <w:t xml:space="preserve"> </w:t>
      </w:r>
      <w:r w:rsidRPr="00CF17F6">
        <w:rPr>
          <w:rFonts w:ascii="Times New Roman" w:hAnsi="Times New Roman" w:cs="Times New Roman"/>
          <w:sz w:val="24"/>
          <w:szCs w:val="24"/>
        </w:rPr>
        <w:t xml:space="preserve">“Anti </w:t>
      </w:r>
      <w:proofErr w:type="spellStart"/>
      <w:r w:rsidRPr="00CF17F6">
        <w:rPr>
          <w:rFonts w:ascii="Times New Roman" w:hAnsi="Times New Roman" w:cs="Times New Roman"/>
          <w:sz w:val="24"/>
          <w:szCs w:val="24"/>
        </w:rPr>
        <w:t>Fraud</w:t>
      </w:r>
      <w:proofErr w:type="spellEnd"/>
      <w:r w:rsidRPr="00CF17F6">
        <w:rPr>
          <w:rFonts w:ascii="Times New Roman" w:hAnsi="Times New Roman" w:cs="Times New Roman"/>
          <w:sz w:val="24"/>
          <w:szCs w:val="24"/>
        </w:rPr>
        <w:t xml:space="preserve"> </w:t>
      </w:r>
      <w:proofErr w:type="spellStart"/>
      <w:r w:rsidRPr="00CF17F6">
        <w:rPr>
          <w:rFonts w:ascii="Times New Roman" w:hAnsi="Times New Roman" w:cs="Times New Roman"/>
          <w:sz w:val="24"/>
          <w:szCs w:val="24"/>
        </w:rPr>
        <w:t>Coordination</w:t>
      </w:r>
      <w:proofErr w:type="spellEnd"/>
      <w:r w:rsidRPr="00CF17F6">
        <w:rPr>
          <w:rFonts w:ascii="Times New Roman" w:hAnsi="Times New Roman" w:cs="Times New Roman"/>
          <w:sz w:val="24"/>
          <w:szCs w:val="24"/>
        </w:rPr>
        <w:t xml:space="preserve"> Service - AFCOS”) ed è quindi </w:t>
      </w:r>
      <w:r w:rsidRPr="00CF17F6">
        <w:rPr>
          <w:rFonts w:ascii="Times New Roman" w:hAnsi="Times New Roman" w:cs="Times New Roman"/>
          <w:sz w:val="24"/>
          <w:szCs w:val="24"/>
        </w:rPr>
        <w:lastRenderedPageBreak/>
        <w:t>deputato a facilitare</w:t>
      </w:r>
      <w:r w:rsidR="00D631AA">
        <w:rPr>
          <w:rFonts w:ascii="Times New Roman" w:hAnsi="Times New Roman" w:cs="Times New Roman"/>
          <w:sz w:val="24"/>
          <w:szCs w:val="24"/>
        </w:rPr>
        <w:t xml:space="preserve"> </w:t>
      </w:r>
      <w:r w:rsidRPr="00CF17F6">
        <w:rPr>
          <w:rFonts w:ascii="Times New Roman" w:hAnsi="Times New Roman" w:cs="Times New Roman"/>
          <w:sz w:val="24"/>
          <w:szCs w:val="24"/>
        </w:rPr>
        <w:t>un’effettiva cooperazione e lo scambio di informazioni, incluse quelle di</w:t>
      </w:r>
      <w:r w:rsidR="00D631AA">
        <w:rPr>
          <w:rFonts w:ascii="Times New Roman" w:hAnsi="Times New Roman" w:cs="Times New Roman"/>
          <w:sz w:val="24"/>
          <w:szCs w:val="24"/>
        </w:rPr>
        <w:t xml:space="preserve"> </w:t>
      </w:r>
      <w:r w:rsidRPr="00CF17F6">
        <w:rPr>
          <w:rFonts w:ascii="Times New Roman" w:hAnsi="Times New Roman" w:cs="Times New Roman"/>
          <w:sz w:val="24"/>
          <w:szCs w:val="24"/>
        </w:rPr>
        <w:t xml:space="preserve">natura operativa, con l’Ufficio europeo Lotta Antifrode </w:t>
      </w:r>
      <w:r w:rsidR="00F8419A">
        <w:rPr>
          <w:rFonts w:ascii="Times New Roman" w:hAnsi="Times New Roman" w:cs="Times New Roman"/>
          <w:sz w:val="24"/>
          <w:szCs w:val="24"/>
        </w:rPr>
        <w:t>–</w:t>
      </w:r>
      <w:r w:rsidRPr="00CF17F6">
        <w:rPr>
          <w:rFonts w:ascii="Times New Roman" w:hAnsi="Times New Roman" w:cs="Times New Roman"/>
          <w:sz w:val="24"/>
          <w:szCs w:val="24"/>
        </w:rPr>
        <w:t xml:space="preserve"> OLAF</w:t>
      </w:r>
      <w:r w:rsidR="00F8419A">
        <w:rPr>
          <w:rFonts w:ascii="Times New Roman" w:hAnsi="Times New Roman" w:cs="Times New Roman"/>
          <w:sz w:val="24"/>
          <w:szCs w:val="24"/>
        </w:rPr>
        <w:t>.</w:t>
      </w:r>
    </w:p>
    <w:p w:rsidR="00F8419A" w:rsidRPr="00F8419A" w:rsidRDefault="00F8419A" w:rsidP="00F8419A">
      <w:pPr>
        <w:jc w:val="both"/>
        <w:rPr>
          <w:rFonts w:ascii="Times New Roman" w:hAnsi="Times New Roman" w:cs="Times New Roman"/>
          <w:sz w:val="24"/>
          <w:szCs w:val="24"/>
        </w:rPr>
      </w:pPr>
      <w:r w:rsidRPr="00F8419A">
        <w:rPr>
          <w:rFonts w:ascii="Times New Roman" w:hAnsi="Times New Roman" w:cs="Times New Roman"/>
          <w:sz w:val="24"/>
          <w:szCs w:val="24"/>
        </w:rPr>
        <w:t>In relazione ai peculiari compiti di coordinamento dell’azione antifrode</w:t>
      </w:r>
      <w:r>
        <w:rPr>
          <w:rFonts w:ascii="Times New Roman" w:hAnsi="Times New Roman" w:cs="Times New Roman"/>
          <w:sz w:val="24"/>
          <w:szCs w:val="24"/>
        </w:rPr>
        <w:t xml:space="preserve"> </w:t>
      </w:r>
      <w:r w:rsidRPr="00F8419A">
        <w:rPr>
          <w:rFonts w:ascii="Times New Roman" w:hAnsi="Times New Roman" w:cs="Times New Roman"/>
          <w:sz w:val="24"/>
          <w:szCs w:val="24"/>
        </w:rPr>
        <w:t xml:space="preserve">italiana, il Comitato partecipa </w:t>
      </w:r>
      <w:r>
        <w:rPr>
          <w:rFonts w:ascii="Times New Roman" w:hAnsi="Times New Roman" w:cs="Times New Roman"/>
          <w:sz w:val="24"/>
          <w:szCs w:val="24"/>
        </w:rPr>
        <w:t>proattivamente ai lavori delle i</w:t>
      </w:r>
      <w:r w:rsidRPr="00F8419A">
        <w:rPr>
          <w:rFonts w:ascii="Times New Roman" w:hAnsi="Times New Roman" w:cs="Times New Roman"/>
          <w:sz w:val="24"/>
          <w:szCs w:val="24"/>
        </w:rPr>
        <w:t>stituzioni</w:t>
      </w:r>
      <w:r>
        <w:rPr>
          <w:rFonts w:ascii="Times New Roman" w:hAnsi="Times New Roman" w:cs="Times New Roman"/>
          <w:sz w:val="24"/>
          <w:szCs w:val="24"/>
        </w:rPr>
        <w:t xml:space="preserve"> </w:t>
      </w:r>
      <w:r w:rsidRPr="00F8419A">
        <w:rPr>
          <w:rFonts w:ascii="Times New Roman" w:hAnsi="Times New Roman" w:cs="Times New Roman"/>
          <w:sz w:val="24"/>
          <w:szCs w:val="24"/>
        </w:rPr>
        <w:t>europee di settore, nonché collabora fattivamente con gli omologhi</w:t>
      </w:r>
      <w:r>
        <w:rPr>
          <w:rFonts w:ascii="Times New Roman" w:hAnsi="Times New Roman" w:cs="Times New Roman"/>
          <w:sz w:val="24"/>
          <w:szCs w:val="24"/>
        </w:rPr>
        <w:t xml:space="preserve"> </w:t>
      </w:r>
      <w:r w:rsidRPr="00F8419A">
        <w:rPr>
          <w:rFonts w:ascii="Times New Roman" w:hAnsi="Times New Roman" w:cs="Times New Roman"/>
          <w:sz w:val="24"/>
          <w:szCs w:val="24"/>
        </w:rPr>
        <w:t>organismi degli altri Stati membri attraverso:</w:t>
      </w:r>
    </w:p>
    <w:p w:rsidR="00F8419A" w:rsidRPr="00230EC7" w:rsidRDefault="00F8419A" w:rsidP="00AA1A94">
      <w:pPr>
        <w:pStyle w:val="Paragrafoelenco"/>
        <w:numPr>
          <w:ilvl w:val="0"/>
          <w:numId w:val="4"/>
        </w:numPr>
        <w:jc w:val="both"/>
        <w:rPr>
          <w:rFonts w:ascii="Times New Roman" w:hAnsi="Times New Roman" w:cs="Times New Roman"/>
          <w:sz w:val="24"/>
          <w:szCs w:val="24"/>
        </w:rPr>
      </w:pPr>
      <w:r w:rsidRPr="00230EC7">
        <w:rPr>
          <w:rFonts w:ascii="Times New Roman" w:hAnsi="Times New Roman" w:cs="Times New Roman"/>
          <w:sz w:val="24"/>
          <w:szCs w:val="24"/>
        </w:rPr>
        <w:t>l’elaborazione di specifiche proposte che possano contribuire alla migliore predisposizione di una valida strategia antifrode da parte della Commissione europea, soprattutto al fine di omogeneizzare - secondo le previsioni dell’art. 325 TFUE - le azioni svolte dalla Commissione stessa e dagli Stati membri a tutela del budget dell’Unione;</w:t>
      </w:r>
    </w:p>
    <w:p w:rsidR="00F8419A" w:rsidRPr="00230EC7" w:rsidRDefault="00F8419A" w:rsidP="00AA1A94">
      <w:pPr>
        <w:pStyle w:val="Paragrafoelenco"/>
        <w:numPr>
          <w:ilvl w:val="0"/>
          <w:numId w:val="4"/>
        </w:numPr>
        <w:jc w:val="both"/>
        <w:rPr>
          <w:rFonts w:ascii="Times New Roman" w:hAnsi="Times New Roman" w:cs="Times New Roman"/>
          <w:sz w:val="24"/>
          <w:szCs w:val="24"/>
        </w:rPr>
      </w:pPr>
      <w:r w:rsidRPr="00230EC7">
        <w:rPr>
          <w:rFonts w:ascii="Times New Roman" w:hAnsi="Times New Roman" w:cs="Times New Roman"/>
          <w:sz w:val="24"/>
          <w:szCs w:val="24"/>
        </w:rPr>
        <w:t>la partecipazione, per il tramite di propri delegati di volta in volta designati, alle riunioni del “Gruppo Antifrode del Consiglio”7 (GAF) e del “Comitato europeo di coordinamento lotta antifrode”8 (</w:t>
      </w:r>
      <w:proofErr w:type="spellStart"/>
      <w:r w:rsidRPr="00230EC7">
        <w:rPr>
          <w:rFonts w:ascii="Times New Roman" w:hAnsi="Times New Roman" w:cs="Times New Roman"/>
          <w:sz w:val="24"/>
          <w:szCs w:val="24"/>
        </w:rPr>
        <w:t>Co.Co.L.A.F</w:t>
      </w:r>
      <w:proofErr w:type="spellEnd"/>
      <w:r w:rsidRPr="00230EC7">
        <w:rPr>
          <w:rFonts w:ascii="Times New Roman" w:hAnsi="Times New Roman" w:cs="Times New Roman"/>
          <w:sz w:val="24"/>
          <w:szCs w:val="24"/>
        </w:rPr>
        <w:t>.) della Commissione e dei relativi sottogruppi di lavoro;</w:t>
      </w:r>
    </w:p>
    <w:p w:rsidR="00CF17F6" w:rsidRPr="00230EC7" w:rsidRDefault="00F8419A" w:rsidP="00AA1A94">
      <w:pPr>
        <w:pStyle w:val="Paragrafoelenco"/>
        <w:numPr>
          <w:ilvl w:val="0"/>
          <w:numId w:val="4"/>
        </w:numPr>
        <w:jc w:val="both"/>
        <w:rPr>
          <w:rFonts w:ascii="Times New Roman" w:hAnsi="Times New Roman" w:cs="Times New Roman"/>
          <w:sz w:val="24"/>
          <w:szCs w:val="24"/>
        </w:rPr>
      </w:pPr>
      <w:r w:rsidRPr="00230EC7">
        <w:rPr>
          <w:rFonts w:ascii="Times New Roman" w:hAnsi="Times New Roman" w:cs="Times New Roman"/>
          <w:sz w:val="24"/>
          <w:szCs w:val="24"/>
        </w:rPr>
        <w:t xml:space="preserve">l’organizzazione di training, visite studio, incontri bilaterali con le competenti strutture antifrode di altri Paesi membri, volti al rafforzamento della collaborazione ed allo scambio di esperienze operative e di “best </w:t>
      </w:r>
      <w:proofErr w:type="spellStart"/>
      <w:r w:rsidRPr="00230EC7">
        <w:rPr>
          <w:rFonts w:ascii="Times New Roman" w:hAnsi="Times New Roman" w:cs="Times New Roman"/>
          <w:sz w:val="24"/>
          <w:szCs w:val="24"/>
        </w:rPr>
        <w:t>practices</w:t>
      </w:r>
      <w:proofErr w:type="spellEnd"/>
      <w:r w:rsidRPr="00230EC7">
        <w:rPr>
          <w:rFonts w:ascii="Times New Roman" w:hAnsi="Times New Roman" w:cs="Times New Roman"/>
          <w:sz w:val="24"/>
          <w:szCs w:val="24"/>
        </w:rPr>
        <w:t>”.</w:t>
      </w:r>
    </w:p>
    <w:p w:rsidR="00F8419A" w:rsidRPr="00F8419A" w:rsidRDefault="00F8419A" w:rsidP="00F8419A">
      <w:pPr>
        <w:jc w:val="both"/>
        <w:rPr>
          <w:rFonts w:ascii="Times New Roman" w:hAnsi="Times New Roman" w:cs="Times New Roman"/>
          <w:sz w:val="24"/>
          <w:szCs w:val="24"/>
        </w:rPr>
      </w:pPr>
      <w:r w:rsidRPr="00F8419A">
        <w:rPr>
          <w:rFonts w:ascii="Times New Roman" w:hAnsi="Times New Roman" w:cs="Times New Roman"/>
          <w:sz w:val="24"/>
          <w:szCs w:val="24"/>
        </w:rPr>
        <w:t>Per prassi ormai consolidata, le tematiche oggetto di discussione nelle</w:t>
      </w:r>
      <w:r w:rsidR="00230EC7">
        <w:rPr>
          <w:rFonts w:ascii="Times New Roman" w:hAnsi="Times New Roman" w:cs="Times New Roman"/>
          <w:sz w:val="24"/>
          <w:szCs w:val="24"/>
        </w:rPr>
        <w:t xml:space="preserve"> </w:t>
      </w:r>
      <w:r w:rsidRPr="00F8419A">
        <w:rPr>
          <w:rFonts w:ascii="Times New Roman" w:hAnsi="Times New Roman" w:cs="Times New Roman"/>
          <w:sz w:val="24"/>
          <w:szCs w:val="24"/>
        </w:rPr>
        <w:t xml:space="preserve">sedute del GAF, del </w:t>
      </w:r>
      <w:proofErr w:type="spellStart"/>
      <w:r w:rsidRPr="00F8419A">
        <w:rPr>
          <w:rFonts w:ascii="Times New Roman" w:hAnsi="Times New Roman" w:cs="Times New Roman"/>
          <w:sz w:val="24"/>
          <w:szCs w:val="24"/>
        </w:rPr>
        <w:t>Co.Co.L.A.F</w:t>
      </w:r>
      <w:proofErr w:type="spellEnd"/>
      <w:r w:rsidRPr="00F8419A">
        <w:rPr>
          <w:rFonts w:ascii="Times New Roman" w:hAnsi="Times New Roman" w:cs="Times New Roman"/>
          <w:sz w:val="24"/>
          <w:szCs w:val="24"/>
        </w:rPr>
        <w:t>. e dei vari sottogruppi di lavoro vengono</w:t>
      </w:r>
      <w:r w:rsidR="00230EC7">
        <w:rPr>
          <w:rFonts w:ascii="Times New Roman" w:hAnsi="Times New Roman" w:cs="Times New Roman"/>
          <w:sz w:val="24"/>
          <w:szCs w:val="24"/>
        </w:rPr>
        <w:t xml:space="preserve"> </w:t>
      </w:r>
      <w:r w:rsidRPr="00F8419A">
        <w:rPr>
          <w:rFonts w:ascii="Times New Roman" w:hAnsi="Times New Roman" w:cs="Times New Roman"/>
          <w:sz w:val="24"/>
          <w:szCs w:val="24"/>
        </w:rPr>
        <w:t>esaminate dal Comitato sia preventivamente ai fini della definizione della</w:t>
      </w:r>
      <w:r w:rsidR="00230EC7">
        <w:rPr>
          <w:rFonts w:ascii="Times New Roman" w:hAnsi="Times New Roman" w:cs="Times New Roman"/>
          <w:sz w:val="24"/>
          <w:szCs w:val="24"/>
        </w:rPr>
        <w:t xml:space="preserve"> </w:t>
      </w:r>
      <w:r w:rsidRPr="00F8419A">
        <w:rPr>
          <w:rFonts w:ascii="Times New Roman" w:hAnsi="Times New Roman" w:cs="Times New Roman"/>
          <w:sz w:val="24"/>
          <w:szCs w:val="24"/>
        </w:rPr>
        <w:t>posizione unitaria italiana, sia successivamente per l’illustrazione e la</w:t>
      </w:r>
      <w:r w:rsidR="00230EC7">
        <w:rPr>
          <w:rFonts w:ascii="Times New Roman" w:hAnsi="Times New Roman" w:cs="Times New Roman"/>
          <w:sz w:val="24"/>
          <w:szCs w:val="24"/>
        </w:rPr>
        <w:t xml:space="preserve"> </w:t>
      </w:r>
      <w:r w:rsidRPr="00F8419A">
        <w:rPr>
          <w:rFonts w:ascii="Times New Roman" w:hAnsi="Times New Roman" w:cs="Times New Roman"/>
          <w:sz w:val="24"/>
          <w:szCs w:val="24"/>
        </w:rPr>
        <w:t>demoltiplicazione delle decisioni prese in tali consessi.</w:t>
      </w:r>
    </w:p>
    <w:p w:rsidR="0003610B" w:rsidRPr="0003610B" w:rsidRDefault="0003610B" w:rsidP="0003610B">
      <w:pPr>
        <w:jc w:val="both"/>
        <w:rPr>
          <w:rFonts w:ascii="Times New Roman" w:hAnsi="Times New Roman" w:cs="Times New Roman"/>
          <w:sz w:val="24"/>
          <w:szCs w:val="24"/>
        </w:rPr>
      </w:pPr>
      <w:r w:rsidRPr="0003610B">
        <w:rPr>
          <w:rFonts w:ascii="Times New Roman" w:hAnsi="Times New Roman" w:cs="Times New Roman"/>
          <w:sz w:val="24"/>
          <w:szCs w:val="24"/>
        </w:rPr>
        <w:t>Nell’ambito delle proprie riunioni plenarie di coordinamento il Comitato</w:t>
      </w:r>
      <w:r>
        <w:rPr>
          <w:rFonts w:ascii="Times New Roman" w:hAnsi="Times New Roman" w:cs="Times New Roman"/>
          <w:sz w:val="24"/>
          <w:szCs w:val="24"/>
        </w:rPr>
        <w:t xml:space="preserve"> </w:t>
      </w:r>
      <w:r w:rsidRPr="0003610B">
        <w:rPr>
          <w:rFonts w:ascii="Times New Roman" w:hAnsi="Times New Roman" w:cs="Times New Roman"/>
          <w:sz w:val="24"/>
          <w:szCs w:val="24"/>
        </w:rPr>
        <w:t>ha discusso ed approvato i testi del:</w:t>
      </w:r>
    </w:p>
    <w:p w:rsidR="0003610B" w:rsidRPr="0003610B" w:rsidRDefault="0003610B" w:rsidP="00AA1A94">
      <w:pPr>
        <w:pStyle w:val="Paragrafoelenco"/>
        <w:numPr>
          <w:ilvl w:val="0"/>
          <w:numId w:val="4"/>
        </w:numPr>
        <w:jc w:val="both"/>
        <w:rPr>
          <w:rFonts w:ascii="Times New Roman" w:hAnsi="Times New Roman" w:cs="Times New Roman"/>
          <w:sz w:val="24"/>
          <w:szCs w:val="24"/>
        </w:rPr>
      </w:pPr>
      <w:r w:rsidRPr="0003610B">
        <w:rPr>
          <w:rFonts w:ascii="Times New Roman" w:hAnsi="Times New Roman" w:cs="Times New Roman"/>
          <w:sz w:val="24"/>
          <w:szCs w:val="24"/>
        </w:rPr>
        <w:t>“Questionario ex art. 325 TFUE” - anno 2016, che la Commissione</w:t>
      </w:r>
      <w:r>
        <w:rPr>
          <w:rFonts w:ascii="Times New Roman" w:hAnsi="Times New Roman" w:cs="Times New Roman"/>
          <w:sz w:val="24"/>
          <w:szCs w:val="24"/>
        </w:rPr>
        <w:t xml:space="preserve"> </w:t>
      </w:r>
      <w:r w:rsidRPr="0003610B">
        <w:rPr>
          <w:rFonts w:ascii="Times New Roman" w:hAnsi="Times New Roman" w:cs="Times New Roman"/>
          <w:sz w:val="24"/>
          <w:szCs w:val="24"/>
        </w:rPr>
        <w:t>ha inviato per la compilazione agli Stati membri, al fine di verificare</w:t>
      </w:r>
      <w:r>
        <w:rPr>
          <w:rFonts w:ascii="Times New Roman" w:hAnsi="Times New Roman" w:cs="Times New Roman"/>
          <w:sz w:val="24"/>
          <w:szCs w:val="24"/>
        </w:rPr>
        <w:t xml:space="preserve"> </w:t>
      </w:r>
      <w:r w:rsidRPr="0003610B">
        <w:rPr>
          <w:rFonts w:ascii="Times New Roman" w:hAnsi="Times New Roman" w:cs="Times New Roman"/>
          <w:sz w:val="24"/>
          <w:szCs w:val="24"/>
        </w:rPr>
        <w:t>le principali azioni (a livello normativo, organizzativo, operativo, ecc.)</w:t>
      </w:r>
      <w:r>
        <w:rPr>
          <w:rFonts w:ascii="Times New Roman" w:hAnsi="Times New Roman" w:cs="Times New Roman"/>
          <w:sz w:val="24"/>
          <w:szCs w:val="24"/>
        </w:rPr>
        <w:t xml:space="preserve"> </w:t>
      </w:r>
      <w:r w:rsidRPr="0003610B">
        <w:rPr>
          <w:rFonts w:ascii="Times New Roman" w:hAnsi="Times New Roman" w:cs="Times New Roman"/>
          <w:sz w:val="24"/>
          <w:szCs w:val="24"/>
        </w:rPr>
        <w:t>poste in essere a tutela degli interessi finanziari dell’Unione europea;</w:t>
      </w:r>
    </w:p>
    <w:p w:rsidR="0003610B" w:rsidRPr="0003610B" w:rsidRDefault="0003610B" w:rsidP="00AA1A94">
      <w:pPr>
        <w:pStyle w:val="Paragrafoelenco"/>
        <w:numPr>
          <w:ilvl w:val="0"/>
          <w:numId w:val="4"/>
        </w:numPr>
        <w:jc w:val="both"/>
        <w:rPr>
          <w:rFonts w:ascii="Times New Roman" w:hAnsi="Times New Roman" w:cs="Times New Roman"/>
          <w:sz w:val="24"/>
          <w:szCs w:val="24"/>
        </w:rPr>
      </w:pPr>
      <w:r w:rsidRPr="0003610B">
        <w:rPr>
          <w:rFonts w:ascii="Times New Roman" w:hAnsi="Times New Roman" w:cs="Times New Roman"/>
          <w:sz w:val="24"/>
          <w:szCs w:val="24"/>
        </w:rPr>
        <w:t>“Follow-up” delle raccomandazioni per l’anno 2015, formulate dalla</w:t>
      </w:r>
      <w:r>
        <w:rPr>
          <w:rFonts w:ascii="Times New Roman" w:hAnsi="Times New Roman" w:cs="Times New Roman"/>
          <w:sz w:val="24"/>
          <w:szCs w:val="24"/>
        </w:rPr>
        <w:t xml:space="preserve"> </w:t>
      </w:r>
      <w:r w:rsidRPr="0003610B">
        <w:rPr>
          <w:rFonts w:ascii="Times New Roman" w:hAnsi="Times New Roman" w:cs="Times New Roman"/>
          <w:sz w:val="24"/>
          <w:szCs w:val="24"/>
        </w:rPr>
        <w:t>Commissione europea agli Stati membri, a seguito della Relazione</w:t>
      </w:r>
      <w:r>
        <w:rPr>
          <w:rFonts w:ascii="Times New Roman" w:hAnsi="Times New Roman" w:cs="Times New Roman"/>
          <w:sz w:val="24"/>
          <w:szCs w:val="24"/>
        </w:rPr>
        <w:t xml:space="preserve"> </w:t>
      </w:r>
      <w:r w:rsidRPr="0003610B">
        <w:rPr>
          <w:rFonts w:ascii="Times New Roman" w:hAnsi="Times New Roman" w:cs="Times New Roman"/>
          <w:sz w:val="24"/>
          <w:szCs w:val="24"/>
        </w:rPr>
        <w:t>“TIF”;</w:t>
      </w:r>
    </w:p>
    <w:p w:rsidR="0003610B" w:rsidRPr="0003610B" w:rsidRDefault="0003610B" w:rsidP="00AA1A94">
      <w:pPr>
        <w:pStyle w:val="Paragrafoelenco"/>
        <w:numPr>
          <w:ilvl w:val="0"/>
          <w:numId w:val="4"/>
        </w:numPr>
        <w:jc w:val="both"/>
        <w:rPr>
          <w:rFonts w:ascii="Times New Roman" w:hAnsi="Times New Roman" w:cs="Times New Roman"/>
          <w:sz w:val="24"/>
          <w:szCs w:val="24"/>
        </w:rPr>
      </w:pPr>
      <w:r w:rsidRPr="0003610B">
        <w:rPr>
          <w:rFonts w:ascii="Times New Roman" w:hAnsi="Times New Roman" w:cs="Times New Roman"/>
          <w:sz w:val="24"/>
          <w:szCs w:val="24"/>
        </w:rPr>
        <w:t>“Questionario sugli AFCOS”, volto ad acquisire informazioni, da parte</w:t>
      </w:r>
      <w:r>
        <w:rPr>
          <w:rFonts w:ascii="Times New Roman" w:hAnsi="Times New Roman" w:cs="Times New Roman"/>
          <w:sz w:val="24"/>
          <w:szCs w:val="24"/>
        </w:rPr>
        <w:t xml:space="preserve"> </w:t>
      </w:r>
      <w:r w:rsidRPr="0003610B">
        <w:rPr>
          <w:rFonts w:ascii="Times New Roman" w:hAnsi="Times New Roman" w:cs="Times New Roman"/>
          <w:sz w:val="24"/>
          <w:szCs w:val="24"/>
        </w:rPr>
        <w:t>della Commissione, circa la struttura, le fonti normative, le prerogative</w:t>
      </w:r>
      <w:r>
        <w:rPr>
          <w:rFonts w:ascii="Times New Roman" w:hAnsi="Times New Roman" w:cs="Times New Roman"/>
          <w:sz w:val="24"/>
          <w:szCs w:val="24"/>
        </w:rPr>
        <w:t xml:space="preserve"> </w:t>
      </w:r>
      <w:r w:rsidRPr="0003610B">
        <w:rPr>
          <w:rFonts w:ascii="Times New Roman" w:hAnsi="Times New Roman" w:cs="Times New Roman"/>
          <w:sz w:val="24"/>
          <w:szCs w:val="24"/>
        </w:rPr>
        <w:t>ed il funzionamento degli AFCOS istituiti presso ogni Stato membro;</w:t>
      </w:r>
    </w:p>
    <w:p w:rsidR="00F8419A" w:rsidRPr="00F8419A" w:rsidRDefault="0003610B" w:rsidP="00AA1A94">
      <w:pPr>
        <w:pStyle w:val="Paragrafoelenco"/>
        <w:numPr>
          <w:ilvl w:val="0"/>
          <w:numId w:val="4"/>
        </w:numPr>
        <w:jc w:val="both"/>
        <w:rPr>
          <w:rFonts w:ascii="Times New Roman" w:hAnsi="Times New Roman" w:cs="Times New Roman"/>
          <w:sz w:val="24"/>
          <w:szCs w:val="24"/>
        </w:rPr>
      </w:pPr>
      <w:r w:rsidRPr="0003610B">
        <w:rPr>
          <w:rFonts w:ascii="Times New Roman" w:hAnsi="Times New Roman" w:cs="Times New Roman"/>
          <w:sz w:val="24"/>
          <w:szCs w:val="24"/>
        </w:rPr>
        <w:t xml:space="preserve">Questionario sugli “on-the-spot </w:t>
      </w:r>
      <w:proofErr w:type="spellStart"/>
      <w:r w:rsidRPr="0003610B">
        <w:rPr>
          <w:rFonts w:ascii="Times New Roman" w:hAnsi="Times New Roman" w:cs="Times New Roman"/>
          <w:sz w:val="24"/>
          <w:szCs w:val="24"/>
        </w:rPr>
        <w:t>checks</w:t>
      </w:r>
      <w:proofErr w:type="spellEnd"/>
      <w:r w:rsidRPr="0003610B">
        <w:rPr>
          <w:rFonts w:ascii="Times New Roman" w:hAnsi="Times New Roman" w:cs="Times New Roman"/>
          <w:sz w:val="24"/>
          <w:szCs w:val="24"/>
        </w:rPr>
        <w:t>” (ispezioni sul posto e relative</w:t>
      </w:r>
      <w:r>
        <w:rPr>
          <w:rFonts w:ascii="Times New Roman" w:hAnsi="Times New Roman" w:cs="Times New Roman"/>
          <w:sz w:val="24"/>
          <w:szCs w:val="24"/>
        </w:rPr>
        <w:t xml:space="preserve"> </w:t>
      </w:r>
      <w:r w:rsidRPr="0003610B">
        <w:rPr>
          <w:rFonts w:ascii="Times New Roman" w:hAnsi="Times New Roman" w:cs="Times New Roman"/>
          <w:sz w:val="24"/>
          <w:szCs w:val="24"/>
        </w:rPr>
        <w:t>operazioni di informatica forense). Lo scopo è quello di acquisire, da</w:t>
      </w:r>
      <w:r>
        <w:rPr>
          <w:rFonts w:ascii="Times New Roman" w:hAnsi="Times New Roman" w:cs="Times New Roman"/>
          <w:sz w:val="24"/>
          <w:szCs w:val="24"/>
        </w:rPr>
        <w:t xml:space="preserve"> </w:t>
      </w:r>
      <w:r w:rsidRPr="0003610B">
        <w:rPr>
          <w:rFonts w:ascii="Times New Roman" w:hAnsi="Times New Roman" w:cs="Times New Roman"/>
          <w:sz w:val="24"/>
          <w:szCs w:val="24"/>
        </w:rPr>
        <w:t>parte della Commissione, una chiara comprensione della legislazione</w:t>
      </w:r>
      <w:r>
        <w:rPr>
          <w:rFonts w:ascii="Times New Roman" w:hAnsi="Times New Roman" w:cs="Times New Roman"/>
          <w:sz w:val="24"/>
          <w:szCs w:val="24"/>
        </w:rPr>
        <w:t xml:space="preserve"> </w:t>
      </w:r>
      <w:r w:rsidRPr="0003610B">
        <w:rPr>
          <w:rFonts w:ascii="Times New Roman" w:hAnsi="Times New Roman" w:cs="Times New Roman"/>
          <w:sz w:val="24"/>
          <w:szCs w:val="24"/>
        </w:rPr>
        <w:t>e delle prassi di ogni Stato Membro</w:t>
      </w:r>
    </w:p>
    <w:p w:rsidR="00895188" w:rsidRPr="00895188" w:rsidRDefault="00895188" w:rsidP="00895188">
      <w:pPr>
        <w:jc w:val="both"/>
        <w:rPr>
          <w:rFonts w:ascii="Times New Roman" w:hAnsi="Times New Roman" w:cs="Times New Roman"/>
          <w:sz w:val="24"/>
          <w:szCs w:val="24"/>
          <w:u w:val="single"/>
        </w:rPr>
      </w:pPr>
      <w:r w:rsidRPr="00895188">
        <w:rPr>
          <w:rFonts w:ascii="Times New Roman" w:hAnsi="Times New Roman" w:cs="Times New Roman"/>
          <w:sz w:val="24"/>
          <w:szCs w:val="24"/>
          <w:u w:val="single"/>
        </w:rPr>
        <w:t>Partecipazione proattiva ai lavori del “Gruppo Antifrode del Consiglio” (GAF)</w:t>
      </w:r>
    </w:p>
    <w:p w:rsidR="00E92059" w:rsidRPr="00E92059" w:rsidRDefault="00E92059" w:rsidP="00E92059">
      <w:pPr>
        <w:jc w:val="both"/>
        <w:rPr>
          <w:rFonts w:ascii="Times New Roman" w:hAnsi="Times New Roman" w:cs="Times New Roman"/>
          <w:sz w:val="24"/>
          <w:szCs w:val="24"/>
        </w:rPr>
      </w:pPr>
      <w:r w:rsidRPr="00E92059">
        <w:rPr>
          <w:rFonts w:ascii="Times New Roman" w:hAnsi="Times New Roman" w:cs="Times New Roman"/>
          <w:sz w:val="24"/>
          <w:szCs w:val="24"/>
        </w:rPr>
        <w:t>In particolare, nell’anno 2017, sotto le Presidenze della Repubblica di</w:t>
      </w:r>
      <w:r>
        <w:rPr>
          <w:rFonts w:ascii="Times New Roman" w:hAnsi="Times New Roman" w:cs="Times New Roman"/>
          <w:sz w:val="24"/>
          <w:szCs w:val="24"/>
        </w:rPr>
        <w:t xml:space="preserve"> </w:t>
      </w:r>
      <w:r w:rsidRPr="00E92059">
        <w:rPr>
          <w:rFonts w:ascii="Times New Roman" w:hAnsi="Times New Roman" w:cs="Times New Roman"/>
          <w:sz w:val="24"/>
          <w:szCs w:val="24"/>
        </w:rPr>
        <w:t>Malta (1° semestre) e della Repubblica di Estonia (2° semestre) sono</w:t>
      </w:r>
      <w:r>
        <w:rPr>
          <w:rFonts w:ascii="Times New Roman" w:hAnsi="Times New Roman" w:cs="Times New Roman"/>
          <w:sz w:val="24"/>
          <w:szCs w:val="24"/>
        </w:rPr>
        <w:t xml:space="preserve"> </w:t>
      </w:r>
      <w:r w:rsidRPr="00E92059">
        <w:rPr>
          <w:rFonts w:ascii="Times New Roman" w:hAnsi="Times New Roman" w:cs="Times New Roman"/>
          <w:sz w:val="24"/>
          <w:szCs w:val="24"/>
        </w:rPr>
        <w:t>state svolte sessioni di lavoro nelle seguenti date:</w:t>
      </w:r>
    </w:p>
    <w:p w:rsidR="00E92059" w:rsidRPr="00E92059" w:rsidRDefault="00E92059" w:rsidP="00E92059">
      <w:pPr>
        <w:jc w:val="both"/>
        <w:rPr>
          <w:rFonts w:ascii="Times New Roman" w:hAnsi="Times New Roman" w:cs="Times New Roman"/>
          <w:sz w:val="24"/>
          <w:szCs w:val="24"/>
        </w:rPr>
      </w:pPr>
      <w:r w:rsidRPr="00E92059">
        <w:rPr>
          <w:rFonts w:ascii="Times New Roman" w:hAnsi="Times New Roman" w:cs="Times New Roman"/>
          <w:sz w:val="24"/>
          <w:szCs w:val="24"/>
        </w:rPr>
        <w:t>• 19 maggio;</w:t>
      </w:r>
    </w:p>
    <w:p w:rsidR="00E92059" w:rsidRPr="00E92059" w:rsidRDefault="00E92059" w:rsidP="00E92059">
      <w:pPr>
        <w:jc w:val="both"/>
        <w:rPr>
          <w:rFonts w:ascii="Times New Roman" w:hAnsi="Times New Roman" w:cs="Times New Roman"/>
          <w:sz w:val="24"/>
          <w:szCs w:val="24"/>
        </w:rPr>
      </w:pPr>
      <w:r w:rsidRPr="00E92059">
        <w:rPr>
          <w:rFonts w:ascii="Times New Roman" w:hAnsi="Times New Roman" w:cs="Times New Roman"/>
          <w:sz w:val="24"/>
          <w:szCs w:val="24"/>
        </w:rPr>
        <w:t>• 7 giugno;</w:t>
      </w:r>
    </w:p>
    <w:p w:rsidR="00E92059" w:rsidRPr="00E92059" w:rsidRDefault="00E92059" w:rsidP="00E92059">
      <w:pPr>
        <w:jc w:val="both"/>
        <w:rPr>
          <w:rFonts w:ascii="Times New Roman" w:hAnsi="Times New Roman" w:cs="Times New Roman"/>
          <w:sz w:val="24"/>
          <w:szCs w:val="24"/>
        </w:rPr>
      </w:pPr>
      <w:r w:rsidRPr="00E92059">
        <w:rPr>
          <w:rFonts w:ascii="Times New Roman" w:hAnsi="Times New Roman" w:cs="Times New Roman"/>
          <w:sz w:val="24"/>
          <w:szCs w:val="24"/>
        </w:rPr>
        <w:lastRenderedPageBreak/>
        <w:t>• 16 ottobre;</w:t>
      </w:r>
    </w:p>
    <w:p w:rsidR="00F8419A" w:rsidRPr="00F8419A" w:rsidRDefault="00E92059" w:rsidP="00E92059">
      <w:pPr>
        <w:jc w:val="both"/>
        <w:rPr>
          <w:rFonts w:ascii="Times New Roman" w:hAnsi="Times New Roman" w:cs="Times New Roman"/>
          <w:sz w:val="24"/>
          <w:szCs w:val="24"/>
        </w:rPr>
      </w:pPr>
      <w:r w:rsidRPr="00E92059">
        <w:rPr>
          <w:rFonts w:ascii="Times New Roman" w:hAnsi="Times New Roman" w:cs="Times New Roman"/>
          <w:sz w:val="24"/>
          <w:szCs w:val="24"/>
        </w:rPr>
        <w:t>• 6 dicembre.</w:t>
      </w:r>
    </w:p>
    <w:p w:rsidR="00E92059" w:rsidRPr="00E92059" w:rsidRDefault="00E92059" w:rsidP="00E92059">
      <w:pPr>
        <w:jc w:val="both"/>
        <w:rPr>
          <w:rFonts w:ascii="Times New Roman" w:hAnsi="Times New Roman" w:cs="Times New Roman"/>
          <w:sz w:val="24"/>
          <w:szCs w:val="24"/>
        </w:rPr>
      </w:pPr>
      <w:r w:rsidRPr="00E92059">
        <w:rPr>
          <w:rFonts w:ascii="Times New Roman" w:hAnsi="Times New Roman" w:cs="Times New Roman"/>
          <w:sz w:val="24"/>
          <w:szCs w:val="24"/>
        </w:rPr>
        <w:t>Di seguito gli argomenti di maggiore rilevanza discussi:</w:t>
      </w:r>
    </w:p>
    <w:p w:rsidR="00E92059" w:rsidRPr="00E92059" w:rsidRDefault="00E92059" w:rsidP="00AA1A94">
      <w:pPr>
        <w:pStyle w:val="Paragrafoelenco"/>
        <w:numPr>
          <w:ilvl w:val="0"/>
          <w:numId w:val="4"/>
        </w:numPr>
        <w:jc w:val="both"/>
        <w:rPr>
          <w:rFonts w:ascii="Times New Roman" w:hAnsi="Times New Roman" w:cs="Times New Roman"/>
          <w:sz w:val="24"/>
          <w:szCs w:val="24"/>
        </w:rPr>
      </w:pPr>
      <w:r w:rsidRPr="00E92059">
        <w:rPr>
          <w:rFonts w:ascii="Times New Roman" w:hAnsi="Times New Roman" w:cs="Times New Roman"/>
          <w:sz w:val="24"/>
          <w:szCs w:val="24"/>
        </w:rPr>
        <w:t>Scambio di opinioni con le istituzioni.</w:t>
      </w:r>
      <w:r>
        <w:rPr>
          <w:rFonts w:ascii="Times New Roman" w:hAnsi="Times New Roman" w:cs="Times New Roman"/>
          <w:sz w:val="24"/>
          <w:szCs w:val="24"/>
        </w:rPr>
        <w:t xml:space="preserve"> </w:t>
      </w:r>
      <w:r w:rsidRPr="00E92059">
        <w:rPr>
          <w:rFonts w:ascii="Times New Roman" w:hAnsi="Times New Roman" w:cs="Times New Roman"/>
          <w:sz w:val="24"/>
          <w:szCs w:val="24"/>
        </w:rPr>
        <w:t>Sul punto si è giunti ad un parere di concordanza sui temi da trattare</w:t>
      </w:r>
      <w:r>
        <w:rPr>
          <w:rFonts w:ascii="Times New Roman" w:hAnsi="Times New Roman" w:cs="Times New Roman"/>
          <w:sz w:val="24"/>
          <w:szCs w:val="24"/>
        </w:rPr>
        <w:t xml:space="preserve"> </w:t>
      </w:r>
      <w:r w:rsidRPr="00E92059">
        <w:rPr>
          <w:rFonts w:ascii="Times New Roman" w:hAnsi="Times New Roman" w:cs="Times New Roman"/>
          <w:sz w:val="24"/>
          <w:szCs w:val="24"/>
        </w:rPr>
        <w:t>in ordine: alle priorità strategiche dell’azione investigativa, alle</w:t>
      </w:r>
      <w:r>
        <w:rPr>
          <w:rFonts w:ascii="Times New Roman" w:hAnsi="Times New Roman" w:cs="Times New Roman"/>
          <w:sz w:val="24"/>
          <w:szCs w:val="24"/>
        </w:rPr>
        <w:t xml:space="preserve"> </w:t>
      </w:r>
      <w:r w:rsidRPr="00E92059">
        <w:rPr>
          <w:rFonts w:ascii="Times New Roman" w:hAnsi="Times New Roman" w:cs="Times New Roman"/>
          <w:sz w:val="24"/>
          <w:szCs w:val="24"/>
        </w:rPr>
        <w:t>conclusioni dei rapporti OLAF, del Comitato di Vigilanza e al ruolo</w:t>
      </w:r>
      <w:r>
        <w:rPr>
          <w:rFonts w:ascii="Times New Roman" w:hAnsi="Times New Roman" w:cs="Times New Roman"/>
          <w:sz w:val="24"/>
          <w:szCs w:val="24"/>
        </w:rPr>
        <w:t xml:space="preserve"> </w:t>
      </w:r>
      <w:r w:rsidRPr="00E92059">
        <w:rPr>
          <w:rFonts w:ascii="Times New Roman" w:hAnsi="Times New Roman" w:cs="Times New Roman"/>
          <w:sz w:val="24"/>
          <w:szCs w:val="24"/>
        </w:rPr>
        <w:t>dell’OLAF in relazione all’istituzione della Procura europea/EPPO14,</w:t>
      </w:r>
      <w:r>
        <w:rPr>
          <w:rFonts w:ascii="Times New Roman" w:hAnsi="Times New Roman" w:cs="Times New Roman"/>
          <w:sz w:val="24"/>
          <w:szCs w:val="24"/>
        </w:rPr>
        <w:t xml:space="preserve"> </w:t>
      </w:r>
      <w:r w:rsidRPr="00E92059">
        <w:rPr>
          <w:rFonts w:ascii="Times New Roman" w:hAnsi="Times New Roman" w:cs="Times New Roman"/>
          <w:sz w:val="24"/>
          <w:szCs w:val="24"/>
        </w:rPr>
        <w:t>(</w:t>
      </w:r>
      <w:proofErr w:type="spellStart"/>
      <w:r w:rsidRPr="00E92059">
        <w:rPr>
          <w:rFonts w:ascii="Times New Roman" w:hAnsi="Times New Roman" w:cs="Times New Roman"/>
          <w:sz w:val="24"/>
          <w:szCs w:val="24"/>
        </w:rPr>
        <w:t>European</w:t>
      </w:r>
      <w:proofErr w:type="spellEnd"/>
      <w:r w:rsidRPr="00E92059">
        <w:rPr>
          <w:rFonts w:ascii="Times New Roman" w:hAnsi="Times New Roman" w:cs="Times New Roman"/>
          <w:sz w:val="24"/>
          <w:szCs w:val="24"/>
        </w:rPr>
        <w:t xml:space="preserve"> Public </w:t>
      </w:r>
      <w:proofErr w:type="spellStart"/>
      <w:r w:rsidRPr="00E92059">
        <w:rPr>
          <w:rFonts w:ascii="Times New Roman" w:hAnsi="Times New Roman" w:cs="Times New Roman"/>
          <w:sz w:val="24"/>
          <w:szCs w:val="24"/>
        </w:rPr>
        <w:t>Prosecutor’s</w:t>
      </w:r>
      <w:proofErr w:type="spellEnd"/>
      <w:r w:rsidRPr="00E92059">
        <w:rPr>
          <w:rFonts w:ascii="Times New Roman" w:hAnsi="Times New Roman" w:cs="Times New Roman"/>
          <w:sz w:val="24"/>
          <w:szCs w:val="24"/>
        </w:rPr>
        <w:t xml:space="preserve"> Office) che assume assoluto interesse</w:t>
      </w:r>
      <w:r>
        <w:rPr>
          <w:rFonts w:ascii="Times New Roman" w:hAnsi="Times New Roman" w:cs="Times New Roman"/>
          <w:sz w:val="24"/>
          <w:szCs w:val="24"/>
        </w:rPr>
        <w:t xml:space="preserve"> </w:t>
      </w:r>
      <w:proofErr w:type="spellStart"/>
      <w:r w:rsidRPr="00E92059">
        <w:rPr>
          <w:rFonts w:ascii="Times New Roman" w:hAnsi="Times New Roman" w:cs="Times New Roman"/>
          <w:sz w:val="24"/>
          <w:szCs w:val="24"/>
        </w:rPr>
        <w:t>interistituzionale</w:t>
      </w:r>
      <w:proofErr w:type="spellEnd"/>
      <w:r w:rsidRPr="00E92059">
        <w:rPr>
          <w:rFonts w:ascii="Times New Roman" w:hAnsi="Times New Roman" w:cs="Times New Roman"/>
          <w:sz w:val="24"/>
          <w:szCs w:val="24"/>
        </w:rPr>
        <w:t>.</w:t>
      </w:r>
    </w:p>
    <w:p w:rsidR="00E92059" w:rsidRDefault="00E92059" w:rsidP="00AA1A94">
      <w:pPr>
        <w:pStyle w:val="Paragrafoelenco"/>
        <w:numPr>
          <w:ilvl w:val="0"/>
          <w:numId w:val="4"/>
        </w:numPr>
        <w:jc w:val="both"/>
        <w:rPr>
          <w:rFonts w:ascii="Times New Roman" w:hAnsi="Times New Roman" w:cs="Times New Roman"/>
          <w:sz w:val="24"/>
          <w:szCs w:val="24"/>
        </w:rPr>
      </w:pPr>
      <w:r w:rsidRPr="00E92059">
        <w:rPr>
          <w:rFonts w:ascii="Times New Roman" w:hAnsi="Times New Roman" w:cs="Times New Roman"/>
          <w:sz w:val="24"/>
          <w:szCs w:val="24"/>
        </w:rPr>
        <w:t xml:space="preserve">Rapporto del Comitato di Sorveglianza dell’OLAF - anno 2016. Il rapporto del Comitato di Sorveglianza dovrebbe essere più decisamente orientato all’analisi della qualità delle indagini svolte dall’OLAF e, quindi, alle connesse performances. A differenza, il quadro di situazione descritto nel rapporto privilegia maggiormente le criticità riscontrate in ordine ai rapporti di collaborazione tra lo stesso Comitato di Sorveglianza e l’OLAF. </w:t>
      </w:r>
    </w:p>
    <w:p w:rsidR="00E92059" w:rsidRDefault="00E92059" w:rsidP="00AA1A94">
      <w:pPr>
        <w:pStyle w:val="Paragrafoelenco"/>
        <w:numPr>
          <w:ilvl w:val="0"/>
          <w:numId w:val="4"/>
        </w:numPr>
        <w:jc w:val="both"/>
        <w:rPr>
          <w:rFonts w:ascii="Times New Roman" w:hAnsi="Times New Roman" w:cs="Times New Roman"/>
          <w:sz w:val="24"/>
          <w:szCs w:val="24"/>
        </w:rPr>
      </w:pPr>
      <w:r w:rsidRPr="00E92059">
        <w:rPr>
          <w:rFonts w:ascii="Times New Roman" w:hAnsi="Times New Roman" w:cs="Times New Roman"/>
          <w:sz w:val="24"/>
          <w:szCs w:val="24"/>
        </w:rPr>
        <w:t>Relazione della Commissione europea sulla Tutela degli interessi finanziari dell’UE - anno 2016 (c.d. “Relazione TIF”). Nella riunione GAF del 16 ottobre 2017 la Commissione ha presentato la Relazione annuale sulla tutela degli interessi finanziari dell’Unione europea - anno 2016, redatta in collaborazione con gli Stati membri a norma dell’articolo 325 del Trattato sul Funzionamento dell’Unione europea (TFUE). Nel documento, oltre alla consueta attenzione posta sugli aspetti statistici connessi al numero delle irregolarità e delle frodi (suddivise per settore) comunicate dai vari Paesi, l’Olaf ha posto l’accento sugli aspetti relativi alla nuova struttura del documento che si concentra sui rischi per settore e non per Paese, sul nuovo allegato sul sistema EDES per il settore della gestione diretta; sulle quattro raccomandazioni finali in materia di revisione dei sistemi di controllo per la parte “entrate”, sul settore degli appalti pubblici e dell’“e-</w:t>
      </w:r>
      <w:proofErr w:type="spellStart"/>
      <w:r w:rsidRPr="00E92059">
        <w:rPr>
          <w:rFonts w:ascii="Times New Roman" w:hAnsi="Times New Roman" w:cs="Times New Roman"/>
          <w:sz w:val="24"/>
          <w:szCs w:val="24"/>
        </w:rPr>
        <w:t>procurement</w:t>
      </w:r>
      <w:proofErr w:type="spellEnd"/>
      <w:r w:rsidRPr="00E92059">
        <w:rPr>
          <w:rFonts w:ascii="Times New Roman" w:hAnsi="Times New Roman" w:cs="Times New Roman"/>
          <w:sz w:val="24"/>
          <w:szCs w:val="24"/>
        </w:rPr>
        <w:t>”, sulla qualità dei dati e sull’analisi del rischio.</w:t>
      </w:r>
    </w:p>
    <w:p w:rsidR="00E92059" w:rsidRPr="00E92059" w:rsidRDefault="00E92059" w:rsidP="00AA1A94">
      <w:pPr>
        <w:pStyle w:val="Paragrafoelenco"/>
        <w:numPr>
          <w:ilvl w:val="0"/>
          <w:numId w:val="4"/>
        </w:numPr>
        <w:jc w:val="both"/>
        <w:rPr>
          <w:rFonts w:ascii="Times New Roman" w:hAnsi="Times New Roman" w:cs="Times New Roman"/>
          <w:sz w:val="24"/>
          <w:szCs w:val="24"/>
        </w:rPr>
      </w:pPr>
      <w:r w:rsidRPr="00E92059">
        <w:rPr>
          <w:rFonts w:ascii="Times New Roman" w:hAnsi="Times New Roman" w:cs="Times New Roman"/>
          <w:sz w:val="24"/>
          <w:szCs w:val="24"/>
        </w:rPr>
        <w:t>Relazione della Commissione europea sulla valutazione dell’applicazione del Reg. (UE, EURATOM) n. 883/2013 sulle indagini dell’OLAF.</w:t>
      </w:r>
    </w:p>
    <w:p w:rsidR="00E92059" w:rsidRPr="00E92059" w:rsidRDefault="00E92059" w:rsidP="00E92059">
      <w:pPr>
        <w:jc w:val="both"/>
        <w:rPr>
          <w:rFonts w:ascii="Times New Roman" w:hAnsi="Times New Roman" w:cs="Times New Roman"/>
          <w:sz w:val="24"/>
          <w:szCs w:val="24"/>
        </w:rPr>
      </w:pPr>
      <w:r w:rsidRPr="00E92059">
        <w:rPr>
          <w:rFonts w:ascii="Times New Roman" w:hAnsi="Times New Roman" w:cs="Times New Roman"/>
          <w:sz w:val="24"/>
          <w:szCs w:val="24"/>
        </w:rPr>
        <w:t>La Commissione/OLAF, presentando gli esiti della relazione ha posto</w:t>
      </w:r>
      <w:r>
        <w:rPr>
          <w:rFonts w:ascii="Times New Roman" w:hAnsi="Times New Roman" w:cs="Times New Roman"/>
          <w:sz w:val="24"/>
          <w:szCs w:val="24"/>
        </w:rPr>
        <w:t xml:space="preserve"> </w:t>
      </w:r>
      <w:r w:rsidRPr="00E92059">
        <w:rPr>
          <w:rFonts w:ascii="Times New Roman" w:hAnsi="Times New Roman" w:cs="Times New Roman"/>
          <w:sz w:val="24"/>
          <w:szCs w:val="24"/>
        </w:rPr>
        <w:t>l’accento, in particolare, sulla necessità di migliorare alcuni aspetti in</w:t>
      </w:r>
      <w:r>
        <w:rPr>
          <w:rFonts w:ascii="Times New Roman" w:hAnsi="Times New Roman" w:cs="Times New Roman"/>
          <w:sz w:val="24"/>
          <w:szCs w:val="24"/>
        </w:rPr>
        <w:t xml:space="preserve"> </w:t>
      </w:r>
      <w:r w:rsidRPr="00E92059">
        <w:rPr>
          <w:rFonts w:ascii="Times New Roman" w:hAnsi="Times New Roman" w:cs="Times New Roman"/>
          <w:sz w:val="24"/>
          <w:szCs w:val="24"/>
        </w:rPr>
        <w:t>ordine:</w:t>
      </w:r>
    </w:p>
    <w:p w:rsidR="00E92059" w:rsidRPr="00E92059" w:rsidRDefault="00E92059" w:rsidP="00AA1A94">
      <w:pPr>
        <w:pStyle w:val="Paragrafoelenco"/>
        <w:numPr>
          <w:ilvl w:val="0"/>
          <w:numId w:val="4"/>
        </w:numPr>
        <w:jc w:val="both"/>
        <w:rPr>
          <w:rFonts w:ascii="Times New Roman" w:hAnsi="Times New Roman" w:cs="Times New Roman"/>
          <w:sz w:val="24"/>
          <w:szCs w:val="24"/>
        </w:rPr>
      </w:pPr>
      <w:r w:rsidRPr="00E92059">
        <w:rPr>
          <w:rFonts w:ascii="Times New Roman" w:hAnsi="Times New Roman" w:cs="Times New Roman"/>
          <w:sz w:val="24"/>
          <w:szCs w:val="24"/>
        </w:rPr>
        <w:t>agli strumenti investigativi;</w:t>
      </w:r>
    </w:p>
    <w:p w:rsidR="00E92059" w:rsidRPr="00E92059" w:rsidRDefault="00E92059" w:rsidP="00AA1A94">
      <w:pPr>
        <w:pStyle w:val="Paragrafoelenco"/>
        <w:numPr>
          <w:ilvl w:val="0"/>
          <w:numId w:val="4"/>
        </w:numPr>
        <w:jc w:val="both"/>
        <w:rPr>
          <w:rFonts w:ascii="Times New Roman" w:hAnsi="Times New Roman" w:cs="Times New Roman"/>
          <w:sz w:val="24"/>
          <w:szCs w:val="24"/>
        </w:rPr>
      </w:pPr>
      <w:r w:rsidRPr="00E92059">
        <w:rPr>
          <w:rFonts w:ascii="Times New Roman" w:hAnsi="Times New Roman" w:cs="Times New Roman"/>
          <w:sz w:val="24"/>
          <w:szCs w:val="24"/>
        </w:rPr>
        <w:t>alla disomogenea interpretazione delle raccomandazioni post</w:t>
      </w:r>
      <w:r>
        <w:rPr>
          <w:rFonts w:ascii="Times New Roman" w:hAnsi="Times New Roman" w:cs="Times New Roman"/>
          <w:sz w:val="24"/>
          <w:szCs w:val="24"/>
        </w:rPr>
        <w:t xml:space="preserve"> </w:t>
      </w:r>
      <w:r w:rsidRPr="00E92059">
        <w:rPr>
          <w:rFonts w:ascii="Times New Roman" w:hAnsi="Times New Roman" w:cs="Times New Roman"/>
          <w:sz w:val="24"/>
          <w:szCs w:val="24"/>
        </w:rPr>
        <w:t>indagini OLAF;</w:t>
      </w:r>
    </w:p>
    <w:p w:rsidR="00E92059" w:rsidRPr="00E92059" w:rsidRDefault="00E92059" w:rsidP="00AA1A94">
      <w:pPr>
        <w:pStyle w:val="Paragrafoelenco"/>
        <w:numPr>
          <w:ilvl w:val="0"/>
          <w:numId w:val="4"/>
        </w:numPr>
        <w:jc w:val="both"/>
        <w:rPr>
          <w:rFonts w:ascii="Times New Roman" w:hAnsi="Times New Roman" w:cs="Times New Roman"/>
          <w:sz w:val="24"/>
          <w:szCs w:val="24"/>
        </w:rPr>
      </w:pPr>
      <w:r w:rsidRPr="00E92059">
        <w:rPr>
          <w:rFonts w:ascii="Times New Roman" w:hAnsi="Times New Roman" w:cs="Times New Roman"/>
          <w:sz w:val="24"/>
          <w:szCs w:val="24"/>
        </w:rPr>
        <w:t>al riconoscimento dell’esito delle indagini OLAF in ambito</w:t>
      </w:r>
      <w:r>
        <w:rPr>
          <w:rFonts w:ascii="Times New Roman" w:hAnsi="Times New Roman" w:cs="Times New Roman"/>
          <w:sz w:val="24"/>
          <w:szCs w:val="24"/>
        </w:rPr>
        <w:t xml:space="preserve"> </w:t>
      </w:r>
      <w:r w:rsidRPr="00E92059">
        <w:rPr>
          <w:rFonts w:ascii="Times New Roman" w:hAnsi="Times New Roman" w:cs="Times New Roman"/>
          <w:sz w:val="24"/>
          <w:szCs w:val="24"/>
        </w:rPr>
        <w:t>giurisdizionale;</w:t>
      </w:r>
    </w:p>
    <w:p w:rsidR="00CF17F6" w:rsidRPr="00F8419A" w:rsidRDefault="00E92059" w:rsidP="00AA1A94">
      <w:pPr>
        <w:pStyle w:val="Paragrafoelenco"/>
        <w:numPr>
          <w:ilvl w:val="0"/>
          <w:numId w:val="4"/>
        </w:numPr>
        <w:jc w:val="both"/>
        <w:rPr>
          <w:rFonts w:ascii="Times New Roman" w:hAnsi="Times New Roman" w:cs="Times New Roman"/>
          <w:sz w:val="24"/>
          <w:szCs w:val="24"/>
        </w:rPr>
      </w:pPr>
      <w:r w:rsidRPr="00E92059">
        <w:rPr>
          <w:rFonts w:ascii="Times New Roman" w:hAnsi="Times New Roman" w:cs="Times New Roman"/>
          <w:sz w:val="24"/>
          <w:szCs w:val="24"/>
        </w:rPr>
        <w:t>al quadro di adattamento dell’OLAF in ragione dell’istituzione</w:t>
      </w:r>
      <w:r>
        <w:rPr>
          <w:rFonts w:ascii="Times New Roman" w:hAnsi="Times New Roman" w:cs="Times New Roman"/>
          <w:sz w:val="24"/>
          <w:szCs w:val="24"/>
        </w:rPr>
        <w:t xml:space="preserve"> </w:t>
      </w:r>
      <w:r w:rsidRPr="00E92059">
        <w:rPr>
          <w:rFonts w:ascii="Times New Roman" w:hAnsi="Times New Roman" w:cs="Times New Roman"/>
          <w:sz w:val="24"/>
          <w:szCs w:val="24"/>
        </w:rPr>
        <w:t>dell’EPPO, al fine di assicurare la complementarietà del primo nei</w:t>
      </w:r>
      <w:r>
        <w:rPr>
          <w:rFonts w:ascii="Times New Roman" w:hAnsi="Times New Roman" w:cs="Times New Roman"/>
          <w:sz w:val="24"/>
          <w:szCs w:val="24"/>
        </w:rPr>
        <w:t xml:space="preserve"> </w:t>
      </w:r>
      <w:r w:rsidRPr="00E92059">
        <w:rPr>
          <w:rFonts w:ascii="Times New Roman" w:hAnsi="Times New Roman" w:cs="Times New Roman"/>
          <w:sz w:val="24"/>
          <w:szCs w:val="24"/>
        </w:rPr>
        <w:t>confronti del secondo.</w:t>
      </w:r>
    </w:p>
    <w:p w:rsidR="00CF17F6" w:rsidRPr="00C51BB7" w:rsidRDefault="00C51BB7" w:rsidP="003C548B">
      <w:pPr>
        <w:jc w:val="both"/>
        <w:rPr>
          <w:rFonts w:ascii="Times New Roman" w:hAnsi="Times New Roman" w:cs="Times New Roman"/>
          <w:sz w:val="24"/>
          <w:szCs w:val="24"/>
          <w:u w:val="single"/>
          <w:lang w:val="en-US"/>
        </w:rPr>
      </w:pPr>
      <w:r w:rsidRPr="00C51BB7">
        <w:rPr>
          <w:rFonts w:ascii="Times New Roman" w:hAnsi="Times New Roman" w:cs="Times New Roman"/>
          <w:sz w:val="24"/>
          <w:szCs w:val="24"/>
          <w:u w:val="single"/>
          <w:lang w:val="en-US"/>
        </w:rPr>
        <w:t>‘Fraud in Public Procurement - Red Flags and Best Practices’</w:t>
      </w:r>
    </w:p>
    <w:p w:rsidR="00C51BB7" w:rsidRDefault="00C51BB7" w:rsidP="00C51BB7">
      <w:pPr>
        <w:jc w:val="both"/>
        <w:rPr>
          <w:rFonts w:ascii="Times New Roman" w:hAnsi="Times New Roman" w:cs="Times New Roman"/>
          <w:sz w:val="24"/>
          <w:szCs w:val="24"/>
        </w:rPr>
      </w:pPr>
      <w:r w:rsidRPr="00C51BB7">
        <w:rPr>
          <w:rFonts w:ascii="Times New Roman" w:hAnsi="Times New Roman" w:cs="Times New Roman"/>
          <w:sz w:val="24"/>
          <w:szCs w:val="24"/>
        </w:rPr>
        <w:t>Nel corso del 2017 è stato creato un ulteriore Gruppo di lavoro,</w:t>
      </w:r>
      <w:r>
        <w:rPr>
          <w:rFonts w:ascii="Times New Roman" w:hAnsi="Times New Roman" w:cs="Times New Roman"/>
          <w:sz w:val="24"/>
          <w:szCs w:val="24"/>
        </w:rPr>
        <w:t xml:space="preserve"> c</w:t>
      </w:r>
      <w:r w:rsidRPr="00C51BB7">
        <w:rPr>
          <w:rFonts w:ascii="Times New Roman" w:hAnsi="Times New Roman" w:cs="Times New Roman"/>
          <w:sz w:val="24"/>
          <w:szCs w:val="24"/>
        </w:rPr>
        <w:t>omposto da 12 esperti di Paesi membri, tra cui l’Italia, per</w:t>
      </w:r>
      <w:r>
        <w:rPr>
          <w:rFonts w:ascii="Times New Roman" w:hAnsi="Times New Roman" w:cs="Times New Roman"/>
          <w:sz w:val="24"/>
          <w:szCs w:val="24"/>
        </w:rPr>
        <w:t xml:space="preserve"> </w:t>
      </w:r>
      <w:r w:rsidRPr="00C51BB7">
        <w:rPr>
          <w:rFonts w:ascii="Times New Roman" w:hAnsi="Times New Roman" w:cs="Times New Roman"/>
          <w:sz w:val="24"/>
          <w:szCs w:val="24"/>
        </w:rPr>
        <w:t>l’elaborazione di un documento pratico in materia di prevenzione</w:t>
      </w:r>
      <w:r>
        <w:rPr>
          <w:rFonts w:ascii="Times New Roman" w:hAnsi="Times New Roman" w:cs="Times New Roman"/>
          <w:sz w:val="24"/>
          <w:szCs w:val="24"/>
        </w:rPr>
        <w:t xml:space="preserve"> </w:t>
      </w:r>
      <w:r w:rsidRPr="00C51BB7">
        <w:rPr>
          <w:rFonts w:ascii="Times New Roman" w:hAnsi="Times New Roman" w:cs="Times New Roman"/>
          <w:sz w:val="24"/>
          <w:szCs w:val="24"/>
        </w:rPr>
        <w:t>“</w:t>
      </w:r>
      <w:proofErr w:type="spellStart"/>
      <w:r w:rsidRPr="00C51BB7">
        <w:rPr>
          <w:rFonts w:ascii="Times New Roman" w:hAnsi="Times New Roman" w:cs="Times New Roman"/>
          <w:sz w:val="24"/>
          <w:szCs w:val="24"/>
        </w:rPr>
        <w:t>red</w:t>
      </w:r>
      <w:proofErr w:type="spellEnd"/>
      <w:r w:rsidRPr="00C51BB7">
        <w:rPr>
          <w:rFonts w:ascii="Times New Roman" w:hAnsi="Times New Roman" w:cs="Times New Roman"/>
          <w:sz w:val="24"/>
          <w:szCs w:val="24"/>
        </w:rPr>
        <w:t xml:space="preserve"> </w:t>
      </w:r>
      <w:proofErr w:type="spellStart"/>
      <w:r w:rsidRPr="00C51BB7">
        <w:rPr>
          <w:rFonts w:ascii="Times New Roman" w:hAnsi="Times New Roman" w:cs="Times New Roman"/>
          <w:sz w:val="24"/>
          <w:szCs w:val="24"/>
        </w:rPr>
        <w:t>flags</w:t>
      </w:r>
      <w:proofErr w:type="spellEnd"/>
      <w:r w:rsidRPr="00C51BB7">
        <w:rPr>
          <w:rFonts w:ascii="Times New Roman" w:hAnsi="Times New Roman" w:cs="Times New Roman"/>
          <w:sz w:val="24"/>
          <w:szCs w:val="24"/>
        </w:rPr>
        <w:t xml:space="preserve">” e rilevazione “best </w:t>
      </w:r>
      <w:proofErr w:type="spellStart"/>
      <w:r w:rsidRPr="00C51BB7">
        <w:rPr>
          <w:rFonts w:ascii="Times New Roman" w:hAnsi="Times New Roman" w:cs="Times New Roman"/>
          <w:sz w:val="24"/>
          <w:szCs w:val="24"/>
        </w:rPr>
        <w:t>practices</w:t>
      </w:r>
      <w:proofErr w:type="spellEnd"/>
      <w:r w:rsidRPr="00C51BB7">
        <w:rPr>
          <w:rFonts w:ascii="Times New Roman" w:hAnsi="Times New Roman" w:cs="Times New Roman"/>
          <w:sz w:val="24"/>
          <w:szCs w:val="24"/>
        </w:rPr>
        <w:t>” nel settore degli appalti.</w:t>
      </w:r>
      <w:r>
        <w:rPr>
          <w:rFonts w:ascii="Times New Roman" w:hAnsi="Times New Roman" w:cs="Times New Roman"/>
          <w:sz w:val="24"/>
          <w:szCs w:val="24"/>
        </w:rPr>
        <w:t xml:space="preserve"> </w:t>
      </w:r>
    </w:p>
    <w:p w:rsidR="0003610B" w:rsidRPr="00C51BB7" w:rsidRDefault="00C51BB7" w:rsidP="00C51BB7">
      <w:pPr>
        <w:jc w:val="both"/>
        <w:rPr>
          <w:rFonts w:ascii="Times New Roman" w:hAnsi="Times New Roman" w:cs="Times New Roman"/>
          <w:sz w:val="24"/>
          <w:szCs w:val="24"/>
        </w:rPr>
      </w:pPr>
      <w:r w:rsidRPr="00C51BB7">
        <w:rPr>
          <w:rFonts w:ascii="Times New Roman" w:hAnsi="Times New Roman" w:cs="Times New Roman"/>
          <w:sz w:val="24"/>
          <w:szCs w:val="24"/>
        </w:rPr>
        <w:lastRenderedPageBreak/>
        <w:t>Tra le finalità prioritarie è stato dato particolare rilievo alla necessità</w:t>
      </w:r>
      <w:r>
        <w:rPr>
          <w:rFonts w:ascii="Times New Roman" w:hAnsi="Times New Roman" w:cs="Times New Roman"/>
          <w:sz w:val="24"/>
          <w:szCs w:val="24"/>
        </w:rPr>
        <w:t xml:space="preserve"> </w:t>
      </w:r>
      <w:r w:rsidRPr="00C51BB7">
        <w:rPr>
          <w:rFonts w:ascii="Times New Roman" w:hAnsi="Times New Roman" w:cs="Times New Roman"/>
          <w:sz w:val="24"/>
          <w:szCs w:val="24"/>
        </w:rPr>
        <w:t>della messa in atto di iniziative mirate ad una migliore integrazione di</w:t>
      </w:r>
      <w:r>
        <w:rPr>
          <w:rFonts w:ascii="Times New Roman" w:hAnsi="Times New Roman" w:cs="Times New Roman"/>
          <w:sz w:val="24"/>
          <w:szCs w:val="24"/>
        </w:rPr>
        <w:t xml:space="preserve"> </w:t>
      </w:r>
      <w:r w:rsidRPr="00C51BB7">
        <w:rPr>
          <w:rFonts w:ascii="Times New Roman" w:hAnsi="Times New Roman" w:cs="Times New Roman"/>
          <w:sz w:val="24"/>
          <w:szCs w:val="24"/>
        </w:rPr>
        <w:t>norme e procedure negli appalti pubblici, attraverso l’utilizzo di “best</w:t>
      </w:r>
      <w:r>
        <w:rPr>
          <w:rFonts w:ascii="Times New Roman" w:hAnsi="Times New Roman" w:cs="Times New Roman"/>
          <w:sz w:val="24"/>
          <w:szCs w:val="24"/>
        </w:rPr>
        <w:t xml:space="preserve"> </w:t>
      </w:r>
      <w:proofErr w:type="spellStart"/>
      <w:r w:rsidRPr="00C51BB7">
        <w:rPr>
          <w:rFonts w:ascii="Times New Roman" w:hAnsi="Times New Roman" w:cs="Times New Roman"/>
          <w:sz w:val="24"/>
          <w:szCs w:val="24"/>
        </w:rPr>
        <w:t>practices</w:t>
      </w:r>
      <w:proofErr w:type="spellEnd"/>
      <w:r w:rsidRPr="00C51BB7">
        <w:rPr>
          <w:rFonts w:ascii="Times New Roman" w:hAnsi="Times New Roman" w:cs="Times New Roman"/>
          <w:sz w:val="24"/>
          <w:szCs w:val="24"/>
        </w:rPr>
        <w:t>”, per l’ottimizzazione di misure e strategie più incisive nel</w:t>
      </w:r>
      <w:r>
        <w:rPr>
          <w:rFonts w:ascii="Times New Roman" w:hAnsi="Times New Roman" w:cs="Times New Roman"/>
          <w:sz w:val="24"/>
          <w:szCs w:val="24"/>
        </w:rPr>
        <w:t xml:space="preserve"> </w:t>
      </w:r>
      <w:r w:rsidRPr="00C51BB7">
        <w:rPr>
          <w:rFonts w:ascii="Times New Roman" w:hAnsi="Times New Roman" w:cs="Times New Roman"/>
          <w:sz w:val="24"/>
          <w:szCs w:val="24"/>
        </w:rPr>
        <w:t>settore del contrasto alle frodi.</w:t>
      </w:r>
    </w:p>
    <w:p w:rsidR="00C51BB7" w:rsidRPr="00C51BB7" w:rsidRDefault="00C51BB7" w:rsidP="00C51BB7">
      <w:pPr>
        <w:jc w:val="both"/>
        <w:rPr>
          <w:rFonts w:ascii="Times New Roman" w:hAnsi="Times New Roman" w:cs="Times New Roman"/>
          <w:sz w:val="24"/>
          <w:szCs w:val="24"/>
          <w:u w:val="single"/>
        </w:rPr>
      </w:pPr>
      <w:r w:rsidRPr="00C51BB7">
        <w:rPr>
          <w:rFonts w:ascii="Times New Roman" w:hAnsi="Times New Roman" w:cs="Times New Roman"/>
          <w:sz w:val="24"/>
          <w:szCs w:val="24"/>
          <w:u w:val="single"/>
        </w:rPr>
        <w:t>Valorizzazione e diffusione, a livello europeo, del “modello antifrode”</w:t>
      </w:r>
      <w:r>
        <w:rPr>
          <w:rFonts w:ascii="Times New Roman" w:hAnsi="Times New Roman" w:cs="Times New Roman"/>
          <w:sz w:val="24"/>
          <w:szCs w:val="24"/>
          <w:u w:val="single"/>
        </w:rPr>
        <w:t xml:space="preserve"> </w:t>
      </w:r>
      <w:r w:rsidRPr="00C51BB7">
        <w:rPr>
          <w:rFonts w:ascii="Times New Roman" w:hAnsi="Times New Roman" w:cs="Times New Roman"/>
          <w:sz w:val="24"/>
          <w:szCs w:val="24"/>
          <w:u w:val="single"/>
        </w:rPr>
        <w:t>italiano</w:t>
      </w:r>
    </w:p>
    <w:p w:rsidR="00C51BB7" w:rsidRPr="00C51BB7" w:rsidRDefault="00C51BB7" w:rsidP="00C51BB7">
      <w:pPr>
        <w:jc w:val="both"/>
        <w:rPr>
          <w:rFonts w:ascii="Times New Roman" w:hAnsi="Times New Roman" w:cs="Times New Roman"/>
          <w:sz w:val="24"/>
          <w:szCs w:val="24"/>
        </w:rPr>
      </w:pPr>
      <w:r w:rsidRPr="00C51BB7">
        <w:rPr>
          <w:rFonts w:ascii="Times New Roman" w:hAnsi="Times New Roman" w:cs="Times New Roman"/>
          <w:sz w:val="24"/>
          <w:szCs w:val="24"/>
        </w:rPr>
        <w:t>Nei propri Rapporti annuali sulla Tutela degli interessi finanziari dell’UE,</w:t>
      </w:r>
      <w:r>
        <w:rPr>
          <w:rFonts w:ascii="Times New Roman" w:hAnsi="Times New Roman" w:cs="Times New Roman"/>
          <w:sz w:val="24"/>
          <w:szCs w:val="24"/>
        </w:rPr>
        <w:t xml:space="preserve"> </w:t>
      </w:r>
      <w:r w:rsidRPr="00C51BB7">
        <w:rPr>
          <w:rFonts w:ascii="Times New Roman" w:hAnsi="Times New Roman" w:cs="Times New Roman"/>
          <w:sz w:val="24"/>
          <w:szCs w:val="24"/>
        </w:rPr>
        <w:t>la Commissione ha più volte evidenziato quanto siano importanti gli</w:t>
      </w:r>
      <w:r>
        <w:rPr>
          <w:rFonts w:ascii="Times New Roman" w:hAnsi="Times New Roman" w:cs="Times New Roman"/>
          <w:sz w:val="24"/>
          <w:szCs w:val="24"/>
        </w:rPr>
        <w:t xml:space="preserve"> </w:t>
      </w:r>
      <w:r w:rsidRPr="00C51BB7">
        <w:rPr>
          <w:rFonts w:ascii="Times New Roman" w:hAnsi="Times New Roman" w:cs="Times New Roman"/>
          <w:sz w:val="24"/>
          <w:szCs w:val="24"/>
        </w:rPr>
        <w:t>sforzi di quegli Stati membri - tra cui spicca l’Italia - che hanno alte</w:t>
      </w:r>
      <w:r>
        <w:rPr>
          <w:rFonts w:ascii="Times New Roman" w:hAnsi="Times New Roman" w:cs="Times New Roman"/>
          <w:sz w:val="24"/>
          <w:szCs w:val="24"/>
        </w:rPr>
        <w:t xml:space="preserve"> </w:t>
      </w:r>
      <w:r w:rsidRPr="00C51BB7">
        <w:rPr>
          <w:rFonts w:ascii="Times New Roman" w:hAnsi="Times New Roman" w:cs="Times New Roman"/>
          <w:sz w:val="24"/>
          <w:szCs w:val="24"/>
        </w:rPr>
        <w:t>performances nella lotta antifrode.</w:t>
      </w:r>
    </w:p>
    <w:p w:rsidR="00C51BB7" w:rsidRPr="00C51BB7" w:rsidRDefault="00C51BB7" w:rsidP="00C51BB7">
      <w:pPr>
        <w:jc w:val="both"/>
        <w:rPr>
          <w:rFonts w:ascii="Times New Roman" w:hAnsi="Times New Roman" w:cs="Times New Roman"/>
          <w:sz w:val="24"/>
          <w:szCs w:val="24"/>
        </w:rPr>
      </w:pPr>
      <w:r w:rsidRPr="00C51BB7">
        <w:rPr>
          <w:rFonts w:ascii="Times New Roman" w:hAnsi="Times New Roman" w:cs="Times New Roman"/>
          <w:sz w:val="24"/>
          <w:szCs w:val="24"/>
        </w:rPr>
        <w:t>Le linee strategiche adottate dal Comitato prevedono la condivisione</w:t>
      </w:r>
      <w:r>
        <w:rPr>
          <w:rFonts w:ascii="Times New Roman" w:hAnsi="Times New Roman" w:cs="Times New Roman"/>
          <w:sz w:val="24"/>
          <w:szCs w:val="24"/>
        </w:rPr>
        <w:t xml:space="preserve"> </w:t>
      </w:r>
      <w:r w:rsidRPr="00C51BB7">
        <w:rPr>
          <w:rFonts w:ascii="Times New Roman" w:hAnsi="Times New Roman" w:cs="Times New Roman"/>
          <w:sz w:val="24"/>
          <w:szCs w:val="24"/>
        </w:rPr>
        <w:t>con gli altri Stati membri del peculiare ed efficace modello antifrode</w:t>
      </w:r>
      <w:r>
        <w:rPr>
          <w:rFonts w:ascii="Times New Roman" w:hAnsi="Times New Roman" w:cs="Times New Roman"/>
          <w:sz w:val="24"/>
          <w:szCs w:val="24"/>
        </w:rPr>
        <w:t xml:space="preserve"> </w:t>
      </w:r>
      <w:r w:rsidRPr="00C51BB7">
        <w:rPr>
          <w:rFonts w:ascii="Times New Roman" w:hAnsi="Times New Roman" w:cs="Times New Roman"/>
          <w:sz w:val="24"/>
          <w:szCs w:val="24"/>
        </w:rPr>
        <w:t>italiano che può rappresentare, a pieno titolo, un utile volano per</w:t>
      </w:r>
      <w:r>
        <w:rPr>
          <w:rFonts w:ascii="Times New Roman" w:hAnsi="Times New Roman" w:cs="Times New Roman"/>
          <w:sz w:val="24"/>
          <w:szCs w:val="24"/>
        </w:rPr>
        <w:t xml:space="preserve"> </w:t>
      </w:r>
      <w:r w:rsidRPr="00C51BB7">
        <w:rPr>
          <w:rFonts w:ascii="Times New Roman" w:hAnsi="Times New Roman" w:cs="Times New Roman"/>
          <w:sz w:val="24"/>
          <w:szCs w:val="24"/>
        </w:rPr>
        <w:t>l’implementazione e la omogeneizzazione, in Europa, delle attività</w:t>
      </w:r>
      <w:r>
        <w:rPr>
          <w:rFonts w:ascii="Times New Roman" w:hAnsi="Times New Roman" w:cs="Times New Roman"/>
          <w:sz w:val="24"/>
          <w:szCs w:val="24"/>
        </w:rPr>
        <w:t xml:space="preserve"> </w:t>
      </w:r>
      <w:r w:rsidRPr="00C51BB7">
        <w:rPr>
          <w:rFonts w:ascii="Times New Roman" w:hAnsi="Times New Roman" w:cs="Times New Roman"/>
          <w:sz w:val="24"/>
          <w:szCs w:val="24"/>
        </w:rPr>
        <w:t>antifrode.</w:t>
      </w:r>
    </w:p>
    <w:p w:rsidR="0003610B" w:rsidRPr="00C51BB7" w:rsidRDefault="0036773D" w:rsidP="00C51BB7">
      <w:pPr>
        <w:jc w:val="both"/>
        <w:rPr>
          <w:rFonts w:ascii="Times New Roman" w:hAnsi="Times New Roman" w:cs="Times New Roman"/>
          <w:sz w:val="24"/>
          <w:szCs w:val="24"/>
        </w:rPr>
      </w:pPr>
      <w:r>
        <w:rPr>
          <w:rFonts w:ascii="Times New Roman" w:hAnsi="Times New Roman" w:cs="Times New Roman"/>
          <w:sz w:val="24"/>
          <w:szCs w:val="24"/>
        </w:rPr>
        <w:t>C</w:t>
      </w:r>
      <w:r w:rsidR="00C51BB7" w:rsidRPr="00C51BB7">
        <w:rPr>
          <w:rFonts w:ascii="Times New Roman" w:hAnsi="Times New Roman" w:cs="Times New Roman"/>
          <w:sz w:val="24"/>
          <w:szCs w:val="24"/>
        </w:rPr>
        <w:t>on sempre maggiore frequenza, il Comitato è stato</w:t>
      </w:r>
      <w:r w:rsidR="00C51BB7">
        <w:rPr>
          <w:rFonts w:ascii="Times New Roman" w:hAnsi="Times New Roman" w:cs="Times New Roman"/>
          <w:sz w:val="24"/>
          <w:szCs w:val="24"/>
        </w:rPr>
        <w:t xml:space="preserve"> </w:t>
      </w:r>
      <w:r w:rsidR="00C51BB7" w:rsidRPr="00C51BB7">
        <w:rPr>
          <w:rFonts w:ascii="Times New Roman" w:hAnsi="Times New Roman" w:cs="Times New Roman"/>
          <w:sz w:val="24"/>
          <w:szCs w:val="24"/>
        </w:rPr>
        <w:t>destinatario negli ultimi anni di numerose richieste di partenariato e</w:t>
      </w:r>
      <w:r w:rsidR="00C51BB7">
        <w:rPr>
          <w:rFonts w:ascii="Times New Roman" w:hAnsi="Times New Roman" w:cs="Times New Roman"/>
          <w:sz w:val="24"/>
          <w:szCs w:val="24"/>
        </w:rPr>
        <w:t xml:space="preserve"> </w:t>
      </w:r>
      <w:r w:rsidR="00C51BB7" w:rsidRPr="00C51BB7">
        <w:rPr>
          <w:rFonts w:ascii="Times New Roman" w:hAnsi="Times New Roman" w:cs="Times New Roman"/>
          <w:sz w:val="24"/>
          <w:szCs w:val="24"/>
        </w:rPr>
        <w:t>collaborazione da parte di Autorità estere, proprio ai fini dello scambio</w:t>
      </w:r>
      <w:r w:rsidR="00C51BB7">
        <w:rPr>
          <w:rFonts w:ascii="Times New Roman" w:hAnsi="Times New Roman" w:cs="Times New Roman"/>
          <w:sz w:val="24"/>
          <w:szCs w:val="24"/>
        </w:rPr>
        <w:t xml:space="preserve"> </w:t>
      </w:r>
      <w:r w:rsidR="00C51BB7" w:rsidRPr="00C51BB7">
        <w:rPr>
          <w:rFonts w:ascii="Times New Roman" w:hAnsi="Times New Roman" w:cs="Times New Roman"/>
          <w:sz w:val="24"/>
          <w:szCs w:val="24"/>
        </w:rPr>
        <w:t>di esperienze e buone pratiche sulla tematica della tutela degli interessi</w:t>
      </w:r>
      <w:r w:rsidR="00C51BB7">
        <w:rPr>
          <w:rFonts w:ascii="Times New Roman" w:hAnsi="Times New Roman" w:cs="Times New Roman"/>
          <w:sz w:val="24"/>
          <w:szCs w:val="24"/>
        </w:rPr>
        <w:t xml:space="preserve"> </w:t>
      </w:r>
      <w:r w:rsidR="00C51BB7" w:rsidRPr="00C51BB7">
        <w:rPr>
          <w:rFonts w:ascii="Times New Roman" w:hAnsi="Times New Roman" w:cs="Times New Roman"/>
          <w:sz w:val="24"/>
          <w:szCs w:val="24"/>
        </w:rPr>
        <w:t>finanziari dell’UE.</w:t>
      </w:r>
    </w:p>
    <w:p w:rsidR="0003610B" w:rsidRPr="00C51BB7" w:rsidRDefault="0003610B" w:rsidP="00CF17F6">
      <w:pPr>
        <w:jc w:val="both"/>
        <w:rPr>
          <w:rFonts w:ascii="Times New Roman" w:hAnsi="Times New Roman" w:cs="Times New Roman"/>
          <w:sz w:val="24"/>
          <w:szCs w:val="24"/>
        </w:rPr>
      </w:pPr>
    </w:p>
    <w:p w:rsidR="00EB4403" w:rsidRPr="00EB4403" w:rsidRDefault="00EB4403" w:rsidP="00EB4403">
      <w:pPr>
        <w:jc w:val="both"/>
        <w:rPr>
          <w:rFonts w:ascii="Times New Roman" w:hAnsi="Times New Roman" w:cs="Times New Roman"/>
          <w:sz w:val="24"/>
          <w:szCs w:val="24"/>
        </w:rPr>
      </w:pPr>
      <w:r w:rsidRPr="00EB4403">
        <w:rPr>
          <w:rFonts w:ascii="Times New Roman" w:hAnsi="Times New Roman" w:cs="Times New Roman"/>
          <w:sz w:val="24"/>
          <w:szCs w:val="24"/>
        </w:rPr>
        <w:t>Il 28 Luglio 2017 è stata presentata la Relazione annuale al Parlamento</w:t>
      </w:r>
      <w:r>
        <w:rPr>
          <w:rFonts w:ascii="Times New Roman" w:hAnsi="Times New Roman" w:cs="Times New Roman"/>
          <w:sz w:val="24"/>
          <w:szCs w:val="24"/>
        </w:rPr>
        <w:t xml:space="preserve"> </w:t>
      </w:r>
      <w:r w:rsidRPr="00EB4403">
        <w:rPr>
          <w:rFonts w:ascii="Times New Roman" w:hAnsi="Times New Roman" w:cs="Times New Roman"/>
          <w:sz w:val="24"/>
          <w:szCs w:val="24"/>
        </w:rPr>
        <w:t xml:space="preserve">italiano, così come stabilito dall’art. 54 della </w:t>
      </w:r>
      <w:r w:rsidR="0036773D">
        <w:rPr>
          <w:rFonts w:ascii="Times New Roman" w:hAnsi="Times New Roman" w:cs="Times New Roman"/>
          <w:sz w:val="24"/>
          <w:szCs w:val="24"/>
        </w:rPr>
        <w:t>l</w:t>
      </w:r>
      <w:r w:rsidRPr="00EB4403">
        <w:rPr>
          <w:rFonts w:ascii="Times New Roman" w:hAnsi="Times New Roman" w:cs="Times New Roman"/>
          <w:sz w:val="24"/>
          <w:szCs w:val="24"/>
        </w:rPr>
        <w:t>egge 24 dicembre 2012, n. 234.</w:t>
      </w:r>
    </w:p>
    <w:p w:rsidR="00EB4403" w:rsidRPr="00EB4403" w:rsidRDefault="00EB4403" w:rsidP="00EB4403">
      <w:pPr>
        <w:jc w:val="both"/>
        <w:rPr>
          <w:rFonts w:ascii="Times New Roman" w:hAnsi="Times New Roman" w:cs="Times New Roman"/>
          <w:sz w:val="24"/>
          <w:szCs w:val="24"/>
        </w:rPr>
      </w:pPr>
      <w:r w:rsidRPr="00EB4403">
        <w:rPr>
          <w:rFonts w:ascii="Times New Roman" w:hAnsi="Times New Roman" w:cs="Times New Roman"/>
          <w:sz w:val="24"/>
          <w:szCs w:val="24"/>
        </w:rPr>
        <w:t>La Relazione, riferita agli obiettivi e le conseguenti azioni svolte nel 2016 e, in</w:t>
      </w:r>
      <w:r>
        <w:rPr>
          <w:rFonts w:ascii="Times New Roman" w:hAnsi="Times New Roman" w:cs="Times New Roman"/>
          <w:sz w:val="24"/>
          <w:szCs w:val="24"/>
        </w:rPr>
        <w:t xml:space="preserve"> </w:t>
      </w:r>
      <w:r w:rsidRPr="00EB4403">
        <w:rPr>
          <w:rFonts w:ascii="Times New Roman" w:hAnsi="Times New Roman" w:cs="Times New Roman"/>
          <w:sz w:val="24"/>
          <w:szCs w:val="24"/>
        </w:rPr>
        <w:t>generale, alla pianificazione strategica antifrode nazionale nonché all’analisi</w:t>
      </w:r>
      <w:r>
        <w:rPr>
          <w:rFonts w:ascii="Times New Roman" w:hAnsi="Times New Roman" w:cs="Times New Roman"/>
          <w:sz w:val="24"/>
          <w:szCs w:val="24"/>
        </w:rPr>
        <w:t xml:space="preserve"> </w:t>
      </w:r>
      <w:r w:rsidRPr="00EB4403">
        <w:rPr>
          <w:rFonts w:ascii="Times New Roman" w:hAnsi="Times New Roman" w:cs="Times New Roman"/>
          <w:sz w:val="24"/>
          <w:szCs w:val="24"/>
        </w:rPr>
        <w:t>dei dati statistici, è stata elaborata dalla Segreteria tecnica del Comitato con</w:t>
      </w:r>
      <w:r>
        <w:rPr>
          <w:rFonts w:ascii="Times New Roman" w:hAnsi="Times New Roman" w:cs="Times New Roman"/>
          <w:sz w:val="24"/>
          <w:szCs w:val="24"/>
        </w:rPr>
        <w:t xml:space="preserve"> </w:t>
      </w:r>
      <w:r w:rsidRPr="00EB4403">
        <w:rPr>
          <w:rFonts w:ascii="Times New Roman" w:hAnsi="Times New Roman" w:cs="Times New Roman"/>
          <w:sz w:val="24"/>
          <w:szCs w:val="24"/>
        </w:rPr>
        <w:t>l’indispensabile collaborazione di tutte le Amministrazioni ivi rappresentate.</w:t>
      </w:r>
      <w:r>
        <w:rPr>
          <w:rFonts w:ascii="Times New Roman" w:hAnsi="Times New Roman" w:cs="Times New Roman"/>
          <w:sz w:val="24"/>
          <w:szCs w:val="24"/>
        </w:rPr>
        <w:t xml:space="preserve"> </w:t>
      </w:r>
      <w:r w:rsidRPr="00EB4403">
        <w:rPr>
          <w:rFonts w:ascii="Times New Roman" w:hAnsi="Times New Roman" w:cs="Times New Roman"/>
          <w:sz w:val="24"/>
          <w:szCs w:val="24"/>
        </w:rPr>
        <w:t>Il documento ha consentito, tra l’altro, di:</w:t>
      </w:r>
    </w:p>
    <w:p w:rsidR="00EB4403" w:rsidRPr="00EB4403" w:rsidRDefault="00EB4403" w:rsidP="00AA1A94">
      <w:pPr>
        <w:pStyle w:val="Paragrafoelenco"/>
        <w:numPr>
          <w:ilvl w:val="0"/>
          <w:numId w:val="5"/>
        </w:numPr>
        <w:jc w:val="both"/>
        <w:rPr>
          <w:rFonts w:ascii="Times New Roman" w:hAnsi="Times New Roman" w:cs="Times New Roman"/>
          <w:sz w:val="24"/>
          <w:szCs w:val="24"/>
        </w:rPr>
      </w:pPr>
      <w:r w:rsidRPr="00EB4403">
        <w:rPr>
          <w:rFonts w:ascii="Times New Roman" w:hAnsi="Times New Roman" w:cs="Times New Roman"/>
          <w:sz w:val="24"/>
          <w:szCs w:val="24"/>
        </w:rPr>
        <w:t>valorizzare appieno gli sforzi compiuti da tutte le competenti Amministrazioni nazionali per la tutela degli interessi finanziari dell’UE;</w:t>
      </w:r>
    </w:p>
    <w:p w:rsidR="00EB4403" w:rsidRPr="00EB4403" w:rsidRDefault="00EB4403" w:rsidP="00AA1A94">
      <w:pPr>
        <w:pStyle w:val="Paragrafoelenco"/>
        <w:numPr>
          <w:ilvl w:val="0"/>
          <w:numId w:val="5"/>
        </w:numPr>
        <w:jc w:val="both"/>
        <w:rPr>
          <w:rFonts w:ascii="Times New Roman" w:hAnsi="Times New Roman" w:cs="Times New Roman"/>
          <w:sz w:val="24"/>
          <w:szCs w:val="24"/>
        </w:rPr>
      </w:pPr>
      <w:r w:rsidRPr="00EB4403">
        <w:rPr>
          <w:rFonts w:ascii="Times New Roman" w:hAnsi="Times New Roman" w:cs="Times New Roman"/>
          <w:sz w:val="24"/>
          <w:szCs w:val="24"/>
        </w:rPr>
        <w:t>far assumere all’Italia, in ambito europeo, il ruolo di Paese che con maggior vigore, maggiori strumenti normativi, maggior numero di mezzi e più spiccata professionalità investigativa, combatte la criminalità finanziaria internazionale ottenendo, in tal senso, particolare ed ampio risalto mediatico, ciò anche in ossequio al principio secondo cui “un elevato numero di frodi accertate costituisce innanzitutto sintomo di un’efficace azione di contrasto”;</w:t>
      </w:r>
    </w:p>
    <w:p w:rsidR="00EB4403" w:rsidRPr="00EB4403" w:rsidRDefault="00EB4403" w:rsidP="00AA1A94">
      <w:pPr>
        <w:pStyle w:val="Paragrafoelenco"/>
        <w:numPr>
          <w:ilvl w:val="0"/>
          <w:numId w:val="5"/>
        </w:numPr>
        <w:jc w:val="both"/>
        <w:rPr>
          <w:rFonts w:ascii="Times New Roman" w:hAnsi="Times New Roman" w:cs="Times New Roman"/>
          <w:sz w:val="24"/>
          <w:szCs w:val="24"/>
        </w:rPr>
      </w:pPr>
      <w:r w:rsidRPr="00EB4403">
        <w:rPr>
          <w:rFonts w:ascii="Times New Roman" w:hAnsi="Times New Roman" w:cs="Times New Roman"/>
          <w:sz w:val="24"/>
          <w:szCs w:val="24"/>
        </w:rPr>
        <w:t>delineare alcune specifiche ed importanti linee future d’azione, quali:</w:t>
      </w:r>
    </w:p>
    <w:p w:rsidR="00EB4403" w:rsidRPr="00EB4403" w:rsidRDefault="00EB4403" w:rsidP="00EB4403">
      <w:pPr>
        <w:ind w:left="360"/>
        <w:jc w:val="both"/>
        <w:rPr>
          <w:rFonts w:ascii="Times New Roman" w:hAnsi="Times New Roman" w:cs="Times New Roman"/>
          <w:sz w:val="24"/>
          <w:szCs w:val="24"/>
          <w:u w:val="single"/>
        </w:rPr>
      </w:pPr>
      <w:r w:rsidRPr="00EB4403">
        <w:rPr>
          <w:rFonts w:ascii="Times New Roman" w:hAnsi="Times New Roman" w:cs="Times New Roman"/>
          <w:sz w:val="24"/>
          <w:szCs w:val="24"/>
          <w:u w:val="single"/>
        </w:rPr>
        <w:t>“livello europeo”</w:t>
      </w:r>
    </w:p>
    <w:p w:rsidR="00CF17F6" w:rsidRPr="00EB4403" w:rsidRDefault="00EB4403" w:rsidP="00AA1A94">
      <w:pPr>
        <w:pStyle w:val="Paragrafoelenco"/>
        <w:numPr>
          <w:ilvl w:val="0"/>
          <w:numId w:val="6"/>
        </w:numPr>
        <w:jc w:val="both"/>
        <w:rPr>
          <w:rFonts w:ascii="Times New Roman" w:hAnsi="Times New Roman" w:cs="Times New Roman"/>
          <w:sz w:val="24"/>
          <w:szCs w:val="24"/>
        </w:rPr>
      </w:pPr>
      <w:r w:rsidRPr="00EB4403">
        <w:rPr>
          <w:rFonts w:ascii="Times New Roman" w:hAnsi="Times New Roman" w:cs="Times New Roman"/>
          <w:sz w:val="24"/>
          <w:szCs w:val="24"/>
        </w:rPr>
        <w:t xml:space="preserve"> l’elaborazione di nuove progettualità che possano ulteriormente stimolare la Commissione europea a presentare proposte normative che rendano possibile la Mutua assistenza amministrativa tra Stati membri in settori attualmente scoperti come quello dei Fondi strutturali;</w:t>
      </w:r>
    </w:p>
    <w:p w:rsidR="00EB4403" w:rsidRDefault="00EB4403" w:rsidP="00AA1A94">
      <w:pPr>
        <w:pStyle w:val="Paragrafoelenco"/>
        <w:numPr>
          <w:ilvl w:val="0"/>
          <w:numId w:val="6"/>
        </w:numPr>
        <w:jc w:val="both"/>
        <w:rPr>
          <w:rFonts w:ascii="Times New Roman" w:hAnsi="Times New Roman" w:cs="Times New Roman"/>
          <w:sz w:val="24"/>
          <w:szCs w:val="24"/>
        </w:rPr>
      </w:pPr>
      <w:r w:rsidRPr="00EB4403">
        <w:rPr>
          <w:rFonts w:ascii="Times New Roman" w:hAnsi="Times New Roman" w:cs="Times New Roman"/>
          <w:sz w:val="24"/>
          <w:szCs w:val="24"/>
        </w:rPr>
        <w:t xml:space="preserve">il rafforzamento dell’impegno del Comitato nell’ambito di tutti i competenti consessi antifrode europei tanto a livello ascendente normativo (Gruppo Anti-Frode del Consiglio) quanto, in particolare, nell’ambito dei “Gruppi tecnici di lavoro” che, ormai per prassi </w:t>
      </w:r>
      <w:r w:rsidRPr="00EB4403">
        <w:rPr>
          <w:rFonts w:ascii="Times New Roman" w:hAnsi="Times New Roman" w:cs="Times New Roman"/>
          <w:sz w:val="24"/>
          <w:szCs w:val="24"/>
        </w:rPr>
        <w:lastRenderedPageBreak/>
        <w:t xml:space="preserve">consolidata nell’ultimo biennio, sono istituiti annualmente in seno al </w:t>
      </w:r>
      <w:proofErr w:type="spellStart"/>
      <w:r w:rsidRPr="00EB4403">
        <w:rPr>
          <w:rFonts w:ascii="Times New Roman" w:hAnsi="Times New Roman" w:cs="Times New Roman"/>
          <w:sz w:val="24"/>
          <w:szCs w:val="24"/>
        </w:rPr>
        <w:t>Co.Co.L.A.F</w:t>
      </w:r>
      <w:proofErr w:type="spellEnd"/>
      <w:r w:rsidRPr="00EB4403">
        <w:rPr>
          <w:rFonts w:ascii="Times New Roman" w:hAnsi="Times New Roman" w:cs="Times New Roman"/>
          <w:sz w:val="24"/>
          <w:szCs w:val="24"/>
        </w:rPr>
        <w:t>. della Commissione europea;</w:t>
      </w:r>
    </w:p>
    <w:p w:rsidR="00EB4403" w:rsidRPr="00EB4403" w:rsidRDefault="00EB4403" w:rsidP="00AA1A94">
      <w:pPr>
        <w:pStyle w:val="Paragrafoelenco"/>
        <w:numPr>
          <w:ilvl w:val="0"/>
          <w:numId w:val="6"/>
        </w:numPr>
        <w:jc w:val="both"/>
        <w:rPr>
          <w:rFonts w:ascii="Times New Roman" w:hAnsi="Times New Roman" w:cs="Times New Roman"/>
          <w:sz w:val="24"/>
          <w:szCs w:val="24"/>
        </w:rPr>
      </w:pPr>
      <w:r w:rsidRPr="00EB4403">
        <w:rPr>
          <w:rFonts w:ascii="Times New Roman" w:hAnsi="Times New Roman" w:cs="Times New Roman"/>
          <w:sz w:val="24"/>
          <w:szCs w:val="24"/>
        </w:rPr>
        <w:t xml:space="preserve">la prosecuzione delle attività di partenariato volte alla condivisione e allo scambio di esperienze operative e buone prassi con tutti quei Paesi che avanzeranno richiesta di collaborazione con il COLAF con particolare attenzione ai </w:t>
      </w:r>
      <w:proofErr w:type="spellStart"/>
      <w:r w:rsidRPr="00EB4403">
        <w:rPr>
          <w:rFonts w:ascii="Times New Roman" w:hAnsi="Times New Roman" w:cs="Times New Roman"/>
          <w:sz w:val="24"/>
          <w:szCs w:val="24"/>
        </w:rPr>
        <w:t>partners</w:t>
      </w:r>
      <w:proofErr w:type="spellEnd"/>
      <w:r w:rsidRPr="00EB4403">
        <w:rPr>
          <w:rFonts w:ascii="Times New Roman" w:hAnsi="Times New Roman" w:cs="Times New Roman"/>
          <w:sz w:val="24"/>
          <w:szCs w:val="24"/>
        </w:rPr>
        <w:t xml:space="preserve"> dei Paesi in c.d. fase di preadesione;</w:t>
      </w:r>
    </w:p>
    <w:p w:rsidR="00EB4403" w:rsidRPr="00EB4403" w:rsidRDefault="00EB4403" w:rsidP="00AA1A94">
      <w:pPr>
        <w:pStyle w:val="Paragrafoelenco"/>
        <w:numPr>
          <w:ilvl w:val="0"/>
          <w:numId w:val="6"/>
        </w:numPr>
        <w:jc w:val="both"/>
        <w:rPr>
          <w:rFonts w:ascii="Times New Roman" w:hAnsi="Times New Roman" w:cs="Times New Roman"/>
          <w:sz w:val="24"/>
          <w:szCs w:val="24"/>
        </w:rPr>
      </w:pPr>
      <w:r w:rsidRPr="00EB4403">
        <w:rPr>
          <w:rFonts w:ascii="Times New Roman" w:hAnsi="Times New Roman" w:cs="Times New Roman"/>
          <w:sz w:val="24"/>
          <w:szCs w:val="24"/>
        </w:rPr>
        <w:t xml:space="preserve">la prosecuzione delle attività di aggiornamento dei dati relativi alle irregolarità e frodi e giacenti nella banca dati “ IMS”, al fine di poter chiudere, in accordo con le competenti Direzioni Generali della Commissione UE, i casi più risalenti nel tempo senza ulteriori e gravosi impatti </w:t>
      </w:r>
      <w:r>
        <w:rPr>
          <w:rFonts w:ascii="Times New Roman" w:hAnsi="Times New Roman" w:cs="Times New Roman"/>
          <w:sz w:val="24"/>
          <w:szCs w:val="24"/>
        </w:rPr>
        <w:t>negativi sul “Budget nazionale”.</w:t>
      </w:r>
    </w:p>
    <w:p w:rsidR="00EB4403" w:rsidRPr="00EB4403" w:rsidRDefault="00EB4403" w:rsidP="00EB4403">
      <w:pPr>
        <w:jc w:val="both"/>
        <w:rPr>
          <w:rFonts w:ascii="Times New Roman" w:hAnsi="Times New Roman" w:cs="Times New Roman"/>
          <w:sz w:val="24"/>
          <w:szCs w:val="24"/>
          <w:u w:val="single"/>
        </w:rPr>
      </w:pPr>
      <w:r w:rsidRPr="00EB4403">
        <w:rPr>
          <w:rFonts w:ascii="Times New Roman" w:hAnsi="Times New Roman" w:cs="Times New Roman"/>
          <w:sz w:val="24"/>
          <w:szCs w:val="24"/>
          <w:u w:val="single"/>
        </w:rPr>
        <w:t>“</w:t>
      </w:r>
      <w:r>
        <w:rPr>
          <w:rFonts w:ascii="Times New Roman" w:hAnsi="Times New Roman" w:cs="Times New Roman"/>
          <w:sz w:val="24"/>
          <w:szCs w:val="24"/>
          <w:u w:val="single"/>
        </w:rPr>
        <w:t>l</w:t>
      </w:r>
      <w:r w:rsidRPr="00EB4403">
        <w:rPr>
          <w:rFonts w:ascii="Times New Roman" w:hAnsi="Times New Roman" w:cs="Times New Roman"/>
          <w:sz w:val="24"/>
          <w:szCs w:val="24"/>
          <w:u w:val="single"/>
        </w:rPr>
        <w:t>ivello domestico”</w:t>
      </w:r>
    </w:p>
    <w:p w:rsidR="00EB4403" w:rsidRPr="00EB4403" w:rsidRDefault="00EB4403" w:rsidP="00AA1A94">
      <w:pPr>
        <w:pStyle w:val="Paragrafoelenco"/>
        <w:numPr>
          <w:ilvl w:val="0"/>
          <w:numId w:val="6"/>
        </w:numPr>
        <w:jc w:val="both"/>
        <w:rPr>
          <w:rFonts w:ascii="Times New Roman" w:hAnsi="Times New Roman" w:cs="Times New Roman"/>
          <w:sz w:val="24"/>
          <w:szCs w:val="24"/>
        </w:rPr>
      </w:pPr>
      <w:r w:rsidRPr="00EB4403">
        <w:rPr>
          <w:rFonts w:ascii="Times New Roman" w:hAnsi="Times New Roman" w:cs="Times New Roman"/>
          <w:sz w:val="24"/>
          <w:szCs w:val="24"/>
        </w:rPr>
        <w:t>la prosecuzione dell’azione del “Gruppo di lavoro” finalizzata</w:t>
      </w:r>
      <w:r>
        <w:rPr>
          <w:rFonts w:ascii="Times New Roman" w:hAnsi="Times New Roman" w:cs="Times New Roman"/>
          <w:sz w:val="24"/>
          <w:szCs w:val="24"/>
        </w:rPr>
        <w:t xml:space="preserve"> </w:t>
      </w:r>
      <w:r w:rsidRPr="00EB4403">
        <w:rPr>
          <w:rFonts w:ascii="Times New Roman" w:hAnsi="Times New Roman" w:cs="Times New Roman"/>
          <w:sz w:val="24"/>
          <w:szCs w:val="24"/>
        </w:rPr>
        <w:t>alla realizzazione di uno specifico strumento informatico unico e</w:t>
      </w:r>
      <w:r>
        <w:rPr>
          <w:rFonts w:ascii="Times New Roman" w:hAnsi="Times New Roman" w:cs="Times New Roman"/>
          <w:sz w:val="24"/>
          <w:szCs w:val="24"/>
        </w:rPr>
        <w:t xml:space="preserve"> </w:t>
      </w:r>
      <w:r w:rsidRPr="00EB4403">
        <w:rPr>
          <w:rFonts w:ascii="Times New Roman" w:hAnsi="Times New Roman" w:cs="Times New Roman"/>
          <w:sz w:val="24"/>
          <w:szCs w:val="24"/>
        </w:rPr>
        <w:t>condiviso, ovvero una piattaforma integrata di tutti i dati disponibili,</w:t>
      </w:r>
    </w:p>
    <w:p w:rsidR="00EB4403" w:rsidRPr="00EB4403" w:rsidRDefault="00EB4403" w:rsidP="00AA1A94">
      <w:pPr>
        <w:pStyle w:val="Paragrafoelenco"/>
        <w:numPr>
          <w:ilvl w:val="0"/>
          <w:numId w:val="6"/>
        </w:numPr>
        <w:jc w:val="both"/>
        <w:rPr>
          <w:rFonts w:ascii="Times New Roman" w:hAnsi="Times New Roman" w:cs="Times New Roman"/>
          <w:sz w:val="24"/>
          <w:szCs w:val="24"/>
        </w:rPr>
      </w:pPr>
      <w:r w:rsidRPr="00EB4403">
        <w:rPr>
          <w:rFonts w:ascii="Times New Roman" w:hAnsi="Times New Roman" w:cs="Times New Roman"/>
          <w:sz w:val="24"/>
          <w:szCs w:val="24"/>
        </w:rPr>
        <w:t>pertinenti o comunque connessi ai finanziamenti europei, la cui</w:t>
      </w:r>
      <w:r>
        <w:rPr>
          <w:rFonts w:ascii="Times New Roman" w:hAnsi="Times New Roman" w:cs="Times New Roman"/>
          <w:sz w:val="24"/>
          <w:szCs w:val="24"/>
        </w:rPr>
        <w:t xml:space="preserve"> </w:t>
      </w:r>
      <w:r w:rsidRPr="00EB4403">
        <w:rPr>
          <w:rFonts w:ascii="Times New Roman" w:hAnsi="Times New Roman" w:cs="Times New Roman"/>
          <w:sz w:val="24"/>
          <w:szCs w:val="24"/>
        </w:rPr>
        <w:t>elaborazione possa consentire di sviluppare gli “indici di rischio”</w:t>
      </w:r>
      <w:r>
        <w:rPr>
          <w:rFonts w:ascii="Times New Roman" w:hAnsi="Times New Roman" w:cs="Times New Roman"/>
          <w:sz w:val="24"/>
          <w:szCs w:val="24"/>
        </w:rPr>
        <w:t xml:space="preserve"> </w:t>
      </w:r>
      <w:r w:rsidRPr="00EB4403">
        <w:rPr>
          <w:rFonts w:ascii="Times New Roman" w:hAnsi="Times New Roman" w:cs="Times New Roman"/>
          <w:sz w:val="24"/>
          <w:szCs w:val="24"/>
        </w:rPr>
        <w:t>antifrode;</w:t>
      </w:r>
    </w:p>
    <w:p w:rsidR="00EB4403" w:rsidRPr="00EB4403" w:rsidRDefault="00EB4403" w:rsidP="00AA1A94">
      <w:pPr>
        <w:pStyle w:val="Paragrafoelenco"/>
        <w:numPr>
          <w:ilvl w:val="0"/>
          <w:numId w:val="6"/>
        </w:numPr>
        <w:jc w:val="both"/>
        <w:rPr>
          <w:rFonts w:ascii="Times New Roman" w:hAnsi="Times New Roman" w:cs="Times New Roman"/>
          <w:sz w:val="24"/>
          <w:szCs w:val="24"/>
        </w:rPr>
      </w:pPr>
      <w:r w:rsidRPr="00EB4403">
        <w:rPr>
          <w:rFonts w:ascii="Times New Roman" w:hAnsi="Times New Roman" w:cs="Times New Roman"/>
          <w:sz w:val="24"/>
          <w:szCs w:val="24"/>
        </w:rPr>
        <w:t>la costante attività formativa rivolta alle Autorità che gestiscono</w:t>
      </w:r>
      <w:r>
        <w:rPr>
          <w:rFonts w:ascii="Times New Roman" w:hAnsi="Times New Roman" w:cs="Times New Roman"/>
          <w:sz w:val="24"/>
          <w:szCs w:val="24"/>
        </w:rPr>
        <w:t xml:space="preserve"> </w:t>
      </w:r>
      <w:r w:rsidRPr="00EB4403">
        <w:rPr>
          <w:rFonts w:ascii="Times New Roman" w:hAnsi="Times New Roman" w:cs="Times New Roman"/>
          <w:sz w:val="24"/>
          <w:szCs w:val="24"/>
        </w:rPr>
        <w:t>fondi europei, per la circolazione delle più frequenti casistiche di</w:t>
      </w:r>
      <w:r>
        <w:rPr>
          <w:rFonts w:ascii="Times New Roman" w:hAnsi="Times New Roman" w:cs="Times New Roman"/>
          <w:sz w:val="24"/>
          <w:szCs w:val="24"/>
        </w:rPr>
        <w:t xml:space="preserve"> </w:t>
      </w:r>
      <w:r w:rsidRPr="00EB4403">
        <w:rPr>
          <w:rFonts w:ascii="Times New Roman" w:hAnsi="Times New Roman" w:cs="Times New Roman"/>
          <w:sz w:val="24"/>
          <w:szCs w:val="24"/>
        </w:rPr>
        <w:t>irregolarità/frode e dei connessi “modus operandi”, ma anche di</w:t>
      </w:r>
      <w:r>
        <w:rPr>
          <w:rFonts w:ascii="Times New Roman" w:hAnsi="Times New Roman" w:cs="Times New Roman"/>
          <w:sz w:val="24"/>
          <w:szCs w:val="24"/>
        </w:rPr>
        <w:t xml:space="preserve"> </w:t>
      </w:r>
      <w:r w:rsidRPr="00EB4403">
        <w:rPr>
          <w:rFonts w:ascii="Times New Roman" w:hAnsi="Times New Roman" w:cs="Times New Roman"/>
          <w:sz w:val="24"/>
          <w:szCs w:val="24"/>
        </w:rPr>
        <w:t>tutte le migliori metodologie di controllo nazionali ed europee;</w:t>
      </w:r>
    </w:p>
    <w:p w:rsidR="00A83F21" w:rsidRDefault="00EB4403" w:rsidP="00AA1A94">
      <w:pPr>
        <w:pStyle w:val="Paragrafoelenco"/>
        <w:numPr>
          <w:ilvl w:val="0"/>
          <w:numId w:val="6"/>
        </w:numPr>
        <w:jc w:val="both"/>
        <w:rPr>
          <w:rFonts w:ascii="Times New Roman" w:hAnsi="Times New Roman" w:cs="Times New Roman"/>
          <w:sz w:val="24"/>
          <w:szCs w:val="24"/>
        </w:rPr>
      </w:pPr>
      <w:r w:rsidRPr="00EB4403">
        <w:rPr>
          <w:rFonts w:ascii="Times New Roman" w:hAnsi="Times New Roman" w:cs="Times New Roman"/>
          <w:sz w:val="24"/>
          <w:szCs w:val="24"/>
        </w:rPr>
        <w:t>la prosecuzione dell’azione del “Gruppo di lavoro” finalizzato</w:t>
      </w:r>
      <w:r>
        <w:rPr>
          <w:rFonts w:ascii="Times New Roman" w:hAnsi="Times New Roman" w:cs="Times New Roman"/>
          <w:sz w:val="24"/>
          <w:szCs w:val="24"/>
        </w:rPr>
        <w:t xml:space="preserve"> </w:t>
      </w:r>
      <w:r w:rsidRPr="00EB4403">
        <w:rPr>
          <w:rFonts w:ascii="Times New Roman" w:hAnsi="Times New Roman" w:cs="Times New Roman"/>
          <w:sz w:val="24"/>
          <w:szCs w:val="24"/>
        </w:rPr>
        <w:t>all’analisi ed allo studio di possibili elementi di criticità nel flusso di</w:t>
      </w:r>
      <w:r>
        <w:rPr>
          <w:rFonts w:ascii="Times New Roman" w:hAnsi="Times New Roman" w:cs="Times New Roman"/>
          <w:sz w:val="24"/>
          <w:szCs w:val="24"/>
        </w:rPr>
        <w:t xml:space="preserve"> </w:t>
      </w:r>
      <w:r w:rsidRPr="00EB4403">
        <w:rPr>
          <w:rFonts w:ascii="Times New Roman" w:hAnsi="Times New Roman" w:cs="Times New Roman"/>
          <w:sz w:val="24"/>
          <w:szCs w:val="24"/>
        </w:rPr>
        <w:t>comunicazione con l’Ufficio europeo lotta antifrode (OLAF) dei</w:t>
      </w:r>
      <w:r>
        <w:rPr>
          <w:rFonts w:ascii="Times New Roman" w:hAnsi="Times New Roman" w:cs="Times New Roman"/>
          <w:sz w:val="24"/>
          <w:szCs w:val="24"/>
        </w:rPr>
        <w:t xml:space="preserve"> </w:t>
      </w:r>
      <w:r w:rsidRPr="00EB4403">
        <w:rPr>
          <w:rFonts w:ascii="Times New Roman" w:hAnsi="Times New Roman" w:cs="Times New Roman"/>
          <w:sz w:val="24"/>
          <w:szCs w:val="24"/>
        </w:rPr>
        <w:t>dati inerenti i casi di irregolarità/frode, per l’eventuale conseguente</w:t>
      </w:r>
      <w:r>
        <w:rPr>
          <w:rFonts w:ascii="Times New Roman" w:hAnsi="Times New Roman" w:cs="Times New Roman"/>
          <w:sz w:val="24"/>
          <w:szCs w:val="24"/>
        </w:rPr>
        <w:t xml:space="preserve"> </w:t>
      </w:r>
      <w:r w:rsidRPr="00EB4403">
        <w:rPr>
          <w:rFonts w:ascii="Times New Roman" w:hAnsi="Times New Roman" w:cs="Times New Roman"/>
          <w:sz w:val="24"/>
          <w:szCs w:val="24"/>
        </w:rPr>
        <w:t>rivisitazione della Circolare Interministeriale del 12/10/2007 e</w:t>
      </w:r>
      <w:r>
        <w:rPr>
          <w:rFonts w:ascii="Times New Roman" w:hAnsi="Times New Roman" w:cs="Times New Roman"/>
          <w:sz w:val="24"/>
          <w:szCs w:val="24"/>
        </w:rPr>
        <w:t xml:space="preserve"> </w:t>
      </w:r>
      <w:r w:rsidRPr="00EB4403">
        <w:rPr>
          <w:rFonts w:ascii="Times New Roman" w:hAnsi="Times New Roman" w:cs="Times New Roman"/>
          <w:sz w:val="24"/>
          <w:szCs w:val="24"/>
        </w:rPr>
        <w:t>delle connesse “note esplicative” (di cui alla Delibera n. 13 in data</w:t>
      </w:r>
      <w:r>
        <w:rPr>
          <w:rFonts w:ascii="Times New Roman" w:hAnsi="Times New Roman" w:cs="Times New Roman"/>
          <w:sz w:val="24"/>
          <w:szCs w:val="24"/>
        </w:rPr>
        <w:t xml:space="preserve"> </w:t>
      </w:r>
      <w:r w:rsidRPr="00EB4403">
        <w:rPr>
          <w:rFonts w:ascii="Times New Roman" w:hAnsi="Times New Roman" w:cs="Times New Roman"/>
          <w:sz w:val="24"/>
          <w:szCs w:val="24"/>
        </w:rPr>
        <w:t>7/7/2008 del Comitato) anche tenendo in debito conto il novellato</w:t>
      </w:r>
      <w:r>
        <w:rPr>
          <w:rFonts w:ascii="Times New Roman" w:hAnsi="Times New Roman" w:cs="Times New Roman"/>
          <w:sz w:val="24"/>
          <w:szCs w:val="24"/>
        </w:rPr>
        <w:t xml:space="preserve"> </w:t>
      </w:r>
      <w:r w:rsidRPr="00EB4403">
        <w:rPr>
          <w:rFonts w:ascii="Times New Roman" w:hAnsi="Times New Roman" w:cs="Times New Roman"/>
          <w:sz w:val="24"/>
          <w:szCs w:val="24"/>
        </w:rPr>
        <w:t>normativo europeo sul tema dell’”</w:t>
      </w:r>
      <w:proofErr w:type="spellStart"/>
      <w:r w:rsidRPr="00EB4403">
        <w:rPr>
          <w:rFonts w:ascii="Times New Roman" w:hAnsi="Times New Roman" w:cs="Times New Roman"/>
          <w:sz w:val="24"/>
          <w:szCs w:val="24"/>
        </w:rPr>
        <w:t>Early</w:t>
      </w:r>
      <w:proofErr w:type="spellEnd"/>
      <w:r w:rsidRPr="00EB4403">
        <w:rPr>
          <w:rFonts w:ascii="Times New Roman" w:hAnsi="Times New Roman" w:cs="Times New Roman"/>
          <w:sz w:val="24"/>
          <w:szCs w:val="24"/>
        </w:rPr>
        <w:t xml:space="preserve"> </w:t>
      </w:r>
      <w:proofErr w:type="spellStart"/>
      <w:r w:rsidRPr="00EB4403">
        <w:rPr>
          <w:rFonts w:ascii="Times New Roman" w:hAnsi="Times New Roman" w:cs="Times New Roman"/>
          <w:sz w:val="24"/>
          <w:szCs w:val="24"/>
        </w:rPr>
        <w:t>detection</w:t>
      </w:r>
      <w:proofErr w:type="spellEnd"/>
      <w:r w:rsidRPr="00EB4403">
        <w:rPr>
          <w:rFonts w:ascii="Times New Roman" w:hAnsi="Times New Roman" w:cs="Times New Roman"/>
          <w:sz w:val="24"/>
          <w:szCs w:val="24"/>
        </w:rPr>
        <w:t xml:space="preserve"> and </w:t>
      </w:r>
      <w:proofErr w:type="spellStart"/>
      <w:r w:rsidRPr="00EB4403">
        <w:rPr>
          <w:rFonts w:ascii="Times New Roman" w:hAnsi="Times New Roman" w:cs="Times New Roman"/>
          <w:sz w:val="24"/>
          <w:szCs w:val="24"/>
        </w:rPr>
        <w:t>exclusion</w:t>
      </w:r>
      <w:proofErr w:type="spellEnd"/>
      <w:r>
        <w:rPr>
          <w:rFonts w:ascii="Times New Roman" w:hAnsi="Times New Roman" w:cs="Times New Roman"/>
          <w:sz w:val="24"/>
          <w:szCs w:val="24"/>
        </w:rPr>
        <w:t xml:space="preserve"> </w:t>
      </w:r>
      <w:proofErr w:type="spellStart"/>
      <w:r w:rsidRPr="00EB4403">
        <w:rPr>
          <w:rFonts w:ascii="Times New Roman" w:hAnsi="Times New Roman" w:cs="Times New Roman"/>
          <w:sz w:val="24"/>
          <w:szCs w:val="24"/>
        </w:rPr>
        <w:t>system</w:t>
      </w:r>
      <w:proofErr w:type="spellEnd"/>
      <w:r w:rsidRPr="00EB4403">
        <w:rPr>
          <w:rFonts w:ascii="Times New Roman" w:hAnsi="Times New Roman" w:cs="Times New Roman"/>
          <w:sz w:val="24"/>
          <w:szCs w:val="24"/>
        </w:rPr>
        <w:t xml:space="preserve"> - EDES”.</w:t>
      </w:r>
    </w:p>
    <w:p w:rsidR="00A83F21" w:rsidRDefault="00A83F21" w:rsidP="00A83F21">
      <w:pPr>
        <w:jc w:val="both"/>
        <w:rPr>
          <w:rFonts w:ascii="Times New Roman" w:hAnsi="Times New Roman" w:cs="Times New Roman"/>
          <w:sz w:val="24"/>
          <w:szCs w:val="24"/>
        </w:rPr>
      </w:pPr>
    </w:p>
    <w:p w:rsidR="00A83F21" w:rsidRPr="00A83F21" w:rsidRDefault="00A83F21" w:rsidP="00A83F21">
      <w:pPr>
        <w:jc w:val="both"/>
        <w:rPr>
          <w:rFonts w:ascii="Times New Roman" w:hAnsi="Times New Roman" w:cs="Times New Roman"/>
          <w:sz w:val="24"/>
          <w:szCs w:val="24"/>
        </w:rPr>
      </w:pPr>
      <w:r>
        <w:rPr>
          <w:rFonts w:ascii="Times New Roman" w:hAnsi="Times New Roman" w:cs="Times New Roman"/>
          <w:sz w:val="24"/>
          <w:szCs w:val="24"/>
        </w:rPr>
        <w:t xml:space="preserve">Il </w:t>
      </w:r>
      <w:r w:rsidR="008D0F86">
        <w:rPr>
          <w:rFonts w:ascii="Times New Roman" w:hAnsi="Times New Roman" w:cs="Times New Roman"/>
          <w:sz w:val="24"/>
          <w:szCs w:val="24"/>
        </w:rPr>
        <w:t>C</w:t>
      </w:r>
      <w:r>
        <w:rPr>
          <w:rFonts w:ascii="Times New Roman" w:hAnsi="Times New Roman" w:cs="Times New Roman"/>
          <w:sz w:val="24"/>
          <w:szCs w:val="24"/>
        </w:rPr>
        <w:t xml:space="preserve">omitato ha proceduto, tra l’altro, </w:t>
      </w:r>
      <w:r w:rsidRPr="00A83F21">
        <w:rPr>
          <w:rFonts w:ascii="Times New Roman" w:hAnsi="Times New Roman" w:cs="Times New Roman"/>
          <w:sz w:val="24"/>
          <w:szCs w:val="24"/>
        </w:rPr>
        <w:t>alla elaborazione dei dati riferiti alle</w:t>
      </w:r>
      <w:r>
        <w:rPr>
          <w:rFonts w:ascii="Times New Roman" w:hAnsi="Times New Roman" w:cs="Times New Roman"/>
          <w:sz w:val="24"/>
          <w:szCs w:val="24"/>
        </w:rPr>
        <w:t xml:space="preserve"> t</w:t>
      </w:r>
      <w:r w:rsidRPr="00A83F21">
        <w:rPr>
          <w:rFonts w:ascii="Times New Roman" w:hAnsi="Times New Roman" w:cs="Times New Roman"/>
          <w:sz w:val="24"/>
          <w:szCs w:val="24"/>
        </w:rPr>
        <w:t>ipologie di irregolarità/frode</w:t>
      </w:r>
      <w:r w:rsidR="008D0F86">
        <w:rPr>
          <w:rFonts w:ascii="Times New Roman" w:hAnsi="Times New Roman" w:cs="Times New Roman"/>
          <w:sz w:val="24"/>
          <w:szCs w:val="24"/>
        </w:rPr>
        <w:t xml:space="preserve"> in relazione alla programmazione 2007/2013 conclusasi nel 2017</w:t>
      </w:r>
      <w:r w:rsidRPr="00A83F21">
        <w:rPr>
          <w:rFonts w:ascii="Times New Roman" w:hAnsi="Times New Roman" w:cs="Times New Roman"/>
          <w:sz w:val="24"/>
          <w:szCs w:val="24"/>
        </w:rPr>
        <w:t>, da</w:t>
      </w:r>
      <w:r>
        <w:rPr>
          <w:rFonts w:ascii="Times New Roman" w:hAnsi="Times New Roman" w:cs="Times New Roman"/>
          <w:sz w:val="24"/>
          <w:szCs w:val="24"/>
        </w:rPr>
        <w:t xml:space="preserve"> </w:t>
      </w:r>
      <w:r w:rsidRPr="00A83F21">
        <w:rPr>
          <w:rFonts w:ascii="Times New Roman" w:hAnsi="Times New Roman" w:cs="Times New Roman"/>
          <w:sz w:val="24"/>
          <w:szCs w:val="24"/>
        </w:rPr>
        <w:t>cui è possibile evincere che:</w:t>
      </w:r>
    </w:p>
    <w:p w:rsidR="00A83F21" w:rsidRPr="00A83F21" w:rsidRDefault="00A83F21" w:rsidP="00AA1A94">
      <w:pPr>
        <w:pStyle w:val="Paragrafoelenco"/>
        <w:numPr>
          <w:ilvl w:val="0"/>
          <w:numId w:val="7"/>
        </w:numPr>
        <w:jc w:val="both"/>
        <w:rPr>
          <w:rFonts w:ascii="Times New Roman" w:hAnsi="Times New Roman" w:cs="Times New Roman"/>
          <w:sz w:val="24"/>
          <w:szCs w:val="24"/>
        </w:rPr>
      </w:pPr>
      <w:r w:rsidRPr="00A83F21">
        <w:rPr>
          <w:rFonts w:ascii="Times New Roman" w:hAnsi="Times New Roman" w:cs="Times New Roman"/>
          <w:sz w:val="24"/>
          <w:szCs w:val="24"/>
        </w:rPr>
        <w:t xml:space="preserve">la voce prevalente </w:t>
      </w:r>
      <w:r w:rsidR="008D0F86">
        <w:rPr>
          <w:rFonts w:ascii="Times New Roman" w:hAnsi="Times New Roman" w:cs="Times New Roman"/>
          <w:sz w:val="24"/>
          <w:szCs w:val="24"/>
        </w:rPr>
        <w:t xml:space="preserve">delle irregolarità/frodi </w:t>
      </w:r>
      <w:r w:rsidRPr="00A83F21">
        <w:rPr>
          <w:rFonts w:ascii="Times New Roman" w:hAnsi="Times New Roman" w:cs="Times New Roman"/>
          <w:sz w:val="24"/>
          <w:szCs w:val="24"/>
        </w:rPr>
        <w:t>(30%) riguarda le casistiche di “No Azione” che interessa circa 26,6 mln di euro sul totale;</w:t>
      </w:r>
    </w:p>
    <w:p w:rsidR="00A83F21" w:rsidRPr="00A83F21" w:rsidRDefault="00A83F21" w:rsidP="00AA1A94">
      <w:pPr>
        <w:pStyle w:val="Paragrafoelenco"/>
        <w:numPr>
          <w:ilvl w:val="0"/>
          <w:numId w:val="7"/>
        </w:numPr>
        <w:jc w:val="both"/>
        <w:rPr>
          <w:rFonts w:ascii="Times New Roman" w:hAnsi="Times New Roman" w:cs="Times New Roman"/>
          <w:sz w:val="24"/>
          <w:szCs w:val="24"/>
        </w:rPr>
      </w:pPr>
      <w:r w:rsidRPr="00A83F21">
        <w:rPr>
          <w:rFonts w:ascii="Times New Roman" w:hAnsi="Times New Roman" w:cs="Times New Roman"/>
          <w:sz w:val="24"/>
          <w:szCs w:val="24"/>
        </w:rPr>
        <w:t>a seguire la casistica “Altre Irregolarità” (19%) (ovvero una voce a carattere generico che non permette un’immediata e corretta identificazione della tipologia di violazione rilevata per le motivazioni sopracitate) che interessa circa 19 mln</w:t>
      </w:r>
      <w:r w:rsidR="008D0F86">
        <w:rPr>
          <w:rFonts w:ascii="Times New Roman" w:hAnsi="Times New Roman" w:cs="Times New Roman"/>
          <w:sz w:val="24"/>
          <w:szCs w:val="24"/>
        </w:rPr>
        <w:t xml:space="preserve"> di euro</w:t>
      </w:r>
      <w:r w:rsidRPr="00A83F21">
        <w:rPr>
          <w:rFonts w:ascii="Times New Roman" w:hAnsi="Times New Roman" w:cs="Times New Roman"/>
          <w:sz w:val="24"/>
          <w:szCs w:val="24"/>
        </w:rPr>
        <w:t>;</w:t>
      </w:r>
    </w:p>
    <w:p w:rsidR="00A83F21" w:rsidRPr="00A83F21" w:rsidRDefault="00A83F21" w:rsidP="00AA1A94">
      <w:pPr>
        <w:pStyle w:val="Paragrafoelenco"/>
        <w:numPr>
          <w:ilvl w:val="0"/>
          <w:numId w:val="7"/>
        </w:numPr>
        <w:jc w:val="both"/>
        <w:rPr>
          <w:rFonts w:ascii="Times New Roman" w:hAnsi="Times New Roman" w:cs="Times New Roman"/>
          <w:sz w:val="24"/>
          <w:szCs w:val="24"/>
        </w:rPr>
      </w:pPr>
      <w:r w:rsidRPr="00A83F21">
        <w:rPr>
          <w:rFonts w:ascii="Times New Roman" w:hAnsi="Times New Roman" w:cs="Times New Roman"/>
          <w:sz w:val="24"/>
          <w:szCs w:val="24"/>
        </w:rPr>
        <w:t xml:space="preserve">poi ci sono le casistiche di “violazione delle norme relative agli appalti pubblici” (17%) che aumentano rispetto alla pregressa annualità, ma evidenziano ancora l’alto livello di criticità in materia segnalato da molte Amministrazioni, soprattutto a livello regionale e connesso, inevitabilmente, ad un più alto rischio d’errore derivante da una normativa particolarmente complessa. La cifra coinvolta in </w:t>
      </w:r>
      <w:r w:rsidR="008D0F86">
        <w:rPr>
          <w:rFonts w:ascii="Times New Roman" w:hAnsi="Times New Roman" w:cs="Times New Roman"/>
          <w:sz w:val="24"/>
          <w:szCs w:val="24"/>
        </w:rPr>
        <w:t>i</w:t>
      </w:r>
      <w:r w:rsidRPr="00A83F21">
        <w:rPr>
          <w:rFonts w:ascii="Times New Roman" w:hAnsi="Times New Roman" w:cs="Times New Roman"/>
          <w:sz w:val="24"/>
          <w:szCs w:val="24"/>
        </w:rPr>
        <w:t>rregolarità ammonta a circa 15 mln;</w:t>
      </w:r>
    </w:p>
    <w:p w:rsidR="00A83F21" w:rsidRPr="00A83F21" w:rsidRDefault="00A83F21" w:rsidP="00AA1A94">
      <w:pPr>
        <w:pStyle w:val="Paragrafoelenco"/>
        <w:numPr>
          <w:ilvl w:val="0"/>
          <w:numId w:val="7"/>
        </w:numPr>
        <w:jc w:val="both"/>
        <w:rPr>
          <w:rFonts w:ascii="Times New Roman" w:hAnsi="Times New Roman" w:cs="Times New Roman"/>
          <w:sz w:val="24"/>
          <w:szCs w:val="24"/>
        </w:rPr>
      </w:pPr>
      <w:r w:rsidRPr="00A83F21">
        <w:rPr>
          <w:rFonts w:ascii="Times New Roman" w:hAnsi="Times New Roman" w:cs="Times New Roman"/>
          <w:sz w:val="24"/>
          <w:szCs w:val="24"/>
        </w:rPr>
        <w:lastRenderedPageBreak/>
        <w:t>altra voce interessata è “prove documentali” (16%) con un importo superiore ai 14 mln di euro;</w:t>
      </w:r>
    </w:p>
    <w:p w:rsidR="00A83F21" w:rsidRPr="00A83F21" w:rsidRDefault="00A83F21" w:rsidP="00AA1A94">
      <w:pPr>
        <w:pStyle w:val="Paragrafoelenco"/>
        <w:numPr>
          <w:ilvl w:val="0"/>
          <w:numId w:val="7"/>
        </w:numPr>
        <w:jc w:val="both"/>
        <w:rPr>
          <w:rFonts w:ascii="Times New Roman" w:hAnsi="Times New Roman" w:cs="Times New Roman"/>
          <w:sz w:val="24"/>
          <w:szCs w:val="24"/>
        </w:rPr>
      </w:pPr>
      <w:r w:rsidRPr="00A83F21">
        <w:rPr>
          <w:rFonts w:ascii="Times New Roman" w:hAnsi="Times New Roman" w:cs="Times New Roman"/>
          <w:sz w:val="24"/>
          <w:szCs w:val="24"/>
        </w:rPr>
        <w:t>altri fattori di criticità risultano connessi alle casistiche concernenti “Contabilità e registrazioni ”, “Fallimento” nonché “Beneficiario”. Una menzione per la casistica “Etica ed integrità” ove sono stati individuati tre casi di “conflitto di interessi” per un importo pari a circa 820 mila euro.</w:t>
      </w:r>
    </w:p>
    <w:p w:rsidR="00A83F21" w:rsidRDefault="00A83F21" w:rsidP="00A83F21">
      <w:pPr>
        <w:jc w:val="both"/>
        <w:rPr>
          <w:rFonts w:ascii="Times New Roman" w:hAnsi="Times New Roman" w:cs="Times New Roman"/>
          <w:sz w:val="24"/>
          <w:szCs w:val="24"/>
        </w:rPr>
      </w:pPr>
    </w:p>
    <w:p w:rsidR="002140BB" w:rsidRDefault="002140BB">
      <w:pPr>
        <w:rPr>
          <w:rFonts w:ascii="Times New Roman" w:hAnsi="Times New Roman" w:cs="Times New Roman"/>
          <w:sz w:val="24"/>
          <w:szCs w:val="24"/>
        </w:rPr>
      </w:pPr>
      <w:r>
        <w:rPr>
          <w:rFonts w:ascii="Times New Roman" w:hAnsi="Times New Roman" w:cs="Times New Roman"/>
          <w:sz w:val="24"/>
          <w:szCs w:val="24"/>
        </w:rPr>
        <w:br w:type="page"/>
      </w:r>
    </w:p>
    <w:p w:rsidR="00E945D5" w:rsidRDefault="00E945D5" w:rsidP="002140BB">
      <w:pPr>
        <w:jc w:val="center"/>
        <w:rPr>
          <w:rFonts w:ascii="Times New Roman" w:hAnsi="Times New Roman" w:cs="Times New Roman"/>
          <w:sz w:val="24"/>
          <w:szCs w:val="24"/>
        </w:rPr>
      </w:pPr>
      <w:r>
        <w:rPr>
          <w:rFonts w:ascii="Times New Roman" w:hAnsi="Times New Roman" w:cs="Times New Roman"/>
          <w:sz w:val="24"/>
          <w:szCs w:val="24"/>
        </w:rPr>
        <w:lastRenderedPageBreak/>
        <w:t>PARTE VI</w:t>
      </w:r>
    </w:p>
    <w:p w:rsidR="00A83F21" w:rsidRDefault="002140BB" w:rsidP="002140BB">
      <w:pPr>
        <w:jc w:val="center"/>
        <w:rPr>
          <w:rFonts w:ascii="Times New Roman" w:hAnsi="Times New Roman" w:cs="Times New Roman"/>
          <w:sz w:val="24"/>
          <w:szCs w:val="24"/>
        </w:rPr>
      </w:pPr>
      <w:r>
        <w:rPr>
          <w:rFonts w:ascii="Times New Roman" w:hAnsi="Times New Roman" w:cs="Times New Roman"/>
          <w:sz w:val="24"/>
          <w:szCs w:val="24"/>
        </w:rPr>
        <w:t>PARTECIPAZIONE PMI AGLI APPALTI</w:t>
      </w:r>
    </w:p>
    <w:p w:rsidR="00B9759B" w:rsidRDefault="00B9759B" w:rsidP="002140BB">
      <w:pPr>
        <w:jc w:val="center"/>
        <w:rPr>
          <w:rFonts w:ascii="Times New Roman" w:hAnsi="Times New Roman" w:cs="Times New Roman"/>
          <w:sz w:val="24"/>
          <w:szCs w:val="24"/>
        </w:rPr>
      </w:pPr>
    </w:p>
    <w:p w:rsidR="00B9759B" w:rsidRDefault="00B9759B" w:rsidP="002140BB">
      <w:pPr>
        <w:jc w:val="center"/>
        <w:rPr>
          <w:rFonts w:ascii="Times New Roman" w:hAnsi="Times New Roman" w:cs="Times New Roman"/>
          <w:sz w:val="24"/>
          <w:szCs w:val="24"/>
        </w:rPr>
      </w:pPr>
    </w:p>
    <w:p w:rsidR="002140BB" w:rsidRPr="00F86A97" w:rsidRDefault="002140BB" w:rsidP="00F86A97">
      <w:pPr>
        <w:keepNext/>
        <w:keepLines/>
        <w:numPr>
          <w:ilvl w:val="1"/>
          <w:numId w:val="35"/>
        </w:numPr>
        <w:tabs>
          <w:tab w:val="left" w:pos="426"/>
        </w:tabs>
        <w:spacing w:before="200" w:after="0" w:line="240" w:lineRule="auto"/>
        <w:ind w:left="426" w:hanging="426"/>
        <w:contextualSpacing/>
        <w:outlineLvl w:val="2"/>
        <w:rPr>
          <w:rFonts w:ascii="Times New Roman" w:eastAsiaTheme="majorEastAsia" w:hAnsi="Times New Roman" w:cs="Times New Roman"/>
          <w:b/>
          <w:bCs/>
          <w:sz w:val="24"/>
          <w:szCs w:val="24"/>
          <w:lang w:eastAsia="it-IT"/>
        </w:rPr>
      </w:pPr>
      <w:r w:rsidRPr="00F86A97">
        <w:rPr>
          <w:rFonts w:ascii="Times New Roman" w:eastAsiaTheme="majorEastAsia" w:hAnsi="Times New Roman" w:cs="Times New Roman"/>
          <w:b/>
          <w:bCs/>
          <w:sz w:val="24"/>
          <w:szCs w:val="24"/>
          <w:lang w:eastAsia="it-IT"/>
        </w:rPr>
        <w:t xml:space="preserve">Il </w:t>
      </w:r>
      <w:proofErr w:type="spellStart"/>
      <w:r w:rsidRPr="00F86A97">
        <w:rPr>
          <w:rFonts w:ascii="Times New Roman" w:eastAsiaTheme="majorEastAsia" w:hAnsi="Times New Roman" w:cs="Times New Roman"/>
          <w:b/>
          <w:bCs/>
          <w:sz w:val="24"/>
          <w:szCs w:val="24"/>
          <w:lang w:eastAsia="it-IT"/>
        </w:rPr>
        <w:t>Mepa</w:t>
      </w:r>
      <w:proofErr w:type="spellEnd"/>
      <w:r w:rsidRPr="00F86A97">
        <w:rPr>
          <w:rFonts w:ascii="Times New Roman" w:eastAsiaTheme="majorEastAsia" w:hAnsi="Times New Roman" w:cs="Times New Roman"/>
          <w:b/>
          <w:bCs/>
          <w:sz w:val="24"/>
          <w:szCs w:val="24"/>
          <w:lang w:eastAsia="it-IT"/>
        </w:rPr>
        <w:t xml:space="preserve"> motore del </w:t>
      </w:r>
      <w:proofErr w:type="spellStart"/>
      <w:r w:rsidRPr="00F86A97">
        <w:rPr>
          <w:rFonts w:ascii="Times New Roman" w:eastAsiaTheme="majorEastAsia" w:hAnsi="Times New Roman" w:cs="Times New Roman"/>
          <w:b/>
          <w:bCs/>
          <w:sz w:val="24"/>
          <w:szCs w:val="24"/>
          <w:lang w:eastAsia="it-IT"/>
        </w:rPr>
        <w:t>sottosoglia</w:t>
      </w:r>
      <w:proofErr w:type="spellEnd"/>
      <w:r w:rsidRPr="00F86A97">
        <w:rPr>
          <w:rFonts w:ascii="Times New Roman" w:eastAsiaTheme="majorEastAsia" w:hAnsi="Times New Roman" w:cs="Times New Roman"/>
          <w:b/>
          <w:bCs/>
          <w:sz w:val="24"/>
          <w:szCs w:val="24"/>
          <w:lang w:eastAsia="it-IT"/>
        </w:rPr>
        <w:t xml:space="preserve"> in Italia e la partecipazione delle </w:t>
      </w:r>
      <w:proofErr w:type="spellStart"/>
      <w:r w:rsidRPr="00F86A97">
        <w:rPr>
          <w:rFonts w:ascii="Times New Roman" w:eastAsiaTheme="majorEastAsia" w:hAnsi="Times New Roman" w:cs="Times New Roman"/>
          <w:b/>
          <w:bCs/>
          <w:sz w:val="24"/>
          <w:szCs w:val="24"/>
          <w:lang w:eastAsia="it-IT"/>
        </w:rPr>
        <w:t>mPMI</w:t>
      </w:r>
      <w:proofErr w:type="spellEnd"/>
      <w:r w:rsidR="00C77F5B" w:rsidRPr="00F86A97">
        <w:rPr>
          <w:rFonts w:ascii="Times New Roman" w:eastAsiaTheme="majorEastAsia" w:hAnsi="Times New Roman" w:cs="Times New Roman"/>
          <w:b/>
          <w:bCs/>
          <w:sz w:val="24"/>
          <w:szCs w:val="24"/>
          <w:lang w:eastAsia="it-IT"/>
        </w:rPr>
        <w:t xml:space="preserve"> (Dati CONSIP)</w:t>
      </w:r>
    </w:p>
    <w:p w:rsidR="002140BB" w:rsidRPr="002140BB" w:rsidRDefault="002140BB" w:rsidP="002140BB">
      <w:pPr>
        <w:spacing w:after="0" w:line="240" w:lineRule="auto"/>
        <w:jc w:val="both"/>
        <w:rPr>
          <w:rFonts w:ascii="Times New Roman" w:hAnsi="Times New Roman" w:cs="Times New Roman"/>
          <w:b/>
          <w:sz w:val="24"/>
          <w:szCs w:val="24"/>
        </w:rPr>
      </w:pPr>
    </w:p>
    <w:p w:rsidR="002140BB" w:rsidRPr="002140BB" w:rsidRDefault="002140BB" w:rsidP="002140BB">
      <w:pPr>
        <w:jc w:val="both"/>
        <w:rPr>
          <w:rFonts w:ascii="Times New Roman" w:hAnsi="Times New Roman" w:cs="Times New Roman"/>
          <w:sz w:val="24"/>
          <w:szCs w:val="24"/>
        </w:rPr>
      </w:pPr>
      <w:r w:rsidRPr="002140BB">
        <w:rPr>
          <w:rFonts w:ascii="Times New Roman" w:hAnsi="Times New Roman" w:cs="Times New Roman"/>
          <w:sz w:val="24"/>
          <w:szCs w:val="24"/>
        </w:rPr>
        <w:t>In Italia le micro, piccole e medie  imprese (</w:t>
      </w:r>
      <w:proofErr w:type="spellStart"/>
      <w:r w:rsidRPr="002140BB">
        <w:rPr>
          <w:rFonts w:ascii="Times New Roman" w:hAnsi="Times New Roman" w:cs="Times New Roman"/>
          <w:sz w:val="24"/>
          <w:szCs w:val="24"/>
        </w:rPr>
        <w:t>mPMI</w:t>
      </w:r>
      <w:proofErr w:type="spellEnd"/>
      <w:r w:rsidRPr="002140BB">
        <w:rPr>
          <w:rFonts w:ascii="Times New Roman" w:hAnsi="Times New Roman" w:cs="Times New Roman"/>
          <w:sz w:val="24"/>
          <w:szCs w:val="24"/>
        </w:rPr>
        <w:t>) rappresentano una percentuale (99,9%) prossima a quella media dell'UE (99,8%) ma sono costituite più che altrove da microimprese, che contano per il 94,4% del totale.</w:t>
      </w:r>
      <w:r w:rsidRPr="002140BB">
        <w:rPr>
          <w:rFonts w:ascii="Times New Roman" w:hAnsi="Times New Roman" w:cs="Times New Roman"/>
          <w:sz w:val="24"/>
          <w:szCs w:val="24"/>
        </w:rPr>
        <w:footnoteReference w:id="1"/>
      </w:r>
      <w:r w:rsidRPr="002140BB">
        <w:rPr>
          <w:rFonts w:ascii="Times New Roman" w:hAnsi="Times New Roman" w:cs="Times New Roman"/>
          <w:sz w:val="24"/>
          <w:szCs w:val="24"/>
        </w:rPr>
        <w:t xml:space="preserve">Per favorire la partecipazione delle </w:t>
      </w:r>
      <w:proofErr w:type="spellStart"/>
      <w:r w:rsidRPr="002140BB">
        <w:rPr>
          <w:rFonts w:ascii="Times New Roman" w:hAnsi="Times New Roman" w:cs="Times New Roman"/>
          <w:sz w:val="24"/>
          <w:szCs w:val="24"/>
        </w:rPr>
        <w:t>mPMI</w:t>
      </w:r>
      <w:proofErr w:type="spellEnd"/>
      <w:r w:rsidRPr="002140BB">
        <w:rPr>
          <w:rFonts w:ascii="Times New Roman" w:hAnsi="Times New Roman" w:cs="Times New Roman"/>
          <w:sz w:val="24"/>
          <w:szCs w:val="24"/>
        </w:rPr>
        <w:t xml:space="preserve"> al Public </w:t>
      </w:r>
      <w:proofErr w:type="spellStart"/>
      <w:r w:rsidRPr="002140BB">
        <w:rPr>
          <w:rFonts w:ascii="Times New Roman" w:hAnsi="Times New Roman" w:cs="Times New Roman"/>
          <w:sz w:val="24"/>
          <w:szCs w:val="24"/>
        </w:rPr>
        <w:t>Procurement</w:t>
      </w:r>
      <w:proofErr w:type="spellEnd"/>
      <w:r w:rsidRPr="002140BB">
        <w:rPr>
          <w:rFonts w:ascii="Times New Roman" w:hAnsi="Times New Roman" w:cs="Times New Roman"/>
          <w:sz w:val="24"/>
          <w:szCs w:val="24"/>
        </w:rPr>
        <w:t xml:space="preserve"> , il Ministero dell’Economia e delle Finanze e </w:t>
      </w:r>
      <w:proofErr w:type="spellStart"/>
      <w:r w:rsidRPr="002140BB">
        <w:rPr>
          <w:rFonts w:ascii="Times New Roman" w:hAnsi="Times New Roman" w:cs="Times New Roman"/>
          <w:sz w:val="24"/>
          <w:szCs w:val="24"/>
        </w:rPr>
        <w:t>Consip</w:t>
      </w:r>
      <w:proofErr w:type="spellEnd"/>
      <w:r w:rsidRPr="002140BB">
        <w:rPr>
          <w:rFonts w:ascii="Times New Roman" w:hAnsi="Times New Roman" w:cs="Times New Roman"/>
          <w:sz w:val="24"/>
          <w:szCs w:val="24"/>
        </w:rPr>
        <w:t xml:space="preserve">, nell’ambito del Programma di razionalizzazione degli acquisti della Pubblica Amministrazione, hanno sviluppato, a partire dal 2003, lo strumento del </w:t>
      </w:r>
      <w:r w:rsidRPr="002140BB">
        <w:rPr>
          <w:rFonts w:ascii="Times New Roman" w:hAnsi="Times New Roman" w:cs="Times New Roman"/>
          <w:b/>
          <w:sz w:val="24"/>
          <w:szCs w:val="24"/>
        </w:rPr>
        <w:t>Mercato Elettronico della PA</w:t>
      </w:r>
      <w:r w:rsidRPr="002140BB">
        <w:rPr>
          <w:rFonts w:ascii="Times New Roman" w:hAnsi="Times New Roman" w:cs="Times New Roman"/>
          <w:sz w:val="24"/>
          <w:szCs w:val="24"/>
        </w:rPr>
        <w:t xml:space="preserve"> (</w:t>
      </w:r>
      <w:proofErr w:type="spellStart"/>
      <w:r w:rsidRPr="002140BB">
        <w:rPr>
          <w:rFonts w:ascii="Times New Roman" w:hAnsi="Times New Roman" w:cs="Times New Roman"/>
          <w:sz w:val="24"/>
          <w:szCs w:val="24"/>
        </w:rPr>
        <w:t>MePA</w:t>
      </w:r>
      <w:proofErr w:type="spellEnd"/>
      <w:r w:rsidRPr="002140BB">
        <w:rPr>
          <w:rFonts w:ascii="Times New Roman" w:hAnsi="Times New Roman" w:cs="Times New Roman"/>
          <w:sz w:val="24"/>
          <w:szCs w:val="24"/>
        </w:rPr>
        <w:t xml:space="preserve">) per la digitalizzazione degli acquisti di importo inferiore alle soglie comunitarie.  </w:t>
      </w:r>
    </w:p>
    <w:p w:rsidR="002140BB" w:rsidRPr="002140BB" w:rsidRDefault="002140BB" w:rsidP="002140BB">
      <w:pPr>
        <w:jc w:val="both"/>
        <w:rPr>
          <w:rFonts w:ascii="Times New Roman" w:hAnsi="Times New Roman" w:cs="Times New Roman"/>
          <w:sz w:val="24"/>
          <w:szCs w:val="24"/>
        </w:rPr>
      </w:pPr>
      <w:r w:rsidRPr="002140BB">
        <w:rPr>
          <w:rFonts w:ascii="Times New Roman" w:hAnsi="Times New Roman" w:cs="Times New Roman"/>
          <w:sz w:val="24"/>
          <w:szCs w:val="24"/>
        </w:rPr>
        <w:t xml:space="preserve">Il </w:t>
      </w:r>
      <w:proofErr w:type="spellStart"/>
      <w:r w:rsidRPr="002140BB">
        <w:rPr>
          <w:rFonts w:ascii="Times New Roman" w:hAnsi="Times New Roman" w:cs="Times New Roman"/>
          <w:sz w:val="24"/>
          <w:szCs w:val="24"/>
        </w:rPr>
        <w:t>MePA</w:t>
      </w:r>
      <w:proofErr w:type="spellEnd"/>
      <w:r w:rsidRPr="002140BB">
        <w:rPr>
          <w:rFonts w:ascii="Times New Roman" w:hAnsi="Times New Roman" w:cs="Times New Roman"/>
          <w:sz w:val="24"/>
          <w:szCs w:val="24"/>
        </w:rPr>
        <w:t xml:space="preserve"> è un mercato interamente digitale in cui le amministrazioni acquirenti e i potenziali fornitori si incontrano, negoziano e perfezionano on line contratti di fornitura legalmente validi. L’utilizzo della firma digitale infatti permette a PA e fornitori di conferire valore legale ai documenti pubblicati e consentire il perfezionamento dei contratti di acquisto.</w:t>
      </w:r>
    </w:p>
    <w:p w:rsidR="002140BB" w:rsidRPr="002140BB" w:rsidRDefault="002140BB" w:rsidP="002140BB">
      <w:pPr>
        <w:jc w:val="both"/>
        <w:rPr>
          <w:rFonts w:ascii="Times New Roman" w:hAnsi="Times New Roman" w:cs="Times New Roman"/>
          <w:bCs/>
          <w:iCs/>
          <w:sz w:val="24"/>
          <w:szCs w:val="24"/>
        </w:rPr>
      </w:pPr>
      <w:r w:rsidRPr="002140BB">
        <w:rPr>
          <w:rFonts w:ascii="Times New Roman" w:hAnsi="Times New Roman" w:cs="Times New Roman"/>
          <w:sz w:val="24"/>
          <w:szCs w:val="24"/>
        </w:rPr>
        <w:t>Gli acquisti possono essere effettuati attraverso Ordini diretti, sulla base delle offerte pubblicate dai fornitori, o tramite negoziazioni (Richiesta di offerta o Trattativa diretta).</w:t>
      </w:r>
      <w:r w:rsidRPr="002140BB">
        <w:rPr>
          <w:rFonts w:ascii="Times New Roman" w:hAnsi="Times New Roman" w:cs="Times New Roman"/>
          <w:bCs/>
          <w:iCs/>
          <w:sz w:val="24"/>
          <w:szCs w:val="24"/>
        </w:rPr>
        <w:t xml:space="preserve"> Per i propri acquisti sotto soglia l</w:t>
      </w:r>
      <w:r w:rsidRPr="002140BB">
        <w:rPr>
          <w:rFonts w:ascii="Times New Roman" w:hAnsi="Times New Roman" w:cs="Times New Roman"/>
          <w:sz w:val="24"/>
          <w:szCs w:val="24"/>
        </w:rPr>
        <w:t xml:space="preserve">e Amministrazioni ricorrono in maniera massiccia al </w:t>
      </w:r>
      <w:proofErr w:type="spellStart"/>
      <w:r w:rsidRPr="002140BB">
        <w:rPr>
          <w:rFonts w:ascii="Times New Roman" w:hAnsi="Times New Roman" w:cs="Times New Roman"/>
          <w:sz w:val="24"/>
          <w:szCs w:val="24"/>
        </w:rPr>
        <w:t>Mepa</w:t>
      </w:r>
      <w:proofErr w:type="spellEnd"/>
      <w:r w:rsidRPr="002140BB">
        <w:rPr>
          <w:rFonts w:ascii="Times New Roman" w:hAnsi="Times New Roman" w:cs="Times New Roman"/>
          <w:sz w:val="24"/>
          <w:szCs w:val="24"/>
        </w:rPr>
        <w:t xml:space="preserve"> anche per transazioni di importo molto contenuto. Nel 2017 sul </w:t>
      </w:r>
      <w:proofErr w:type="spellStart"/>
      <w:r w:rsidRPr="002140BB">
        <w:rPr>
          <w:rFonts w:ascii="Times New Roman" w:hAnsi="Times New Roman" w:cs="Times New Roman"/>
          <w:sz w:val="24"/>
          <w:szCs w:val="24"/>
        </w:rPr>
        <w:t>MePA</w:t>
      </w:r>
      <w:proofErr w:type="spellEnd"/>
      <w:r w:rsidRPr="002140BB">
        <w:rPr>
          <w:rFonts w:ascii="Times New Roman" w:hAnsi="Times New Roman" w:cs="Times New Roman"/>
          <w:sz w:val="24"/>
          <w:szCs w:val="24"/>
        </w:rPr>
        <w:t xml:space="preserve"> sono state concluse  circa 600.000 transazioni per un </w:t>
      </w:r>
      <w:r w:rsidRPr="002140BB">
        <w:rPr>
          <w:rFonts w:ascii="Times New Roman" w:hAnsi="Times New Roman" w:cs="Times New Roman"/>
          <w:bCs/>
          <w:iCs/>
          <w:sz w:val="24"/>
          <w:szCs w:val="24"/>
        </w:rPr>
        <w:t>valore medio di 16.200€ per Richieste di Offerta, 6.000€ per Trattative dirette e 2.100 per Ordini diretti.</w:t>
      </w:r>
    </w:p>
    <w:p w:rsidR="002140BB" w:rsidRPr="002140BB" w:rsidRDefault="002140BB" w:rsidP="002140BB">
      <w:pPr>
        <w:jc w:val="center"/>
        <w:rPr>
          <w:sz w:val="24"/>
          <w:szCs w:val="24"/>
        </w:rPr>
      </w:pPr>
      <w:r w:rsidRPr="002140BB">
        <w:rPr>
          <w:noProof/>
          <w:lang w:eastAsia="it-IT"/>
        </w:rPr>
        <w:drawing>
          <wp:inline distT="0" distB="0" distL="0" distR="0" wp14:anchorId="59ED4384" wp14:editId="7E43F352">
            <wp:extent cx="4941809" cy="2925905"/>
            <wp:effectExtent l="0" t="0" r="0" b="825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941809" cy="2925905"/>
                    </a:xfrm>
                    <a:prstGeom prst="rect">
                      <a:avLst/>
                    </a:prstGeom>
                  </pic:spPr>
                </pic:pic>
              </a:graphicData>
            </a:graphic>
          </wp:inline>
        </w:drawing>
      </w:r>
    </w:p>
    <w:p w:rsidR="002140BB" w:rsidRPr="00B9759B" w:rsidRDefault="002140BB" w:rsidP="002140BB">
      <w:pPr>
        <w:jc w:val="both"/>
        <w:rPr>
          <w:rFonts w:ascii="Times New Roman" w:hAnsi="Times New Roman" w:cs="Times New Roman"/>
          <w:sz w:val="24"/>
          <w:szCs w:val="24"/>
        </w:rPr>
      </w:pPr>
      <w:r w:rsidRPr="00B9759B">
        <w:rPr>
          <w:rFonts w:ascii="Times New Roman" w:hAnsi="Times New Roman" w:cs="Times New Roman"/>
          <w:sz w:val="24"/>
          <w:szCs w:val="24"/>
        </w:rPr>
        <w:lastRenderedPageBreak/>
        <w:t xml:space="preserve">Delle circa 100.000 imprese abilitate la quasi totalità è rappresentata da </w:t>
      </w:r>
      <w:proofErr w:type="spellStart"/>
      <w:r w:rsidRPr="00B9759B">
        <w:rPr>
          <w:rFonts w:ascii="Times New Roman" w:hAnsi="Times New Roman" w:cs="Times New Roman"/>
          <w:sz w:val="24"/>
          <w:szCs w:val="24"/>
        </w:rPr>
        <w:t>mPMI</w:t>
      </w:r>
      <w:proofErr w:type="spellEnd"/>
      <w:r w:rsidRPr="00B9759B">
        <w:rPr>
          <w:rFonts w:ascii="Times New Roman" w:hAnsi="Times New Roman" w:cs="Times New Roman"/>
          <w:sz w:val="24"/>
          <w:szCs w:val="24"/>
        </w:rPr>
        <w:t xml:space="preserve"> (con un’incidenza del 79% di micro imprese) e la maggior parte del valore transato (circa 3 MLD di € nei primi nove mesi del 2018) va a beneficio delle imprese più piccole.</w:t>
      </w:r>
    </w:p>
    <w:p w:rsidR="002140BB" w:rsidRPr="002140BB" w:rsidRDefault="002140BB" w:rsidP="002140BB">
      <w:pPr>
        <w:jc w:val="both"/>
        <w:rPr>
          <w:rFonts w:ascii="Trebuchet MS" w:hAnsi="Trebuchet MS" w:cs="Courier New"/>
          <w:sz w:val="24"/>
          <w:szCs w:val="24"/>
        </w:rPr>
      </w:pPr>
      <w:r w:rsidRPr="002140BB">
        <w:rPr>
          <w:rFonts w:ascii="Trebuchet MS" w:hAnsi="Trebuchet MS" w:cs="Courier New"/>
          <w:sz w:val="24"/>
          <w:szCs w:val="24"/>
        </w:rPr>
        <w:t xml:space="preserve"> </w:t>
      </w:r>
      <w:r w:rsidRPr="002140BB">
        <w:rPr>
          <w:noProof/>
          <w:lang w:eastAsia="it-IT"/>
        </w:rPr>
        <w:drawing>
          <wp:inline distT="0" distB="0" distL="0" distR="0" wp14:anchorId="0FDA7EDD" wp14:editId="4C419151">
            <wp:extent cx="5486400" cy="2066478"/>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87539" cy="2066907"/>
                    </a:xfrm>
                    <a:prstGeom prst="rect">
                      <a:avLst/>
                    </a:prstGeom>
                  </pic:spPr>
                </pic:pic>
              </a:graphicData>
            </a:graphic>
          </wp:inline>
        </w:drawing>
      </w:r>
    </w:p>
    <w:p w:rsidR="002140BB" w:rsidRPr="002140BB" w:rsidRDefault="002140BB" w:rsidP="002140BB">
      <w:pPr>
        <w:jc w:val="both"/>
        <w:rPr>
          <w:rFonts w:ascii="Times New Roman" w:hAnsi="Times New Roman" w:cs="Times New Roman"/>
          <w:sz w:val="24"/>
          <w:szCs w:val="24"/>
        </w:rPr>
      </w:pPr>
      <w:r w:rsidRPr="002140BB">
        <w:rPr>
          <w:rFonts w:ascii="Times New Roman" w:hAnsi="Times New Roman" w:cs="Times New Roman"/>
          <w:sz w:val="24"/>
          <w:szCs w:val="24"/>
        </w:rPr>
        <w:t xml:space="preserve">Al raggiungimento di questi risultati ha sicuramente contribuito la collaborazione con le organizzazioni di rappresentanza imprenditoriale avviata nel 2004, con l’obiettivo di facilitare l’accesso delle </w:t>
      </w:r>
      <w:proofErr w:type="spellStart"/>
      <w:r w:rsidRPr="002140BB">
        <w:rPr>
          <w:rFonts w:ascii="Times New Roman" w:hAnsi="Times New Roman" w:cs="Times New Roman"/>
          <w:sz w:val="24"/>
          <w:szCs w:val="24"/>
        </w:rPr>
        <w:t>mPMI</w:t>
      </w:r>
      <w:proofErr w:type="spellEnd"/>
      <w:r w:rsidRPr="002140BB">
        <w:rPr>
          <w:rFonts w:ascii="Times New Roman" w:hAnsi="Times New Roman" w:cs="Times New Roman"/>
          <w:sz w:val="24"/>
          <w:szCs w:val="24"/>
        </w:rPr>
        <w:t xml:space="preserve"> alla domanda pubblica. Trattandosi per lo più di imprese di piccole dimensioni, interessate soprattutto al sotto soglia, il </w:t>
      </w:r>
      <w:proofErr w:type="spellStart"/>
      <w:r w:rsidRPr="002140BB">
        <w:rPr>
          <w:rFonts w:ascii="Times New Roman" w:hAnsi="Times New Roman" w:cs="Times New Roman"/>
          <w:sz w:val="24"/>
          <w:szCs w:val="24"/>
        </w:rPr>
        <w:t>MePA</w:t>
      </w:r>
      <w:proofErr w:type="spellEnd"/>
      <w:r w:rsidRPr="002140BB">
        <w:rPr>
          <w:rFonts w:ascii="Times New Roman" w:hAnsi="Times New Roman" w:cs="Times New Roman"/>
          <w:sz w:val="24"/>
          <w:szCs w:val="24"/>
        </w:rPr>
        <w:t xml:space="preserve"> è senz’altro lo strumento ideale, disponibile a livello nazionale, per continuare a proporre le proprie offerte alla Pubblica Amministrazione, in modalità  telematica come previsto dalle Direttive UE e dal Codice dei contratti pubblici. Per supportare le </w:t>
      </w:r>
      <w:proofErr w:type="spellStart"/>
      <w:r w:rsidRPr="002140BB">
        <w:rPr>
          <w:rFonts w:ascii="Times New Roman" w:hAnsi="Times New Roman" w:cs="Times New Roman"/>
          <w:sz w:val="24"/>
          <w:szCs w:val="24"/>
        </w:rPr>
        <w:t>mPMI</w:t>
      </w:r>
      <w:proofErr w:type="spellEnd"/>
      <w:r w:rsidRPr="002140BB">
        <w:rPr>
          <w:rFonts w:ascii="Times New Roman" w:hAnsi="Times New Roman" w:cs="Times New Roman"/>
          <w:sz w:val="24"/>
          <w:szCs w:val="24"/>
        </w:rPr>
        <w:t xml:space="preserve"> nel percorso di digitalizzazione delle procedure e, in particolare nell’utilizzo del </w:t>
      </w:r>
      <w:proofErr w:type="spellStart"/>
      <w:r w:rsidRPr="002140BB">
        <w:rPr>
          <w:rFonts w:ascii="Times New Roman" w:hAnsi="Times New Roman" w:cs="Times New Roman"/>
          <w:sz w:val="24"/>
          <w:szCs w:val="24"/>
        </w:rPr>
        <w:t>MePA</w:t>
      </w:r>
      <w:proofErr w:type="spellEnd"/>
      <w:r w:rsidRPr="002140BB">
        <w:rPr>
          <w:rFonts w:ascii="Times New Roman" w:hAnsi="Times New Roman" w:cs="Times New Roman"/>
          <w:sz w:val="24"/>
          <w:szCs w:val="24"/>
        </w:rPr>
        <w:t xml:space="preserve"> è stato avviato, con le Associazioni di Categoria, il </w:t>
      </w:r>
      <w:r w:rsidRPr="002140BB">
        <w:rPr>
          <w:rFonts w:ascii="Times New Roman" w:hAnsi="Times New Roman" w:cs="Times New Roman"/>
          <w:b/>
          <w:sz w:val="24"/>
          <w:szCs w:val="24"/>
        </w:rPr>
        <w:t>Progetto Sportelli in Rete</w:t>
      </w:r>
      <w:r w:rsidRPr="002140BB">
        <w:rPr>
          <w:rFonts w:ascii="Times New Roman" w:hAnsi="Times New Roman" w:cs="Times New Roman"/>
          <w:sz w:val="24"/>
          <w:szCs w:val="24"/>
        </w:rPr>
        <w:t xml:space="preserve"> che prevede l’attivazione di centri di competenza (sportelli)  all’interno delle Associazioni locali alle quali </w:t>
      </w:r>
      <w:proofErr w:type="spellStart"/>
      <w:r w:rsidRPr="002140BB">
        <w:rPr>
          <w:rFonts w:ascii="Times New Roman" w:hAnsi="Times New Roman" w:cs="Times New Roman"/>
          <w:sz w:val="24"/>
          <w:szCs w:val="24"/>
        </w:rPr>
        <w:t>Consip</w:t>
      </w:r>
      <w:proofErr w:type="spellEnd"/>
      <w:r w:rsidRPr="002140BB">
        <w:rPr>
          <w:rFonts w:ascii="Times New Roman" w:hAnsi="Times New Roman" w:cs="Times New Roman"/>
          <w:sz w:val="24"/>
          <w:szCs w:val="24"/>
        </w:rPr>
        <w:t xml:space="preserve"> garantisce un livello di formazione adeguato. </w:t>
      </w:r>
    </w:p>
    <w:p w:rsidR="002140BB" w:rsidRPr="002140BB" w:rsidRDefault="002140BB" w:rsidP="002140BB">
      <w:pPr>
        <w:jc w:val="both"/>
        <w:rPr>
          <w:rFonts w:ascii="Times New Roman" w:hAnsi="Times New Roman" w:cs="Times New Roman"/>
          <w:sz w:val="24"/>
          <w:szCs w:val="24"/>
        </w:rPr>
      </w:pPr>
      <w:r w:rsidRPr="002140BB">
        <w:rPr>
          <w:rFonts w:ascii="Times New Roman" w:hAnsi="Times New Roman" w:cs="Times New Roman"/>
          <w:sz w:val="24"/>
          <w:szCs w:val="24"/>
        </w:rPr>
        <w:t>Le informazioni e le competenze acquisite, per lo più attraverso strumenti di formazione a distanza (web conference e videoconferenze), permettono agli Sportelli di essere sempre aggiornati e di trasmettere la conoscenza alle imprese del territorio, con un virtuoso effetto moltiplicatore sul mercato.</w:t>
      </w:r>
    </w:p>
    <w:p w:rsidR="002140BB" w:rsidRPr="002140BB" w:rsidRDefault="002140BB" w:rsidP="002140BB">
      <w:pPr>
        <w:jc w:val="both"/>
        <w:rPr>
          <w:rFonts w:ascii="Times New Roman" w:hAnsi="Times New Roman" w:cs="Times New Roman"/>
          <w:sz w:val="24"/>
          <w:szCs w:val="24"/>
        </w:rPr>
      </w:pPr>
      <w:r w:rsidRPr="002140BB">
        <w:rPr>
          <w:rFonts w:ascii="Times New Roman" w:hAnsi="Times New Roman" w:cs="Times New Roman"/>
          <w:sz w:val="24"/>
          <w:szCs w:val="24"/>
        </w:rPr>
        <w:t xml:space="preserve">Al 31 ottobre 2018 sono circa 375 gli sportelli attivati su tutto il territorio e 24 le Associazioni coinvolte. </w:t>
      </w:r>
    </w:p>
    <w:p w:rsidR="002140BB" w:rsidRPr="002140BB" w:rsidRDefault="002140BB" w:rsidP="002140BB">
      <w:pPr>
        <w:jc w:val="center"/>
        <w:rPr>
          <w:rFonts w:ascii="Trebuchet MS" w:hAnsi="Trebuchet MS" w:cs="Courier New"/>
          <w:sz w:val="24"/>
          <w:szCs w:val="24"/>
        </w:rPr>
      </w:pPr>
      <w:r w:rsidRPr="002140BB">
        <w:rPr>
          <w:rFonts w:ascii="Trebuchet MS" w:hAnsi="Trebuchet MS" w:cs="Courier New"/>
          <w:noProof/>
          <w:sz w:val="24"/>
          <w:szCs w:val="24"/>
          <w:lang w:eastAsia="it-IT"/>
        </w:rPr>
        <w:lastRenderedPageBreak/>
        <w:drawing>
          <wp:inline distT="0" distB="0" distL="0" distR="0" wp14:anchorId="0A70B0A3" wp14:editId="20351962">
            <wp:extent cx="4850350" cy="2613660"/>
            <wp:effectExtent l="0" t="0" r="7620" b="0"/>
            <wp:docPr id="36" name="Immagine 36" descr="C:\Users\francesca.minerva\Documents\PMI\PMI_studi\Luca\Immagine Sportel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esca.minerva\Documents\PMI\PMI_studi\Luca\Immagine Sportelli.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50350" cy="2613660"/>
                    </a:xfrm>
                    <a:prstGeom prst="rect">
                      <a:avLst/>
                    </a:prstGeom>
                    <a:noFill/>
                    <a:ln>
                      <a:noFill/>
                    </a:ln>
                  </pic:spPr>
                </pic:pic>
              </a:graphicData>
            </a:graphic>
          </wp:inline>
        </w:drawing>
      </w:r>
    </w:p>
    <w:p w:rsidR="002140BB" w:rsidRPr="002140BB" w:rsidRDefault="002140BB" w:rsidP="00A83F21">
      <w:pPr>
        <w:jc w:val="both"/>
        <w:rPr>
          <w:rFonts w:ascii="Times New Roman" w:hAnsi="Times New Roman" w:cs="Times New Roman"/>
          <w:sz w:val="24"/>
          <w:szCs w:val="24"/>
        </w:rPr>
      </w:pPr>
    </w:p>
    <w:sectPr w:rsidR="002140BB" w:rsidRPr="002140BB" w:rsidSect="002B2DAB">
      <w:footerReference w:type="default" r:id="rId43"/>
      <w:pgSz w:w="11906" w:h="16838"/>
      <w:pgMar w:top="1417" w:right="1134" w:bottom="1134"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7AE" w:rsidRDefault="004C57AE" w:rsidP="00BB5475">
      <w:pPr>
        <w:spacing w:after="0" w:line="240" w:lineRule="auto"/>
      </w:pPr>
      <w:r>
        <w:separator/>
      </w:r>
    </w:p>
  </w:endnote>
  <w:endnote w:type="continuationSeparator" w:id="0">
    <w:p w:rsidR="004C57AE" w:rsidRDefault="004C57AE" w:rsidP="00BB5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oncini Garamond">
    <w:altName w:val="Liberation Mono"/>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5986510"/>
      <w:docPartObj>
        <w:docPartGallery w:val="Page Numbers (Bottom of Page)"/>
        <w:docPartUnique/>
      </w:docPartObj>
    </w:sdtPr>
    <w:sdtEndPr/>
    <w:sdtContent>
      <w:p w:rsidR="009734C8" w:rsidRDefault="009734C8">
        <w:pPr>
          <w:pStyle w:val="Pidipagina"/>
          <w:jc w:val="center"/>
        </w:pPr>
        <w:r>
          <w:fldChar w:fldCharType="begin"/>
        </w:r>
        <w:r>
          <w:instrText>PAGE   \* MERGEFORMAT</w:instrText>
        </w:r>
        <w:r>
          <w:fldChar w:fldCharType="separate"/>
        </w:r>
        <w:r w:rsidR="001E1FBC">
          <w:rPr>
            <w:noProof/>
          </w:rPr>
          <w:t>89</w:t>
        </w:r>
        <w:r>
          <w:fldChar w:fldCharType="end"/>
        </w:r>
      </w:p>
    </w:sdtContent>
  </w:sdt>
  <w:p w:rsidR="009734C8" w:rsidRDefault="009734C8">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7AE" w:rsidRDefault="004C57AE" w:rsidP="00BB5475">
      <w:pPr>
        <w:spacing w:after="0" w:line="240" w:lineRule="auto"/>
      </w:pPr>
      <w:r>
        <w:separator/>
      </w:r>
    </w:p>
  </w:footnote>
  <w:footnote w:type="continuationSeparator" w:id="0">
    <w:p w:rsidR="004C57AE" w:rsidRDefault="004C57AE" w:rsidP="00BB5475">
      <w:pPr>
        <w:spacing w:after="0" w:line="240" w:lineRule="auto"/>
      </w:pPr>
      <w:r>
        <w:continuationSeparator/>
      </w:r>
    </w:p>
  </w:footnote>
  <w:footnote w:id="1">
    <w:p w:rsidR="002A0DB2" w:rsidRDefault="002A0DB2" w:rsidP="002140BB">
      <w:pPr>
        <w:pStyle w:val="Testonotaapidipagina"/>
      </w:pPr>
      <w:r>
        <w:rPr>
          <w:rStyle w:val="Rimandonotaapidipagina"/>
        </w:rPr>
        <w:footnoteRef/>
      </w:r>
      <w:r>
        <w:t xml:space="preserve"> </w:t>
      </w:r>
      <w:r w:rsidRPr="00B547A2">
        <w:t>Fonte: Commissione Europea (</w:t>
      </w:r>
      <w:r>
        <w:rPr>
          <w:rFonts w:cs="Myriad Pro"/>
          <w:color w:val="000000"/>
          <w:sz w:val="14"/>
          <w:szCs w:val="14"/>
        </w:rPr>
        <w:t>http://ec.europa.eu/enterprise/policies/sme/facts-figures-analysis/performance-review/files/countries-sheets/2013/italy_it.pdf</w:t>
      </w:r>
      <w:r w:rsidRPr="00B547A2">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41D8"/>
    <w:multiLevelType w:val="multilevel"/>
    <w:tmpl w:val="0F1E6B18"/>
    <w:lvl w:ilvl="0">
      <w:start w:val="1"/>
      <w:numFmt w:val="decimal"/>
      <w:lvlText w:val="%1."/>
      <w:lvlJc w:val="left"/>
      <w:pPr>
        <w:ind w:left="720" w:hanging="360"/>
      </w:pPr>
      <w:rPr>
        <w:rFonts w:ascii="Garamond" w:eastAsia="Times New Roman" w:hAnsi="Garamond"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nsid w:val="04295A78"/>
    <w:multiLevelType w:val="hybridMultilevel"/>
    <w:tmpl w:val="FA10E038"/>
    <w:lvl w:ilvl="0" w:tplc="700CF022">
      <w:start w:val="1"/>
      <w:numFmt w:val="bullet"/>
      <w:lvlText w:val=""/>
      <w:lvlJc w:val="left"/>
      <w:pPr>
        <w:ind w:left="1428"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43D3F6C"/>
    <w:multiLevelType w:val="multilevel"/>
    <w:tmpl w:val="9E40639A"/>
    <w:lvl w:ilvl="0">
      <w:start w:val="1"/>
      <w:numFmt w:val="decimal"/>
      <w:lvlText w:val="%1."/>
      <w:lvlJc w:val="left"/>
      <w:pPr>
        <w:ind w:left="720" w:hanging="360"/>
      </w:pPr>
      <w:rPr>
        <w:rFonts w:hint="default"/>
        <w:color w:val="auto"/>
      </w:rPr>
    </w:lvl>
    <w:lvl w:ilvl="1">
      <w:start w:val="1"/>
      <w:numFmt w:val="decimal"/>
      <w:lvlText w:val="5.%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7877D36"/>
    <w:multiLevelType w:val="multilevel"/>
    <w:tmpl w:val="859ACBFA"/>
    <w:lvl w:ilvl="0">
      <w:start w:val="1"/>
      <w:numFmt w:val="decimal"/>
      <w:lvlText w:val="%1."/>
      <w:lvlJc w:val="left"/>
      <w:pPr>
        <w:ind w:left="720" w:hanging="360"/>
      </w:pPr>
      <w:rPr>
        <w:rFonts w:hint="default"/>
        <w:color w:val="auto"/>
      </w:rPr>
    </w:lvl>
    <w:lvl w:ilvl="1">
      <w:start w:val="1"/>
      <w:numFmt w:val="decimal"/>
      <w:lvlText w:val="3.%2"/>
      <w:lvlJc w:val="left"/>
      <w:pPr>
        <w:ind w:left="1080" w:hanging="720"/>
      </w:pPr>
      <w:rPr>
        <w:rFonts w:hint="default"/>
      </w:rPr>
    </w:lvl>
    <w:lvl w:ilvl="2">
      <w:start w:val="1"/>
      <w:numFmt w:val="decimal"/>
      <w:lvlText w:val="3.3.%3"/>
      <w:lvlJc w:val="left"/>
      <w:pPr>
        <w:ind w:left="1080" w:hanging="720"/>
      </w:pPr>
      <w:rPr>
        <w:rFonts w:hint="default"/>
      </w:rPr>
    </w:lvl>
    <w:lvl w:ilvl="3">
      <w:start w:val="1"/>
      <w:numFmt w:val="decimal"/>
      <w:lvlText w:val="3.3.1.%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BA73203"/>
    <w:multiLevelType w:val="hybridMultilevel"/>
    <w:tmpl w:val="41F6D28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BBE3A29"/>
    <w:multiLevelType w:val="hybridMultilevel"/>
    <w:tmpl w:val="CE8A215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F0C7468"/>
    <w:multiLevelType w:val="hybridMultilevel"/>
    <w:tmpl w:val="23783DDE"/>
    <w:lvl w:ilvl="0" w:tplc="F4761886">
      <w:start w:val="1"/>
      <w:numFmt w:val="decimal"/>
      <w:lvlText w:val="%1."/>
      <w:lvlJc w:val="left"/>
      <w:pPr>
        <w:ind w:left="849" w:hanging="360"/>
      </w:pPr>
      <w:rPr>
        <w:rFonts w:ascii="Garamond" w:eastAsia="Calibri" w:hAnsi="Garamond" w:cs="Times New Roman"/>
      </w:rPr>
    </w:lvl>
    <w:lvl w:ilvl="1" w:tplc="04100003">
      <w:start w:val="1"/>
      <w:numFmt w:val="bullet"/>
      <w:lvlText w:val="o"/>
      <w:lvlJc w:val="left"/>
      <w:pPr>
        <w:ind w:left="1569" w:hanging="360"/>
      </w:pPr>
      <w:rPr>
        <w:rFonts w:ascii="Courier New" w:hAnsi="Courier New" w:cs="Courier New" w:hint="default"/>
      </w:rPr>
    </w:lvl>
    <w:lvl w:ilvl="2" w:tplc="04100005">
      <w:start w:val="1"/>
      <w:numFmt w:val="bullet"/>
      <w:lvlText w:val=""/>
      <w:lvlJc w:val="left"/>
      <w:pPr>
        <w:ind w:left="2289" w:hanging="360"/>
      </w:pPr>
      <w:rPr>
        <w:rFonts w:ascii="Wingdings" w:hAnsi="Wingdings" w:hint="default"/>
      </w:rPr>
    </w:lvl>
    <w:lvl w:ilvl="3" w:tplc="04100001">
      <w:start w:val="1"/>
      <w:numFmt w:val="bullet"/>
      <w:lvlText w:val=""/>
      <w:lvlJc w:val="left"/>
      <w:pPr>
        <w:ind w:left="3009" w:hanging="360"/>
      </w:pPr>
      <w:rPr>
        <w:rFonts w:ascii="Symbol" w:hAnsi="Symbol" w:hint="default"/>
      </w:rPr>
    </w:lvl>
    <w:lvl w:ilvl="4" w:tplc="04100003">
      <w:start w:val="1"/>
      <w:numFmt w:val="bullet"/>
      <w:lvlText w:val="o"/>
      <w:lvlJc w:val="left"/>
      <w:pPr>
        <w:ind w:left="3729" w:hanging="360"/>
      </w:pPr>
      <w:rPr>
        <w:rFonts w:ascii="Courier New" w:hAnsi="Courier New" w:cs="Courier New" w:hint="default"/>
      </w:rPr>
    </w:lvl>
    <w:lvl w:ilvl="5" w:tplc="04100005">
      <w:start w:val="1"/>
      <w:numFmt w:val="bullet"/>
      <w:lvlText w:val=""/>
      <w:lvlJc w:val="left"/>
      <w:pPr>
        <w:ind w:left="4449" w:hanging="360"/>
      </w:pPr>
      <w:rPr>
        <w:rFonts w:ascii="Wingdings" w:hAnsi="Wingdings" w:hint="default"/>
      </w:rPr>
    </w:lvl>
    <w:lvl w:ilvl="6" w:tplc="04100001">
      <w:start w:val="1"/>
      <w:numFmt w:val="bullet"/>
      <w:lvlText w:val=""/>
      <w:lvlJc w:val="left"/>
      <w:pPr>
        <w:ind w:left="5169" w:hanging="360"/>
      </w:pPr>
      <w:rPr>
        <w:rFonts w:ascii="Symbol" w:hAnsi="Symbol" w:hint="default"/>
      </w:rPr>
    </w:lvl>
    <w:lvl w:ilvl="7" w:tplc="04100003">
      <w:start w:val="1"/>
      <w:numFmt w:val="bullet"/>
      <w:lvlText w:val="o"/>
      <w:lvlJc w:val="left"/>
      <w:pPr>
        <w:ind w:left="5889" w:hanging="360"/>
      </w:pPr>
      <w:rPr>
        <w:rFonts w:ascii="Courier New" w:hAnsi="Courier New" w:cs="Courier New" w:hint="default"/>
      </w:rPr>
    </w:lvl>
    <w:lvl w:ilvl="8" w:tplc="04100005">
      <w:start w:val="1"/>
      <w:numFmt w:val="bullet"/>
      <w:lvlText w:val=""/>
      <w:lvlJc w:val="left"/>
      <w:pPr>
        <w:ind w:left="6609" w:hanging="360"/>
      </w:pPr>
      <w:rPr>
        <w:rFonts w:ascii="Wingdings" w:hAnsi="Wingdings" w:hint="default"/>
      </w:rPr>
    </w:lvl>
  </w:abstractNum>
  <w:abstractNum w:abstractNumId="7">
    <w:nsid w:val="132F25EF"/>
    <w:multiLevelType w:val="hybridMultilevel"/>
    <w:tmpl w:val="F04E905C"/>
    <w:lvl w:ilvl="0" w:tplc="6B3E8404">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3A72ED7"/>
    <w:multiLevelType w:val="multilevel"/>
    <w:tmpl w:val="70561594"/>
    <w:lvl w:ilvl="0">
      <w:start w:val="1"/>
      <w:numFmt w:val="decimal"/>
      <w:lvlText w:val="%1."/>
      <w:lvlJc w:val="left"/>
      <w:pPr>
        <w:ind w:left="720" w:hanging="360"/>
      </w:pPr>
      <w:rPr>
        <w:rFonts w:hint="default"/>
        <w:color w:val="auto"/>
      </w:rPr>
    </w:lvl>
    <w:lvl w:ilvl="1">
      <w:start w:val="1"/>
      <w:numFmt w:val="decima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14577691"/>
    <w:multiLevelType w:val="hybridMultilevel"/>
    <w:tmpl w:val="ED080F0E"/>
    <w:lvl w:ilvl="0" w:tplc="6B3E8404">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B461178"/>
    <w:multiLevelType w:val="hybridMultilevel"/>
    <w:tmpl w:val="5D029E7C"/>
    <w:lvl w:ilvl="0" w:tplc="D9004F2A">
      <w:start w:val="2"/>
      <w:numFmt w:val="bullet"/>
      <w:lvlText w:val="-"/>
      <w:lvlJc w:val="left"/>
      <w:pPr>
        <w:ind w:left="1065" w:hanging="705"/>
      </w:pPr>
      <w:rPr>
        <w:rFonts w:ascii="Garamond" w:eastAsiaTheme="majorEastAsia" w:hAnsi="Garamond" w:cstheme="maj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CDF431A"/>
    <w:multiLevelType w:val="multilevel"/>
    <w:tmpl w:val="F5BE4198"/>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1DC41E08"/>
    <w:multiLevelType w:val="hybridMultilevel"/>
    <w:tmpl w:val="392A4F3A"/>
    <w:lvl w:ilvl="0" w:tplc="5608E73E">
      <w:start w:val="1"/>
      <w:numFmt w:val="lowerLetter"/>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0CB3D13"/>
    <w:multiLevelType w:val="hybridMultilevel"/>
    <w:tmpl w:val="F80C9AF8"/>
    <w:lvl w:ilvl="0" w:tplc="C492B604">
      <w:start w:val="1"/>
      <w:numFmt w:val="bullet"/>
      <w:pStyle w:val="Sommario2"/>
      <w:lvlText w:val=""/>
      <w:lvlJc w:val="left"/>
      <w:pPr>
        <w:ind w:left="940" w:hanging="360"/>
      </w:pPr>
      <w:rPr>
        <w:rFonts w:ascii="Symbol" w:hAnsi="Symbol" w:hint="default"/>
      </w:rPr>
    </w:lvl>
    <w:lvl w:ilvl="1" w:tplc="04100003" w:tentative="1">
      <w:start w:val="1"/>
      <w:numFmt w:val="bullet"/>
      <w:lvlText w:val="o"/>
      <w:lvlJc w:val="left"/>
      <w:pPr>
        <w:ind w:left="1660" w:hanging="360"/>
      </w:pPr>
      <w:rPr>
        <w:rFonts w:ascii="Courier New" w:hAnsi="Courier New" w:cs="Courier New" w:hint="default"/>
      </w:rPr>
    </w:lvl>
    <w:lvl w:ilvl="2" w:tplc="04100005" w:tentative="1">
      <w:start w:val="1"/>
      <w:numFmt w:val="bullet"/>
      <w:lvlText w:val=""/>
      <w:lvlJc w:val="left"/>
      <w:pPr>
        <w:ind w:left="2380" w:hanging="360"/>
      </w:pPr>
      <w:rPr>
        <w:rFonts w:ascii="Wingdings" w:hAnsi="Wingdings" w:hint="default"/>
      </w:rPr>
    </w:lvl>
    <w:lvl w:ilvl="3" w:tplc="04100001" w:tentative="1">
      <w:start w:val="1"/>
      <w:numFmt w:val="bullet"/>
      <w:lvlText w:val=""/>
      <w:lvlJc w:val="left"/>
      <w:pPr>
        <w:ind w:left="3100" w:hanging="360"/>
      </w:pPr>
      <w:rPr>
        <w:rFonts w:ascii="Symbol" w:hAnsi="Symbol" w:hint="default"/>
      </w:rPr>
    </w:lvl>
    <w:lvl w:ilvl="4" w:tplc="04100003" w:tentative="1">
      <w:start w:val="1"/>
      <w:numFmt w:val="bullet"/>
      <w:lvlText w:val="o"/>
      <w:lvlJc w:val="left"/>
      <w:pPr>
        <w:ind w:left="3820" w:hanging="360"/>
      </w:pPr>
      <w:rPr>
        <w:rFonts w:ascii="Courier New" w:hAnsi="Courier New" w:cs="Courier New" w:hint="default"/>
      </w:rPr>
    </w:lvl>
    <w:lvl w:ilvl="5" w:tplc="04100005" w:tentative="1">
      <w:start w:val="1"/>
      <w:numFmt w:val="bullet"/>
      <w:lvlText w:val=""/>
      <w:lvlJc w:val="left"/>
      <w:pPr>
        <w:ind w:left="4540" w:hanging="360"/>
      </w:pPr>
      <w:rPr>
        <w:rFonts w:ascii="Wingdings" w:hAnsi="Wingdings" w:hint="default"/>
      </w:rPr>
    </w:lvl>
    <w:lvl w:ilvl="6" w:tplc="04100001" w:tentative="1">
      <w:start w:val="1"/>
      <w:numFmt w:val="bullet"/>
      <w:lvlText w:val=""/>
      <w:lvlJc w:val="left"/>
      <w:pPr>
        <w:ind w:left="5260" w:hanging="360"/>
      </w:pPr>
      <w:rPr>
        <w:rFonts w:ascii="Symbol" w:hAnsi="Symbol" w:hint="default"/>
      </w:rPr>
    </w:lvl>
    <w:lvl w:ilvl="7" w:tplc="04100003" w:tentative="1">
      <w:start w:val="1"/>
      <w:numFmt w:val="bullet"/>
      <w:lvlText w:val="o"/>
      <w:lvlJc w:val="left"/>
      <w:pPr>
        <w:ind w:left="5980" w:hanging="360"/>
      </w:pPr>
      <w:rPr>
        <w:rFonts w:ascii="Courier New" w:hAnsi="Courier New" w:cs="Courier New" w:hint="default"/>
      </w:rPr>
    </w:lvl>
    <w:lvl w:ilvl="8" w:tplc="04100005" w:tentative="1">
      <w:start w:val="1"/>
      <w:numFmt w:val="bullet"/>
      <w:lvlText w:val=""/>
      <w:lvlJc w:val="left"/>
      <w:pPr>
        <w:ind w:left="6700" w:hanging="360"/>
      </w:pPr>
      <w:rPr>
        <w:rFonts w:ascii="Wingdings" w:hAnsi="Wingdings" w:hint="default"/>
      </w:rPr>
    </w:lvl>
  </w:abstractNum>
  <w:abstractNum w:abstractNumId="14">
    <w:nsid w:val="248371BB"/>
    <w:multiLevelType w:val="hybridMultilevel"/>
    <w:tmpl w:val="B2167A48"/>
    <w:lvl w:ilvl="0" w:tplc="6B3E8404">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9642B27"/>
    <w:multiLevelType w:val="multilevel"/>
    <w:tmpl w:val="7E4EFAEE"/>
    <w:lvl w:ilvl="0">
      <w:start w:val="1"/>
      <w:numFmt w:val="decimal"/>
      <w:lvlText w:val="%1."/>
      <w:lvlJc w:val="left"/>
      <w:pPr>
        <w:ind w:left="720" w:hanging="360"/>
      </w:pPr>
      <w:rPr>
        <w:rFonts w:hint="default"/>
        <w:color w:val="auto"/>
      </w:rPr>
    </w:lvl>
    <w:lvl w:ilvl="1">
      <w:start w:val="1"/>
      <w:numFmt w:val="decimal"/>
      <w:lvlText w:val="4.%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2F504C93"/>
    <w:multiLevelType w:val="hybridMultilevel"/>
    <w:tmpl w:val="CC38FF8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2F8377D9"/>
    <w:multiLevelType w:val="multilevel"/>
    <w:tmpl w:val="11C63ED8"/>
    <w:lvl w:ilvl="0">
      <w:start w:val="1"/>
      <w:numFmt w:val="decimal"/>
      <w:lvlText w:val="%1."/>
      <w:lvlJc w:val="left"/>
      <w:pPr>
        <w:ind w:left="720" w:hanging="360"/>
      </w:pPr>
      <w:rPr>
        <w:rFonts w:hint="default"/>
        <w:color w:val="auto"/>
      </w:rPr>
    </w:lvl>
    <w:lvl w:ilvl="1">
      <w:start w:val="1"/>
      <w:numFmt w:val="decimal"/>
      <w:lvlText w:val="3.%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300E3A95"/>
    <w:multiLevelType w:val="multilevel"/>
    <w:tmpl w:val="F5BE4198"/>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31B35EE0"/>
    <w:multiLevelType w:val="hybridMultilevel"/>
    <w:tmpl w:val="1884FB78"/>
    <w:lvl w:ilvl="0" w:tplc="4E3CEB50">
      <w:start w:val="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1F412CA"/>
    <w:multiLevelType w:val="hybridMultilevel"/>
    <w:tmpl w:val="880CB54E"/>
    <w:lvl w:ilvl="0" w:tplc="4978DDC0">
      <w:numFmt w:val="bullet"/>
      <w:lvlText w:val="-"/>
      <w:lvlJc w:val="left"/>
      <w:pPr>
        <w:ind w:left="720" w:hanging="360"/>
      </w:pPr>
      <w:rPr>
        <w:rFonts w:ascii="Garamond" w:eastAsia="Times New Roman"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66F6BC8"/>
    <w:multiLevelType w:val="hybridMultilevel"/>
    <w:tmpl w:val="B7D8935A"/>
    <w:lvl w:ilvl="0" w:tplc="A07E6B38">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2">
    <w:nsid w:val="39AA703C"/>
    <w:multiLevelType w:val="multilevel"/>
    <w:tmpl w:val="DEF03D7C"/>
    <w:lvl w:ilvl="0">
      <w:start w:val="1"/>
      <w:numFmt w:val="decimal"/>
      <w:lvlText w:val="%1."/>
      <w:lvlJc w:val="left"/>
      <w:pPr>
        <w:ind w:left="720" w:hanging="360"/>
      </w:pPr>
      <w:rPr>
        <w:rFonts w:hint="default"/>
        <w:color w:val="auto"/>
      </w:rPr>
    </w:lvl>
    <w:lvl w:ilvl="1">
      <w:start w:val="1"/>
      <w:numFmt w:val="decimal"/>
      <w:lvlText w:val="3.%2"/>
      <w:lvlJc w:val="left"/>
      <w:pPr>
        <w:ind w:left="1080" w:hanging="720"/>
      </w:pPr>
      <w:rPr>
        <w:rFonts w:hint="default"/>
      </w:rPr>
    </w:lvl>
    <w:lvl w:ilvl="2">
      <w:start w:val="1"/>
      <w:numFmt w:val="decimal"/>
      <w:lvlText w:val="3.3.%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3AF205BE"/>
    <w:multiLevelType w:val="hybridMultilevel"/>
    <w:tmpl w:val="D7E4FFA6"/>
    <w:lvl w:ilvl="0" w:tplc="5608E73E">
      <w:start w:val="1"/>
      <w:numFmt w:val="lowerLetter"/>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3FB41426"/>
    <w:multiLevelType w:val="hybridMultilevel"/>
    <w:tmpl w:val="1B248C4A"/>
    <w:lvl w:ilvl="0" w:tplc="AB26779E">
      <w:start w:val="1"/>
      <w:numFmt w:val="decimal"/>
      <w:lvlText w:val="4.%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EE6124E"/>
    <w:multiLevelType w:val="hybridMultilevel"/>
    <w:tmpl w:val="B69E7BF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40D2D16"/>
    <w:multiLevelType w:val="hybridMultilevel"/>
    <w:tmpl w:val="E5162A8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559C01FD"/>
    <w:multiLevelType w:val="multilevel"/>
    <w:tmpl w:val="F5BE4198"/>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5ABD3B1F"/>
    <w:multiLevelType w:val="hybridMultilevel"/>
    <w:tmpl w:val="A6FE0B56"/>
    <w:lvl w:ilvl="0" w:tplc="C76C24BC">
      <w:start w:val="1"/>
      <w:numFmt w:val="bullet"/>
      <w:pStyle w:val="1liv"/>
      <w:lvlText w:val="-"/>
      <w:lvlJc w:val="left"/>
      <w:pPr>
        <w:ind w:left="720" w:hanging="360"/>
      </w:pPr>
      <w:rPr>
        <w:rFonts w:ascii="Garamond" w:hAnsi="Garamond" w:hint="default"/>
        <w:b/>
        <w:i w:val="0"/>
        <w:caps w:val="0"/>
        <w:strike w:val="0"/>
        <w:dstrike w:val="0"/>
        <w:vanish w:val="0"/>
        <w:webHidden w:val="0"/>
        <w:color w:val="auto"/>
        <w:sz w:val="28"/>
        <w:u w:val="none"/>
        <w:effect w:val="none"/>
        <w:vertAlign w:val="baseline"/>
        <w:specVanish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9">
    <w:nsid w:val="5C987C2A"/>
    <w:multiLevelType w:val="multilevel"/>
    <w:tmpl w:val="1C5E8D50"/>
    <w:lvl w:ilvl="0">
      <w:start w:val="1"/>
      <w:numFmt w:val="decimal"/>
      <w:lvlText w:val="%1."/>
      <w:lvlJc w:val="left"/>
      <w:pPr>
        <w:ind w:left="720" w:hanging="360"/>
      </w:pPr>
      <w:rPr>
        <w:rFonts w:hint="default"/>
        <w:color w:val="auto"/>
      </w:rPr>
    </w:lvl>
    <w:lvl w:ilvl="1">
      <w:start w:val="1"/>
      <w:numFmt w:val="decimal"/>
      <w:lvlText w:val="2.%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6D6E7683"/>
    <w:multiLevelType w:val="hybridMultilevel"/>
    <w:tmpl w:val="847E5D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087417B"/>
    <w:multiLevelType w:val="hybridMultilevel"/>
    <w:tmpl w:val="7A12A834"/>
    <w:lvl w:ilvl="0" w:tplc="6B3E8404">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721C6024"/>
    <w:multiLevelType w:val="hybridMultilevel"/>
    <w:tmpl w:val="3B52056E"/>
    <w:lvl w:ilvl="0" w:tplc="6B3E8404">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75DC45B1"/>
    <w:multiLevelType w:val="hybridMultilevel"/>
    <w:tmpl w:val="93C0C95E"/>
    <w:lvl w:ilvl="0" w:tplc="301ABF28">
      <w:start w:val="1"/>
      <w:numFmt w:val="decimal"/>
      <w:lvlText w:val="6.%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7A7406F6"/>
    <w:multiLevelType w:val="multilevel"/>
    <w:tmpl w:val="6C8CCC08"/>
    <w:lvl w:ilvl="0">
      <w:start w:val="1"/>
      <w:numFmt w:val="decimal"/>
      <w:lvlText w:val="%1."/>
      <w:lvlJc w:val="left"/>
      <w:pPr>
        <w:ind w:left="720" w:hanging="360"/>
      </w:pPr>
      <w:rPr>
        <w:rFonts w:hint="default"/>
        <w:color w:val="auto"/>
      </w:rPr>
    </w:lvl>
    <w:lvl w:ilvl="1">
      <w:start w:val="1"/>
      <w:numFmt w:val="decimal"/>
      <w:lvlText w:val="6.%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32"/>
  </w:num>
  <w:num w:numId="2">
    <w:abstractNumId w:val="9"/>
  </w:num>
  <w:num w:numId="3">
    <w:abstractNumId w:val="13"/>
  </w:num>
  <w:num w:numId="4">
    <w:abstractNumId w:val="14"/>
  </w:num>
  <w:num w:numId="5">
    <w:abstractNumId w:val="7"/>
  </w:num>
  <w:num w:numId="6">
    <w:abstractNumId w:val="30"/>
  </w:num>
  <w:num w:numId="7">
    <w:abstractNumId w:val="31"/>
  </w:num>
  <w:num w:numId="8">
    <w:abstractNumId w:val="4"/>
  </w:num>
  <w:num w:numId="9">
    <w:abstractNumId w:val="25"/>
  </w:num>
  <w:num w:numId="10">
    <w:abstractNumId w:val="26"/>
  </w:num>
  <w:num w:numId="11">
    <w:abstractNumId w:val="5"/>
  </w:num>
  <w:num w:numId="12">
    <w:abstractNumId w:val="19"/>
  </w:num>
  <w:num w:numId="13">
    <w:abstractNumId w:val="20"/>
  </w:num>
  <w:num w:numId="14">
    <w:abstractNumId w:val="0"/>
  </w:num>
  <w:num w:numId="15">
    <w:abstractNumId w:val="16"/>
  </w:num>
  <w:num w:numId="16">
    <w:abstractNumId w:val="10"/>
  </w:num>
  <w:num w:numId="17">
    <w:abstractNumId w:val="23"/>
  </w:num>
  <w:num w:numId="18">
    <w:abstractNumId w:val="12"/>
  </w:num>
  <w:num w:numId="19">
    <w:abstractNumId w:val="28"/>
  </w:num>
  <w:num w:numId="20">
    <w:abstractNumId w:val="6"/>
  </w:num>
  <w:num w:numId="21">
    <w:abstractNumId w:val="18"/>
  </w:num>
  <w:num w:numId="22">
    <w:abstractNumId w:val="21"/>
  </w:num>
  <w:num w:numId="23">
    <w:abstractNumId w:val="1"/>
  </w:num>
  <w:num w:numId="24">
    <w:abstractNumId w:val="27"/>
  </w:num>
  <w:num w:numId="25">
    <w:abstractNumId w:val="11"/>
  </w:num>
  <w:num w:numId="26">
    <w:abstractNumId w:val="29"/>
  </w:num>
  <w:num w:numId="27">
    <w:abstractNumId w:val="17"/>
  </w:num>
  <w:num w:numId="28">
    <w:abstractNumId w:val="22"/>
  </w:num>
  <w:num w:numId="29">
    <w:abstractNumId w:val="3"/>
  </w:num>
  <w:num w:numId="30">
    <w:abstractNumId w:val="8"/>
  </w:num>
  <w:num w:numId="31">
    <w:abstractNumId w:val="24"/>
  </w:num>
  <w:num w:numId="32">
    <w:abstractNumId w:val="33"/>
  </w:num>
  <w:num w:numId="33">
    <w:abstractNumId w:val="15"/>
  </w:num>
  <w:num w:numId="34">
    <w:abstractNumId w:val="2"/>
  </w:num>
  <w:num w:numId="35">
    <w:abstractNumId w:val="3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A4D"/>
    <w:rsid w:val="00007984"/>
    <w:rsid w:val="00007FE7"/>
    <w:rsid w:val="00033BF5"/>
    <w:rsid w:val="0003610B"/>
    <w:rsid w:val="0005607D"/>
    <w:rsid w:val="00061EAC"/>
    <w:rsid w:val="000725A7"/>
    <w:rsid w:val="00090DC3"/>
    <w:rsid w:val="000B53FB"/>
    <w:rsid w:val="000B72AC"/>
    <w:rsid w:val="000F0F98"/>
    <w:rsid w:val="000F55D8"/>
    <w:rsid w:val="000F58B9"/>
    <w:rsid w:val="001006F3"/>
    <w:rsid w:val="00111C53"/>
    <w:rsid w:val="0011237A"/>
    <w:rsid w:val="001155CC"/>
    <w:rsid w:val="00117567"/>
    <w:rsid w:val="001207F6"/>
    <w:rsid w:val="0013764F"/>
    <w:rsid w:val="0014491E"/>
    <w:rsid w:val="00150801"/>
    <w:rsid w:val="001C1BEF"/>
    <w:rsid w:val="001E1FBC"/>
    <w:rsid w:val="001E3A34"/>
    <w:rsid w:val="001F6F9A"/>
    <w:rsid w:val="00203DB4"/>
    <w:rsid w:val="002140BB"/>
    <w:rsid w:val="002171C1"/>
    <w:rsid w:val="00230B47"/>
    <w:rsid w:val="00230EC7"/>
    <w:rsid w:val="00237A5C"/>
    <w:rsid w:val="00245DCB"/>
    <w:rsid w:val="00290DD4"/>
    <w:rsid w:val="002927B8"/>
    <w:rsid w:val="002A0DB2"/>
    <w:rsid w:val="002B2DAB"/>
    <w:rsid w:val="002B75C6"/>
    <w:rsid w:val="002D3D67"/>
    <w:rsid w:val="00320D47"/>
    <w:rsid w:val="00335BED"/>
    <w:rsid w:val="00356A5A"/>
    <w:rsid w:val="0036271D"/>
    <w:rsid w:val="0036773D"/>
    <w:rsid w:val="00387085"/>
    <w:rsid w:val="00395353"/>
    <w:rsid w:val="003B0944"/>
    <w:rsid w:val="003B757C"/>
    <w:rsid w:val="003C548B"/>
    <w:rsid w:val="003D51FA"/>
    <w:rsid w:val="003E432C"/>
    <w:rsid w:val="00401F46"/>
    <w:rsid w:val="00404A56"/>
    <w:rsid w:val="00425947"/>
    <w:rsid w:val="004264B1"/>
    <w:rsid w:val="00434C9E"/>
    <w:rsid w:val="0046691D"/>
    <w:rsid w:val="004C57AE"/>
    <w:rsid w:val="004D26CF"/>
    <w:rsid w:val="004D7312"/>
    <w:rsid w:val="004F4F97"/>
    <w:rsid w:val="005343E5"/>
    <w:rsid w:val="00541143"/>
    <w:rsid w:val="0056354A"/>
    <w:rsid w:val="005755BC"/>
    <w:rsid w:val="00591F61"/>
    <w:rsid w:val="005A3AD0"/>
    <w:rsid w:val="005A487D"/>
    <w:rsid w:val="005D3C67"/>
    <w:rsid w:val="00652715"/>
    <w:rsid w:val="00655E8E"/>
    <w:rsid w:val="00687EB8"/>
    <w:rsid w:val="00690F84"/>
    <w:rsid w:val="00697413"/>
    <w:rsid w:val="006A60FF"/>
    <w:rsid w:val="006D3EB4"/>
    <w:rsid w:val="006D3F0A"/>
    <w:rsid w:val="006D3F73"/>
    <w:rsid w:val="006F14D4"/>
    <w:rsid w:val="00716707"/>
    <w:rsid w:val="00741977"/>
    <w:rsid w:val="00742A4D"/>
    <w:rsid w:val="00761111"/>
    <w:rsid w:val="00772420"/>
    <w:rsid w:val="00776406"/>
    <w:rsid w:val="007C4568"/>
    <w:rsid w:val="007E350E"/>
    <w:rsid w:val="00814927"/>
    <w:rsid w:val="0082044A"/>
    <w:rsid w:val="00824FE4"/>
    <w:rsid w:val="00863FF7"/>
    <w:rsid w:val="008826F3"/>
    <w:rsid w:val="008841F5"/>
    <w:rsid w:val="00895188"/>
    <w:rsid w:val="008A4994"/>
    <w:rsid w:val="008D0F86"/>
    <w:rsid w:val="008D4B11"/>
    <w:rsid w:val="008D7F1C"/>
    <w:rsid w:val="008E6CFC"/>
    <w:rsid w:val="008F0BDF"/>
    <w:rsid w:val="00906FBB"/>
    <w:rsid w:val="00953748"/>
    <w:rsid w:val="009616E4"/>
    <w:rsid w:val="0097343C"/>
    <w:rsid w:val="009734C8"/>
    <w:rsid w:val="009849C0"/>
    <w:rsid w:val="009D6B8C"/>
    <w:rsid w:val="009E0429"/>
    <w:rsid w:val="009F4049"/>
    <w:rsid w:val="00A070D1"/>
    <w:rsid w:val="00A1554D"/>
    <w:rsid w:val="00A15623"/>
    <w:rsid w:val="00A26A84"/>
    <w:rsid w:val="00A4264F"/>
    <w:rsid w:val="00A471E4"/>
    <w:rsid w:val="00A72518"/>
    <w:rsid w:val="00A75164"/>
    <w:rsid w:val="00A7549C"/>
    <w:rsid w:val="00A83F21"/>
    <w:rsid w:val="00A96A0A"/>
    <w:rsid w:val="00AA1A94"/>
    <w:rsid w:val="00AA30F5"/>
    <w:rsid w:val="00AA7A69"/>
    <w:rsid w:val="00AB5695"/>
    <w:rsid w:val="00AC7F02"/>
    <w:rsid w:val="00AD4657"/>
    <w:rsid w:val="00AE321B"/>
    <w:rsid w:val="00AE63AC"/>
    <w:rsid w:val="00AF4060"/>
    <w:rsid w:val="00B170B3"/>
    <w:rsid w:val="00B2069A"/>
    <w:rsid w:val="00B611FC"/>
    <w:rsid w:val="00B8327D"/>
    <w:rsid w:val="00B83CB0"/>
    <w:rsid w:val="00B9759B"/>
    <w:rsid w:val="00BB27D4"/>
    <w:rsid w:val="00BB5475"/>
    <w:rsid w:val="00BD36D2"/>
    <w:rsid w:val="00C41FFE"/>
    <w:rsid w:val="00C51BB7"/>
    <w:rsid w:val="00C7729F"/>
    <w:rsid w:val="00C77F5B"/>
    <w:rsid w:val="00CE5D1F"/>
    <w:rsid w:val="00CE6542"/>
    <w:rsid w:val="00CF17F6"/>
    <w:rsid w:val="00CF25A9"/>
    <w:rsid w:val="00CF36D5"/>
    <w:rsid w:val="00CF4F4A"/>
    <w:rsid w:val="00CF7667"/>
    <w:rsid w:val="00D46BCD"/>
    <w:rsid w:val="00D631AA"/>
    <w:rsid w:val="00D82327"/>
    <w:rsid w:val="00D82A08"/>
    <w:rsid w:val="00D945BC"/>
    <w:rsid w:val="00DB77A7"/>
    <w:rsid w:val="00DD6D07"/>
    <w:rsid w:val="00DF3036"/>
    <w:rsid w:val="00E11E34"/>
    <w:rsid w:val="00E37045"/>
    <w:rsid w:val="00E75E95"/>
    <w:rsid w:val="00E83879"/>
    <w:rsid w:val="00E92059"/>
    <w:rsid w:val="00E945D5"/>
    <w:rsid w:val="00E95A80"/>
    <w:rsid w:val="00EB4403"/>
    <w:rsid w:val="00EB5605"/>
    <w:rsid w:val="00EE4750"/>
    <w:rsid w:val="00F30B5B"/>
    <w:rsid w:val="00F31E67"/>
    <w:rsid w:val="00F52998"/>
    <w:rsid w:val="00F60F0A"/>
    <w:rsid w:val="00F73EE6"/>
    <w:rsid w:val="00F8419A"/>
    <w:rsid w:val="00F86A97"/>
    <w:rsid w:val="00FA4069"/>
    <w:rsid w:val="00FF1C9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8149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8149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BD36D2"/>
    <w:pPr>
      <w:keepNext/>
      <w:keepLines/>
      <w:spacing w:before="200" w:after="0" w:line="240" w:lineRule="auto"/>
      <w:outlineLvl w:val="2"/>
    </w:pPr>
    <w:rPr>
      <w:rFonts w:ascii="Garamond" w:eastAsiaTheme="majorEastAsia" w:hAnsi="Garamond" w:cstheme="majorBidi"/>
      <w:b/>
      <w:bCs/>
      <w:color w:val="4F81BD" w:themeColor="accent1"/>
      <w:sz w:val="25"/>
      <w:szCs w:val="25"/>
      <w:lang w:eastAsia="it-IT"/>
    </w:rPr>
  </w:style>
  <w:style w:type="paragraph" w:styleId="Titolo4">
    <w:name w:val="heading 4"/>
    <w:basedOn w:val="Normale"/>
    <w:next w:val="Normale"/>
    <w:link w:val="Titolo4Carattere"/>
    <w:unhideWhenUsed/>
    <w:qFormat/>
    <w:rsid w:val="00BD36D2"/>
    <w:pPr>
      <w:keepNext/>
      <w:keepLines/>
      <w:spacing w:before="200" w:after="0" w:line="240" w:lineRule="auto"/>
      <w:outlineLvl w:val="3"/>
    </w:pPr>
    <w:rPr>
      <w:rFonts w:ascii="Cambria" w:eastAsia="Times New Roman" w:hAnsi="Cambria" w:cs="Times New Roman"/>
      <w:b/>
      <w:bCs/>
      <w:i/>
      <w:iCs/>
      <w:color w:val="4F81BD"/>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14927"/>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rsid w:val="00814927"/>
    <w:rPr>
      <w:rFonts w:asciiTheme="majorHAnsi" w:eastAsiaTheme="majorEastAsia" w:hAnsiTheme="majorHAnsi" w:cstheme="majorBidi"/>
      <w:b/>
      <w:bCs/>
      <w:color w:val="4F81BD" w:themeColor="accent1"/>
      <w:sz w:val="26"/>
      <w:szCs w:val="26"/>
    </w:rPr>
  </w:style>
  <w:style w:type="table" w:styleId="Grigliatabella">
    <w:name w:val="Table Grid"/>
    <w:basedOn w:val="Tabellanormale"/>
    <w:uiPriority w:val="39"/>
    <w:rsid w:val="00814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corsivo">
    <w:name w:val="Emphasis"/>
    <w:basedOn w:val="Carpredefinitoparagrafo"/>
    <w:uiPriority w:val="20"/>
    <w:qFormat/>
    <w:rsid w:val="00814927"/>
    <w:rPr>
      <w:i/>
      <w:iCs/>
    </w:rPr>
  </w:style>
  <w:style w:type="character" w:styleId="Enfasigrassetto">
    <w:name w:val="Strong"/>
    <w:basedOn w:val="Carpredefinitoparagrafo"/>
    <w:uiPriority w:val="22"/>
    <w:qFormat/>
    <w:rsid w:val="00814927"/>
    <w:rPr>
      <w:b/>
      <w:bCs/>
    </w:rPr>
  </w:style>
  <w:style w:type="paragraph" w:styleId="Paragrafoelenco">
    <w:name w:val="List Paragraph"/>
    <w:basedOn w:val="Normale"/>
    <w:link w:val="ParagrafoelencoCarattere"/>
    <w:uiPriority w:val="34"/>
    <w:qFormat/>
    <w:rsid w:val="00814927"/>
    <w:pPr>
      <w:ind w:left="720"/>
      <w:contextualSpacing/>
    </w:pPr>
  </w:style>
  <w:style w:type="paragraph" w:styleId="NormaleWeb">
    <w:name w:val="Normal (Web)"/>
    <w:basedOn w:val="Normale"/>
    <w:uiPriority w:val="99"/>
    <w:unhideWhenUsed/>
    <w:rsid w:val="00814927"/>
    <w:pPr>
      <w:spacing w:after="210"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81492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4927"/>
    <w:rPr>
      <w:rFonts w:ascii="Tahoma" w:hAnsi="Tahoma" w:cs="Tahoma"/>
      <w:sz w:val="16"/>
      <w:szCs w:val="16"/>
    </w:rPr>
  </w:style>
  <w:style w:type="character" w:customStyle="1" w:styleId="TestocommentoCarattere">
    <w:name w:val="Testo commento Carattere"/>
    <w:basedOn w:val="Carpredefinitoparagrafo"/>
    <w:link w:val="Testocommento"/>
    <w:uiPriority w:val="99"/>
    <w:semiHidden/>
    <w:rsid w:val="00814927"/>
    <w:rPr>
      <w:sz w:val="20"/>
      <w:szCs w:val="20"/>
    </w:rPr>
  </w:style>
  <w:style w:type="paragraph" w:styleId="Testocommento">
    <w:name w:val="annotation text"/>
    <w:basedOn w:val="Normale"/>
    <w:link w:val="TestocommentoCarattere"/>
    <w:uiPriority w:val="99"/>
    <w:semiHidden/>
    <w:unhideWhenUsed/>
    <w:rsid w:val="00814927"/>
    <w:pPr>
      <w:spacing w:line="240" w:lineRule="auto"/>
    </w:pPr>
    <w:rPr>
      <w:sz w:val="20"/>
      <w:szCs w:val="20"/>
    </w:rPr>
  </w:style>
  <w:style w:type="character" w:customStyle="1" w:styleId="SoggettocommentoCarattere">
    <w:name w:val="Soggetto commento Carattere"/>
    <w:basedOn w:val="TestocommentoCarattere"/>
    <w:link w:val="Soggettocommento"/>
    <w:uiPriority w:val="99"/>
    <w:semiHidden/>
    <w:rsid w:val="00814927"/>
    <w:rPr>
      <w:b/>
      <w:bCs/>
      <w:sz w:val="20"/>
      <w:szCs w:val="20"/>
    </w:rPr>
  </w:style>
  <w:style w:type="paragraph" w:styleId="Soggettocommento">
    <w:name w:val="annotation subject"/>
    <w:basedOn w:val="Testocommento"/>
    <w:next w:val="Testocommento"/>
    <w:link w:val="SoggettocommentoCarattere"/>
    <w:uiPriority w:val="99"/>
    <w:semiHidden/>
    <w:unhideWhenUsed/>
    <w:rsid w:val="00814927"/>
    <w:rPr>
      <w:b/>
      <w:bCs/>
    </w:rPr>
  </w:style>
  <w:style w:type="paragraph" w:styleId="Titolo">
    <w:name w:val="Title"/>
    <w:basedOn w:val="Normale"/>
    <w:next w:val="Normale"/>
    <w:link w:val="TitoloCarattere"/>
    <w:uiPriority w:val="10"/>
    <w:qFormat/>
    <w:rsid w:val="0081492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814927"/>
    <w:rPr>
      <w:rFonts w:asciiTheme="majorHAnsi" w:eastAsiaTheme="majorEastAsia" w:hAnsiTheme="majorHAnsi" w:cstheme="majorBidi"/>
      <w:color w:val="17365D" w:themeColor="text2" w:themeShade="BF"/>
      <w:spacing w:val="5"/>
      <w:kern w:val="28"/>
      <w:sz w:val="52"/>
      <w:szCs w:val="52"/>
    </w:rPr>
  </w:style>
  <w:style w:type="paragraph" w:styleId="Intestazione">
    <w:name w:val="header"/>
    <w:basedOn w:val="Normale"/>
    <w:link w:val="IntestazioneCarattere"/>
    <w:uiPriority w:val="99"/>
    <w:unhideWhenUsed/>
    <w:rsid w:val="0081492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14927"/>
  </w:style>
  <w:style w:type="paragraph" w:styleId="Pidipagina">
    <w:name w:val="footer"/>
    <w:basedOn w:val="Normale"/>
    <w:link w:val="PidipaginaCarattere"/>
    <w:uiPriority w:val="99"/>
    <w:unhideWhenUsed/>
    <w:rsid w:val="0081492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14927"/>
  </w:style>
  <w:style w:type="paragraph" w:styleId="Nessunaspaziatura">
    <w:name w:val="No Spacing"/>
    <w:link w:val="NessunaspaziaturaCarattere"/>
    <w:uiPriority w:val="1"/>
    <w:qFormat/>
    <w:rsid w:val="00814927"/>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814927"/>
    <w:rPr>
      <w:rFonts w:eastAsiaTheme="minorEastAsia"/>
      <w:lang w:eastAsia="it-IT"/>
    </w:rPr>
  </w:style>
  <w:style w:type="paragraph" w:styleId="Sommario1">
    <w:name w:val="toc 1"/>
    <w:basedOn w:val="Normale"/>
    <w:next w:val="Normale"/>
    <w:autoRedefine/>
    <w:uiPriority w:val="39"/>
    <w:unhideWhenUsed/>
    <w:rsid w:val="00814927"/>
    <w:pPr>
      <w:spacing w:after="100"/>
    </w:pPr>
  </w:style>
  <w:style w:type="character" w:styleId="Collegamentoipertestuale">
    <w:name w:val="Hyperlink"/>
    <w:basedOn w:val="Carpredefinitoparagrafo"/>
    <w:uiPriority w:val="99"/>
    <w:unhideWhenUsed/>
    <w:rsid w:val="00814927"/>
    <w:rPr>
      <w:color w:val="0000FF" w:themeColor="hyperlink"/>
      <w:u w:val="single"/>
    </w:rPr>
  </w:style>
  <w:style w:type="paragraph" w:styleId="Sommario2">
    <w:name w:val="toc 2"/>
    <w:basedOn w:val="Normale"/>
    <w:next w:val="Normale"/>
    <w:autoRedefine/>
    <w:uiPriority w:val="39"/>
    <w:unhideWhenUsed/>
    <w:rsid w:val="00814927"/>
    <w:pPr>
      <w:numPr>
        <w:numId w:val="3"/>
      </w:numPr>
      <w:tabs>
        <w:tab w:val="right" w:leader="dot" w:pos="9628"/>
      </w:tabs>
      <w:spacing w:after="100"/>
    </w:pPr>
  </w:style>
  <w:style w:type="numbering" w:customStyle="1" w:styleId="Nessunelenco1">
    <w:name w:val="Nessun elenco1"/>
    <w:next w:val="Nessunelenco"/>
    <w:uiPriority w:val="99"/>
    <w:semiHidden/>
    <w:unhideWhenUsed/>
    <w:rsid w:val="0082044A"/>
  </w:style>
  <w:style w:type="character" w:styleId="Collegamentovisitato">
    <w:name w:val="FollowedHyperlink"/>
    <w:basedOn w:val="Carpredefinitoparagrafo"/>
    <w:uiPriority w:val="99"/>
    <w:semiHidden/>
    <w:unhideWhenUsed/>
    <w:rsid w:val="0082044A"/>
    <w:rPr>
      <w:color w:val="954F72"/>
      <w:u w:val="single"/>
    </w:rPr>
  </w:style>
  <w:style w:type="paragraph" w:customStyle="1" w:styleId="xl63">
    <w:name w:val="xl63"/>
    <w:basedOn w:val="Normale"/>
    <w:rsid w:val="0082044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it-IT"/>
    </w:rPr>
  </w:style>
  <w:style w:type="paragraph" w:customStyle="1" w:styleId="xl64">
    <w:name w:val="xl64"/>
    <w:basedOn w:val="Normale"/>
    <w:rsid w:val="008204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65">
    <w:name w:val="xl65"/>
    <w:basedOn w:val="Normale"/>
    <w:rsid w:val="008204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66">
    <w:name w:val="xl66"/>
    <w:basedOn w:val="Normale"/>
    <w:rsid w:val="0082044A"/>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67">
    <w:name w:val="xl67"/>
    <w:basedOn w:val="Normale"/>
    <w:rsid w:val="008204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it-IT"/>
    </w:rPr>
  </w:style>
  <w:style w:type="paragraph" w:customStyle="1" w:styleId="xl68">
    <w:name w:val="xl68"/>
    <w:basedOn w:val="Normale"/>
    <w:rsid w:val="008204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it-IT"/>
    </w:rPr>
  </w:style>
  <w:style w:type="paragraph" w:customStyle="1" w:styleId="xl69">
    <w:name w:val="xl69"/>
    <w:basedOn w:val="Normale"/>
    <w:rsid w:val="0082044A"/>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b/>
      <w:bCs/>
      <w:sz w:val="24"/>
      <w:szCs w:val="24"/>
      <w:lang w:eastAsia="it-IT"/>
    </w:rPr>
  </w:style>
  <w:style w:type="paragraph" w:customStyle="1" w:styleId="xl70">
    <w:name w:val="xl70"/>
    <w:basedOn w:val="Normale"/>
    <w:rsid w:val="0082044A"/>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71">
    <w:name w:val="xl71"/>
    <w:basedOn w:val="Normale"/>
    <w:rsid w:val="0082044A"/>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72">
    <w:name w:val="xl72"/>
    <w:basedOn w:val="Normale"/>
    <w:rsid w:val="0082044A"/>
    <w:pPr>
      <w:pBdr>
        <w:top w:val="single" w:sz="4" w:space="0" w:color="auto"/>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it-IT"/>
    </w:rPr>
  </w:style>
  <w:style w:type="paragraph" w:customStyle="1" w:styleId="xl73">
    <w:name w:val="xl73"/>
    <w:basedOn w:val="Normale"/>
    <w:rsid w:val="0082044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it-IT"/>
    </w:rPr>
  </w:style>
  <w:style w:type="paragraph" w:customStyle="1" w:styleId="xl74">
    <w:name w:val="xl74"/>
    <w:basedOn w:val="Normale"/>
    <w:rsid w:val="0082044A"/>
    <w:pPr>
      <w:pBdr>
        <w:top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it-IT"/>
    </w:rPr>
  </w:style>
  <w:style w:type="paragraph" w:customStyle="1" w:styleId="xl75">
    <w:name w:val="xl75"/>
    <w:basedOn w:val="Normale"/>
    <w:rsid w:val="0082044A"/>
    <w:pPr>
      <w:pBdr>
        <w:top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it-IT"/>
    </w:rPr>
  </w:style>
  <w:style w:type="paragraph" w:customStyle="1" w:styleId="xl76">
    <w:name w:val="xl76"/>
    <w:basedOn w:val="Normale"/>
    <w:rsid w:val="0082044A"/>
    <w:pPr>
      <w:pBdr>
        <w:top w:val="single" w:sz="4" w:space="0" w:color="auto"/>
        <w:left w:val="single" w:sz="4" w:space="0" w:color="auto"/>
        <w:bottom w:val="single" w:sz="4" w:space="0" w:color="auto"/>
        <w:right w:val="single" w:sz="4" w:space="0" w:color="auto"/>
      </w:pBdr>
      <w:shd w:val="clear" w:color="DDEBF7" w:fill="DDEBF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it-IT"/>
    </w:rPr>
  </w:style>
  <w:style w:type="paragraph" w:customStyle="1" w:styleId="xl77">
    <w:name w:val="xl77"/>
    <w:basedOn w:val="Normale"/>
    <w:rsid w:val="0082044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it-IT"/>
    </w:rPr>
  </w:style>
  <w:style w:type="paragraph" w:customStyle="1" w:styleId="xl78">
    <w:name w:val="xl78"/>
    <w:basedOn w:val="Normale"/>
    <w:rsid w:val="0082044A"/>
    <w:pPr>
      <w:pBdr>
        <w:top w:val="single" w:sz="4" w:space="0" w:color="auto"/>
        <w:left w:val="single" w:sz="4" w:space="0" w:color="auto"/>
        <w:right w:val="single" w:sz="4" w:space="0" w:color="auto"/>
      </w:pBdr>
      <w:shd w:val="clear" w:color="DDEBF7" w:fill="DDEBF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it-IT"/>
    </w:rPr>
  </w:style>
  <w:style w:type="paragraph" w:customStyle="1" w:styleId="xl79">
    <w:name w:val="xl79"/>
    <w:basedOn w:val="Normale"/>
    <w:rsid w:val="0082044A"/>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it-IT"/>
    </w:rPr>
  </w:style>
  <w:style w:type="paragraph" w:customStyle="1" w:styleId="xl80">
    <w:name w:val="xl80"/>
    <w:basedOn w:val="Normale"/>
    <w:rsid w:val="0082044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it-IT"/>
    </w:rPr>
  </w:style>
  <w:style w:type="paragraph" w:customStyle="1" w:styleId="xl81">
    <w:name w:val="xl81"/>
    <w:basedOn w:val="Normale"/>
    <w:rsid w:val="0082044A"/>
    <w:pPr>
      <w:pBdr>
        <w:top w:val="single" w:sz="8" w:space="0" w:color="auto"/>
        <w:left w:val="single" w:sz="8" w:space="0" w:color="auto"/>
        <w:bottom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it-IT"/>
    </w:rPr>
  </w:style>
  <w:style w:type="paragraph" w:customStyle="1" w:styleId="xl82">
    <w:name w:val="xl82"/>
    <w:basedOn w:val="Normale"/>
    <w:rsid w:val="0082044A"/>
    <w:pPr>
      <w:pBdr>
        <w:top w:val="single" w:sz="8" w:space="0" w:color="auto"/>
        <w:bottom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it-IT"/>
    </w:rPr>
  </w:style>
  <w:style w:type="paragraph" w:customStyle="1" w:styleId="xl83">
    <w:name w:val="xl83"/>
    <w:basedOn w:val="Normale"/>
    <w:rsid w:val="0082044A"/>
    <w:pPr>
      <w:pBdr>
        <w:top w:val="single" w:sz="8" w:space="0" w:color="auto"/>
        <w:bottom w:val="single" w:sz="8" w:space="0" w:color="auto"/>
        <w:right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it-IT"/>
    </w:rPr>
  </w:style>
  <w:style w:type="paragraph" w:customStyle="1" w:styleId="xl84">
    <w:name w:val="xl84"/>
    <w:basedOn w:val="Normale"/>
    <w:rsid w:val="0082044A"/>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it-IT"/>
    </w:rPr>
  </w:style>
  <w:style w:type="paragraph" w:customStyle="1" w:styleId="xl85">
    <w:name w:val="xl85"/>
    <w:basedOn w:val="Normale"/>
    <w:rsid w:val="0082044A"/>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it-IT"/>
    </w:rPr>
  </w:style>
  <w:style w:type="paragraph" w:customStyle="1" w:styleId="xl86">
    <w:name w:val="xl86"/>
    <w:basedOn w:val="Normale"/>
    <w:rsid w:val="0082044A"/>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it-IT"/>
    </w:rPr>
  </w:style>
  <w:style w:type="paragraph" w:customStyle="1" w:styleId="xl87">
    <w:name w:val="xl87"/>
    <w:basedOn w:val="Normale"/>
    <w:rsid w:val="0082044A"/>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it-IT"/>
    </w:rPr>
  </w:style>
  <w:style w:type="character" w:styleId="Rimandocommento">
    <w:name w:val="annotation reference"/>
    <w:basedOn w:val="Carpredefinitoparagrafo"/>
    <w:uiPriority w:val="99"/>
    <w:semiHidden/>
    <w:unhideWhenUsed/>
    <w:rsid w:val="0082044A"/>
    <w:rPr>
      <w:sz w:val="16"/>
      <w:szCs w:val="16"/>
    </w:rPr>
  </w:style>
  <w:style w:type="character" w:customStyle="1" w:styleId="linkneltesto">
    <w:name w:val="link_nel_testo"/>
    <w:basedOn w:val="Carpredefinitoparagrafo"/>
    <w:rsid w:val="0082044A"/>
    <w:rPr>
      <w:i/>
      <w:iCs/>
    </w:rPr>
  </w:style>
  <w:style w:type="paragraph" w:customStyle="1" w:styleId="Default">
    <w:name w:val="Default"/>
    <w:rsid w:val="0082044A"/>
    <w:pPr>
      <w:autoSpaceDE w:val="0"/>
      <w:autoSpaceDN w:val="0"/>
      <w:adjustRightInd w:val="0"/>
      <w:spacing w:after="0" w:line="240" w:lineRule="auto"/>
    </w:pPr>
    <w:rPr>
      <w:rFonts w:ascii="Calibri" w:hAnsi="Calibri" w:cs="Calibri"/>
      <w:color w:val="000000"/>
      <w:sz w:val="24"/>
      <w:szCs w:val="24"/>
    </w:rPr>
  </w:style>
  <w:style w:type="paragraph" w:customStyle="1" w:styleId="testoart">
    <w:name w:val="testoart"/>
    <w:link w:val="testoartCarattere"/>
    <w:rsid w:val="0082044A"/>
    <w:pPr>
      <w:widowControl w:val="0"/>
      <w:autoSpaceDE w:val="0"/>
      <w:autoSpaceDN w:val="0"/>
      <w:adjustRightInd w:val="0"/>
      <w:spacing w:after="0" w:line="214" w:lineRule="exact"/>
      <w:ind w:firstLine="255"/>
      <w:jc w:val="both"/>
    </w:pPr>
    <w:rPr>
      <w:rFonts w:ascii="Times New Roman" w:eastAsia="Times New Roman" w:hAnsi="Times New Roman" w:cs="Times New Roman"/>
      <w:b/>
      <w:bCs/>
      <w:sz w:val="19"/>
      <w:szCs w:val="18"/>
      <w:lang w:eastAsia="it-IT"/>
    </w:rPr>
  </w:style>
  <w:style w:type="character" w:customStyle="1" w:styleId="testoartCarattere">
    <w:name w:val="testoart Carattere"/>
    <w:link w:val="testoart"/>
    <w:rsid w:val="0082044A"/>
    <w:rPr>
      <w:rFonts w:ascii="Times New Roman" w:eastAsia="Times New Roman" w:hAnsi="Times New Roman" w:cs="Times New Roman"/>
      <w:b/>
      <w:bCs/>
      <w:sz w:val="19"/>
      <w:szCs w:val="18"/>
      <w:lang w:eastAsia="it-IT"/>
    </w:rPr>
  </w:style>
  <w:style w:type="table" w:customStyle="1" w:styleId="Tabellagriglia4-colore11">
    <w:name w:val="Tabella griglia 4 - colore 11"/>
    <w:basedOn w:val="Tabellanormale"/>
    <w:uiPriority w:val="49"/>
    <w:rsid w:val="00090DC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itolo3Carattere">
    <w:name w:val="Titolo 3 Carattere"/>
    <w:basedOn w:val="Carpredefinitoparagrafo"/>
    <w:link w:val="Titolo3"/>
    <w:uiPriority w:val="9"/>
    <w:rsid w:val="00BD36D2"/>
    <w:rPr>
      <w:rFonts w:ascii="Garamond" w:eastAsiaTheme="majorEastAsia" w:hAnsi="Garamond" w:cstheme="majorBidi"/>
      <w:b/>
      <w:bCs/>
      <w:color w:val="4F81BD" w:themeColor="accent1"/>
      <w:sz w:val="25"/>
      <w:szCs w:val="25"/>
      <w:lang w:eastAsia="it-IT"/>
    </w:rPr>
  </w:style>
  <w:style w:type="character" w:customStyle="1" w:styleId="Titolo4Carattere">
    <w:name w:val="Titolo 4 Carattere"/>
    <w:basedOn w:val="Carpredefinitoparagrafo"/>
    <w:link w:val="Titolo4"/>
    <w:rsid w:val="00BD36D2"/>
    <w:rPr>
      <w:rFonts w:ascii="Cambria" w:eastAsia="Times New Roman" w:hAnsi="Cambria" w:cs="Times New Roman"/>
      <w:b/>
      <w:bCs/>
      <w:i/>
      <w:iCs/>
      <w:color w:val="4F81BD"/>
      <w:sz w:val="24"/>
      <w:szCs w:val="24"/>
      <w:lang w:eastAsia="it-IT"/>
    </w:rPr>
  </w:style>
  <w:style w:type="paragraph" w:styleId="Titolosommario">
    <w:name w:val="TOC Heading"/>
    <w:basedOn w:val="Titolo1"/>
    <w:next w:val="Normale"/>
    <w:uiPriority w:val="39"/>
    <w:unhideWhenUsed/>
    <w:qFormat/>
    <w:rsid w:val="00BD36D2"/>
    <w:pPr>
      <w:jc w:val="center"/>
      <w:outlineLvl w:val="9"/>
    </w:pPr>
    <w:rPr>
      <w:rFonts w:ascii="Garamond" w:eastAsiaTheme="minorHAnsi" w:hAnsi="Garamond"/>
    </w:rPr>
  </w:style>
  <w:style w:type="character" w:styleId="Rimandonotaapidipagina">
    <w:name w:val="footnote reference"/>
    <w:aliases w:val="SUPERS,EN Footnote Reference,number,Footnote Reference Number,Footnote Reference_LVL6,Footnote Reference_LVL61,Footnote Reference_LVL62,Footnote Reference_LVL63,Footnote Reference_LVL64,ftref,fr,Footnote symbol,normal,Char1"/>
    <w:uiPriority w:val="99"/>
    <w:unhideWhenUsed/>
    <w:rsid w:val="00BD36D2"/>
    <w:rPr>
      <w:vertAlign w:val="superscript"/>
    </w:rPr>
  </w:style>
  <w:style w:type="paragraph" w:styleId="Testonotaapidipagina">
    <w:name w:val="footnote text"/>
    <w:aliases w:val="Carattere,Testo nota a piè di pagina Carattere Carattere Carattere,Testo nota a piè di pagina Carattere Carattere,Caratt, Carattere,Testo nota a piè di pagina Carattere Carattere Carattere ,Footnote Text Char Char,single space"/>
    <w:basedOn w:val="Normale"/>
    <w:link w:val="TestonotaapidipaginaCarattere1"/>
    <w:unhideWhenUsed/>
    <w:qFormat/>
    <w:rsid w:val="00BD36D2"/>
    <w:pPr>
      <w:spacing w:after="0" w:line="240" w:lineRule="auto"/>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aliases w:val="Carattere Carattere1,Testo nota a piè di pagina Carattere Carattere Carattere Carattere1,Testo nota a piè di pagina Carattere Carattere Carattere2,Caratt Carattere1,Footnote Text Char Char Carattere"/>
    <w:basedOn w:val="Carpredefinitoparagrafo"/>
    <w:link w:val="Testonotaapidipagina1"/>
    <w:uiPriority w:val="99"/>
    <w:rsid w:val="00BD36D2"/>
    <w:rPr>
      <w:sz w:val="20"/>
      <w:szCs w:val="20"/>
    </w:rPr>
  </w:style>
  <w:style w:type="character" w:customStyle="1" w:styleId="TestonotaapidipaginaCarattere1">
    <w:name w:val="Testo nota a piè di pagina Carattere1"/>
    <w:aliases w:val="Carattere Carattere,Testo nota a piè di pagina Carattere Carattere Carattere Carattere,Testo nota a piè di pagina Carattere Carattere Carattere1,Caratt Carattere, Carattere Carattere,single space Carattere"/>
    <w:basedOn w:val="Carpredefinitoparagrafo"/>
    <w:link w:val="Testonotaapidipagina"/>
    <w:rsid w:val="00BD36D2"/>
    <w:rPr>
      <w:rFonts w:ascii="Times New Roman" w:eastAsia="Times New Roman" w:hAnsi="Times New Roman" w:cs="Times New Roman"/>
      <w:sz w:val="20"/>
      <w:szCs w:val="20"/>
      <w:lang w:eastAsia="it-IT"/>
    </w:rPr>
  </w:style>
  <w:style w:type="table" w:customStyle="1" w:styleId="Grigliatabella1">
    <w:name w:val="Griglia tabella1"/>
    <w:basedOn w:val="Tabellanormale"/>
    <w:next w:val="Grigliatabella"/>
    <w:uiPriority w:val="59"/>
    <w:rsid w:val="00BD36D2"/>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stonotaapidipagina1">
    <w:name w:val="Testo nota a piè di pagina1"/>
    <w:basedOn w:val="Normale"/>
    <w:next w:val="Testonotaapidipagina"/>
    <w:link w:val="TestonotaapidipaginaCarattere"/>
    <w:uiPriority w:val="99"/>
    <w:semiHidden/>
    <w:unhideWhenUsed/>
    <w:rsid w:val="00BD36D2"/>
    <w:pPr>
      <w:spacing w:after="0" w:line="240" w:lineRule="auto"/>
    </w:pPr>
    <w:rPr>
      <w:sz w:val="20"/>
      <w:szCs w:val="20"/>
    </w:rPr>
  </w:style>
  <w:style w:type="paragraph" w:styleId="Sommario3">
    <w:name w:val="toc 3"/>
    <w:basedOn w:val="Normale"/>
    <w:next w:val="Normale"/>
    <w:autoRedefine/>
    <w:uiPriority w:val="39"/>
    <w:unhideWhenUsed/>
    <w:rsid w:val="00BD36D2"/>
    <w:pPr>
      <w:spacing w:after="100" w:line="240" w:lineRule="auto"/>
      <w:ind w:left="480"/>
    </w:pPr>
    <w:rPr>
      <w:rFonts w:ascii="Times New Roman" w:eastAsia="Times New Roman" w:hAnsi="Times New Roman" w:cs="Times New Roman"/>
      <w:sz w:val="24"/>
      <w:szCs w:val="24"/>
      <w:lang w:eastAsia="it-IT"/>
    </w:rPr>
  </w:style>
  <w:style w:type="numbering" w:customStyle="1" w:styleId="Nessunelenco11">
    <w:name w:val="Nessun elenco11"/>
    <w:next w:val="Nessunelenco"/>
    <w:uiPriority w:val="99"/>
    <w:semiHidden/>
    <w:unhideWhenUsed/>
    <w:rsid w:val="00BD36D2"/>
  </w:style>
  <w:style w:type="table" w:customStyle="1" w:styleId="Grigliamedia1-Colore11">
    <w:name w:val="Griglia media 1 - Colore 11"/>
    <w:basedOn w:val="Tabellanormale"/>
    <w:next w:val="Grigliamedia1-Colore1"/>
    <w:uiPriority w:val="67"/>
    <w:rsid w:val="00BD36D2"/>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Grigliamedia1-Colore1">
    <w:name w:val="Medium Grid 1 Accent 1"/>
    <w:basedOn w:val="Tabellanormale"/>
    <w:uiPriority w:val="67"/>
    <w:rsid w:val="00BD36D2"/>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Revisione">
    <w:name w:val="Revision"/>
    <w:hidden/>
    <w:uiPriority w:val="99"/>
    <w:semiHidden/>
    <w:rsid w:val="00BD36D2"/>
    <w:pPr>
      <w:spacing w:after="0" w:line="240" w:lineRule="auto"/>
    </w:pPr>
    <w:rPr>
      <w:rFonts w:ascii="Times New Roman" w:eastAsia="Times New Roman" w:hAnsi="Times New Roman" w:cs="Times New Roman"/>
      <w:sz w:val="24"/>
      <w:szCs w:val="24"/>
      <w:lang w:eastAsia="it-IT"/>
    </w:rPr>
  </w:style>
  <w:style w:type="paragraph" w:customStyle="1" w:styleId="Normale1">
    <w:name w:val="Normale1"/>
    <w:basedOn w:val="Normale"/>
    <w:uiPriority w:val="99"/>
    <w:rsid w:val="00BD36D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char">
    <w:name w:val="normal__char"/>
    <w:uiPriority w:val="99"/>
    <w:rsid w:val="00BD36D2"/>
    <w:rPr>
      <w:rFonts w:cs="Times New Roman"/>
    </w:rPr>
  </w:style>
  <w:style w:type="character" w:customStyle="1" w:styleId="apple-converted-space">
    <w:name w:val="apple-converted-space"/>
    <w:rsid w:val="00BD36D2"/>
    <w:rPr>
      <w:rFonts w:cs="Times New Roman"/>
    </w:rPr>
  </w:style>
  <w:style w:type="paragraph" w:customStyle="1" w:styleId="list0020paragraph">
    <w:name w:val="list_0020paragraph"/>
    <w:basedOn w:val="Normale"/>
    <w:uiPriority w:val="99"/>
    <w:rsid w:val="00BD36D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normale10">
    <w:name w:val="normale1"/>
    <w:basedOn w:val="Normale"/>
    <w:uiPriority w:val="99"/>
    <w:rsid w:val="00BD36D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charchar">
    <w:name w:val="normal____char__char"/>
    <w:uiPriority w:val="99"/>
    <w:rsid w:val="00BD36D2"/>
    <w:rPr>
      <w:rFonts w:cs="Times New Roman"/>
    </w:rPr>
  </w:style>
  <w:style w:type="character" w:customStyle="1" w:styleId="descrizione">
    <w:name w:val="descrizione"/>
    <w:rsid w:val="00BD36D2"/>
    <w:rPr>
      <w:b/>
      <w:bCs/>
      <w:color w:val="5B76A0"/>
      <w:sz w:val="28"/>
      <w:szCs w:val="28"/>
    </w:rPr>
  </w:style>
  <w:style w:type="paragraph" w:customStyle="1" w:styleId="Titolo11">
    <w:name w:val="Titolo 11"/>
    <w:basedOn w:val="Normale"/>
    <w:next w:val="Normale"/>
    <w:uiPriority w:val="9"/>
    <w:qFormat/>
    <w:rsid w:val="00BD36D2"/>
    <w:pPr>
      <w:keepNext/>
      <w:keepLines/>
      <w:spacing w:before="360" w:after="0" w:line="240" w:lineRule="auto"/>
      <w:outlineLvl w:val="0"/>
    </w:pPr>
    <w:rPr>
      <w:rFonts w:ascii="Cambria" w:eastAsia="Times New Roman" w:hAnsi="Cambria" w:cs="Times New Roman"/>
      <w:bCs/>
      <w:color w:val="1F497D"/>
      <w:sz w:val="32"/>
      <w:szCs w:val="28"/>
    </w:rPr>
  </w:style>
  <w:style w:type="numbering" w:customStyle="1" w:styleId="Nessunelenco111">
    <w:name w:val="Nessun elenco111"/>
    <w:next w:val="Nessunelenco"/>
    <w:uiPriority w:val="99"/>
    <w:semiHidden/>
    <w:unhideWhenUsed/>
    <w:rsid w:val="00BD36D2"/>
  </w:style>
  <w:style w:type="paragraph" w:customStyle="1" w:styleId="Titolosommario1">
    <w:name w:val="Titolo sommario1"/>
    <w:basedOn w:val="Titolo1"/>
    <w:next w:val="Normale"/>
    <w:uiPriority w:val="39"/>
    <w:semiHidden/>
    <w:unhideWhenUsed/>
    <w:qFormat/>
    <w:rsid w:val="00BD36D2"/>
    <w:pPr>
      <w:spacing w:line="240" w:lineRule="auto"/>
      <w:jc w:val="center"/>
    </w:pPr>
    <w:rPr>
      <w:rFonts w:ascii="Cambria" w:eastAsia="Times New Roman" w:hAnsi="Cambria" w:cs="Times New Roman"/>
      <w:b w:val="0"/>
      <w:color w:val="1F497D"/>
      <w:sz w:val="32"/>
    </w:rPr>
  </w:style>
  <w:style w:type="paragraph" w:customStyle="1" w:styleId="Sommario11">
    <w:name w:val="Sommario 11"/>
    <w:basedOn w:val="Normale"/>
    <w:next w:val="Normale"/>
    <w:autoRedefine/>
    <w:uiPriority w:val="39"/>
    <w:unhideWhenUsed/>
    <w:rsid w:val="00BD36D2"/>
    <w:pPr>
      <w:spacing w:after="100"/>
    </w:pPr>
    <w:rPr>
      <w:rFonts w:ascii="Calibri" w:eastAsia="Calibri" w:hAnsi="Calibri" w:cs="Times New Roman"/>
    </w:rPr>
  </w:style>
  <w:style w:type="table" w:customStyle="1" w:styleId="Grigliatabella11">
    <w:name w:val="Griglia tabella11"/>
    <w:basedOn w:val="Tabellanormale"/>
    <w:next w:val="Grigliatabella"/>
    <w:uiPriority w:val="59"/>
    <w:rsid w:val="00BD36D2"/>
    <w:pPr>
      <w:spacing w:after="0" w:line="240" w:lineRule="auto"/>
    </w:pPr>
    <w:rPr>
      <w:rFonts w:ascii="Calibri" w:eastAsia="Calibri" w:hAnsi="Calibri" w:cs="Times New Roman"/>
      <w:sz w:val="20"/>
      <w:szCs w:val="20"/>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stocommento1">
    <w:name w:val="Testo commento1"/>
    <w:basedOn w:val="Normale"/>
    <w:next w:val="Testocommento"/>
    <w:uiPriority w:val="99"/>
    <w:semiHidden/>
    <w:unhideWhenUsed/>
    <w:rsid w:val="00BD36D2"/>
    <w:pPr>
      <w:spacing w:line="240" w:lineRule="auto"/>
    </w:pPr>
    <w:rPr>
      <w:rFonts w:ascii="Calibri" w:eastAsia="Calibri" w:hAnsi="Calibri" w:cs="Times New Roman"/>
      <w:sz w:val="20"/>
      <w:szCs w:val="20"/>
    </w:rPr>
  </w:style>
  <w:style w:type="paragraph" w:customStyle="1" w:styleId="Soggettocommento1">
    <w:name w:val="Soggetto commento1"/>
    <w:basedOn w:val="Testocommento"/>
    <w:next w:val="Testocommento"/>
    <w:uiPriority w:val="99"/>
    <w:semiHidden/>
    <w:unhideWhenUsed/>
    <w:rsid w:val="00BD36D2"/>
    <w:rPr>
      <w:rFonts w:ascii="Calibri" w:eastAsia="Calibri" w:hAnsi="Calibri" w:cs="Times New Roman"/>
      <w:b/>
      <w:bCs/>
    </w:rPr>
  </w:style>
  <w:style w:type="character" w:customStyle="1" w:styleId="Titolo1Carattere1">
    <w:name w:val="Titolo 1 Carattere1"/>
    <w:uiPriority w:val="9"/>
    <w:rsid w:val="00BD36D2"/>
    <w:rPr>
      <w:rFonts w:ascii="Cambria" w:eastAsia="Times New Roman" w:hAnsi="Cambria" w:cs="Times New Roman"/>
      <w:b/>
      <w:bCs/>
      <w:color w:val="365F91"/>
      <w:sz w:val="28"/>
      <w:szCs w:val="28"/>
      <w:lang w:eastAsia="it-IT"/>
    </w:rPr>
  </w:style>
  <w:style w:type="character" w:customStyle="1" w:styleId="TestocommentoCarattere1">
    <w:name w:val="Testo commento Carattere1"/>
    <w:uiPriority w:val="99"/>
    <w:semiHidden/>
    <w:rsid w:val="00BD36D2"/>
    <w:rPr>
      <w:rFonts w:ascii="Times New Roman" w:eastAsia="Times New Roman" w:hAnsi="Times New Roman" w:cs="Times New Roman"/>
      <w:sz w:val="20"/>
      <w:szCs w:val="20"/>
      <w:lang w:eastAsia="it-IT"/>
    </w:rPr>
  </w:style>
  <w:style w:type="character" w:customStyle="1" w:styleId="SoggettocommentoCarattere1">
    <w:name w:val="Soggetto commento Carattere1"/>
    <w:uiPriority w:val="99"/>
    <w:semiHidden/>
    <w:rsid w:val="00BD36D2"/>
    <w:rPr>
      <w:rFonts w:ascii="Times New Roman" w:eastAsia="Times New Roman" w:hAnsi="Times New Roman" w:cs="Times New Roman"/>
      <w:b/>
      <w:bCs/>
      <w:sz w:val="20"/>
      <w:szCs w:val="20"/>
      <w:lang w:eastAsia="it-IT"/>
    </w:rPr>
  </w:style>
  <w:style w:type="table" w:customStyle="1" w:styleId="Grigliatabella2">
    <w:name w:val="Griglia tabella2"/>
    <w:basedOn w:val="Tabellanormale"/>
    <w:next w:val="Grigliatabella"/>
    <w:uiPriority w:val="59"/>
    <w:rsid w:val="00BD36D2"/>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mmario4">
    <w:name w:val="toc 4"/>
    <w:basedOn w:val="Normale"/>
    <w:next w:val="Normale"/>
    <w:autoRedefine/>
    <w:uiPriority w:val="39"/>
    <w:unhideWhenUsed/>
    <w:rsid w:val="00BD36D2"/>
    <w:pPr>
      <w:spacing w:after="100"/>
      <w:ind w:left="660"/>
    </w:pPr>
    <w:rPr>
      <w:rFonts w:ascii="Calibri" w:eastAsia="Times New Roman" w:hAnsi="Calibri" w:cs="Times New Roman"/>
      <w:lang w:eastAsia="it-IT"/>
    </w:rPr>
  </w:style>
  <w:style w:type="paragraph" w:styleId="Sommario5">
    <w:name w:val="toc 5"/>
    <w:basedOn w:val="Normale"/>
    <w:next w:val="Normale"/>
    <w:autoRedefine/>
    <w:uiPriority w:val="39"/>
    <w:unhideWhenUsed/>
    <w:rsid w:val="00BD36D2"/>
    <w:pPr>
      <w:spacing w:after="100"/>
      <w:ind w:left="880"/>
    </w:pPr>
    <w:rPr>
      <w:rFonts w:ascii="Calibri" w:eastAsia="Times New Roman" w:hAnsi="Calibri" w:cs="Times New Roman"/>
      <w:lang w:eastAsia="it-IT"/>
    </w:rPr>
  </w:style>
  <w:style w:type="paragraph" w:styleId="Sommario6">
    <w:name w:val="toc 6"/>
    <w:basedOn w:val="Normale"/>
    <w:next w:val="Normale"/>
    <w:autoRedefine/>
    <w:uiPriority w:val="39"/>
    <w:unhideWhenUsed/>
    <w:rsid w:val="00BD36D2"/>
    <w:pPr>
      <w:spacing w:after="100"/>
      <w:ind w:left="1100"/>
    </w:pPr>
    <w:rPr>
      <w:rFonts w:ascii="Calibri" w:eastAsia="Times New Roman" w:hAnsi="Calibri" w:cs="Times New Roman"/>
      <w:lang w:eastAsia="it-IT"/>
    </w:rPr>
  </w:style>
  <w:style w:type="paragraph" w:styleId="Sommario7">
    <w:name w:val="toc 7"/>
    <w:basedOn w:val="Normale"/>
    <w:next w:val="Normale"/>
    <w:autoRedefine/>
    <w:uiPriority w:val="39"/>
    <w:unhideWhenUsed/>
    <w:rsid w:val="00BD36D2"/>
    <w:pPr>
      <w:spacing w:after="100"/>
      <w:ind w:left="1320"/>
    </w:pPr>
    <w:rPr>
      <w:rFonts w:ascii="Calibri" w:eastAsia="Times New Roman" w:hAnsi="Calibri" w:cs="Times New Roman"/>
      <w:lang w:eastAsia="it-IT"/>
    </w:rPr>
  </w:style>
  <w:style w:type="paragraph" w:styleId="Sommario8">
    <w:name w:val="toc 8"/>
    <w:basedOn w:val="Normale"/>
    <w:next w:val="Normale"/>
    <w:autoRedefine/>
    <w:uiPriority w:val="39"/>
    <w:unhideWhenUsed/>
    <w:rsid w:val="00BD36D2"/>
    <w:pPr>
      <w:spacing w:after="100"/>
      <w:ind w:left="1540"/>
    </w:pPr>
    <w:rPr>
      <w:rFonts w:ascii="Calibri" w:eastAsia="Times New Roman" w:hAnsi="Calibri" w:cs="Times New Roman"/>
      <w:lang w:eastAsia="it-IT"/>
    </w:rPr>
  </w:style>
  <w:style w:type="paragraph" w:styleId="Sommario9">
    <w:name w:val="toc 9"/>
    <w:basedOn w:val="Normale"/>
    <w:next w:val="Normale"/>
    <w:autoRedefine/>
    <w:uiPriority w:val="39"/>
    <w:unhideWhenUsed/>
    <w:rsid w:val="00BD36D2"/>
    <w:pPr>
      <w:spacing w:after="100"/>
      <w:ind w:left="1760"/>
    </w:pPr>
    <w:rPr>
      <w:rFonts w:ascii="Calibri" w:eastAsia="Times New Roman" w:hAnsi="Calibri" w:cs="Times New Roman"/>
      <w:lang w:eastAsia="it-IT"/>
    </w:rPr>
  </w:style>
  <w:style w:type="paragraph" w:customStyle="1" w:styleId="xl88">
    <w:name w:val="xl88"/>
    <w:basedOn w:val="Normale"/>
    <w:rsid w:val="00BD36D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it-IT"/>
    </w:rPr>
  </w:style>
  <w:style w:type="paragraph" w:customStyle="1" w:styleId="xl89">
    <w:name w:val="xl89"/>
    <w:basedOn w:val="Normale"/>
    <w:rsid w:val="00BD36D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it-IT"/>
    </w:rPr>
  </w:style>
  <w:style w:type="paragraph" w:customStyle="1" w:styleId="xl90">
    <w:name w:val="xl90"/>
    <w:basedOn w:val="Normale"/>
    <w:rsid w:val="00BD36D2"/>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it-IT"/>
    </w:rPr>
  </w:style>
  <w:style w:type="paragraph" w:customStyle="1" w:styleId="xl91">
    <w:name w:val="xl91"/>
    <w:basedOn w:val="Normale"/>
    <w:rsid w:val="00BD36D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it-IT"/>
    </w:rPr>
  </w:style>
  <w:style w:type="paragraph" w:customStyle="1" w:styleId="xl92">
    <w:name w:val="xl92"/>
    <w:basedOn w:val="Normale"/>
    <w:rsid w:val="00BD36D2"/>
    <w:pPr>
      <w:pBdr>
        <w:top w:val="single" w:sz="4" w:space="0" w:color="auto"/>
        <w:bottom w:val="single" w:sz="4" w:space="0" w:color="auto"/>
      </w:pBdr>
      <w:shd w:val="clear" w:color="4F81BD" w:fill="4F81BD"/>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it-IT"/>
    </w:rPr>
  </w:style>
  <w:style w:type="table" w:customStyle="1" w:styleId="Elencochiaro-Colore11">
    <w:name w:val="Elenco chiaro - Colore 11"/>
    <w:basedOn w:val="Tabellanormale"/>
    <w:uiPriority w:val="61"/>
    <w:rsid w:val="00BD36D2"/>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1">
    <w:name w:val="Body 1"/>
    <w:rsid w:val="00BD36D2"/>
    <w:pPr>
      <w:suppressAutoHyphens/>
      <w:outlineLvl w:val="0"/>
    </w:pPr>
    <w:rPr>
      <w:rFonts w:ascii="Helvetica" w:eastAsia="Arial Unicode MS" w:hAnsi="Helvetica" w:cs="Times New Roman"/>
      <w:color w:val="000000"/>
      <w:szCs w:val="20"/>
      <w:u w:color="000000"/>
      <w:lang w:eastAsia="it-IT"/>
    </w:rPr>
  </w:style>
  <w:style w:type="paragraph" w:styleId="Sottotitolo">
    <w:name w:val="Subtitle"/>
    <w:basedOn w:val="Normale"/>
    <w:next w:val="Normale"/>
    <w:link w:val="SottotitoloCarattere"/>
    <w:uiPriority w:val="11"/>
    <w:qFormat/>
    <w:rsid w:val="00BD36D2"/>
    <w:pPr>
      <w:numPr>
        <w:ilvl w:val="1"/>
      </w:numPr>
      <w:spacing w:after="0" w:line="240" w:lineRule="auto"/>
    </w:pPr>
    <w:rPr>
      <w:rFonts w:ascii="Cambria" w:eastAsia="Times New Roman" w:hAnsi="Cambria" w:cs="Times New Roman"/>
      <w:i/>
      <w:iCs/>
      <w:color w:val="4F81BD"/>
      <w:spacing w:val="15"/>
      <w:sz w:val="24"/>
      <w:szCs w:val="24"/>
      <w:lang w:val="en-US"/>
    </w:rPr>
  </w:style>
  <w:style w:type="character" w:customStyle="1" w:styleId="SottotitoloCarattere">
    <w:name w:val="Sottotitolo Carattere"/>
    <w:basedOn w:val="Carpredefinitoparagrafo"/>
    <w:link w:val="Sottotitolo"/>
    <w:uiPriority w:val="11"/>
    <w:rsid w:val="00BD36D2"/>
    <w:rPr>
      <w:rFonts w:ascii="Cambria" w:eastAsia="Times New Roman" w:hAnsi="Cambria" w:cs="Times New Roman"/>
      <w:i/>
      <w:iCs/>
      <w:color w:val="4F81BD"/>
      <w:spacing w:val="15"/>
      <w:sz w:val="24"/>
      <w:szCs w:val="24"/>
      <w:lang w:val="en-US"/>
    </w:rPr>
  </w:style>
  <w:style w:type="paragraph" w:styleId="Didascalia">
    <w:name w:val="caption"/>
    <w:basedOn w:val="Normale"/>
    <w:next w:val="Normale"/>
    <w:uiPriority w:val="35"/>
    <w:unhideWhenUsed/>
    <w:qFormat/>
    <w:rsid w:val="00BD36D2"/>
    <w:pPr>
      <w:spacing w:line="240" w:lineRule="auto"/>
    </w:pPr>
    <w:rPr>
      <w:rFonts w:ascii="Calibri" w:eastAsia="Calibri" w:hAnsi="Calibri" w:cs="Times New Roman"/>
      <w:b/>
      <w:bCs/>
      <w:color w:val="4F81BD"/>
      <w:sz w:val="18"/>
      <w:szCs w:val="18"/>
    </w:rPr>
  </w:style>
  <w:style w:type="paragraph" w:styleId="Corpotesto">
    <w:name w:val="Body Text"/>
    <w:basedOn w:val="Normale"/>
    <w:link w:val="CorpotestoCarattere"/>
    <w:rsid w:val="00BD36D2"/>
    <w:pPr>
      <w:widowControl w:val="0"/>
      <w:spacing w:after="120" w:line="240" w:lineRule="auto"/>
    </w:pPr>
    <w:rPr>
      <w:rFonts w:ascii="Times New Roman" w:eastAsia="Times New Roman" w:hAnsi="Times New Roman" w:cs="Times New Roman"/>
      <w:noProof/>
      <w:color w:val="000000"/>
      <w:sz w:val="24"/>
      <w:szCs w:val="20"/>
      <w:lang w:eastAsia="it-IT"/>
    </w:rPr>
  </w:style>
  <w:style w:type="character" w:customStyle="1" w:styleId="CorpotestoCarattere">
    <w:name w:val="Corpo testo Carattere"/>
    <w:basedOn w:val="Carpredefinitoparagrafo"/>
    <w:link w:val="Corpotesto"/>
    <w:rsid w:val="00BD36D2"/>
    <w:rPr>
      <w:rFonts w:ascii="Times New Roman" w:eastAsia="Times New Roman" w:hAnsi="Times New Roman" w:cs="Times New Roman"/>
      <w:noProof/>
      <w:color w:val="000000"/>
      <w:sz w:val="24"/>
      <w:szCs w:val="20"/>
      <w:lang w:eastAsia="it-IT"/>
    </w:rPr>
  </w:style>
  <w:style w:type="paragraph" w:customStyle="1" w:styleId="provvr0">
    <w:name w:val="provv_r0"/>
    <w:basedOn w:val="Normale"/>
    <w:rsid w:val="00BD36D2"/>
    <w:pPr>
      <w:spacing w:before="100"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Paragrafoelenco1">
    <w:name w:val="Paragrafo elenco1"/>
    <w:basedOn w:val="Normale"/>
    <w:rsid w:val="00BD36D2"/>
    <w:pPr>
      <w:spacing w:after="0" w:line="240" w:lineRule="auto"/>
      <w:ind w:left="720"/>
      <w:contextualSpacing/>
    </w:pPr>
    <w:rPr>
      <w:rFonts w:ascii="Times New Roman" w:eastAsia="Times New Roman" w:hAnsi="Times New Roman" w:cs="Times New Roman"/>
      <w:sz w:val="24"/>
      <w:szCs w:val="24"/>
      <w:lang w:eastAsia="it-IT"/>
    </w:rPr>
  </w:style>
  <w:style w:type="table" w:styleId="Sfondomedio1-Colore1">
    <w:name w:val="Medium Shading 1 Accent 1"/>
    <w:basedOn w:val="Tabellanormale"/>
    <w:uiPriority w:val="63"/>
    <w:rsid w:val="00BD36D2"/>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Capoverso">
    <w:name w:val="Capoverso"/>
    <w:uiPriority w:val="99"/>
    <w:rsid w:val="00BD36D2"/>
    <w:pPr>
      <w:widowControl w:val="0"/>
      <w:tabs>
        <w:tab w:val="left" w:pos="360"/>
      </w:tabs>
      <w:spacing w:after="0" w:line="268" w:lineRule="exact"/>
      <w:ind w:firstLine="284"/>
      <w:jc w:val="both"/>
    </w:pPr>
    <w:rPr>
      <w:rFonts w:ascii="Simoncini Garamond" w:eastAsia="Times New Roman" w:hAnsi="Simoncini Garamond" w:cs="Times New Roman"/>
      <w:sz w:val="23"/>
      <w:lang w:eastAsia="it-IT"/>
    </w:rPr>
  </w:style>
  <w:style w:type="paragraph" w:styleId="PreformattatoHTML">
    <w:name w:val="HTML Preformatted"/>
    <w:basedOn w:val="Normale"/>
    <w:link w:val="PreformattatoHTMLCarattere"/>
    <w:uiPriority w:val="99"/>
    <w:unhideWhenUsed/>
    <w:rsid w:val="00BD36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BD36D2"/>
    <w:rPr>
      <w:rFonts w:ascii="Courier New" w:eastAsia="Times New Roman" w:hAnsi="Courier New" w:cs="Courier New"/>
      <w:sz w:val="20"/>
      <w:szCs w:val="20"/>
      <w:lang w:eastAsia="it-IT"/>
    </w:rPr>
  </w:style>
  <w:style w:type="table" w:styleId="Grigliamedia3-Colore1">
    <w:name w:val="Medium Grid 3 Accent 1"/>
    <w:basedOn w:val="Tabellanormale"/>
    <w:uiPriority w:val="69"/>
    <w:rsid w:val="00BD36D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Grigliamedia1-Colore113">
    <w:name w:val="Griglia media 1 - Colore 113"/>
    <w:basedOn w:val="Tabellanormale"/>
    <w:next w:val="Grigliamedia1-Colore1"/>
    <w:uiPriority w:val="67"/>
    <w:rsid w:val="00BD36D2"/>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Grigliamedia1-Colore114">
    <w:name w:val="Griglia media 1 - Colore 114"/>
    <w:basedOn w:val="Tabellanormale"/>
    <w:next w:val="Grigliamedia1-Colore1"/>
    <w:uiPriority w:val="67"/>
    <w:rsid w:val="00BD36D2"/>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ParagrafoelencoCarattere">
    <w:name w:val="Paragrafo elenco Carattere"/>
    <w:link w:val="Paragrafoelenco"/>
    <w:uiPriority w:val="34"/>
    <w:locked/>
    <w:rsid w:val="00BD36D2"/>
  </w:style>
  <w:style w:type="table" w:customStyle="1" w:styleId="Grigliatabella3">
    <w:name w:val="Griglia tabella3"/>
    <w:basedOn w:val="Tabellanormale"/>
    <w:next w:val="Grigliatabella"/>
    <w:uiPriority w:val="59"/>
    <w:rsid w:val="00BD3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media1-Colore111">
    <w:name w:val="Griglia media 1 - Colore 111"/>
    <w:basedOn w:val="Tabellanormale"/>
    <w:next w:val="Grigliamedia1-Colore1"/>
    <w:uiPriority w:val="67"/>
    <w:rsid w:val="00BD36D2"/>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numbering" w:customStyle="1" w:styleId="Nessunelenco2">
    <w:name w:val="Nessun elenco2"/>
    <w:next w:val="Nessunelenco"/>
    <w:uiPriority w:val="99"/>
    <w:semiHidden/>
    <w:unhideWhenUsed/>
    <w:rsid w:val="00BD36D2"/>
  </w:style>
  <w:style w:type="table" w:customStyle="1" w:styleId="Grigliamedia1-Colore112">
    <w:name w:val="Griglia media 1 - Colore 112"/>
    <w:basedOn w:val="Tabellanormale"/>
    <w:next w:val="Grigliamedia1-Colore1"/>
    <w:uiPriority w:val="67"/>
    <w:rsid w:val="00BD36D2"/>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Grigliamedia1-Colore12">
    <w:name w:val="Griglia media 1 - Colore 12"/>
    <w:basedOn w:val="Tabellanormale"/>
    <w:next w:val="Grigliamedia1-Colore1"/>
    <w:uiPriority w:val="67"/>
    <w:rsid w:val="00BD36D2"/>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Grigliatabella4">
    <w:name w:val="Griglia tabella4"/>
    <w:basedOn w:val="Tabellanormale"/>
    <w:next w:val="Grigliatabella"/>
    <w:uiPriority w:val="59"/>
    <w:rsid w:val="00BD36D2"/>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2">
    <w:name w:val="Nessun elenco12"/>
    <w:next w:val="Nessunelenco"/>
    <w:uiPriority w:val="99"/>
    <w:semiHidden/>
    <w:unhideWhenUsed/>
    <w:rsid w:val="00BD36D2"/>
  </w:style>
  <w:style w:type="table" w:customStyle="1" w:styleId="Grigliatabella12">
    <w:name w:val="Griglia tabella12"/>
    <w:basedOn w:val="Tabellanormale"/>
    <w:next w:val="Grigliatabella"/>
    <w:uiPriority w:val="59"/>
    <w:rsid w:val="00BD36D2"/>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59"/>
    <w:rsid w:val="00BD36D2"/>
    <w:pPr>
      <w:spacing w:after="0" w:line="240" w:lineRule="auto"/>
    </w:pPr>
    <w:rPr>
      <w:rFonts w:ascii="Calibri" w:eastAsia="Calibri" w:hAnsi="Calibri" w:cs="Times New Roman"/>
      <w:sz w:val="20"/>
      <w:szCs w:val="20"/>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21">
    <w:name w:val="Griglia tabella21"/>
    <w:basedOn w:val="Tabellanormale"/>
    <w:next w:val="Grigliatabella"/>
    <w:uiPriority w:val="59"/>
    <w:rsid w:val="00BD36D2"/>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ncochiaro-Colore111">
    <w:name w:val="Elenco chiaro - Colore 111"/>
    <w:basedOn w:val="Tabellanormale"/>
    <w:uiPriority w:val="61"/>
    <w:rsid w:val="00BD36D2"/>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fondomedio1-Colore11">
    <w:name w:val="Sfondo medio 1 - Colore 11"/>
    <w:basedOn w:val="Tabellanormale"/>
    <w:next w:val="Sfondomedio1-Colore1"/>
    <w:uiPriority w:val="63"/>
    <w:rsid w:val="00BD36D2"/>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provvnumcomma">
    <w:name w:val="provv_numcomma"/>
    <w:basedOn w:val="Carpredefinitoparagrafo"/>
    <w:rsid w:val="00BD36D2"/>
  </w:style>
  <w:style w:type="paragraph" w:styleId="Testonotadichiusura">
    <w:name w:val="endnote text"/>
    <w:basedOn w:val="Normale"/>
    <w:link w:val="TestonotadichiusuraCarattere"/>
    <w:uiPriority w:val="99"/>
    <w:semiHidden/>
    <w:unhideWhenUsed/>
    <w:rsid w:val="00BD36D2"/>
    <w:pPr>
      <w:spacing w:after="0" w:line="240" w:lineRule="auto"/>
    </w:pPr>
    <w:rPr>
      <w:rFonts w:ascii="Times New Roman" w:eastAsia="Times New Roman" w:hAnsi="Times New Roman" w:cs="Times New Roman"/>
      <w:sz w:val="20"/>
      <w:szCs w:val="20"/>
      <w:lang w:eastAsia="it-IT"/>
    </w:rPr>
  </w:style>
  <w:style w:type="character" w:customStyle="1" w:styleId="TestonotadichiusuraCarattere">
    <w:name w:val="Testo nota di chiusura Carattere"/>
    <w:basedOn w:val="Carpredefinitoparagrafo"/>
    <w:link w:val="Testonotadichiusura"/>
    <w:uiPriority w:val="99"/>
    <w:semiHidden/>
    <w:rsid w:val="00BD36D2"/>
    <w:rPr>
      <w:rFonts w:ascii="Times New Roman" w:eastAsia="Times New Roman" w:hAnsi="Times New Roman" w:cs="Times New Roman"/>
      <w:sz w:val="20"/>
      <w:szCs w:val="20"/>
      <w:lang w:eastAsia="it-IT"/>
    </w:rPr>
  </w:style>
  <w:style w:type="paragraph" w:styleId="Testonormale">
    <w:name w:val="Plain Text"/>
    <w:basedOn w:val="Normale"/>
    <w:link w:val="TestonormaleCarattere"/>
    <w:uiPriority w:val="99"/>
    <w:semiHidden/>
    <w:unhideWhenUsed/>
    <w:rsid w:val="00BD36D2"/>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BD36D2"/>
    <w:rPr>
      <w:rFonts w:ascii="Calibri" w:hAnsi="Calibri"/>
      <w:szCs w:val="21"/>
    </w:rPr>
  </w:style>
  <w:style w:type="paragraph" w:customStyle="1" w:styleId="parar1">
    <w:name w:val="parar1"/>
    <w:basedOn w:val="Normale"/>
    <w:uiPriority w:val="99"/>
    <w:rsid w:val="00BD36D2"/>
    <w:pPr>
      <w:spacing w:after="0" w:line="240" w:lineRule="auto"/>
    </w:pPr>
    <w:rPr>
      <w:rFonts w:ascii="Times New Roman" w:eastAsia="Times New Roman" w:hAnsi="Times New Roman" w:cs="Times New Roman"/>
      <w:sz w:val="24"/>
      <w:szCs w:val="24"/>
      <w:lang w:eastAsia="it-IT"/>
    </w:rPr>
  </w:style>
  <w:style w:type="character" w:customStyle="1" w:styleId="NormrCarattere">
    <w:name w:val="Norm_r Carattere"/>
    <w:basedOn w:val="Carpredefinitoparagrafo"/>
    <w:link w:val="Normr"/>
    <w:locked/>
    <w:rsid w:val="00BD36D2"/>
    <w:rPr>
      <w:rFonts w:ascii="Garamond" w:eastAsia="Times New Roman" w:hAnsi="Garamond" w:cs="Times New Roman"/>
      <w:sz w:val="24"/>
      <w:szCs w:val="24"/>
      <w:lang w:eastAsia="it-IT"/>
    </w:rPr>
  </w:style>
  <w:style w:type="paragraph" w:customStyle="1" w:styleId="Normr">
    <w:name w:val="Norm_r"/>
    <w:basedOn w:val="Normale"/>
    <w:link w:val="NormrCarattere"/>
    <w:qFormat/>
    <w:rsid w:val="00BD36D2"/>
    <w:pPr>
      <w:tabs>
        <w:tab w:val="left" w:pos="8789"/>
      </w:tabs>
      <w:spacing w:before="60" w:after="40" w:line="360" w:lineRule="auto"/>
      <w:ind w:left="357"/>
      <w:jc w:val="both"/>
    </w:pPr>
    <w:rPr>
      <w:rFonts w:ascii="Garamond" w:eastAsia="Times New Roman" w:hAnsi="Garamond" w:cs="Times New Roman"/>
      <w:sz w:val="24"/>
      <w:szCs w:val="24"/>
      <w:lang w:eastAsia="it-IT"/>
    </w:rPr>
  </w:style>
  <w:style w:type="character" w:customStyle="1" w:styleId="1livCarattere">
    <w:name w:val="1 liv Carattere"/>
    <w:basedOn w:val="Carpredefinitoparagrafo"/>
    <w:link w:val="1liv"/>
    <w:uiPriority w:val="99"/>
    <w:locked/>
    <w:rsid w:val="00BD36D2"/>
    <w:rPr>
      <w:rFonts w:ascii="Garamond" w:eastAsia="Times New Roman" w:hAnsi="Garamond" w:cs="Times New Roman"/>
      <w:sz w:val="24"/>
      <w:szCs w:val="24"/>
      <w:lang w:eastAsia="it-IT"/>
    </w:rPr>
  </w:style>
  <w:style w:type="paragraph" w:customStyle="1" w:styleId="1liv">
    <w:name w:val="1 liv"/>
    <w:basedOn w:val="Normale"/>
    <w:link w:val="1livCarattere"/>
    <w:uiPriority w:val="99"/>
    <w:qFormat/>
    <w:rsid w:val="00BD36D2"/>
    <w:pPr>
      <w:widowControl w:val="0"/>
      <w:numPr>
        <w:numId w:val="19"/>
      </w:numPr>
      <w:tabs>
        <w:tab w:val="left" w:pos="907"/>
        <w:tab w:val="left" w:pos="8789"/>
      </w:tabs>
      <w:suppressAutoHyphens/>
      <w:spacing w:before="80" w:after="0" w:line="360" w:lineRule="auto"/>
      <w:jc w:val="both"/>
    </w:pPr>
    <w:rPr>
      <w:rFonts w:ascii="Garamond" w:eastAsia="Times New Roman" w:hAnsi="Garamond" w:cs="Times New Roman"/>
      <w:sz w:val="24"/>
      <w:szCs w:val="24"/>
      <w:lang w:eastAsia="it-IT"/>
    </w:rPr>
  </w:style>
  <w:style w:type="paragraph" w:customStyle="1" w:styleId="WW-Predefinito">
    <w:name w:val="WW-Predefinito"/>
    <w:uiPriority w:val="99"/>
    <w:rsid w:val="00BD36D2"/>
    <w:pPr>
      <w:suppressAutoHyphens/>
      <w:spacing w:after="0"/>
      <w:jc w:val="both"/>
    </w:pPr>
    <w:rPr>
      <w:rFonts w:ascii="Garamond" w:eastAsia="Times New Roman" w:hAnsi="Garamond" w:cs="Times New Roman"/>
      <w:sz w:val="24"/>
      <w:szCs w:val="24"/>
      <w:lang w:eastAsia="ar-SA"/>
    </w:rPr>
  </w:style>
  <w:style w:type="character" w:customStyle="1" w:styleId="tabellarelCarattere">
    <w:name w:val="tabella rel Carattere"/>
    <w:basedOn w:val="Carpredefinitoparagrafo"/>
    <w:link w:val="tabellarel"/>
    <w:locked/>
    <w:rsid w:val="00BD36D2"/>
    <w:rPr>
      <w:rFonts w:ascii="Arial" w:eastAsia="Calibri" w:hAnsi="Arial" w:cs="Arial"/>
      <w:sz w:val="20"/>
      <w:szCs w:val="25"/>
      <w:lang w:eastAsia="it-IT"/>
    </w:rPr>
  </w:style>
  <w:style w:type="paragraph" w:customStyle="1" w:styleId="tabellarel">
    <w:name w:val="tabella rel"/>
    <w:link w:val="tabellarelCarattere"/>
    <w:qFormat/>
    <w:rsid w:val="00BD36D2"/>
    <w:pPr>
      <w:spacing w:after="0" w:line="240" w:lineRule="auto"/>
    </w:pPr>
    <w:rPr>
      <w:rFonts w:ascii="Arial" w:eastAsia="Calibri" w:hAnsi="Arial" w:cs="Arial"/>
      <w:sz w:val="20"/>
      <w:szCs w:val="25"/>
      <w:lang w:eastAsia="it-IT"/>
    </w:rPr>
  </w:style>
  <w:style w:type="paragraph" w:customStyle="1" w:styleId="corpooggetto">
    <w:name w:val="corpo oggetto"/>
    <w:basedOn w:val="Normale"/>
    <w:uiPriority w:val="99"/>
    <w:rsid w:val="00BD36D2"/>
    <w:pPr>
      <w:autoSpaceDE w:val="0"/>
      <w:autoSpaceDN w:val="0"/>
      <w:spacing w:after="0" w:line="280" w:lineRule="exact"/>
      <w:ind w:left="74"/>
      <w:jc w:val="both"/>
    </w:pPr>
    <w:rPr>
      <w:rFonts w:ascii="Times New Roman" w:eastAsia="Times New Roman" w:hAnsi="Times New Roman" w:cs="Times New Roman"/>
      <w:bCs/>
      <w:sz w:val="24"/>
      <w:szCs w:val="20"/>
      <w:lang w:eastAsia="it-IT"/>
    </w:rPr>
  </w:style>
  <w:style w:type="paragraph" w:customStyle="1" w:styleId="yiv7932858008msonormal">
    <w:name w:val="yiv7932858008msonormal"/>
    <w:basedOn w:val="Normale"/>
    <w:uiPriority w:val="99"/>
    <w:rsid w:val="00BD36D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Rimandonotadichiusura">
    <w:name w:val="endnote reference"/>
    <w:basedOn w:val="Carpredefinitoparagrafo"/>
    <w:uiPriority w:val="99"/>
    <w:semiHidden/>
    <w:unhideWhenUsed/>
    <w:rsid w:val="00BD36D2"/>
    <w:rPr>
      <w:vertAlign w:val="superscript"/>
    </w:rPr>
  </w:style>
  <w:style w:type="character" w:customStyle="1" w:styleId="st1">
    <w:name w:val="st1"/>
    <w:basedOn w:val="Carpredefinitoparagrafo"/>
    <w:rsid w:val="00BD36D2"/>
  </w:style>
  <w:style w:type="table" w:styleId="Sfondochiaro-Colore1">
    <w:name w:val="Light Shading Accent 1"/>
    <w:basedOn w:val="Tabellanormale"/>
    <w:uiPriority w:val="60"/>
    <w:rsid w:val="00BD36D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100" w:beforeAutospacing="1" w:afterLines="0" w:after="100" w:afterAutospacing="1"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Grigliamedia1-Colore13">
    <w:name w:val="Griglia media 1 - Colore 13"/>
    <w:basedOn w:val="Tabellanormale"/>
    <w:uiPriority w:val="67"/>
    <w:rsid w:val="00BD36D2"/>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Grigliamedia1-Colore14">
    <w:name w:val="Griglia media 1 - Colore 14"/>
    <w:basedOn w:val="Tabellanormale"/>
    <w:uiPriority w:val="67"/>
    <w:rsid w:val="00BD36D2"/>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Sfondochiaro-Colore11">
    <w:name w:val="Sfondo chiaro - Colore 11"/>
    <w:basedOn w:val="Tabellanormale"/>
    <w:uiPriority w:val="60"/>
    <w:rsid w:val="00BD36D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100" w:beforeAutospacing="1" w:afterLines="0" w:after="100" w:afterAutospacing="1"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Grigliamedia1-Colore115">
    <w:name w:val="Griglia media 1 - Colore 115"/>
    <w:basedOn w:val="Tabellanormale"/>
    <w:next w:val="Grigliamedia1-Colore1"/>
    <w:uiPriority w:val="67"/>
    <w:rsid w:val="00BD36D2"/>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numbering" w:customStyle="1" w:styleId="Nessunelenco1111">
    <w:name w:val="Nessun elenco1111"/>
    <w:next w:val="Nessunelenco"/>
    <w:uiPriority w:val="99"/>
    <w:semiHidden/>
    <w:unhideWhenUsed/>
    <w:rsid w:val="00BD36D2"/>
  </w:style>
  <w:style w:type="table" w:customStyle="1" w:styleId="Grigliamedia1-Colore15">
    <w:name w:val="Griglia media 1 - Colore 15"/>
    <w:basedOn w:val="Tabellanormale"/>
    <w:next w:val="Grigliamedia1-Colore1"/>
    <w:uiPriority w:val="67"/>
    <w:rsid w:val="00BD36D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Grigliatabella5">
    <w:name w:val="Griglia tabella5"/>
    <w:basedOn w:val="Tabellanormale"/>
    <w:next w:val="Grigliatabella"/>
    <w:uiPriority w:val="59"/>
    <w:rsid w:val="00BD3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8149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8149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BD36D2"/>
    <w:pPr>
      <w:keepNext/>
      <w:keepLines/>
      <w:spacing w:before="200" w:after="0" w:line="240" w:lineRule="auto"/>
      <w:outlineLvl w:val="2"/>
    </w:pPr>
    <w:rPr>
      <w:rFonts w:ascii="Garamond" w:eastAsiaTheme="majorEastAsia" w:hAnsi="Garamond" w:cstheme="majorBidi"/>
      <w:b/>
      <w:bCs/>
      <w:color w:val="4F81BD" w:themeColor="accent1"/>
      <w:sz w:val="25"/>
      <w:szCs w:val="25"/>
      <w:lang w:eastAsia="it-IT"/>
    </w:rPr>
  </w:style>
  <w:style w:type="paragraph" w:styleId="Titolo4">
    <w:name w:val="heading 4"/>
    <w:basedOn w:val="Normale"/>
    <w:next w:val="Normale"/>
    <w:link w:val="Titolo4Carattere"/>
    <w:unhideWhenUsed/>
    <w:qFormat/>
    <w:rsid w:val="00BD36D2"/>
    <w:pPr>
      <w:keepNext/>
      <w:keepLines/>
      <w:spacing w:before="200" w:after="0" w:line="240" w:lineRule="auto"/>
      <w:outlineLvl w:val="3"/>
    </w:pPr>
    <w:rPr>
      <w:rFonts w:ascii="Cambria" w:eastAsia="Times New Roman" w:hAnsi="Cambria" w:cs="Times New Roman"/>
      <w:b/>
      <w:bCs/>
      <w:i/>
      <w:iCs/>
      <w:color w:val="4F81BD"/>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14927"/>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rsid w:val="00814927"/>
    <w:rPr>
      <w:rFonts w:asciiTheme="majorHAnsi" w:eastAsiaTheme="majorEastAsia" w:hAnsiTheme="majorHAnsi" w:cstheme="majorBidi"/>
      <w:b/>
      <w:bCs/>
      <w:color w:val="4F81BD" w:themeColor="accent1"/>
      <w:sz w:val="26"/>
      <w:szCs w:val="26"/>
    </w:rPr>
  </w:style>
  <w:style w:type="table" w:styleId="Grigliatabella">
    <w:name w:val="Table Grid"/>
    <w:basedOn w:val="Tabellanormale"/>
    <w:uiPriority w:val="39"/>
    <w:rsid w:val="00814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corsivo">
    <w:name w:val="Emphasis"/>
    <w:basedOn w:val="Carpredefinitoparagrafo"/>
    <w:uiPriority w:val="20"/>
    <w:qFormat/>
    <w:rsid w:val="00814927"/>
    <w:rPr>
      <w:i/>
      <w:iCs/>
    </w:rPr>
  </w:style>
  <w:style w:type="character" w:styleId="Enfasigrassetto">
    <w:name w:val="Strong"/>
    <w:basedOn w:val="Carpredefinitoparagrafo"/>
    <w:uiPriority w:val="22"/>
    <w:qFormat/>
    <w:rsid w:val="00814927"/>
    <w:rPr>
      <w:b/>
      <w:bCs/>
    </w:rPr>
  </w:style>
  <w:style w:type="paragraph" w:styleId="Paragrafoelenco">
    <w:name w:val="List Paragraph"/>
    <w:basedOn w:val="Normale"/>
    <w:link w:val="ParagrafoelencoCarattere"/>
    <w:uiPriority w:val="34"/>
    <w:qFormat/>
    <w:rsid w:val="00814927"/>
    <w:pPr>
      <w:ind w:left="720"/>
      <w:contextualSpacing/>
    </w:pPr>
  </w:style>
  <w:style w:type="paragraph" w:styleId="NormaleWeb">
    <w:name w:val="Normal (Web)"/>
    <w:basedOn w:val="Normale"/>
    <w:uiPriority w:val="99"/>
    <w:unhideWhenUsed/>
    <w:rsid w:val="00814927"/>
    <w:pPr>
      <w:spacing w:after="210"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81492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4927"/>
    <w:rPr>
      <w:rFonts w:ascii="Tahoma" w:hAnsi="Tahoma" w:cs="Tahoma"/>
      <w:sz w:val="16"/>
      <w:szCs w:val="16"/>
    </w:rPr>
  </w:style>
  <w:style w:type="character" w:customStyle="1" w:styleId="TestocommentoCarattere">
    <w:name w:val="Testo commento Carattere"/>
    <w:basedOn w:val="Carpredefinitoparagrafo"/>
    <w:link w:val="Testocommento"/>
    <w:uiPriority w:val="99"/>
    <w:semiHidden/>
    <w:rsid w:val="00814927"/>
    <w:rPr>
      <w:sz w:val="20"/>
      <w:szCs w:val="20"/>
    </w:rPr>
  </w:style>
  <w:style w:type="paragraph" w:styleId="Testocommento">
    <w:name w:val="annotation text"/>
    <w:basedOn w:val="Normale"/>
    <w:link w:val="TestocommentoCarattere"/>
    <w:uiPriority w:val="99"/>
    <w:semiHidden/>
    <w:unhideWhenUsed/>
    <w:rsid w:val="00814927"/>
    <w:pPr>
      <w:spacing w:line="240" w:lineRule="auto"/>
    </w:pPr>
    <w:rPr>
      <w:sz w:val="20"/>
      <w:szCs w:val="20"/>
    </w:rPr>
  </w:style>
  <w:style w:type="character" w:customStyle="1" w:styleId="SoggettocommentoCarattere">
    <w:name w:val="Soggetto commento Carattere"/>
    <w:basedOn w:val="TestocommentoCarattere"/>
    <w:link w:val="Soggettocommento"/>
    <w:uiPriority w:val="99"/>
    <w:semiHidden/>
    <w:rsid w:val="00814927"/>
    <w:rPr>
      <w:b/>
      <w:bCs/>
      <w:sz w:val="20"/>
      <w:szCs w:val="20"/>
    </w:rPr>
  </w:style>
  <w:style w:type="paragraph" w:styleId="Soggettocommento">
    <w:name w:val="annotation subject"/>
    <w:basedOn w:val="Testocommento"/>
    <w:next w:val="Testocommento"/>
    <w:link w:val="SoggettocommentoCarattere"/>
    <w:uiPriority w:val="99"/>
    <w:semiHidden/>
    <w:unhideWhenUsed/>
    <w:rsid w:val="00814927"/>
    <w:rPr>
      <w:b/>
      <w:bCs/>
    </w:rPr>
  </w:style>
  <w:style w:type="paragraph" w:styleId="Titolo">
    <w:name w:val="Title"/>
    <w:basedOn w:val="Normale"/>
    <w:next w:val="Normale"/>
    <w:link w:val="TitoloCarattere"/>
    <w:uiPriority w:val="10"/>
    <w:qFormat/>
    <w:rsid w:val="0081492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814927"/>
    <w:rPr>
      <w:rFonts w:asciiTheme="majorHAnsi" w:eastAsiaTheme="majorEastAsia" w:hAnsiTheme="majorHAnsi" w:cstheme="majorBidi"/>
      <w:color w:val="17365D" w:themeColor="text2" w:themeShade="BF"/>
      <w:spacing w:val="5"/>
      <w:kern w:val="28"/>
      <w:sz w:val="52"/>
      <w:szCs w:val="52"/>
    </w:rPr>
  </w:style>
  <w:style w:type="paragraph" w:styleId="Intestazione">
    <w:name w:val="header"/>
    <w:basedOn w:val="Normale"/>
    <w:link w:val="IntestazioneCarattere"/>
    <w:uiPriority w:val="99"/>
    <w:unhideWhenUsed/>
    <w:rsid w:val="0081492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14927"/>
  </w:style>
  <w:style w:type="paragraph" w:styleId="Pidipagina">
    <w:name w:val="footer"/>
    <w:basedOn w:val="Normale"/>
    <w:link w:val="PidipaginaCarattere"/>
    <w:uiPriority w:val="99"/>
    <w:unhideWhenUsed/>
    <w:rsid w:val="0081492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14927"/>
  </w:style>
  <w:style w:type="paragraph" w:styleId="Nessunaspaziatura">
    <w:name w:val="No Spacing"/>
    <w:link w:val="NessunaspaziaturaCarattere"/>
    <w:uiPriority w:val="1"/>
    <w:qFormat/>
    <w:rsid w:val="00814927"/>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814927"/>
    <w:rPr>
      <w:rFonts w:eastAsiaTheme="minorEastAsia"/>
      <w:lang w:eastAsia="it-IT"/>
    </w:rPr>
  </w:style>
  <w:style w:type="paragraph" w:styleId="Sommario1">
    <w:name w:val="toc 1"/>
    <w:basedOn w:val="Normale"/>
    <w:next w:val="Normale"/>
    <w:autoRedefine/>
    <w:uiPriority w:val="39"/>
    <w:unhideWhenUsed/>
    <w:rsid w:val="00814927"/>
    <w:pPr>
      <w:spacing w:after="100"/>
    </w:pPr>
  </w:style>
  <w:style w:type="character" w:styleId="Collegamentoipertestuale">
    <w:name w:val="Hyperlink"/>
    <w:basedOn w:val="Carpredefinitoparagrafo"/>
    <w:uiPriority w:val="99"/>
    <w:unhideWhenUsed/>
    <w:rsid w:val="00814927"/>
    <w:rPr>
      <w:color w:val="0000FF" w:themeColor="hyperlink"/>
      <w:u w:val="single"/>
    </w:rPr>
  </w:style>
  <w:style w:type="paragraph" w:styleId="Sommario2">
    <w:name w:val="toc 2"/>
    <w:basedOn w:val="Normale"/>
    <w:next w:val="Normale"/>
    <w:autoRedefine/>
    <w:uiPriority w:val="39"/>
    <w:unhideWhenUsed/>
    <w:rsid w:val="00814927"/>
    <w:pPr>
      <w:numPr>
        <w:numId w:val="3"/>
      </w:numPr>
      <w:tabs>
        <w:tab w:val="right" w:leader="dot" w:pos="9628"/>
      </w:tabs>
      <w:spacing w:after="100"/>
    </w:pPr>
  </w:style>
  <w:style w:type="numbering" w:customStyle="1" w:styleId="Nessunelenco1">
    <w:name w:val="Nessun elenco1"/>
    <w:next w:val="Nessunelenco"/>
    <w:uiPriority w:val="99"/>
    <w:semiHidden/>
    <w:unhideWhenUsed/>
    <w:rsid w:val="0082044A"/>
  </w:style>
  <w:style w:type="character" w:styleId="Collegamentovisitato">
    <w:name w:val="FollowedHyperlink"/>
    <w:basedOn w:val="Carpredefinitoparagrafo"/>
    <w:uiPriority w:val="99"/>
    <w:semiHidden/>
    <w:unhideWhenUsed/>
    <w:rsid w:val="0082044A"/>
    <w:rPr>
      <w:color w:val="954F72"/>
      <w:u w:val="single"/>
    </w:rPr>
  </w:style>
  <w:style w:type="paragraph" w:customStyle="1" w:styleId="xl63">
    <w:name w:val="xl63"/>
    <w:basedOn w:val="Normale"/>
    <w:rsid w:val="0082044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it-IT"/>
    </w:rPr>
  </w:style>
  <w:style w:type="paragraph" w:customStyle="1" w:styleId="xl64">
    <w:name w:val="xl64"/>
    <w:basedOn w:val="Normale"/>
    <w:rsid w:val="008204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65">
    <w:name w:val="xl65"/>
    <w:basedOn w:val="Normale"/>
    <w:rsid w:val="008204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66">
    <w:name w:val="xl66"/>
    <w:basedOn w:val="Normale"/>
    <w:rsid w:val="0082044A"/>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67">
    <w:name w:val="xl67"/>
    <w:basedOn w:val="Normale"/>
    <w:rsid w:val="008204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it-IT"/>
    </w:rPr>
  </w:style>
  <w:style w:type="paragraph" w:customStyle="1" w:styleId="xl68">
    <w:name w:val="xl68"/>
    <w:basedOn w:val="Normale"/>
    <w:rsid w:val="008204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it-IT"/>
    </w:rPr>
  </w:style>
  <w:style w:type="paragraph" w:customStyle="1" w:styleId="xl69">
    <w:name w:val="xl69"/>
    <w:basedOn w:val="Normale"/>
    <w:rsid w:val="0082044A"/>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b/>
      <w:bCs/>
      <w:sz w:val="24"/>
      <w:szCs w:val="24"/>
      <w:lang w:eastAsia="it-IT"/>
    </w:rPr>
  </w:style>
  <w:style w:type="paragraph" w:customStyle="1" w:styleId="xl70">
    <w:name w:val="xl70"/>
    <w:basedOn w:val="Normale"/>
    <w:rsid w:val="0082044A"/>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71">
    <w:name w:val="xl71"/>
    <w:basedOn w:val="Normale"/>
    <w:rsid w:val="0082044A"/>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72">
    <w:name w:val="xl72"/>
    <w:basedOn w:val="Normale"/>
    <w:rsid w:val="0082044A"/>
    <w:pPr>
      <w:pBdr>
        <w:top w:val="single" w:sz="4" w:space="0" w:color="auto"/>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it-IT"/>
    </w:rPr>
  </w:style>
  <w:style w:type="paragraph" w:customStyle="1" w:styleId="xl73">
    <w:name w:val="xl73"/>
    <w:basedOn w:val="Normale"/>
    <w:rsid w:val="0082044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it-IT"/>
    </w:rPr>
  </w:style>
  <w:style w:type="paragraph" w:customStyle="1" w:styleId="xl74">
    <w:name w:val="xl74"/>
    <w:basedOn w:val="Normale"/>
    <w:rsid w:val="0082044A"/>
    <w:pPr>
      <w:pBdr>
        <w:top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it-IT"/>
    </w:rPr>
  </w:style>
  <w:style w:type="paragraph" w:customStyle="1" w:styleId="xl75">
    <w:name w:val="xl75"/>
    <w:basedOn w:val="Normale"/>
    <w:rsid w:val="0082044A"/>
    <w:pPr>
      <w:pBdr>
        <w:top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it-IT"/>
    </w:rPr>
  </w:style>
  <w:style w:type="paragraph" w:customStyle="1" w:styleId="xl76">
    <w:name w:val="xl76"/>
    <w:basedOn w:val="Normale"/>
    <w:rsid w:val="0082044A"/>
    <w:pPr>
      <w:pBdr>
        <w:top w:val="single" w:sz="4" w:space="0" w:color="auto"/>
        <w:left w:val="single" w:sz="4" w:space="0" w:color="auto"/>
        <w:bottom w:val="single" w:sz="4" w:space="0" w:color="auto"/>
        <w:right w:val="single" w:sz="4" w:space="0" w:color="auto"/>
      </w:pBdr>
      <w:shd w:val="clear" w:color="DDEBF7" w:fill="DDEBF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it-IT"/>
    </w:rPr>
  </w:style>
  <w:style w:type="paragraph" w:customStyle="1" w:styleId="xl77">
    <w:name w:val="xl77"/>
    <w:basedOn w:val="Normale"/>
    <w:rsid w:val="0082044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it-IT"/>
    </w:rPr>
  </w:style>
  <w:style w:type="paragraph" w:customStyle="1" w:styleId="xl78">
    <w:name w:val="xl78"/>
    <w:basedOn w:val="Normale"/>
    <w:rsid w:val="0082044A"/>
    <w:pPr>
      <w:pBdr>
        <w:top w:val="single" w:sz="4" w:space="0" w:color="auto"/>
        <w:left w:val="single" w:sz="4" w:space="0" w:color="auto"/>
        <w:right w:val="single" w:sz="4" w:space="0" w:color="auto"/>
      </w:pBdr>
      <w:shd w:val="clear" w:color="DDEBF7" w:fill="DDEBF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it-IT"/>
    </w:rPr>
  </w:style>
  <w:style w:type="paragraph" w:customStyle="1" w:styleId="xl79">
    <w:name w:val="xl79"/>
    <w:basedOn w:val="Normale"/>
    <w:rsid w:val="0082044A"/>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it-IT"/>
    </w:rPr>
  </w:style>
  <w:style w:type="paragraph" w:customStyle="1" w:styleId="xl80">
    <w:name w:val="xl80"/>
    <w:basedOn w:val="Normale"/>
    <w:rsid w:val="0082044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it-IT"/>
    </w:rPr>
  </w:style>
  <w:style w:type="paragraph" w:customStyle="1" w:styleId="xl81">
    <w:name w:val="xl81"/>
    <w:basedOn w:val="Normale"/>
    <w:rsid w:val="0082044A"/>
    <w:pPr>
      <w:pBdr>
        <w:top w:val="single" w:sz="8" w:space="0" w:color="auto"/>
        <w:left w:val="single" w:sz="8" w:space="0" w:color="auto"/>
        <w:bottom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it-IT"/>
    </w:rPr>
  </w:style>
  <w:style w:type="paragraph" w:customStyle="1" w:styleId="xl82">
    <w:name w:val="xl82"/>
    <w:basedOn w:val="Normale"/>
    <w:rsid w:val="0082044A"/>
    <w:pPr>
      <w:pBdr>
        <w:top w:val="single" w:sz="8" w:space="0" w:color="auto"/>
        <w:bottom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it-IT"/>
    </w:rPr>
  </w:style>
  <w:style w:type="paragraph" w:customStyle="1" w:styleId="xl83">
    <w:name w:val="xl83"/>
    <w:basedOn w:val="Normale"/>
    <w:rsid w:val="0082044A"/>
    <w:pPr>
      <w:pBdr>
        <w:top w:val="single" w:sz="8" w:space="0" w:color="auto"/>
        <w:bottom w:val="single" w:sz="8" w:space="0" w:color="auto"/>
        <w:right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it-IT"/>
    </w:rPr>
  </w:style>
  <w:style w:type="paragraph" w:customStyle="1" w:styleId="xl84">
    <w:name w:val="xl84"/>
    <w:basedOn w:val="Normale"/>
    <w:rsid w:val="0082044A"/>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it-IT"/>
    </w:rPr>
  </w:style>
  <w:style w:type="paragraph" w:customStyle="1" w:styleId="xl85">
    <w:name w:val="xl85"/>
    <w:basedOn w:val="Normale"/>
    <w:rsid w:val="0082044A"/>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it-IT"/>
    </w:rPr>
  </w:style>
  <w:style w:type="paragraph" w:customStyle="1" w:styleId="xl86">
    <w:name w:val="xl86"/>
    <w:basedOn w:val="Normale"/>
    <w:rsid w:val="0082044A"/>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it-IT"/>
    </w:rPr>
  </w:style>
  <w:style w:type="paragraph" w:customStyle="1" w:styleId="xl87">
    <w:name w:val="xl87"/>
    <w:basedOn w:val="Normale"/>
    <w:rsid w:val="0082044A"/>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it-IT"/>
    </w:rPr>
  </w:style>
  <w:style w:type="character" w:styleId="Rimandocommento">
    <w:name w:val="annotation reference"/>
    <w:basedOn w:val="Carpredefinitoparagrafo"/>
    <w:uiPriority w:val="99"/>
    <w:semiHidden/>
    <w:unhideWhenUsed/>
    <w:rsid w:val="0082044A"/>
    <w:rPr>
      <w:sz w:val="16"/>
      <w:szCs w:val="16"/>
    </w:rPr>
  </w:style>
  <w:style w:type="character" w:customStyle="1" w:styleId="linkneltesto">
    <w:name w:val="link_nel_testo"/>
    <w:basedOn w:val="Carpredefinitoparagrafo"/>
    <w:rsid w:val="0082044A"/>
    <w:rPr>
      <w:i/>
      <w:iCs/>
    </w:rPr>
  </w:style>
  <w:style w:type="paragraph" w:customStyle="1" w:styleId="Default">
    <w:name w:val="Default"/>
    <w:rsid w:val="0082044A"/>
    <w:pPr>
      <w:autoSpaceDE w:val="0"/>
      <w:autoSpaceDN w:val="0"/>
      <w:adjustRightInd w:val="0"/>
      <w:spacing w:after="0" w:line="240" w:lineRule="auto"/>
    </w:pPr>
    <w:rPr>
      <w:rFonts w:ascii="Calibri" w:hAnsi="Calibri" w:cs="Calibri"/>
      <w:color w:val="000000"/>
      <w:sz w:val="24"/>
      <w:szCs w:val="24"/>
    </w:rPr>
  </w:style>
  <w:style w:type="paragraph" w:customStyle="1" w:styleId="testoart">
    <w:name w:val="testoart"/>
    <w:link w:val="testoartCarattere"/>
    <w:rsid w:val="0082044A"/>
    <w:pPr>
      <w:widowControl w:val="0"/>
      <w:autoSpaceDE w:val="0"/>
      <w:autoSpaceDN w:val="0"/>
      <w:adjustRightInd w:val="0"/>
      <w:spacing w:after="0" w:line="214" w:lineRule="exact"/>
      <w:ind w:firstLine="255"/>
      <w:jc w:val="both"/>
    </w:pPr>
    <w:rPr>
      <w:rFonts w:ascii="Times New Roman" w:eastAsia="Times New Roman" w:hAnsi="Times New Roman" w:cs="Times New Roman"/>
      <w:b/>
      <w:bCs/>
      <w:sz w:val="19"/>
      <w:szCs w:val="18"/>
      <w:lang w:eastAsia="it-IT"/>
    </w:rPr>
  </w:style>
  <w:style w:type="character" w:customStyle="1" w:styleId="testoartCarattere">
    <w:name w:val="testoart Carattere"/>
    <w:link w:val="testoart"/>
    <w:rsid w:val="0082044A"/>
    <w:rPr>
      <w:rFonts w:ascii="Times New Roman" w:eastAsia="Times New Roman" w:hAnsi="Times New Roman" w:cs="Times New Roman"/>
      <w:b/>
      <w:bCs/>
      <w:sz w:val="19"/>
      <w:szCs w:val="18"/>
      <w:lang w:eastAsia="it-IT"/>
    </w:rPr>
  </w:style>
  <w:style w:type="table" w:customStyle="1" w:styleId="Tabellagriglia4-colore11">
    <w:name w:val="Tabella griglia 4 - colore 11"/>
    <w:basedOn w:val="Tabellanormale"/>
    <w:uiPriority w:val="49"/>
    <w:rsid w:val="00090DC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itolo3Carattere">
    <w:name w:val="Titolo 3 Carattere"/>
    <w:basedOn w:val="Carpredefinitoparagrafo"/>
    <w:link w:val="Titolo3"/>
    <w:uiPriority w:val="9"/>
    <w:rsid w:val="00BD36D2"/>
    <w:rPr>
      <w:rFonts w:ascii="Garamond" w:eastAsiaTheme="majorEastAsia" w:hAnsi="Garamond" w:cstheme="majorBidi"/>
      <w:b/>
      <w:bCs/>
      <w:color w:val="4F81BD" w:themeColor="accent1"/>
      <w:sz w:val="25"/>
      <w:szCs w:val="25"/>
      <w:lang w:eastAsia="it-IT"/>
    </w:rPr>
  </w:style>
  <w:style w:type="character" w:customStyle="1" w:styleId="Titolo4Carattere">
    <w:name w:val="Titolo 4 Carattere"/>
    <w:basedOn w:val="Carpredefinitoparagrafo"/>
    <w:link w:val="Titolo4"/>
    <w:rsid w:val="00BD36D2"/>
    <w:rPr>
      <w:rFonts w:ascii="Cambria" w:eastAsia="Times New Roman" w:hAnsi="Cambria" w:cs="Times New Roman"/>
      <w:b/>
      <w:bCs/>
      <w:i/>
      <w:iCs/>
      <w:color w:val="4F81BD"/>
      <w:sz w:val="24"/>
      <w:szCs w:val="24"/>
      <w:lang w:eastAsia="it-IT"/>
    </w:rPr>
  </w:style>
  <w:style w:type="paragraph" w:styleId="Titolosommario">
    <w:name w:val="TOC Heading"/>
    <w:basedOn w:val="Titolo1"/>
    <w:next w:val="Normale"/>
    <w:uiPriority w:val="39"/>
    <w:unhideWhenUsed/>
    <w:qFormat/>
    <w:rsid w:val="00BD36D2"/>
    <w:pPr>
      <w:jc w:val="center"/>
      <w:outlineLvl w:val="9"/>
    </w:pPr>
    <w:rPr>
      <w:rFonts w:ascii="Garamond" w:eastAsiaTheme="minorHAnsi" w:hAnsi="Garamond"/>
    </w:rPr>
  </w:style>
  <w:style w:type="character" w:styleId="Rimandonotaapidipagina">
    <w:name w:val="footnote reference"/>
    <w:aliases w:val="SUPERS,EN Footnote Reference,number,Footnote Reference Number,Footnote Reference_LVL6,Footnote Reference_LVL61,Footnote Reference_LVL62,Footnote Reference_LVL63,Footnote Reference_LVL64,ftref,fr,Footnote symbol,normal,Char1"/>
    <w:uiPriority w:val="99"/>
    <w:unhideWhenUsed/>
    <w:rsid w:val="00BD36D2"/>
    <w:rPr>
      <w:vertAlign w:val="superscript"/>
    </w:rPr>
  </w:style>
  <w:style w:type="paragraph" w:styleId="Testonotaapidipagina">
    <w:name w:val="footnote text"/>
    <w:aliases w:val="Carattere,Testo nota a piè di pagina Carattere Carattere Carattere,Testo nota a piè di pagina Carattere Carattere,Caratt, Carattere,Testo nota a piè di pagina Carattere Carattere Carattere ,Footnote Text Char Char,single space"/>
    <w:basedOn w:val="Normale"/>
    <w:link w:val="TestonotaapidipaginaCarattere1"/>
    <w:unhideWhenUsed/>
    <w:qFormat/>
    <w:rsid w:val="00BD36D2"/>
    <w:pPr>
      <w:spacing w:after="0" w:line="240" w:lineRule="auto"/>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aliases w:val="Carattere Carattere1,Testo nota a piè di pagina Carattere Carattere Carattere Carattere1,Testo nota a piè di pagina Carattere Carattere Carattere2,Caratt Carattere1,Footnote Text Char Char Carattere"/>
    <w:basedOn w:val="Carpredefinitoparagrafo"/>
    <w:link w:val="Testonotaapidipagina1"/>
    <w:uiPriority w:val="99"/>
    <w:rsid w:val="00BD36D2"/>
    <w:rPr>
      <w:sz w:val="20"/>
      <w:szCs w:val="20"/>
    </w:rPr>
  </w:style>
  <w:style w:type="character" w:customStyle="1" w:styleId="TestonotaapidipaginaCarattere1">
    <w:name w:val="Testo nota a piè di pagina Carattere1"/>
    <w:aliases w:val="Carattere Carattere,Testo nota a piè di pagina Carattere Carattere Carattere Carattere,Testo nota a piè di pagina Carattere Carattere Carattere1,Caratt Carattere, Carattere Carattere,single space Carattere"/>
    <w:basedOn w:val="Carpredefinitoparagrafo"/>
    <w:link w:val="Testonotaapidipagina"/>
    <w:rsid w:val="00BD36D2"/>
    <w:rPr>
      <w:rFonts w:ascii="Times New Roman" w:eastAsia="Times New Roman" w:hAnsi="Times New Roman" w:cs="Times New Roman"/>
      <w:sz w:val="20"/>
      <w:szCs w:val="20"/>
      <w:lang w:eastAsia="it-IT"/>
    </w:rPr>
  </w:style>
  <w:style w:type="table" w:customStyle="1" w:styleId="Grigliatabella1">
    <w:name w:val="Griglia tabella1"/>
    <w:basedOn w:val="Tabellanormale"/>
    <w:next w:val="Grigliatabella"/>
    <w:uiPriority w:val="59"/>
    <w:rsid w:val="00BD36D2"/>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stonotaapidipagina1">
    <w:name w:val="Testo nota a piè di pagina1"/>
    <w:basedOn w:val="Normale"/>
    <w:next w:val="Testonotaapidipagina"/>
    <w:link w:val="TestonotaapidipaginaCarattere"/>
    <w:uiPriority w:val="99"/>
    <w:semiHidden/>
    <w:unhideWhenUsed/>
    <w:rsid w:val="00BD36D2"/>
    <w:pPr>
      <w:spacing w:after="0" w:line="240" w:lineRule="auto"/>
    </w:pPr>
    <w:rPr>
      <w:sz w:val="20"/>
      <w:szCs w:val="20"/>
    </w:rPr>
  </w:style>
  <w:style w:type="paragraph" w:styleId="Sommario3">
    <w:name w:val="toc 3"/>
    <w:basedOn w:val="Normale"/>
    <w:next w:val="Normale"/>
    <w:autoRedefine/>
    <w:uiPriority w:val="39"/>
    <w:unhideWhenUsed/>
    <w:rsid w:val="00BD36D2"/>
    <w:pPr>
      <w:spacing w:after="100" w:line="240" w:lineRule="auto"/>
      <w:ind w:left="480"/>
    </w:pPr>
    <w:rPr>
      <w:rFonts w:ascii="Times New Roman" w:eastAsia="Times New Roman" w:hAnsi="Times New Roman" w:cs="Times New Roman"/>
      <w:sz w:val="24"/>
      <w:szCs w:val="24"/>
      <w:lang w:eastAsia="it-IT"/>
    </w:rPr>
  </w:style>
  <w:style w:type="numbering" w:customStyle="1" w:styleId="Nessunelenco11">
    <w:name w:val="Nessun elenco11"/>
    <w:next w:val="Nessunelenco"/>
    <w:uiPriority w:val="99"/>
    <w:semiHidden/>
    <w:unhideWhenUsed/>
    <w:rsid w:val="00BD36D2"/>
  </w:style>
  <w:style w:type="table" w:customStyle="1" w:styleId="Grigliamedia1-Colore11">
    <w:name w:val="Griglia media 1 - Colore 11"/>
    <w:basedOn w:val="Tabellanormale"/>
    <w:next w:val="Grigliamedia1-Colore1"/>
    <w:uiPriority w:val="67"/>
    <w:rsid w:val="00BD36D2"/>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Grigliamedia1-Colore1">
    <w:name w:val="Medium Grid 1 Accent 1"/>
    <w:basedOn w:val="Tabellanormale"/>
    <w:uiPriority w:val="67"/>
    <w:rsid w:val="00BD36D2"/>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Revisione">
    <w:name w:val="Revision"/>
    <w:hidden/>
    <w:uiPriority w:val="99"/>
    <w:semiHidden/>
    <w:rsid w:val="00BD36D2"/>
    <w:pPr>
      <w:spacing w:after="0" w:line="240" w:lineRule="auto"/>
    </w:pPr>
    <w:rPr>
      <w:rFonts w:ascii="Times New Roman" w:eastAsia="Times New Roman" w:hAnsi="Times New Roman" w:cs="Times New Roman"/>
      <w:sz w:val="24"/>
      <w:szCs w:val="24"/>
      <w:lang w:eastAsia="it-IT"/>
    </w:rPr>
  </w:style>
  <w:style w:type="paragraph" w:customStyle="1" w:styleId="Normale1">
    <w:name w:val="Normale1"/>
    <w:basedOn w:val="Normale"/>
    <w:uiPriority w:val="99"/>
    <w:rsid w:val="00BD36D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char">
    <w:name w:val="normal__char"/>
    <w:uiPriority w:val="99"/>
    <w:rsid w:val="00BD36D2"/>
    <w:rPr>
      <w:rFonts w:cs="Times New Roman"/>
    </w:rPr>
  </w:style>
  <w:style w:type="character" w:customStyle="1" w:styleId="apple-converted-space">
    <w:name w:val="apple-converted-space"/>
    <w:rsid w:val="00BD36D2"/>
    <w:rPr>
      <w:rFonts w:cs="Times New Roman"/>
    </w:rPr>
  </w:style>
  <w:style w:type="paragraph" w:customStyle="1" w:styleId="list0020paragraph">
    <w:name w:val="list_0020paragraph"/>
    <w:basedOn w:val="Normale"/>
    <w:uiPriority w:val="99"/>
    <w:rsid w:val="00BD36D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normale10">
    <w:name w:val="normale1"/>
    <w:basedOn w:val="Normale"/>
    <w:uiPriority w:val="99"/>
    <w:rsid w:val="00BD36D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charchar">
    <w:name w:val="normal____char__char"/>
    <w:uiPriority w:val="99"/>
    <w:rsid w:val="00BD36D2"/>
    <w:rPr>
      <w:rFonts w:cs="Times New Roman"/>
    </w:rPr>
  </w:style>
  <w:style w:type="character" w:customStyle="1" w:styleId="descrizione">
    <w:name w:val="descrizione"/>
    <w:rsid w:val="00BD36D2"/>
    <w:rPr>
      <w:b/>
      <w:bCs/>
      <w:color w:val="5B76A0"/>
      <w:sz w:val="28"/>
      <w:szCs w:val="28"/>
    </w:rPr>
  </w:style>
  <w:style w:type="paragraph" w:customStyle="1" w:styleId="Titolo11">
    <w:name w:val="Titolo 11"/>
    <w:basedOn w:val="Normale"/>
    <w:next w:val="Normale"/>
    <w:uiPriority w:val="9"/>
    <w:qFormat/>
    <w:rsid w:val="00BD36D2"/>
    <w:pPr>
      <w:keepNext/>
      <w:keepLines/>
      <w:spacing w:before="360" w:after="0" w:line="240" w:lineRule="auto"/>
      <w:outlineLvl w:val="0"/>
    </w:pPr>
    <w:rPr>
      <w:rFonts w:ascii="Cambria" w:eastAsia="Times New Roman" w:hAnsi="Cambria" w:cs="Times New Roman"/>
      <w:bCs/>
      <w:color w:val="1F497D"/>
      <w:sz w:val="32"/>
      <w:szCs w:val="28"/>
    </w:rPr>
  </w:style>
  <w:style w:type="numbering" w:customStyle="1" w:styleId="Nessunelenco111">
    <w:name w:val="Nessun elenco111"/>
    <w:next w:val="Nessunelenco"/>
    <w:uiPriority w:val="99"/>
    <w:semiHidden/>
    <w:unhideWhenUsed/>
    <w:rsid w:val="00BD36D2"/>
  </w:style>
  <w:style w:type="paragraph" w:customStyle="1" w:styleId="Titolosommario1">
    <w:name w:val="Titolo sommario1"/>
    <w:basedOn w:val="Titolo1"/>
    <w:next w:val="Normale"/>
    <w:uiPriority w:val="39"/>
    <w:semiHidden/>
    <w:unhideWhenUsed/>
    <w:qFormat/>
    <w:rsid w:val="00BD36D2"/>
    <w:pPr>
      <w:spacing w:line="240" w:lineRule="auto"/>
      <w:jc w:val="center"/>
    </w:pPr>
    <w:rPr>
      <w:rFonts w:ascii="Cambria" w:eastAsia="Times New Roman" w:hAnsi="Cambria" w:cs="Times New Roman"/>
      <w:b w:val="0"/>
      <w:color w:val="1F497D"/>
      <w:sz w:val="32"/>
    </w:rPr>
  </w:style>
  <w:style w:type="paragraph" w:customStyle="1" w:styleId="Sommario11">
    <w:name w:val="Sommario 11"/>
    <w:basedOn w:val="Normale"/>
    <w:next w:val="Normale"/>
    <w:autoRedefine/>
    <w:uiPriority w:val="39"/>
    <w:unhideWhenUsed/>
    <w:rsid w:val="00BD36D2"/>
    <w:pPr>
      <w:spacing w:after="100"/>
    </w:pPr>
    <w:rPr>
      <w:rFonts w:ascii="Calibri" w:eastAsia="Calibri" w:hAnsi="Calibri" w:cs="Times New Roman"/>
    </w:rPr>
  </w:style>
  <w:style w:type="table" w:customStyle="1" w:styleId="Grigliatabella11">
    <w:name w:val="Griglia tabella11"/>
    <w:basedOn w:val="Tabellanormale"/>
    <w:next w:val="Grigliatabella"/>
    <w:uiPriority w:val="59"/>
    <w:rsid w:val="00BD36D2"/>
    <w:pPr>
      <w:spacing w:after="0" w:line="240" w:lineRule="auto"/>
    </w:pPr>
    <w:rPr>
      <w:rFonts w:ascii="Calibri" w:eastAsia="Calibri" w:hAnsi="Calibri" w:cs="Times New Roman"/>
      <w:sz w:val="20"/>
      <w:szCs w:val="20"/>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stocommento1">
    <w:name w:val="Testo commento1"/>
    <w:basedOn w:val="Normale"/>
    <w:next w:val="Testocommento"/>
    <w:uiPriority w:val="99"/>
    <w:semiHidden/>
    <w:unhideWhenUsed/>
    <w:rsid w:val="00BD36D2"/>
    <w:pPr>
      <w:spacing w:line="240" w:lineRule="auto"/>
    </w:pPr>
    <w:rPr>
      <w:rFonts w:ascii="Calibri" w:eastAsia="Calibri" w:hAnsi="Calibri" w:cs="Times New Roman"/>
      <w:sz w:val="20"/>
      <w:szCs w:val="20"/>
    </w:rPr>
  </w:style>
  <w:style w:type="paragraph" w:customStyle="1" w:styleId="Soggettocommento1">
    <w:name w:val="Soggetto commento1"/>
    <w:basedOn w:val="Testocommento"/>
    <w:next w:val="Testocommento"/>
    <w:uiPriority w:val="99"/>
    <w:semiHidden/>
    <w:unhideWhenUsed/>
    <w:rsid w:val="00BD36D2"/>
    <w:rPr>
      <w:rFonts w:ascii="Calibri" w:eastAsia="Calibri" w:hAnsi="Calibri" w:cs="Times New Roman"/>
      <w:b/>
      <w:bCs/>
    </w:rPr>
  </w:style>
  <w:style w:type="character" w:customStyle="1" w:styleId="Titolo1Carattere1">
    <w:name w:val="Titolo 1 Carattere1"/>
    <w:uiPriority w:val="9"/>
    <w:rsid w:val="00BD36D2"/>
    <w:rPr>
      <w:rFonts w:ascii="Cambria" w:eastAsia="Times New Roman" w:hAnsi="Cambria" w:cs="Times New Roman"/>
      <w:b/>
      <w:bCs/>
      <w:color w:val="365F91"/>
      <w:sz w:val="28"/>
      <w:szCs w:val="28"/>
      <w:lang w:eastAsia="it-IT"/>
    </w:rPr>
  </w:style>
  <w:style w:type="character" w:customStyle="1" w:styleId="TestocommentoCarattere1">
    <w:name w:val="Testo commento Carattere1"/>
    <w:uiPriority w:val="99"/>
    <w:semiHidden/>
    <w:rsid w:val="00BD36D2"/>
    <w:rPr>
      <w:rFonts w:ascii="Times New Roman" w:eastAsia="Times New Roman" w:hAnsi="Times New Roman" w:cs="Times New Roman"/>
      <w:sz w:val="20"/>
      <w:szCs w:val="20"/>
      <w:lang w:eastAsia="it-IT"/>
    </w:rPr>
  </w:style>
  <w:style w:type="character" w:customStyle="1" w:styleId="SoggettocommentoCarattere1">
    <w:name w:val="Soggetto commento Carattere1"/>
    <w:uiPriority w:val="99"/>
    <w:semiHidden/>
    <w:rsid w:val="00BD36D2"/>
    <w:rPr>
      <w:rFonts w:ascii="Times New Roman" w:eastAsia="Times New Roman" w:hAnsi="Times New Roman" w:cs="Times New Roman"/>
      <w:b/>
      <w:bCs/>
      <w:sz w:val="20"/>
      <w:szCs w:val="20"/>
      <w:lang w:eastAsia="it-IT"/>
    </w:rPr>
  </w:style>
  <w:style w:type="table" w:customStyle="1" w:styleId="Grigliatabella2">
    <w:name w:val="Griglia tabella2"/>
    <w:basedOn w:val="Tabellanormale"/>
    <w:next w:val="Grigliatabella"/>
    <w:uiPriority w:val="59"/>
    <w:rsid w:val="00BD36D2"/>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mmario4">
    <w:name w:val="toc 4"/>
    <w:basedOn w:val="Normale"/>
    <w:next w:val="Normale"/>
    <w:autoRedefine/>
    <w:uiPriority w:val="39"/>
    <w:unhideWhenUsed/>
    <w:rsid w:val="00BD36D2"/>
    <w:pPr>
      <w:spacing w:after="100"/>
      <w:ind w:left="660"/>
    </w:pPr>
    <w:rPr>
      <w:rFonts w:ascii="Calibri" w:eastAsia="Times New Roman" w:hAnsi="Calibri" w:cs="Times New Roman"/>
      <w:lang w:eastAsia="it-IT"/>
    </w:rPr>
  </w:style>
  <w:style w:type="paragraph" w:styleId="Sommario5">
    <w:name w:val="toc 5"/>
    <w:basedOn w:val="Normale"/>
    <w:next w:val="Normale"/>
    <w:autoRedefine/>
    <w:uiPriority w:val="39"/>
    <w:unhideWhenUsed/>
    <w:rsid w:val="00BD36D2"/>
    <w:pPr>
      <w:spacing w:after="100"/>
      <w:ind w:left="880"/>
    </w:pPr>
    <w:rPr>
      <w:rFonts w:ascii="Calibri" w:eastAsia="Times New Roman" w:hAnsi="Calibri" w:cs="Times New Roman"/>
      <w:lang w:eastAsia="it-IT"/>
    </w:rPr>
  </w:style>
  <w:style w:type="paragraph" w:styleId="Sommario6">
    <w:name w:val="toc 6"/>
    <w:basedOn w:val="Normale"/>
    <w:next w:val="Normale"/>
    <w:autoRedefine/>
    <w:uiPriority w:val="39"/>
    <w:unhideWhenUsed/>
    <w:rsid w:val="00BD36D2"/>
    <w:pPr>
      <w:spacing w:after="100"/>
      <w:ind w:left="1100"/>
    </w:pPr>
    <w:rPr>
      <w:rFonts w:ascii="Calibri" w:eastAsia="Times New Roman" w:hAnsi="Calibri" w:cs="Times New Roman"/>
      <w:lang w:eastAsia="it-IT"/>
    </w:rPr>
  </w:style>
  <w:style w:type="paragraph" w:styleId="Sommario7">
    <w:name w:val="toc 7"/>
    <w:basedOn w:val="Normale"/>
    <w:next w:val="Normale"/>
    <w:autoRedefine/>
    <w:uiPriority w:val="39"/>
    <w:unhideWhenUsed/>
    <w:rsid w:val="00BD36D2"/>
    <w:pPr>
      <w:spacing w:after="100"/>
      <w:ind w:left="1320"/>
    </w:pPr>
    <w:rPr>
      <w:rFonts w:ascii="Calibri" w:eastAsia="Times New Roman" w:hAnsi="Calibri" w:cs="Times New Roman"/>
      <w:lang w:eastAsia="it-IT"/>
    </w:rPr>
  </w:style>
  <w:style w:type="paragraph" w:styleId="Sommario8">
    <w:name w:val="toc 8"/>
    <w:basedOn w:val="Normale"/>
    <w:next w:val="Normale"/>
    <w:autoRedefine/>
    <w:uiPriority w:val="39"/>
    <w:unhideWhenUsed/>
    <w:rsid w:val="00BD36D2"/>
    <w:pPr>
      <w:spacing w:after="100"/>
      <w:ind w:left="1540"/>
    </w:pPr>
    <w:rPr>
      <w:rFonts w:ascii="Calibri" w:eastAsia="Times New Roman" w:hAnsi="Calibri" w:cs="Times New Roman"/>
      <w:lang w:eastAsia="it-IT"/>
    </w:rPr>
  </w:style>
  <w:style w:type="paragraph" w:styleId="Sommario9">
    <w:name w:val="toc 9"/>
    <w:basedOn w:val="Normale"/>
    <w:next w:val="Normale"/>
    <w:autoRedefine/>
    <w:uiPriority w:val="39"/>
    <w:unhideWhenUsed/>
    <w:rsid w:val="00BD36D2"/>
    <w:pPr>
      <w:spacing w:after="100"/>
      <w:ind w:left="1760"/>
    </w:pPr>
    <w:rPr>
      <w:rFonts w:ascii="Calibri" w:eastAsia="Times New Roman" w:hAnsi="Calibri" w:cs="Times New Roman"/>
      <w:lang w:eastAsia="it-IT"/>
    </w:rPr>
  </w:style>
  <w:style w:type="paragraph" w:customStyle="1" w:styleId="xl88">
    <w:name w:val="xl88"/>
    <w:basedOn w:val="Normale"/>
    <w:rsid w:val="00BD36D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it-IT"/>
    </w:rPr>
  </w:style>
  <w:style w:type="paragraph" w:customStyle="1" w:styleId="xl89">
    <w:name w:val="xl89"/>
    <w:basedOn w:val="Normale"/>
    <w:rsid w:val="00BD36D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it-IT"/>
    </w:rPr>
  </w:style>
  <w:style w:type="paragraph" w:customStyle="1" w:styleId="xl90">
    <w:name w:val="xl90"/>
    <w:basedOn w:val="Normale"/>
    <w:rsid w:val="00BD36D2"/>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it-IT"/>
    </w:rPr>
  </w:style>
  <w:style w:type="paragraph" w:customStyle="1" w:styleId="xl91">
    <w:name w:val="xl91"/>
    <w:basedOn w:val="Normale"/>
    <w:rsid w:val="00BD36D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it-IT"/>
    </w:rPr>
  </w:style>
  <w:style w:type="paragraph" w:customStyle="1" w:styleId="xl92">
    <w:name w:val="xl92"/>
    <w:basedOn w:val="Normale"/>
    <w:rsid w:val="00BD36D2"/>
    <w:pPr>
      <w:pBdr>
        <w:top w:val="single" w:sz="4" w:space="0" w:color="auto"/>
        <w:bottom w:val="single" w:sz="4" w:space="0" w:color="auto"/>
      </w:pBdr>
      <w:shd w:val="clear" w:color="4F81BD" w:fill="4F81BD"/>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it-IT"/>
    </w:rPr>
  </w:style>
  <w:style w:type="table" w:customStyle="1" w:styleId="Elencochiaro-Colore11">
    <w:name w:val="Elenco chiaro - Colore 11"/>
    <w:basedOn w:val="Tabellanormale"/>
    <w:uiPriority w:val="61"/>
    <w:rsid w:val="00BD36D2"/>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1">
    <w:name w:val="Body 1"/>
    <w:rsid w:val="00BD36D2"/>
    <w:pPr>
      <w:suppressAutoHyphens/>
      <w:outlineLvl w:val="0"/>
    </w:pPr>
    <w:rPr>
      <w:rFonts w:ascii="Helvetica" w:eastAsia="Arial Unicode MS" w:hAnsi="Helvetica" w:cs="Times New Roman"/>
      <w:color w:val="000000"/>
      <w:szCs w:val="20"/>
      <w:u w:color="000000"/>
      <w:lang w:eastAsia="it-IT"/>
    </w:rPr>
  </w:style>
  <w:style w:type="paragraph" w:styleId="Sottotitolo">
    <w:name w:val="Subtitle"/>
    <w:basedOn w:val="Normale"/>
    <w:next w:val="Normale"/>
    <w:link w:val="SottotitoloCarattere"/>
    <w:uiPriority w:val="11"/>
    <w:qFormat/>
    <w:rsid w:val="00BD36D2"/>
    <w:pPr>
      <w:numPr>
        <w:ilvl w:val="1"/>
      </w:numPr>
      <w:spacing w:after="0" w:line="240" w:lineRule="auto"/>
    </w:pPr>
    <w:rPr>
      <w:rFonts w:ascii="Cambria" w:eastAsia="Times New Roman" w:hAnsi="Cambria" w:cs="Times New Roman"/>
      <w:i/>
      <w:iCs/>
      <w:color w:val="4F81BD"/>
      <w:spacing w:val="15"/>
      <w:sz w:val="24"/>
      <w:szCs w:val="24"/>
      <w:lang w:val="en-US"/>
    </w:rPr>
  </w:style>
  <w:style w:type="character" w:customStyle="1" w:styleId="SottotitoloCarattere">
    <w:name w:val="Sottotitolo Carattere"/>
    <w:basedOn w:val="Carpredefinitoparagrafo"/>
    <w:link w:val="Sottotitolo"/>
    <w:uiPriority w:val="11"/>
    <w:rsid w:val="00BD36D2"/>
    <w:rPr>
      <w:rFonts w:ascii="Cambria" w:eastAsia="Times New Roman" w:hAnsi="Cambria" w:cs="Times New Roman"/>
      <w:i/>
      <w:iCs/>
      <w:color w:val="4F81BD"/>
      <w:spacing w:val="15"/>
      <w:sz w:val="24"/>
      <w:szCs w:val="24"/>
      <w:lang w:val="en-US"/>
    </w:rPr>
  </w:style>
  <w:style w:type="paragraph" w:styleId="Didascalia">
    <w:name w:val="caption"/>
    <w:basedOn w:val="Normale"/>
    <w:next w:val="Normale"/>
    <w:uiPriority w:val="35"/>
    <w:unhideWhenUsed/>
    <w:qFormat/>
    <w:rsid w:val="00BD36D2"/>
    <w:pPr>
      <w:spacing w:line="240" w:lineRule="auto"/>
    </w:pPr>
    <w:rPr>
      <w:rFonts w:ascii="Calibri" w:eastAsia="Calibri" w:hAnsi="Calibri" w:cs="Times New Roman"/>
      <w:b/>
      <w:bCs/>
      <w:color w:val="4F81BD"/>
      <w:sz w:val="18"/>
      <w:szCs w:val="18"/>
    </w:rPr>
  </w:style>
  <w:style w:type="paragraph" w:styleId="Corpotesto">
    <w:name w:val="Body Text"/>
    <w:basedOn w:val="Normale"/>
    <w:link w:val="CorpotestoCarattere"/>
    <w:rsid w:val="00BD36D2"/>
    <w:pPr>
      <w:widowControl w:val="0"/>
      <w:spacing w:after="120" w:line="240" w:lineRule="auto"/>
    </w:pPr>
    <w:rPr>
      <w:rFonts w:ascii="Times New Roman" w:eastAsia="Times New Roman" w:hAnsi="Times New Roman" w:cs="Times New Roman"/>
      <w:noProof/>
      <w:color w:val="000000"/>
      <w:sz w:val="24"/>
      <w:szCs w:val="20"/>
      <w:lang w:eastAsia="it-IT"/>
    </w:rPr>
  </w:style>
  <w:style w:type="character" w:customStyle="1" w:styleId="CorpotestoCarattere">
    <w:name w:val="Corpo testo Carattere"/>
    <w:basedOn w:val="Carpredefinitoparagrafo"/>
    <w:link w:val="Corpotesto"/>
    <w:rsid w:val="00BD36D2"/>
    <w:rPr>
      <w:rFonts w:ascii="Times New Roman" w:eastAsia="Times New Roman" w:hAnsi="Times New Roman" w:cs="Times New Roman"/>
      <w:noProof/>
      <w:color w:val="000000"/>
      <w:sz w:val="24"/>
      <w:szCs w:val="20"/>
      <w:lang w:eastAsia="it-IT"/>
    </w:rPr>
  </w:style>
  <w:style w:type="paragraph" w:customStyle="1" w:styleId="provvr0">
    <w:name w:val="provv_r0"/>
    <w:basedOn w:val="Normale"/>
    <w:rsid w:val="00BD36D2"/>
    <w:pPr>
      <w:spacing w:before="100"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Paragrafoelenco1">
    <w:name w:val="Paragrafo elenco1"/>
    <w:basedOn w:val="Normale"/>
    <w:rsid w:val="00BD36D2"/>
    <w:pPr>
      <w:spacing w:after="0" w:line="240" w:lineRule="auto"/>
      <w:ind w:left="720"/>
      <w:contextualSpacing/>
    </w:pPr>
    <w:rPr>
      <w:rFonts w:ascii="Times New Roman" w:eastAsia="Times New Roman" w:hAnsi="Times New Roman" w:cs="Times New Roman"/>
      <w:sz w:val="24"/>
      <w:szCs w:val="24"/>
      <w:lang w:eastAsia="it-IT"/>
    </w:rPr>
  </w:style>
  <w:style w:type="table" w:styleId="Sfondomedio1-Colore1">
    <w:name w:val="Medium Shading 1 Accent 1"/>
    <w:basedOn w:val="Tabellanormale"/>
    <w:uiPriority w:val="63"/>
    <w:rsid w:val="00BD36D2"/>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Capoverso">
    <w:name w:val="Capoverso"/>
    <w:uiPriority w:val="99"/>
    <w:rsid w:val="00BD36D2"/>
    <w:pPr>
      <w:widowControl w:val="0"/>
      <w:tabs>
        <w:tab w:val="left" w:pos="360"/>
      </w:tabs>
      <w:spacing w:after="0" w:line="268" w:lineRule="exact"/>
      <w:ind w:firstLine="284"/>
      <w:jc w:val="both"/>
    </w:pPr>
    <w:rPr>
      <w:rFonts w:ascii="Simoncini Garamond" w:eastAsia="Times New Roman" w:hAnsi="Simoncini Garamond" w:cs="Times New Roman"/>
      <w:sz w:val="23"/>
      <w:lang w:eastAsia="it-IT"/>
    </w:rPr>
  </w:style>
  <w:style w:type="paragraph" w:styleId="PreformattatoHTML">
    <w:name w:val="HTML Preformatted"/>
    <w:basedOn w:val="Normale"/>
    <w:link w:val="PreformattatoHTMLCarattere"/>
    <w:uiPriority w:val="99"/>
    <w:unhideWhenUsed/>
    <w:rsid w:val="00BD36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BD36D2"/>
    <w:rPr>
      <w:rFonts w:ascii="Courier New" w:eastAsia="Times New Roman" w:hAnsi="Courier New" w:cs="Courier New"/>
      <w:sz w:val="20"/>
      <w:szCs w:val="20"/>
      <w:lang w:eastAsia="it-IT"/>
    </w:rPr>
  </w:style>
  <w:style w:type="table" w:styleId="Grigliamedia3-Colore1">
    <w:name w:val="Medium Grid 3 Accent 1"/>
    <w:basedOn w:val="Tabellanormale"/>
    <w:uiPriority w:val="69"/>
    <w:rsid w:val="00BD36D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Grigliamedia1-Colore113">
    <w:name w:val="Griglia media 1 - Colore 113"/>
    <w:basedOn w:val="Tabellanormale"/>
    <w:next w:val="Grigliamedia1-Colore1"/>
    <w:uiPriority w:val="67"/>
    <w:rsid w:val="00BD36D2"/>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Grigliamedia1-Colore114">
    <w:name w:val="Griglia media 1 - Colore 114"/>
    <w:basedOn w:val="Tabellanormale"/>
    <w:next w:val="Grigliamedia1-Colore1"/>
    <w:uiPriority w:val="67"/>
    <w:rsid w:val="00BD36D2"/>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ParagrafoelencoCarattere">
    <w:name w:val="Paragrafo elenco Carattere"/>
    <w:link w:val="Paragrafoelenco"/>
    <w:uiPriority w:val="34"/>
    <w:locked/>
    <w:rsid w:val="00BD36D2"/>
  </w:style>
  <w:style w:type="table" w:customStyle="1" w:styleId="Grigliatabella3">
    <w:name w:val="Griglia tabella3"/>
    <w:basedOn w:val="Tabellanormale"/>
    <w:next w:val="Grigliatabella"/>
    <w:uiPriority w:val="59"/>
    <w:rsid w:val="00BD3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media1-Colore111">
    <w:name w:val="Griglia media 1 - Colore 111"/>
    <w:basedOn w:val="Tabellanormale"/>
    <w:next w:val="Grigliamedia1-Colore1"/>
    <w:uiPriority w:val="67"/>
    <w:rsid w:val="00BD36D2"/>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numbering" w:customStyle="1" w:styleId="Nessunelenco2">
    <w:name w:val="Nessun elenco2"/>
    <w:next w:val="Nessunelenco"/>
    <w:uiPriority w:val="99"/>
    <w:semiHidden/>
    <w:unhideWhenUsed/>
    <w:rsid w:val="00BD36D2"/>
  </w:style>
  <w:style w:type="table" w:customStyle="1" w:styleId="Grigliamedia1-Colore112">
    <w:name w:val="Griglia media 1 - Colore 112"/>
    <w:basedOn w:val="Tabellanormale"/>
    <w:next w:val="Grigliamedia1-Colore1"/>
    <w:uiPriority w:val="67"/>
    <w:rsid w:val="00BD36D2"/>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Grigliamedia1-Colore12">
    <w:name w:val="Griglia media 1 - Colore 12"/>
    <w:basedOn w:val="Tabellanormale"/>
    <w:next w:val="Grigliamedia1-Colore1"/>
    <w:uiPriority w:val="67"/>
    <w:rsid w:val="00BD36D2"/>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Grigliatabella4">
    <w:name w:val="Griglia tabella4"/>
    <w:basedOn w:val="Tabellanormale"/>
    <w:next w:val="Grigliatabella"/>
    <w:uiPriority w:val="59"/>
    <w:rsid w:val="00BD36D2"/>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2">
    <w:name w:val="Nessun elenco12"/>
    <w:next w:val="Nessunelenco"/>
    <w:uiPriority w:val="99"/>
    <w:semiHidden/>
    <w:unhideWhenUsed/>
    <w:rsid w:val="00BD36D2"/>
  </w:style>
  <w:style w:type="table" w:customStyle="1" w:styleId="Grigliatabella12">
    <w:name w:val="Griglia tabella12"/>
    <w:basedOn w:val="Tabellanormale"/>
    <w:next w:val="Grigliatabella"/>
    <w:uiPriority w:val="59"/>
    <w:rsid w:val="00BD36D2"/>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59"/>
    <w:rsid w:val="00BD36D2"/>
    <w:pPr>
      <w:spacing w:after="0" w:line="240" w:lineRule="auto"/>
    </w:pPr>
    <w:rPr>
      <w:rFonts w:ascii="Calibri" w:eastAsia="Calibri" w:hAnsi="Calibri" w:cs="Times New Roman"/>
      <w:sz w:val="20"/>
      <w:szCs w:val="20"/>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21">
    <w:name w:val="Griglia tabella21"/>
    <w:basedOn w:val="Tabellanormale"/>
    <w:next w:val="Grigliatabella"/>
    <w:uiPriority w:val="59"/>
    <w:rsid w:val="00BD36D2"/>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ncochiaro-Colore111">
    <w:name w:val="Elenco chiaro - Colore 111"/>
    <w:basedOn w:val="Tabellanormale"/>
    <w:uiPriority w:val="61"/>
    <w:rsid w:val="00BD36D2"/>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fondomedio1-Colore11">
    <w:name w:val="Sfondo medio 1 - Colore 11"/>
    <w:basedOn w:val="Tabellanormale"/>
    <w:next w:val="Sfondomedio1-Colore1"/>
    <w:uiPriority w:val="63"/>
    <w:rsid w:val="00BD36D2"/>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provvnumcomma">
    <w:name w:val="provv_numcomma"/>
    <w:basedOn w:val="Carpredefinitoparagrafo"/>
    <w:rsid w:val="00BD36D2"/>
  </w:style>
  <w:style w:type="paragraph" w:styleId="Testonotadichiusura">
    <w:name w:val="endnote text"/>
    <w:basedOn w:val="Normale"/>
    <w:link w:val="TestonotadichiusuraCarattere"/>
    <w:uiPriority w:val="99"/>
    <w:semiHidden/>
    <w:unhideWhenUsed/>
    <w:rsid w:val="00BD36D2"/>
    <w:pPr>
      <w:spacing w:after="0" w:line="240" w:lineRule="auto"/>
    </w:pPr>
    <w:rPr>
      <w:rFonts w:ascii="Times New Roman" w:eastAsia="Times New Roman" w:hAnsi="Times New Roman" w:cs="Times New Roman"/>
      <w:sz w:val="20"/>
      <w:szCs w:val="20"/>
      <w:lang w:eastAsia="it-IT"/>
    </w:rPr>
  </w:style>
  <w:style w:type="character" w:customStyle="1" w:styleId="TestonotadichiusuraCarattere">
    <w:name w:val="Testo nota di chiusura Carattere"/>
    <w:basedOn w:val="Carpredefinitoparagrafo"/>
    <w:link w:val="Testonotadichiusura"/>
    <w:uiPriority w:val="99"/>
    <w:semiHidden/>
    <w:rsid w:val="00BD36D2"/>
    <w:rPr>
      <w:rFonts w:ascii="Times New Roman" w:eastAsia="Times New Roman" w:hAnsi="Times New Roman" w:cs="Times New Roman"/>
      <w:sz w:val="20"/>
      <w:szCs w:val="20"/>
      <w:lang w:eastAsia="it-IT"/>
    </w:rPr>
  </w:style>
  <w:style w:type="paragraph" w:styleId="Testonormale">
    <w:name w:val="Plain Text"/>
    <w:basedOn w:val="Normale"/>
    <w:link w:val="TestonormaleCarattere"/>
    <w:uiPriority w:val="99"/>
    <w:semiHidden/>
    <w:unhideWhenUsed/>
    <w:rsid w:val="00BD36D2"/>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BD36D2"/>
    <w:rPr>
      <w:rFonts w:ascii="Calibri" w:hAnsi="Calibri"/>
      <w:szCs w:val="21"/>
    </w:rPr>
  </w:style>
  <w:style w:type="paragraph" w:customStyle="1" w:styleId="parar1">
    <w:name w:val="parar1"/>
    <w:basedOn w:val="Normale"/>
    <w:uiPriority w:val="99"/>
    <w:rsid w:val="00BD36D2"/>
    <w:pPr>
      <w:spacing w:after="0" w:line="240" w:lineRule="auto"/>
    </w:pPr>
    <w:rPr>
      <w:rFonts w:ascii="Times New Roman" w:eastAsia="Times New Roman" w:hAnsi="Times New Roman" w:cs="Times New Roman"/>
      <w:sz w:val="24"/>
      <w:szCs w:val="24"/>
      <w:lang w:eastAsia="it-IT"/>
    </w:rPr>
  </w:style>
  <w:style w:type="character" w:customStyle="1" w:styleId="NormrCarattere">
    <w:name w:val="Norm_r Carattere"/>
    <w:basedOn w:val="Carpredefinitoparagrafo"/>
    <w:link w:val="Normr"/>
    <w:locked/>
    <w:rsid w:val="00BD36D2"/>
    <w:rPr>
      <w:rFonts w:ascii="Garamond" w:eastAsia="Times New Roman" w:hAnsi="Garamond" w:cs="Times New Roman"/>
      <w:sz w:val="24"/>
      <w:szCs w:val="24"/>
      <w:lang w:eastAsia="it-IT"/>
    </w:rPr>
  </w:style>
  <w:style w:type="paragraph" w:customStyle="1" w:styleId="Normr">
    <w:name w:val="Norm_r"/>
    <w:basedOn w:val="Normale"/>
    <w:link w:val="NormrCarattere"/>
    <w:qFormat/>
    <w:rsid w:val="00BD36D2"/>
    <w:pPr>
      <w:tabs>
        <w:tab w:val="left" w:pos="8789"/>
      </w:tabs>
      <w:spacing w:before="60" w:after="40" w:line="360" w:lineRule="auto"/>
      <w:ind w:left="357"/>
      <w:jc w:val="both"/>
    </w:pPr>
    <w:rPr>
      <w:rFonts w:ascii="Garamond" w:eastAsia="Times New Roman" w:hAnsi="Garamond" w:cs="Times New Roman"/>
      <w:sz w:val="24"/>
      <w:szCs w:val="24"/>
      <w:lang w:eastAsia="it-IT"/>
    </w:rPr>
  </w:style>
  <w:style w:type="character" w:customStyle="1" w:styleId="1livCarattere">
    <w:name w:val="1 liv Carattere"/>
    <w:basedOn w:val="Carpredefinitoparagrafo"/>
    <w:link w:val="1liv"/>
    <w:uiPriority w:val="99"/>
    <w:locked/>
    <w:rsid w:val="00BD36D2"/>
    <w:rPr>
      <w:rFonts w:ascii="Garamond" w:eastAsia="Times New Roman" w:hAnsi="Garamond" w:cs="Times New Roman"/>
      <w:sz w:val="24"/>
      <w:szCs w:val="24"/>
      <w:lang w:eastAsia="it-IT"/>
    </w:rPr>
  </w:style>
  <w:style w:type="paragraph" w:customStyle="1" w:styleId="1liv">
    <w:name w:val="1 liv"/>
    <w:basedOn w:val="Normale"/>
    <w:link w:val="1livCarattere"/>
    <w:uiPriority w:val="99"/>
    <w:qFormat/>
    <w:rsid w:val="00BD36D2"/>
    <w:pPr>
      <w:widowControl w:val="0"/>
      <w:numPr>
        <w:numId w:val="19"/>
      </w:numPr>
      <w:tabs>
        <w:tab w:val="left" w:pos="907"/>
        <w:tab w:val="left" w:pos="8789"/>
      </w:tabs>
      <w:suppressAutoHyphens/>
      <w:spacing w:before="80" w:after="0" w:line="360" w:lineRule="auto"/>
      <w:jc w:val="both"/>
    </w:pPr>
    <w:rPr>
      <w:rFonts w:ascii="Garamond" w:eastAsia="Times New Roman" w:hAnsi="Garamond" w:cs="Times New Roman"/>
      <w:sz w:val="24"/>
      <w:szCs w:val="24"/>
      <w:lang w:eastAsia="it-IT"/>
    </w:rPr>
  </w:style>
  <w:style w:type="paragraph" w:customStyle="1" w:styleId="WW-Predefinito">
    <w:name w:val="WW-Predefinito"/>
    <w:uiPriority w:val="99"/>
    <w:rsid w:val="00BD36D2"/>
    <w:pPr>
      <w:suppressAutoHyphens/>
      <w:spacing w:after="0"/>
      <w:jc w:val="both"/>
    </w:pPr>
    <w:rPr>
      <w:rFonts w:ascii="Garamond" w:eastAsia="Times New Roman" w:hAnsi="Garamond" w:cs="Times New Roman"/>
      <w:sz w:val="24"/>
      <w:szCs w:val="24"/>
      <w:lang w:eastAsia="ar-SA"/>
    </w:rPr>
  </w:style>
  <w:style w:type="character" w:customStyle="1" w:styleId="tabellarelCarattere">
    <w:name w:val="tabella rel Carattere"/>
    <w:basedOn w:val="Carpredefinitoparagrafo"/>
    <w:link w:val="tabellarel"/>
    <w:locked/>
    <w:rsid w:val="00BD36D2"/>
    <w:rPr>
      <w:rFonts w:ascii="Arial" w:eastAsia="Calibri" w:hAnsi="Arial" w:cs="Arial"/>
      <w:sz w:val="20"/>
      <w:szCs w:val="25"/>
      <w:lang w:eastAsia="it-IT"/>
    </w:rPr>
  </w:style>
  <w:style w:type="paragraph" w:customStyle="1" w:styleId="tabellarel">
    <w:name w:val="tabella rel"/>
    <w:link w:val="tabellarelCarattere"/>
    <w:qFormat/>
    <w:rsid w:val="00BD36D2"/>
    <w:pPr>
      <w:spacing w:after="0" w:line="240" w:lineRule="auto"/>
    </w:pPr>
    <w:rPr>
      <w:rFonts w:ascii="Arial" w:eastAsia="Calibri" w:hAnsi="Arial" w:cs="Arial"/>
      <w:sz w:val="20"/>
      <w:szCs w:val="25"/>
      <w:lang w:eastAsia="it-IT"/>
    </w:rPr>
  </w:style>
  <w:style w:type="paragraph" w:customStyle="1" w:styleId="corpooggetto">
    <w:name w:val="corpo oggetto"/>
    <w:basedOn w:val="Normale"/>
    <w:uiPriority w:val="99"/>
    <w:rsid w:val="00BD36D2"/>
    <w:pPr>
      <w:autoSpaceDE w:val="0"/>
      <w:autoSpaceDN w:val="0"/>
      <w:spacing w:after="0" w:line="280" w:lineRule="exact"/>
      <w:ind w:left="74"/>
      <w:jc w:val="both"/>
    </w:pPr>
    <w:rPr>
      <w:rFonts w:ascii="Times New Roman" w:eastAsia="Times New Roman" w:hAnsi="Times New Roman" w:cs="Times New Roman"/>
      <w:bCs/>
      <w:sz w:val="24"/>
      <w:szCs w:val="20"/>
      <w:lang w:eastAsia="it-IT"/>
    </w:rPr>
  </w:style>
  <w:style w:type="paragraph" w:customStyle="1" w:styleId="yiv7932858008msonormal">
    <w:name w:val="yiv7932858008msonormal"/>
    <w:basedOn w:val="Normale"/>
    <w:uiPriority w:val="99"/>
    <w:rsid w:val="00BD36D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Rimandonotadichiusura">
    <w:name w:val="endnote reference"/>
    <w:basedOn w:val="Carpredefinitoparagrafo"/>
    <w:uiPriority w:val="99"/>
    <w:semiHidden/>
    <w:unhideWhenUsed/>
    <w:rsid w:val="00BD36D2"/>
    <w:rPr>
      <w:vertAlign w:val="superscript"/>
    </w:rPr>
  </w:style>
  <w:style w:type="character" w:customStyle="1" w:styleId="st1">
    <w:name w:val="st1"/>
    <w:basedOn w:val="Carpredefinitoparagrafo"/>
    <w:rsid w:val="00BD36D2"/>
  </w:style>
  <w:style w:type="table" w:styleId="Sfondochiaro-Colore1">
    <w:name w:val="Light Shading Accent 1"/>
    <w:basedOn w:val="Tabellanormale"/>
    <w:uiPriority w:val="60"/>
    <w:rsid w:val="00BD36D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100" w:beforeAutospacing="1" w:afterLines="0" w:after="100" w:afterAutospacing="1"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Grigliamedia1-Colore13">
    <w:name w:val="Griglia media 1 - Colore 13"/>
    <w:basedOn w:val="Tabellanormale"/>
    <w:uiPriority w:val="67"/>
    <w:rsid w:val="00BD36D2"/>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Grigliamedia1-Colore14">
    <w:name w:val="Griglia media 1 - Colore 14"/>
    <w:basedOn w:val="Tabellanormale"/>
    <w:uiPriority w:val="67"/>
    <w:rsid w:val="00BD36D2"/>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Sfondochiaro-Colore11">
    <w:name w:val="Sfondo chiaro - Colore 11"/>
    <w:basedOn w:val="Tabellanormale"/>
    <w:uiPriority w:val="60"/>
    <w:rsid w:val="00BD36D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100" w:beforeAutospacing="1" w:afterLines="0" w:after="100" w:afterAutospacing="1"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Grigliamedia1-Colore115">
    <w:name w:val="Griglia media 1 - Colore 115"/>
    <w:basedOn w:val="Tabellanormale"/>
    <w:next w:val="Grigliamedia1-Colore1"/>
    <w:uiPriority w:val="67"/>
    <w:rsid w:val="00BD36D2"/>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numbering" w:customStyle="1" w:styleId="Nessunelenco1111">
    <w:name w:val="Nessun elenco1111"/>
    <w:next w:val="Nessunelenco"/>
    <w:uiPriority w:val="99"/>
    <w:semiHidden/>
    <w:unhideWhenUsed/>
    <w:rsid w:val="00BD36D2"/>
  </w:style>
  <w:style w:type="table" w:customStyle="1" w:styleId="Grigliamedia1-Colore15">
    <w:name w:val="Griglia media 1 - Colore 15"/>
    <w:basedOn w:val="Tabellanormale"/>
    <w:next w:val="Grigliamedia1-Colore1"/>
    <w:uiPriority w:val="67"/>
    <w:rsid w:val="00BD36D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Grigliatabella5">
    <w:name w:val="Griglia tabella5"/>
    <w:basedOn w:val="Tabellanormale"/>
    <w:next w:val="Grigliatabella"/>
    <w:uiPriority w:val="59"/>
    <w:rsid w:val="00BD3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chart" Target="charts/chart6.xml"/><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15.png"/><Relationship Id="rId42"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hyperlink" Target="http://www.bosettiegatti.eu/info/norme/comunitarie/2014_0025_settori_speciali.pdf" TargetMode="External"/><Relationship Id="rId17" Type="http://schemas.openxmlformats.org/officeDocument/2006/relationships/image" Target="media/image6.png"/><Relationship Id="rId25" Type="http://schemas.openxmlformats.org/officeDocument/2006/relationships/chart" Target="charts/chart5.xml"/><Relationship Id="rId33" Type="http://schemas.openxmlformats.org/officeDocument/2006/relationships/chart" Target="charts/chart8.xml"/><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2.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osettiegatti.eu/info/norme/comunitarie/2014_0024_appalti.pdf" TargetMode="External"/><Relationship Id="rId24" Type="http://schemas.openxmlformats.org/officeDocument/2006/relationships/chart" Target="charts/chart4.xml"/><Relationship Id="rId32" Type="http://schemas.openxmlformats.org/officeDocument/2006/relationships/chart" Target="charts/chart7.xml"/><Relationship Id="rId37" Type="http://schemas.openxmlformats.org/officeDocument/2006/relationships/image" Target="media/image18.JPG"/><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chart" Target="charts/chart3.xml"/><Relationship Id="rId28" Type="http://schemas.openxmlformats.org/officeDocument/2006/relationships/image" Target="media/image11.png"/><Relationship Id="rId36" Type="http://schemas.openxmlformats.org/officeDocument/2006/relationships/image" Target="media/image17.JPG"/><Relationship Id="rId10" Type="http://schemas.openxmlformats.org/officeDocument/2006/relationships/hyperlink" Target="http://www.bosettiegatti.eu/info/norme/comunitarie/2014_0023_concessioni.html" TargetMode="External"/><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3.png"/><Relationship Id="rId22" Type="http://schemas.openxmlformats.org/officeDocument/2006/relationships/chart" Target="charts/chart2.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S.Ferrandes\Desktop\Relazione%20Parlamento\RelParl_2018\RP20018-Serie%20Storica.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S.Ferrandes\Desktop\Relazione%20Parlamento\RelParl_2018\RP2018-Grafici.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S.Ferrandes\Desktop\Relazione%20Parlamento\RelParl_2018\RP2018-Grafici.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fileserver\SCITC\USP\Statistiche_USP\CONTRIBUTO%20UNIFICATO\Grafici%20Veltri.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fileserver\SCITC\USP\Statistiche_USP\CONTRIBUTO%20UNIFICATO\Grafici%20Veltri.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strRef>
              <c:f>'Serie Storica'!$I$3</c:f>
              <c:strCache>
                <c:ptCount val="1"/>
                <c:pt idx="0">
                  <c:v>Totale Appalti</c:v>
                </c:pt>
              </c:strCache>
            </c:strRef>
          </c:tx>
          <c:cat>
            <c:numRef>
              <c:f>'Serie Storica'!$H$4:$H$8</c:f>
              <c:numCache>
                <c:formatCode>General</c:formatCode>
                <c:ptCount val="5"/>
                <c:pt idx="0">
                  <c:v>2013</c:v>
                </c:pt>
                <c:pt idx="1">
                  <c:v>2014</c:v>
                </c:pt>
                <c:pt idx="2">
                  <c:v>2015</c:v>
                </c:pt>
                <c:pt idx="3">
                  <c:v>2016</c:v>
                </c:pt>
                <c:pt idx="4">
                  <c:v>2017</c:v>
                </c:pt>
              </c:numCache>
            </c:numRef>
          </c:cat>
          <c:val>
            <c:numRef>
              <c:f>'Serie Storica'!$I$4:$I$8</c:f>
              <c:numCache>
                <c:formatCode>_-* #,##0_-;\-* #,##0_-;_-* "-"??_-;_-@_-</c:formatCode>
                <c:ptCount val="5"/>
                <c:pt idx="0">
                  <c:v>85665288233.410019</c:v>
                </c:pt>
                <c:pt idx="1">
                  <c:v>101090567196.17</c:v>
                </c:pt>
                <c:pt idx="2">
                  <c:v>122087816229.85001</c:v>
                </c:pt>
                <c:pt idx="3">
                  <c:v>102042832693.64999</c:v>
                </c:pt>
                <c:pt idx="4">
                  <c:v>138974994432.42001</c:v>
                </c:pt>
              </c:numCache>
            </c:numRef>
          </c:val>
          <c:smooth val="0"/>
          <c:extLst xmlns:c16r2="http://schemas.microsoft.com/office/drawing/2015/06/chart">
            <c:ext xmlns:c16="http://schemas.microsoft.com/office/drawing/2014/chart" uri="{C3380CC4-5D6E-409C-BE32-E72D297353CC}">
              <c16:uniqueId val="{00000000-2D01-4B3A-9B4C-2A8905FAD7A3}"/>
            </c:ext>
          </c:extLst>
        </c:ser>
        <c:ser>
          <c:idx val="2"/>
          <c:order val="1"/>
          <c:tx>
            <c:strRef>
              <c:f>'Serie Storica'!$J$3</c:f>
              <c:strCache>
                <c:ptCount val="1"/>
                <c:pt idx="0">
                  <c:v>Totale Lavori</c:v>
                </c:pt>
              </c:strCache>
            </c:strRef>
          </c:tx>
          <c:cat>
            <c:numRef>
              <c:f>'Serie Storica'!$H$4:$H$8</c:f>
              <c:numCache>
                <c:formatCode>General</c:formatCode>
                <c:ptCount val="5"/>
                <c:pt idx="0">
                  <c:v>2013</c:v>
                </c:pt>
                <c:pt idx="1">
                  <c:v>2014</c:v>
                </c:pt>
                <c:pt idx="2">
                  <c:v>2015</c:v>
                </c:pt>
                <c:pt idx="3">
                  <c:v>2016</c:v>
                </c:pt>
                <c:pt idx="4">
                  <c:v>2017</c:v>
                </c:pt>
              </c:numCache>
            </c:numRef>
          </c:cat>
          <c:val>
            <c:numRef>
              <c:f>'Serie Storica'!$J$4:$J$8</c:f>
              <c:numCache>
                <c:formatCode>_-* #,##0_-;\-* #,##0_-;_-* "-"??_-;_-@_-</c:formatCode>
                <c:ptCount val="5"/>
                <c:pt idx="0">
                  <c:v>21834048072.200001</c:v>
                </c:pt>
                <c:pt idx="1">
                  <c:v>27611381423.330002</c:v>
                </c:pt>
                <c:pt idx="2">
                  <c:v>23774982083.09</c:v>
                </c:pt>
                <c:pt idx="3">
                  <c:v>20579167327.169998</c:v>
                </c:pt>
                <c:pt idx="4">
                  <c:v>23156087181.369999</c:v>
                </c:pt>
              </c:numCache>
            </c:numRef>
          </c:val>
          <c:smooth val="0"/>
          <c:extLst xmlns:c16r2="http://schemas.microsoft.com/office/drawing/2015/06/chart">
            <c:ext xmlns:c16="http://schemas.microsoft.com/office/drawing/2014/chart" uri="{C3380CC4-5D6E-409C-BE32-E72D297353CC}">
              <c16:uniqueId val="{00000001-2D01-4B3A-9B4C-2A8905FAD7A3}"/>
            </c:ext>
          </c:extLst>
        </c:ser>
        <c:dLbls>
          <c:showLegendKey val="0"/>
          <c:showVal val="0"/>
          <c:showCatName val="0"/>
          <c:showSerName val="0"/>
          <c:showPercent val="0"/>
          <c:showBubbleSize val="0"/>
        </c:dLbls>
        <c:marker val="1"/>
        <c:smooth val="0"/>
        <c:axId val="35087104"/>
        <c:axId val="35088640"/>
      </c:lineChart>
      <c:catAx>
        <c:axId val="35087104"/>
        <c:scaling>
          <c:orientation val="minMax"/>
        </c:scaling>
        <c:delete val="0"/>
        <c:axPos val="b"/>
        <c:numFmt formatCode="General" sourceLinked="1"/>
        <c:majorTickMark val="out"/>
        <c:minorTickMark val="none"/>
        <c:tickLblPos val="nextTo"/>
        <c:crossAx val="35088640"/>
        <c:crossesAt val="0"/>
        <c:auto val="1"/>
        <c:lblAlgn val="ctr"/>
        <c:lblOffset val="100"/>
        <c:noMultiLvlLbl val="0"/>
      </c:catAx>
      <c:valAx>
        <c:axId val="35088640"/>
        <c:scaling>
          <c:orientation val="minMax"/>
        </c:scaling>
        <c:delete val="0"/>
        <c:axPos val="l"/>
        <c:majorGridlines/>
        <c:numFmt formatCode="_(* #,##0_);_(* \(#,##0\);_(* &quot;-&quot;_);_(@_)" sourceLinked="0"/>
        <c:majorTickMark val="out"/>
        <c:minorTickMark val="none"/>
        <c:tickLblPos val="nextTo"/>
        <c:crossAx val="35087104"/>
        <c:crosses val="autoZero"/>
        <c:crossBetween val="between"/>
      </c:valAx>
    </c:plotArea>
    <c:legend>
      <c:legendPos val="b"/>
      <c:layout>
        <c:manualLayout>
          <c:xMode val="edge"/>
          <c:yMode val="edge"/>
          <c:x val="0.31556510255230447"/>
          <c:y val="0.88850503062117236"/>
          <c:w val="0.48617167568419645"/>
          <c:h val="8.3717191601049873E-2"/>
        </c:manualLayout>
      </c:layout>
      <c:overlay val="0"/>
    </c:legend>
    <c:plotVisOnly val="1"/>
    <c:dispBlanksAs val="gap"/>
    <c:showDLblsOverMax val="0"/>
  </c:chart>
  <c:txPr>
    <a:bodyPr/>
    <a:lstStyle/>
    <a:p>
      <a:pPr>
        <a:defRPr sz="900">
          <a:latin typeface="Garamond" panose="02020404030301010803" pitchFamily="18" charset="0"/>
        </a:defRPr>
      </a:pPr>
      <a:endParaRPr lang="it-I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tx>
            <c:strRef>
              <c:f>LSF_Tot!$I$3</c:f>
              <c:strCache>
                <c:ptCount val="1"/>
                <c:pt idx="0">
                  <c:v>Forniture</c:v>
                </c:pt>
              </c:strCache>
            </c:strRef>
          </c:tx>
          <c:invertIfNegative val="0"/>
          <c:cat>
            <c:numRef>
              <c:f>LSF_Tot!$H$4:$H$8</c:f>
              <c:numCache>
                <c:formatCode>General</c:formatCode>
                <c:ptCount val="5"/>
                <c:pt idx="0">
                  <c:v>2013</c:v>
                </c:pt>
                <c:pt idx="1">
                  <c:v>2014</c:v>
                </c:pt>
                <c:pt idx="2">
                  <c:v>2015</c:v>
                </c:pt>
                <c:pt idx="3">
                  <c:v>2016</c:v>
                </c:pt>
                <c:pt idx="4">
                  <c:v>2017</c:v>
                </c:pt>
              </c:numCache>
            </c:numRef>
          </c:cat>
          <c:val>
            <c:numRef>
              <c:f>LSF_Tot!$I$4:$I$8</c:f>
              <c:numCache>
                <c:formatCode>_-* #,##0_-;\-* #,##0_-;_-* "-"??_-;_-@_-</c:formatCode>
                <c:ptCount val="5"/>
                <c:pt idx="0">
                  <c:v>26598848044.769997</c:v>
                </c:pt>
                <c:pt idx="1">
                  <c:v>28175249732.57</c:v>
                </c:pt>
                <c:pt idx="2">
                  <c:v>38886173637.950005</c:v>
                </c:pt>
                <c:pt idx="3">
                  <c:v>34432251924.18</c:v>
                </c:pt>
                <c:pt idx="4">
                  <c:v>56472830316.929993</c:v>
                </c:pt>
              </c:numCache>
            </c:numRef>
          </c:val>
          <c:extLst xmlns:c16r2="http://schemas.microsoft.com/office/drawing/2015/06/chart">
            <c:ext xmlns:c16="http://schemas.microsoft.com/office/drawing/2014/chart" uri="{C3380CC4-5D6E-409C-BE32-E72D297353CC}">
              <c16:uniqueId val="{00000000-1FCF-4A2B-A35D-996BE3F67640}"/>
            </c:ext>
          </c:extLst>
        </c:ser>
        <c:ser>
          <c:idx val="2"/>
          <c:order val="1"/>
          <c:tx>
            <c:strRef>
              <c:f>LSF_Tot!$J$3</c:f>
              <c:strCache>
                <c:ptCount val="1"/>
                <c:pt idx="0">
                  <c:v>Lavori</c:v>
                </c:pt>
              </c:strCache>
            </c:strRef>
          </c:tx>
          <c:invertIfNegative val="0"/>
          <c:cat>
            <c:numRef>
              <c:f>LSF_Tot!$H$4:$H$8</c:f>
              <c:numCache>
                <c:formatCode>General</c:formatCode>
                <c:ptCount val="5"/>
                <c:pt idx="0">
                  <c:v>2013</c:v>
                </c:pt>
                <c:pt idx="1">
                  <c:v>2014</c:v>
                </c:pt>
                <c:pt idx="2">
                  <c:v>2015</c:v>
                </c:pt>
                <c:pt idx="3">
                  <c:v>2016</c:v>
                </c:pt>
                <c:pt idx="4">
                  <c:v>2017</c:v>
                </c:pt>
              </c:numCache>
            </c:numRef>
          </c:cat>
          <c:val>
            <c:numRef>
              <c:f>LSF_Tot!$J$4:$J$8</c:f>
              <c:numCache>
                <c:formatCode>_-* #,##0_-;\-* #,##0_-;_-* "-"??_-;_-@_-</c:formatCode>
                <c:ptCount val="5"/>
                <c:pt idx="0">
                  <c:v>21834048072.200001</c:v>
                </c:pt>
                <c:pt idx="1">
                  <c:v>27611381423.330002</c:v>
                </c:pt>
                <c:pt idx="2">
                  <c:v>23774982083.09</c:v>
                </c:pt>
                <c:pt idx="3">
                  <c:v>20579167327.169998</c:v>
                </c:pt>
                <c:pt idx="4">
                  <c:v>23156087181.369999</c:v>
                </c:pt>
              </c:numCache>
            </c:numRef>
          </c:val>
          <c:extLst xmlns:c16r2="http://schemas.microsoft.com/office/drawing/2015/06/chart">
            <c:ext xmlns:c16="http://schemas.microsoft.com/office/drawing/2014/chart" uri="{C3380CC4-5D6E-409C-BE32-E72D297353CC}">
              <c16:uniqueId val="{00000001-1FCF-4A2B-A35D-996BE3F67640}"/>
            </c:ext>
          </c:extLst>
        </c:ser>
        <c:ser>
          <c:idx val="3"/>
          <c:order val="2"/>
          <c:tx>
            <c:strRef>
              <c:f>LSF_Tot!$K$3</c:f>
              <c:strCache>
                <c:ptCount val="1"/>
                <c:pt idx="0">
                  <c:v>Servizi</c:v>
                </c:pt>
              </c:strCache>
            </c:strRef>
          </c:tx>
          <c:invertIfNegative val="0"/>
          <c:cat>
            <c:numRef>
              <c:f>LSF_Tot!$H$4:$H$8</c:f>
              <c:numCache>
                <c:formatCode>General</c:formatCode>
                <c:ptCount val="5"/>
                <c:pt idx="0">
                  <c:v>2013</c:v>
                </c:pt>
                <c:pt idx="1">
                  <c:v>2014</c:v>
                </c:pt>
                <c:pt idx="2">
                  <c:v>2015</c:v>
                </c:pt>
                <c:pt idx="3">
                  <c:v>2016</c:v>
                </c:pt>
                <c:pt idx="4">
                  <c:v>2017</c:v>
                </c:pt>
              </c:numCache>
            </c:numRef>
          </c:cat>
          <c:val>
            <c:numRef>
              <c:f>LSF_Tot!$K$4:$K$8</c:f>
              <c:numCache>
                <c:formatCode>_-* #,##0_-;\-* #,##0_-;_-* "-"??_-;_-@_-</c:formatCode>
                <c:ptCount val="5"/>
                <c:pt idx="0">
                  <c:v>37232392116.440002</c:v>
                </c:pt>
                <c:pt idx="1">
                  <c:v>45303936040.270004</c:v>
                </c:pt>
                <c:pt idx="2">
                  <c:v>59426660508.809998</c:v>
                </c:pt>
                <c:pt idx="3">
                  <c:v>47031413442.300003</c:v>
                </c:pt>
                <c:pt idx="4">
                  <c:v>59346076934.120003</c:v>
                </c:pt>
              </c:numCache>
            </c:numRef>
          </c:val>
          <c:extLst xmlns:c16r2="http://schemas.microsoft.com/office/drawing/2015/06/chart">
            <c:ext xmlns:c16="http://schemas.microsoft.com/office/drawing/2014/chart" uri="{C3380CC4-5D6E-409C-BE32-E72D297353CC}">
              <c16:uniqueId val="{00000002-1FCF-4A2B-A35D-996BE3F67640}"/>
            </c:ext>
          </c:extLst>
        </c:ser>
        <c:dLbls>
          <c:showLegendKey val="0"/>
          <c:showVal val="0"/>
          <c:showCatName val="0"/>
          <c:showSerName val="0"/>
          <c:showPercent val="0"/>
          <c:showBubbleSize val="0"/>
        </c:dLbls>
        <c:gapWidth val="150"/>
        <c:shape val="box"/>
        <c:axId val="84489344"/>
        <c:axId val="84490880"/>
        <c:axId val="0"/>
      </c:bar3DChart>
      <c:catAx>
        <c:axId val="84489344"/>
        <c:scaling>
          <c:orientation val="minMax"/>
        </c:scaling>
        <c:delete val="0"/>
        <c:axPos val="b"/>
        <c:numFmt formatCode="General" sourceLinked="1"/>
        <c:majorTickMark val="out"/>
        <c:minorTickMark val="none"/>
        <c:tickLblPos val="nextTo"/>
        <c:crossAx val="84490880"/>
        <c:crosses val="autoZero"/>
        <c:auto val="1"/>
        <c:lblAlgn val="ctr"/>
        <c:lblOffset val="100"/>
        <c:noMultiLvlLbl val="0"/>
      </c:catAx>
      <c:valAx>
        <c:axId val="84490880"/>
        <c:scaling>
          <c:orientation val="minMax"/>
        </c:scaling>
        <c:delete val="0"/>
        <c:axPos val="l"/>
        <c:majorGridlines/>
        <c:numFmt formatCode="#,##0" sourceLinked="0"/>
        <c:majorTickMark val="out"/>
        <c:minorTickMark val="none"/>
        <c:tickLblPos val="nextTo"/>
        <c:txPr>
          <a:bodyPr/>
          <a:lstStyle/>
          <a:p>
            <a:pPr>
              <a:defRPr sz="900">
                <a:latin typeface="Garamond" panose="02020404030301010803" pitchFamily="18" charset="0"/>
              </a:defRPr>
            </a:pPr>
            <a:endParaRPr lang="it-IT"/>
          </a:p>
        </c:txPr>
        <c:crossAx val="84489344"/>
        <c:crosses val="autoZero"/>
        <c:crossBetween val="between"/>
      </c:valAx>
    </c:plotArea>
    <c:legend>
      <c:legendPos val="b"/>
      <c:layout>
        <c:manualLayout>
          <c:xMode val="edge"/>
          <c:yMode val="edge"/>
          <c:x val="0.30187943732846623"/>
          <c:y val="0.88850503062117236"/>
          <c:w val="0.54374885326574485"/>
          <c:h val="8.3717191601049873E-2"/>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'2016-2017 CPV-Magg. Servizi'!$D$6</c:f>
              <c:strCache>
                <c:ptCount val="1"/>
                <c:pt idx="0">
                  <c:v>2013</c:v>
                </c:pt>
              </c:strCache>
            </c:strRef>
          </c:tx>
          <c:invertIfNegative val="0"/>
          <c:cat>
            <c:strRef>
              <c:f>'2016-2017 CPV-Magg. Servizi'!$C$7:$C$16</c:f>
              <c:strCache>
                <c:ptCount val="10"/>
                <c:pt idx="0">
                  <c:v>Rifiuti urbani e domestici</c:v>
                </c:pt>
                <c:pt idx="1">
                  <c:v>Assistenza sociale</c:v>
                </c:pt>
                <c:pt idx="2">
                  <c:v>Trasporto terrestre</c:v>
                </c:pt>
                <c:pt idx="3">
                  <c:v>Consulenza ICT</c:v>
                </c:pt>
                <c:pt idx="4">
                  <c:v>Pulizia</c:v>
                </c:pt>
                <c:pt idx="5">
                  <c:v>Mensa e catering</c:v>
                </c:pt>
                <c:pt idx="6">
                  <c:v>Sanitari-Ospedalieri</c:v>
                </c:pt>
                <c:pt idx="7">
                  <c:v>Servizi vari</c:v>
                </c:pt>
                <c:pt idx="8">
                  <c:v>Rip. Manut. Trasporti</c:v>
                </c:pt>
                <c:pt idx="9">
                  <c:v>Ristorazione e Buoni pasto</c:v>
                </c:pt>
              </c:strCache>
            </c:strRef>
          </c:cat>
          <c:val>
            <c:numRef>
              <c:f>'2016-2017 CPV-Magg. Servizi'!$D$7:$D$16</c:f>
            </c:numRef>
          </c:val>
          <c:extLst xmlns:c16r2="http://schemas.microsoft.com/office/drawing/2015/06/chart">
            <c:ext xmlns:c16="http://schemas.microsoft.com/office/drawing/2014/chart" uri="{C3380CC4-5D6E-409C-BE32-E72D297353CC}">
              <c16:uniqueId val="{00000000-A7AE-4059-B581-129830A8ADF6}"/>
            </c:ext>
          </c:extLst>
        </c:ser>
        <c:ser>
          <c:idx val="1"/>
          <c:order val="1"/>
          <c:tx>
            <c:strRef>
              <c:f>'2016-2017 CPV-Magg. Servizi'!$E$6</c:f>
              <c:strCache>
                <c:ptCount val="1"/>
                <c:pt idx="0">
                  <c:v>2014</c:v>
                </c:pt>
              </c:strCache>
            </c:strRef>
          </c:tx>
          <c:invertIfNegative val="0"/>
          <c:cat>
            <c:strRef>
              <c:f>'2016-2017 CPV-Magg. Servizi'!$C$7:$C$16</c:f>
              <c:strCache>
                <c:ptCount val="10"/>
                <c:pt idx="0">
                  <c:v>Rifiuti urbani e domestici</c:v>
                </c:pt>
                <c:pt idx="1">
                  <c:v>Assistenza sociale</c:v>
                </c:pt>
                <c:pt idx="2">
                  <c:v>Trasporto terrestre</c:v>
                </c:pt>
                <c:pt idx="3">
                  <c:v>Consulenza ICT</c:v>
                </c:pt>
                <c:pt idx="4">
                  <c:v>Pulizia</c:v>
                </c:pt>
                <c:pt idx="5">
                  <c:v>Mensa e catering</c:v>
                </c:pt>
                <c:pt idx="6">
                  <c:v>Sanitari-Ospedalieri</c:v>
                </c:pt>
                <c:pt idx="7">
                  <c:v>Servizi vari</c:v>
                </c:pt>
                <c:pt idx="8">
                  <c:v>Rip. Manut. Trasporti</c:v>
                </c:pt>
                <c:pt idx="9">
                  <c:v>Ristorazione e Buoni pasto</c:v>
                </c:pt>
              </c:strCache>
            </c:strRef>
          </c:cat>
          <c:val>
            <c:numRef>
              <c:f>'2016-2017 CPV-Magg. Servizi'!$E$7:$E$16</c:f>
            </c:numRef>
          </c:val>
          <c:extLst xmlns:c16r2="http://schemas.microsoft.com/office/drawing/2015/06/chart">
            <c:ext xmlns:c16="http://schemas.microsoft.com/office/drawing/2014/chart" uri="{C3380CC4-5D6E-409C-BE32-E72D297353CC}">
              <c16:uniqueId val="{00000001-A7AE-4059-B581-129830A8ADF6}"/>
            </c:ext>
          </c:extLst>
        </c:ser>
        <c:ser>
          <c:idx val="2"/>
          <c:order val="2"/>
          <c:tx>
            <c:strRef>
              <c:f>'2016-2017 CPV-Magg.Forniture'!$F$6</c:f>
              <c:strCache>
                <c:ptCount val="1"/>
                <c:pt idx="0">
                  <c:v>Tot. Importi 2016</c:v>
                </c:pt>
              </c:strCache>
            </c:strRef>
          </c:tx>
          <c:invertIfNegative val="0"/>
          <c:cat>
            <c:strRef>
              <c:f>'2016-2017 CPV-Magg.Forniture'!$C$7:$C$16</c:f>
              <c:strCache>
                <c:ptCount val="10"/>
                <c:pt idx="0">
                  <c:v>Prodotti farmaceutici</c:v>
                </c:pt>
                <c:pt idx="1">
                  <c:v>Apparecchiature mediche</c:v>
                </c:pt>
                <c:pt idx="2">
                  <c:v>Locomotive</c:v>
                </c:pt>
                <c:pt idx="3">
                  <c:v>Erogazione energia elettrica</c:v>
                </c:pt>
                <c:pt idx="4">
                  <c:v>Veicoli a motore</c:v>
                </c:pt>
                <c:pt idx="5">
                  <c:v>Attrezzature di trasporto</c:v>
                </c:pt>
                <c:pt idx="6">
                  <c:v>Combustibili</c:v>
                </c:pt>
                <c:pt idx="7">
                  <c:v>Aeromobili e velivoli spaziali</c:v>
                </c:pt>
                <c:pt idx="8">
                  <c:v>Energia e riscaldamento</c:v>
                </c:pt>
                <c:pt idx="9">
                  <c:v>Atrezzature per ufficio</c:v>
                </c:pt>
              </c:strCache>
            </c:strRef>
          </c:cat>
          <c:val>
            <c:numRef>
              <c:f>'2016-2017 CPV-Magg.Forniture'!$F$7:$F$16</c:f>
              <c:numCache>
                <c:formatCode>_-* #,##0_-;\-* #,##0_-;_-* "-"??_-;_-@_-</c:formatCode>
                <c:ptCount val="10"/>
                <c:pt idx="0">
                  <c:v>11337233578.180004</c:v>
                </c:pt>
                <c:pt idx="1">
                  <c:v>6727668879.6100054</c:v>
                </c:pt>
                <c:pt idx="2">
                  <c:v>625496925.69000006</c:v>
                </c:pt>
                <c:pt idx="3">
                  <c:v>1892348478.2</c:v>
                </c:pt>
                <c:pt idx="4">
                  <c:v>1680630155.04</c:v>
                </c:pt>
                <c:pt idx="5">
                  <c:v>885949049.89000022</c:v>
                </c:pt>
                <c:pt idx="6">
                  <c:v>591415350.16000009</c:v>
                </c:pt>
                <c:pt idx="7">
                  <c:v>224530706.31</c:v>
                </c:pt>
                <c:pt idx="8">
                  <c:v>702904504.09000015</c:v>
                </c:pt>
                <c:pt idx="9">
                  <c:v>1523217507.6400023</c:v>
                </c:pt>
              </c:numCache>
            </c:numRef>
          </c:val>
          <c:extLst xmlns:c16r2="http://schemas.microsoft.com/office/drawing/2015/06/chart">
            <c:ext xmlns:c16="http://schemas.microsoft.com/office/drawing/2014/chart" uri="{C3380CC4-5D6E-409C-BE32-E72D297353CC}">
              <c16:uniqueId val="{00000002-A7AE-4059-B581-129830A8ADF6}"/>
            </c:ext>
          </c:extLst>
        </c:ser>
        <c:ser>
          <c:idx val="3"/>
          <c:order val="3"/>
          <c:tx>
            <c:strRef>
              <c:f>'2016-2017 CPV-Magg.Forniture'!$G$6</c:f>
              <c:strCache>
                <c:ptCount val="1"/>
                <c:pt idx="0">
                  <c:v>Tot. Importi 2017</c:v>
                </c:pt>
              </c:strCache>
            </c:strRef>
          </c:tx>
          <c:invertIfNegative val="0"/>
          <c:cat>
            <c:strRef>
              <c:f>'2016-2017 CPV-Magg.Forniture'!$C$7:$C$16</c:f>
              <c:strCache>
                <c:ptCount val="10"/>
                <c:pt idx="0">
                  <c:v>Prodotti farmaceutici</c:v>
                </c:pt>
                <c:pt idx="1">
                  <c:v>Apparecchiature mediche</c:v>
                </c:pt>
                <c:pt idx="2">
                  <c:v>Locomotive</c:v>
                </c:pt>
                <c:pt idx="3">
                  <c:v>Erogazione energia elettrica</c:v>
                </c:pt>
                <c:pt idx="4">
                  <c:v>Veicoli a motore</c:v>
                </c:pt>
                <c:pt idx="5">
                  <c:v>Attrezzature di trasporto</c:v>
                </c:pt>
                <c:pt idx="6">
                  <c:v>Combustibili</c:v>
                </c:pt>
                <c:pt idx="7">
                  <c:v>Aeromobili e velivoli spaziali</c:v>
                </c:pt>
                <c:pt idx="8">
                  <c:v>Energia e riscaldamento</c:v>
                </c:pt>
                <c:pt idx="9">
                  <c:v>Atrezzature per ufficio</c:v>
                </c:pt>
              </c:strCache>
            </c:strRef>
          </c:cat>
          <c:val>
            <c:numRef>
              <c:f>'2016-2017 CPV-Magg.Forniture'!$G$7:$G$16</c:f>
              <c:numCache>
                <c:formatCode>_-* #,##0_-;\-* #,##0_-;_-* "-"??_-;_-@_-</c:formatCode>
                <c:ptCount val="10"/>
                <c:pt idx="0">
                  <c:v>25098853182.160042</c:v>
                </c:pt>
                <c:pt idx="1">
                  <c:v>8241077269.9400082</c:v>
                </c:pt>
                <c:pt idx="2">
                  <c:v>5089844221.8099985</c:v>
                </c:pt>
                <c:pt idx="3">
                  <c:v>2792399585.5699983</c:v>
                </c:pt>
                <c:pt idx="4">
                  <c:v>1763192650.1200004</c:v>
                </c:pt>
                <c:pt idx="5">
                  <c:v>1447214276.6300004</c:v>
                </c:pt>
                <c:pt idx="6">
                  <c:v>1223319641.0699997</c:v>
                </c:pt>
                <c:pt idx="7">
                  <c:v>692692169.17000008</c:v>
                </c:pt>
                <c:pt idx="8">
                  <c:v>579184377.80999982</c:v>
                </c:pt>
                <c:pt idx="9">
                  <c:v>530238035.49999958</c:v>
                </c:pt>
              </c:numCache>
            </c:numRef>
          </c:val>
          <c:extLst xmlns:c16r2="http://schemas.microsoft.com/office/drawing/2015/06/chart">
            <c:ext xmlns:c16="http://schemas.microsoft.com/office/drawing/2014/chart" uri="{C3380CC4-5D6E-409C-BE32-E72D297353CC}">
              <c16:uniqueId val="{00000003-A7AE-4059-B581-129830A8ADF6}"/>
            </c:ext>
          </c:extLst>
        </c:ser>
        <c:dLbls>
          <c:showLegendKey val="0"/>
          <c:showVal val="0"/>
          <c:showCatName val="0"/>
          <c:showSerName val="0"/>
          <c:showPercent val="0"/>
          <c:showBubbleSize val="0"/>
        </c:dLbls>
        <c:gapWidth val="150"/>
        <c:shape val="box"/>
        <c:axId val="84605568"/>
        <c:axId val="90317184"/>
        <c:axId val="0"/>
      </c:bar3DChart>
      <c:catAx>
        <c:axId val="84605568"/>
        <c:scaling>
          <c:orientation val="minMax"/>
        </c:scaling>
        <c:delete val="0"/>
        <c:axPos val="b"/>
        <c:numFmt formatCode="General" sourceLinked="1"/>
        <c:majorTickMark val="out"/>
        <c:minorTickMark val="none"/>
        <c:tickLblPos val="nextTo"/>
        <c:txPr>
          <a:bodyPr/>
          <a:lstStyle/>
          <a:p>
            <a:pPr>
              <a:defRPr>
                <a:latin typeface="Garamond" panose="02020404030301010803" pitchFamily="18" charset="0"/>
              </a:defRPr>
            </a:pPr>
            <a:endParaRPr lang="it-IT"/>
          </a:p>
        </c:txPr>
        <c:crossAx val="90317184"/>
        <c:crosses val="autoZero"/>
        <c:auto val="1"/>
        <c:lblAlgn val="ctr"/>
        <c:lblOffset val="100"/>
        <c:noMultiLvlLbl val="0"/>
      </c:catAx>
      <c:valAx>
        <c:axId val="90317184"/>
        <c:scaling>
          <c:orientation val="minMax"/>
        </c:scaling>
        <c:delete val="0"/>
        <c:axPos val="l"/>
        <c:majorGridlines/>
        <c:numFmt formatCode="_-* #,##0_-;\-* #,##0_-;_-* &quot;-&quot;??_-;_-@_-" sourceLinked="1"/>
        <c:majorTickMark val="out"/>
        <c:minorTickMark val="none"/>
        <c:tickLblPos val="nextTo"/>
        <c:txPr>
          <a:bodyPr/>
          <a:lstStyle/>
          <a:p>
            <a:pPr>
              <a:defRPr>
                <a:latin typeface="Garamond" panose="02020404030301010803" pitchFamily="18" charset="0"/>
              </a:defRPr>
            </a:pPr>
            <a:endParaRPr lang="it-IT"/>
          </a:p>
        </c:txPr>
        <c:crossAx val="84605568"/>
        <c:crosses val="autoZero"/>
        <c:crossBetween val="between"/>
      </c:valAx>
    </c:plotArea>
    <c:legend>
      <c:legendPos val="b"/>
      <c:layout>
        <c:manualLayout>
          <c:xMode val="edge"/>
          <c:yMode val="edge"/>
          <c:x val="0.30096623913068987"/>
          <c:y val="0.88850503062117236"/>
          <c:w val="0.51331823462454673"/>
          <c:h val="8.3717191601049873E-2"/>
        </c:manualLayout>
      </c:layout>
      <c:overlay val="0"/>
      <c:txPr>
        <a:bodyPr/>
        <a:lstStyle/>
        <a:p>
          <a:pPr>
            <a:defRPr>
              <a:latin typeface="Garamond" panose="02020404030301010803" pitchFamily="18" charset="0"/>
            </a:defRPr>
          </a:pPr>
          <a:endParaRPr lang="it-IT"/>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'2016-2017 CPV-Magg. Servizi'!$D$6</c:f>
              <c:strCache>
                <c:ptCount val="1"/>
                <c:pt idx="0">
                  <c:v>2013</c:v>
                </c:pt>
              </c:strCache>
            </c:strRef>
          </c:tx>
          <c:invertIfNegative val="0"/>
          <c:cat>
            <c:strRef>
              <c:f>'2016-2017 CPV-Magg. Servizi'!$C$7:$C$16</c:f>
              <c:strCache>
                <c:ptCount val="10"/>
                <c:pt idx="0">
                  <c:v>Rifiuti urbani e domestici</c:v>
                </c:pt>
                <c:pt idx="1">
                  <c:v>Assistenza sociale</c:v>
                </c:pt>
                <c:pt idx="2">
                  <c:v>Trasporto terrestre</c:v>
                </c:pt>
                <c:pt idx="3">
                  <c:v>Consulenza ICT</c:v>
                </c:pt>
                <c:pt idx="4">
                  <c:v>Pulizia</c:v>
                </c:pt>
                <c:pt idx="5">
                  <c:v>Mensa e catering</c:v>
                </c:pt>
                <c:pt idx="6">
                  <c:v>Sanitari-Ospedalieri</c:v>
                </c:pt>
                <c:pt idx="7">
                  <c:v>Servizi vari</c:v>
                </c:pt>
                <c:pt idx="8">
                  <c:v>Rip. Manut. Trasporti</c:v>
                </c:pt>
                <c:pt idx="9">
                  <c:v>Ristorazione e Buoni pasto</c:v>
                </c:pt>
              </c:strCache>
            </c:strRef>
          </c:cat>
          <c:val>
            <c:numRef>
              <c:f>'2016-2017 CPV-Magg. Servizi'!$D$7:$D$16</c:f>
            </c:numRef>
          </c:val>
          <c:extLst xmlns:c16r2="http://schemas.microsoft.com/office/drawing/2015/06/chart">
            <c:ext xmlns:c16="http://schemas.microsoft.com/office/drawing/2014/chart" uri="{C3380CC4-5D6E-409C-BE32-E72D297353CC}">
              <c16:uniqueId val="{00000000-4C50-430C-AA02-FD3AA53DC025}"/>
            </c:ext>
          </c:extLst>
        </c:ser>
        <c:ser>
          <c:idx val="1"/>
          <c:order val="1"/>
          <c:tx>
            <c:strRef>
              <c:f>'2016-2017 CPV-Magg. Servizi'!$E$6</c:f>
              <c:strCache>
                <c:ptCount val="1"/>
                <c:pt idx="0">
                  <c:v>2014</c:v>
                </c:pt>
              </c:strCache>
            </c:strRef>
          </c:tx>
          <c:invertIfNegative val="0"/>
          <c:cat>
            <c:strRef>
              <c:f>'2016-2017 CPV-Magg. Servizi'!$C$7:$C$16</c:f>
              <c:strCache>
                <c:ptCount val="10"/>
                <c:pt idx="0">
                  <c:v>Rifiuti urbani e domestici</c:v>
                </c:pt>
                <c:pt idx="1">
                  <c:v>Assistenza sociale</c:v>
                </c:pt>
                <c:pt idx="2">
                  <c:v>Trasporto terrestre</c:v>
                </c:pt>
                <c:pt idx="3">
                  <c:v>Consulenza ICT</c:v>
                </c:pt>
                <c:pt idx="4">
                  <c:v>Pulizia</c:v>
                </c:pt>
                <c:pt idx="5">
                  <c:v>Mensa e catering</c:v>
                </c:pt>
                <c:pt idx="6">
                  <c:v>Sanitari-Ospedalieri</c:v>
                </c:pt>
                <c:pt idx="7">
                  <c:v>Servizi vari</c:v>
                </c:pt>
                <c:pt idx="8">
                  <c:v>Rip. Manut. Trasporti</c:v>
                </c:pt>
                <c:pt idx="9">
                  <c:v>Ristorazione e Buoni pasto</c:v>
                </c:pt>
              </c:strCache>
            </c:strRef>
          </c:cat>
          <c:val>
            <c:numRef>
              <c:f>'2016-2017 CPV-Magg. Servizi'!$E$7:$E$16</c:f>
            </c:numRef>
          </c:val>
          <c:extLst xmlns:c16r2="http://schemas.microsoft.com/office/drawing/2015/06/chart">
            <c:ext xmlns:c16="http://schemas.microsoft.com/office/drawing/2014/chart" uri="{C3380CC4-5D6E-409C-BE32-E72D297353CC}">
              <c16:uniqueId val="{00000001-4C50-430C-AA02-FD3AA53DC025}"/>
            </c:ext>
          </c:extLst>
        </c:ser>
        <c:ser>
          <c:idx val="2"/>
          <c:order val="2"/>
          <c:tx>
            <c:strRef>
              <c:f>'2016-2017 CPV-Magg. Servizi'!$F$6</c:f>
              <c:strCache>
                <c:ptCount val="1"/>
                <c:pt idx="0">
                  <c:v>Tot. Importi 2016</c:v>
                </c:pt>
              </c:strCache>
            </c:strRef>
          </c:tx>
          <c:invertIfNegative val="0"/>
          <c:cat>
            <c:strRef>
              <c:f>'2016-2017 CPV-Magg. Servizi'!$C$7:$C$16</c:f>
              <c:strCache>
                <c:ptCount val="10"/>
                <c:pt idx="0">
                  <c:v>Rifiuti urbani e domestici</c:v>
                </c:pt>
                <c:pt idx="1">
                  <c:v>Assistenza sociale</c:v>
                </c:pt>
                <c:pt idx="2">
                  <c:v>Trasporto terrestre</c:v>
                </c:pt>
                <c:pt idx="3">
                  <c:v>Consulenza ICT</c:v>
                </c:pt>
                <c:pt idx="4">
                  <c:v>Pulizia</c:v>
                </c:pt>
                <c:pt idx="5">
                  <c:v>Mensa e catering</c:v>
                </c:pt>
                <c:pt idx="6">
                  <c:v>Sanitari-Ospedalieri</c:v>
                </c:pt>
                <c:pt idx="7">
                  <c:v>Servizi vari</c:v>
                </c:pt>
                <c:pt idx="8">
                  <c:v>Rip. Manut. Trasporti</c:v>
                </c:pt>
                <c:pt idx="9">
                  <c:v>Ristorazione e Buoni pasto</c:v>
                </c:pt>
              </c:strCache>
            </c:strRef>
          </c:cat>
          <c:val>
            <c:numRef>
              <c:f>'2016-2017 CPV-Magg. Servizi'!$F$7:$F$16</c:f>
              <c:numCache>
                <c:formatCode>_-* #,##0_-;\-* #,##0_-;_-* "-"??_-;_-@_-</c:formatCode>
                <c:ptCount val="10"/>
                <c:pt idx="0">
                  <c:v>6501546704.6200094</c:v>
                </c:pt>
                <c:pt idx="1">
                  <c:v>3898583275.7700019</c:v>
                </c:pt>
                <c:pt idx="2">
                  <c:v>1522481009.8899992</c:v>
                </c:pt>
                <c:pt idx="3">
                  <c:v>2426554451.8500032</c:v>
                </c:pt>
                <c:pt idx="4">
                  <c:v>3122565386.8399992</c:v>
                </c:pt>
                <c:pt idx="5">
                  <c:v>1514672740.4099996</c:v>
                </c:pt>
                <c:pt idx="6">
                  <c:v>1452515356.1199996</c:v>
                </c:pt>
                <c:pt idx="7">
                  <c:v>1361909373.8700013</c:v>
                </c:pt>
                <c:pt idx="8">
                  <c:v>1012814360.1299995</c:v>
                </c:pt>
                <c:pt idx="9">
                  <c:v>1376804935.7100003</c:v>
                </c:pt>
              </c:numCache>
            </c:numRef>
          </c:val>
          <c:extLst xmlns:c16r2="http://schemas.microsoft.com/office/drawing/2015/06/chart">
            <c:ext xmlns:c16="http://schemas.microsoft.com/office/drawing/2014/chart" uri="{C3380CC4-5D6E-409C-BE32-E72D297353CC}">
              <c16:uniqueId val="{00000002-4C50-430C-AA02-FD3AA53DC025}"/>
            </c:ext>
          </c:extLst>
        </c:ser>
        <c:ser>
          <c:idx val="3"/>
          <c:order val="3"/>
          <c:tx>
            <c:strRef>
              <c:f>'2016-2017 CPV-Magg. Servizi'!$G$6</c:f>
              <c:strCache>
                <c:ptCount val="1"/>
                <c:pt idx="0">
                  <c:v>Tot. Importi 2017</c:v>
                </c:pt>
              </c:strCache>
            </c:strRef>
          </c:tx>
          <c:invertIfNegative val="0"/>
          <c:cat>
            <c:strRef>
              <c:f>'2016-2017 CPV-Magg. Servizi'!$C$7:$C$16</c:f>
              <c:strCache>
                <c:ptCount val="10"/>
                <c:pt idx="0">
                  <c:v>Rifiuti urbani e domestici</c:v>
                </c:pt>
                <c:pt idx="1">
                  <c:v>Assistenza sociale</c:v>
                </c:pt>
                <c:pt idx="2">
                  <c:v>Trasporto terrestre</c:v>
                </c:pt>
                <c:pt idx="3">
                  <c:v>Consulenza ICT</c:v>
                </c:pt>
                <c:pt idx="4">
                  <c:v>Pulizia</c:v>
                </c:pt>
                <c:pt idx="5">
                  <c:v>Mensa e catering</c:v>
                </c:pt>
                <c:pt idx="6">
                  <c:v>Sanitari-Ospedalieri</c:v>
                </c:pt>
                <c:pt idx="7">
                  <c:v>Servizi vari</c:v>
                </c:pt>
                <c:pt idx="8">
                  <c:v>Rip. Manut. Trasporti</c:v>
                </c:pt>
                <c:pt idx="9">
                  <c:v>Ristorazione e Buoni pasto</c:v>
                </c:pt>
              </c:strCache>
            </c:strRef>
          </c:cat>
          <c:val>
            <c:numRef>
              <c:f>'2016-2017 CPV-Magg. Servizi'!$G$7:$G$16</c:f>
              <c:numCache>
                <c:formatCode>_-* #,##0_-;\-* #,##0_-;_-* "-"??_-;_-@_-</c:formatCode>
                <c:ptCount val="10"/>
                <c:pt idx="0">
                  <c:v>7655827813.559989</c:v>
                </c:pt>
                <c:pt idx="1">
                  <c:v>6288960819.9600105</c:v>
                </c:pt>
                <c:pt idx="2">
                  <c:v>5220967830.0699978</c:v>
                </c:pt>
                <c:pt idx="3">
                  <c:v>2811101858.3599982</c:v>
                </c:pt>
                <c:pt idx="4">
                  <c:v>2810808554.3900018</c:v>
                </c:pt>
                <c:pt idx="5">
                  <c:v>2376159425.8100019</c:v>
                </c:pt>
                <c:pt idx="6">
                  <c:v>2140216927.4299955</c:v>
                </c:pt>
                <c:pt idx="7">
                  <c:v>2108846964.9999998</c:v>
                </c:pt>
                <c:pt idx="8">
                  <c:v>1859259518.1900005</c:v>
                </c:pt>
                <c:pt idx="9">
                  <c:v>1674804612.0299997</c:v>
                </c:pt>
              </c:numCache>
            </c:numRef>
          </c:val>
          <c:extLst xmlns:c16r2="http://schemas.microsoft.com/office/drawing/2015/06/chart">
            <c:ext xmlns:c16="http://schemas.microsoft.com/office/drawing/2014/chart" uri="{C3380CC4-5D6E-409C-BE32-E72D297353CC}">
              <c16:uniqueId val="{00000003-4C50-430C-AA02-FD3AA53DC025}"/>
            </c:ext>
          </c:extLst>
        </c:ser>
        <c:dLbls>
          <c:showLegendKey val="0"/>
          <c:showVal val="0"/>
          <c:showCatName val="0"/>
          <c:showSerName val="0"/>
          <c:showPercent val="0"/>
          <c:showBubbleSize val="0"/>
        </c:dLbls>
        <c:gapWidth val="150"/>
        <c:shape val="box"/>
        <c:axId val="90341760"/>
        <c:axId val="90343296"/>
        <c:axId val="0"/>
      </c:bar3DChart>
      <c:catAx>
        <c:axId val="90341760"/>
        <c:scaling>
          <c:orientation val="minMax"/>
        </c:scaling>
        <c:delete val="0"/>
        <c:axPos val="b"/>
        <c:numFmt formatCode="General" sourceLinked="0"/>
        <c:majorTickMark val="out"/>
        <c:minorTickMark val="none"/>
        <c:tickLblPos val="nextTo"/>
        <c:txPr>
          <a:bodyPr/>
          <a:lstStyle/>
          <a:p>
            <a:pPr>
              <a:defRPr>
                <a:latin typeface="Garamond" panose="02020404030301010803" pitchFamily="18" charset="0"/>
              </a:defRPr>
            </a:pPr>
            <a:endParaRPr lang="it-IT"/>
          </a:p>
        </c:txPr>
        <c:crossAx val="90343296"/>
        <c:crosses val="autoZero"/>
        <c:auto val="1"/>
        <c:lblAlgn val="ctr"/>
        <c:lblOffset val="100"/>
        <c:noMultiLvlLbl val="0"/>
      </c:catAx>
      <c:valAx>
        <c:axId val="90343296"/>
        <c:scaling>
          <c:orientation val="minMax"/>
        </c:scaling>
        <c:delete val="0"/>
        <c:axPos val="l"/>
        <c:majorGridlines/>
        <c:numFmt formatCode="_-* #,##0_-;\-* #,##0_-;_-* &quot;-&quot;??_-;_-@_-" sourceLinked="1"/>
        <c:majorTickMark val="out"/>
        <c:minorTickMark val="none"/>
        <c:tickLblPos val="nextTo"/>
        <c:txPr>
          <a:bodyPr/>
          <a:lstStyle/>
          <a:p>
            <a:pPr>
              <a:defRPr>
                <a:latin typeface="Garamond" panose="02020404030301010803" pitchFamily="18" charset="0"/>
              </a:defRPr>
            </a:pPr>
            <a:endParaRPr lang="it-IT"/>
          </a:p>
        </c:txPr>
        <c:crossAx val="90341760"/>
        <c:crosses val="autoZero"/>
        <c:crossBetween val="between"/>
      </c:valAx>
    </c:plotArea>
    <c:legend>
      <c:legendPos val="b"/>
      <c:layout>
        <c:manualLayout>
          <c:xMode val="edge"/>
          <c:yMode val="edge"/>
          <c:x val="0.30096623913068987"/>
          <c:y val="0.88850503062117236"/>
          <c:w val="0.51331823462454673"/>
          <c:h val="8.3717191601049873E-2"/>
        </c:manualLayout>
      </c:layout>
      <c:overlay val="0"/>
      <c:txPr>
        <a:bodyPr/>
        <a:lstStyle/>
        <a:p>
          <a:pPr>
            <a:defRPr>
              <a:latin typeface="Garamond" panose="02020404030301010803" pitchFamily="18" charset="0"/>
            </a:defRPr>
          </a:pPr>
          <a:endParaRPr lang="it-IT"/>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strRef>
              <c:f>LSF_ImpMedio!$I$3</c:f>
              <c:strCache>
                <c:ptCount val="1"/>
                <c:pt idx="0">
                  <c:v>Importo Medio Forniture</c:v>
                </c:pt>
              </c:strCache>
            </c:strRef>
          </c:tx>
          <c:cat>
            <c:numRef>
              <c:f>LSF_ImpMedio!$H$4:$H$8</c:f>
              <c:numCache>
                <c:formatCode>General</c:formatCode>
                <c:ptCount val="5"/>
                <c:pt idx="0">
                  <c:v>2013</c:v>
                </c:pt>
                <c:pt idx="1">
                  <c:v>2014</c:v>
                </c:pt>
                <c:pt idx="2">
                  <c:v>2015</c:v>
                </c:pt>
                <c:pt idx="3">
                  <c:v>2016</c:v>
                </c:pt>
                <c:pt idx="4">
                  <c:v>2017</c:v>
                </c:pt>
              </c:numCache>
            </c:numRef>
          </c:cat>
          <c:val>
            <c:numRef>
              <c:f>LSF_ImpMedio!$I$4:$I$8</c:f>
              <c:numCache>
                <c:formatCode>_-* #,##0_-;\-* #,##0_-;_-* "-"??_-;_-@_-</c:formatCode>
                <c:ptCount val="5"/>
                <c:pt idx="0">
                  <c:v>589030.45031268673</c:v>
                </c:pt>
                <c:pt idx="1">
                  <c:v>641527.57878298685</c:v>
                </c:pt>
                <c:pt idx="2">
                  <c:v>859742.95020893228</c:v>
                </c:pt>
                <c:pt idx="3">
                  <c:v>887429.1733036082</c:v>
                </c:pt>
                <c:pt idx="4">
                  <c:v>1183668.6295730453</c:v>
                </c:pt>
              </c:numCache>
            </c:numRef>
          </c:val>
          <c:smooth val="0"/>
          <c:extLst xmlns:c16r2="http://schemas.microsoft.com/office/drawing/2015/06/chart">
            <c:ext xmlns:c16="http://schemas.microsoft.com/office/drawing/2014/chart" uri="{C3380CC4-5D6E-409C-BE32-E72D297353CC}">
              <c16:uniqueId val="{00000000-DE1E-4F4F-9EB0-39DFDEA4A32C}"/>
            </c:ext>
          </c:extLst>
        </c:ser>
        <c:ser>
          <c:idx val="2"/>
          <c:order val="1"/>
          <c:tx>
            <c:strRef>
              <c:f>LSF_ImpMedio!$J$3</c:f>
              <c:strCache>
                <c:ptCount val="1"/>
                <c:pt idx="0">
                  <c:v>Importo Medio Lavori</c:v>
                </c:pt>
              </c:strCache>
            </c:strRef>
          </c:tx>
          <c:cat>
            <c:numRef>
              <c:f>LSF_ImpMedio!$H$4:$H$8</c:f>
              <c:numCache>
                <c:formatCode>General</c:formatCode>
                <c:ptCount val="5"/>
                <c:pt idx="0">
                  <c:v>2013</c:v>
                </c:pt>
                <c:pt idx="1">
                  <c:v>2014</c:v>
                </c:pt>
                <c:pt idx="2">
                  <c:v>2015</c:v>
                </c:pt>
                <c:pt idx="3">
                  <c:v>2016</c:v>
                </c:pt>
                <c:pt idx="4">
                  <c:v>2017</c:v>
                </c:pt>
              </c:numCache>
            </c:numRef>
          </c:cat>
          <c:val>
            <c:numRef>
              <c:f>LSF_ImpMedio!$J$4:$J$8</c:f>
              <c:numCache>
                <c:formatCode>_-* #,##0_-;\-* #,##0_-;_-* "-"??_-;_-@_-</c:formatCode>
                <c:ptCount val="5"/>
                <c:pt idx="0">
                  <c:v>590189.1626490067</c:v>
                </c:pt>
                <c:pt idx="1">
                  <c:v>680083.28628891625</c:v>
                </c:pt>
                <c:pt idx="2">
                  <c:v>572849.72370888852</c:v>
                </c:pt>
                <c:pt idx="3">
                  <c:v>683579.7152356751</c:v>
                </c:pt>
                <c:pt idx="4">
                  <c:v>692860.39260853955</c:v>
                </c:pt>
              </c:numCache>
            </c:numRef>
          </c:val>
          <c:smooth val="0"/>
          <c:extLst xmlns:c16r2="http://schemas.microsoft.com/office/drawing/2015/06/chart">
            <c:ext xmlns:c16="http://schemas.microsoft.com/office/drawing/2014/chart" uri="{C3380CC4-5D6E-409C-BE32-E72D297353CC}">
              <c16:uniqueId val="{00000001-DE1E-4F4F-9EB0-39DFDEA4A32C}"/>
            </c:ext>
          </c:extLst>
        </c:ser>
        <c:ser>
          <c:idx val="3"/>
          <c:order val="2"/>
          <c:tx>
            <c:strRef>
              <c:f>LSF_ImpMedio!$K$3</c:f>
              <c:strCache>
                <c:ptCount val="1"/>
                <c:pt idx="0">
                  <c:v>Importo Medio Servizi</c:v>
                </c:pt>
              </c:strCache>
            </c:strRef>
          </c:tx>
          <c:cat>
            <c:numRef>
              <c:f>LSF_ImpMedio!$H$4:$H$8</c:f>
              <c:numCache>
                <c:formatCode>General</c:formatCode>
                <c:ptCount val="5"/>
                <c:pt idx="0">
                  <c:v>2013</c:v>
                </c:pt>
                <c:pt idx="1">
                  <c:v>2014</c:v>
                </c:pt>
                <c:pt idx="2">
                  <c:v>2015</c:v>
                </c:pt>
                <c:pt idx="3">
                  <c:v>2016</c:v>
                </c:pt>
                <c:pt idx="4">
                  <c:v>2017</c:v>
                </c:pt>
              </c:numCache>
            </c:numRef>
          </c:cat>
          <c:val>
            <c:numRef>
              <c:f>LSF_ImpMedio!$K$4:$K$8</c:f>
              <c:numCache>
                <c:formatCode>_-* #,##0_-;\-* #,##0_-;_-* "-"??_-;_-@_-</c:formatCode>
                <c:ptCount val="5"/>
                <c:pt idx="0">
                  <c:v>694465.74742021528</c:v>
                </c:pt>
                <c:pt idx="1">
                  <c:v>862045.43974331173</c:v>
                </c:pt>
                <c:pt idx="2">
                  <c:v>1125568.8866566282</c:v>
                </c:pt>
                <c:pt idx="3">
                  <c:v>939050.66373093205</c:v>
                </c:pt>
                <c:pt idx="4">
                  <c:v>1057749.2056842407</c:v>
                </c:pt>
              </c:numCache>
            </c:numRef>
          </c:val>
          <c:smooth val="0"/>
          <c:extLst xmlns:c16r2="http://schemas.microsoft.com/office/drawing/2015/06/chart">
            <c:ext xmlns:c16="http://schemas.microsoft.com/office/drawing/2014/chart" uri="{C3380CC4-5D6E-409C-BE32-E72D297353CC}">
              <c16:uniqueId val="{00000002-DE1E-4F4F-9EB0-39DFDEA4A32C}"/>
            </c:ext>
          </c:extLst>
        </c:ser>
        <c:ser>
          <c:idx val="4"/>
          <c:order val="3"/>
          <c:tx>
            <c:strRef>
              <c:f>LSF_ImpMedio!$M$3</c:f>
              <c:strCache>
                <c:ptCount val="1"/>
                <c:pt idx="0">
                  <c:v>Nr. Lotti</c:v>
                </c:pt>
              </c:strCache>
            </c:strRef>
          </c:tx>
          <c:val>
            <c:numRef>
              <c:f>LSF_ImpMedio!$M$4:$M$8</c:f>
              <c:numCache>
                <c:formatCode>_-* #,##0_-;\-* #,##0_-;_-* "-"??_-;_-@_-</c:formatCode>
                <c:ptCount val="5"/>
                <c:pt idx="0">
                  <c:v>135765</c:v>
                </c:pt>
                <c:pt idx="1">
                  <c:v>136981</c:v>
                </c:pt>
                <c:pt idx="2">
                  <c:v>139530</c:v>
                </c:pt>
                <c:pt idx="3">
                  <c:v>118989</c:v>
                </c:pt>
                <c:pt idx="4">
                  <c:v>137237</c:v>
                </c:pt>
              </c:numCache>
            </c:numRef>
          </c:val>
          <c:smooth val="0"/>
          <c:extLst xmlns:c16r2="http://schemas.microsoft.com/office/drawing/2015/06/chart">
            <c:ext xmlns:c16="http://schemas.microsoft.com/office/drawing/2014/chart" uri="{C3380CC4-5D6E-409C-BE32-E72D297353CC}">
              <c16:uniqueId val="{00000003-DE1E-4F4F-9EB0-39DFDEA4A32C}"/>
            </c:ext>
          </c:extLst>
        </c:ser>
        <c:dLbls>
          <c:showLegendKey val="0"/>
          <c:showVal val="0"/>
          <c:showCatName val="0"/>
          <c:showSerName val="0"/>
          <c:showPercent val="0"/>
          <c:showBubbleSize val="0"/>
        </c:dLbls>
        <c:marker val="1"/>
        <c:smooth val="0"/>
        <c:axId val="90445696"/>
        <c:axId val="90447232"/>
      </c:lineChart>
      <c:catAx>
        <c:axId val="90445696"/>
        <c:scaling>
          <c:orientation val="minMax"/>
        </c:scaling>
        <c:delete val="0"/>
        <c:axPos val="b"/>
        <c:numFmt formatCode="General" sourceLinked="1"/>
        <c:majorTickMark val="out"/>
        <c:minorTickMark val="none"/>
        <c:tickLblPos val="nextTo"/>
        <c:crossAx val="90447232"/>
        <c:crossesAt val="0"/>
        <c:auto val="1"/>
        <c:lblAlgn val="ctr"/>
        <c:lblOffset val="100"/>
        <c:noMultiLvlLbl val="0"/>
      </c:catAx>
      <c:valAx>
        <c:axId val="90447232"/>
        <c:scaling>
          <c:orientation val="minMax"/>
        </c:scaling>
        <c:delete val="0"/>
        <c:axPos val="l"/>
        <c:majorGridlines/>
        <c:numFmt formatCode="_-* #,##0_-;\-* #,##0_-;_-* &quot;-&quot;??_-;_-@_-" sourceLinked="1"/>
        <c:majorTickMark val="out"/>
        <c:minorTickMark val="none"/>
        <c:tickLblPos val="nextTo"/>
        <c:txPr>
          <a:bodyPr/>
          <a:lstStyle/>
          <a:p>
            <a:pPr>
              <a:defRPr>
                <a:latin typeface="Garamond" panose="02020404030301010803" pitchFamily="18" charset="0"/>
              </a:defRPr>
            </a:pPr>
            <a:endParaRPr lang="it-IT"/>
          </a:p>
        </c:txPr>
        <c:crossAx val="90445696"/>
        <c:crosses val="autoZero"/>
        <c:crossBetween val="between"/>
      </c:valAx>
    </c:plotArea>
    <c:legend>
      <c:legendPos val="b"/>
      <c:layout>
        <c:manualLayout>
          <c:xMode val="edge"/>
          <c:yMode val="edge"/>
          <c:x val="6.6518497114466196E-2"/>
          <c:y val="0.89402458356071823"/>
          <c:w val="0.90783259890678802"/>
          <c:h val="0.10597531345733487"/>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'Totali Gare '!$C$3</c:f>
              <c:strCache>
                <c:ptCount val="1"/>
                <c:pt idx="0">
                  <c:v>Totale nr. Gare</c:v>
                </c:pt>
              </c:strCache>
            </c:strRef>
          </c:tx>
          <c:cat>
            <c:numRef>
              <c:f>'Totali Gare '!$B$4:$B$8</c:f>
              <c:numCache>
                <c:formatCode>General</c:formatCode>
                <c:ptCount val="5"/>
                <c:pt idx="0">
                  <c:v>2013</c:v>
                </c:pt>
                <c:pt idx="1">
                  <c:v>2014</c:v>
                </c:pt>
                <c:pt idx="2">
                  <c:v>2015</c:v>
                </c:pt>
                <c:pt idx="3">
                  <c:v>2016</c:v>
                </c:pt>
                <c:pt idx="4">
                  <c:v>2017</c:v>
                </c:pt>
              </c:numCache>
            </c:numRef>
          </c:cat>
          <c:val>
            <c:numRef>
              <c:f>'Totali Gare '!$C$4:$C$8</c:f>
              <c:numCache>
                <c:formatCode>_-* #,##0_-;\-* #,##0_-;_-* "-"??_-;_-@_-</c:formatCode>
                <c:ptCount val="5"/>
                <c:pt idx="0">
                  <c:v>114938</c:v>
                </c:pt>
                <c:pt idx="1">
                  <c:v>116799</c:v>
                </c:pt>
                <c:pt idx="2">
                  <c:v>117643</c:v>
                </c:pt>
                <c:pt idx="3">
                  <c:v>100277</c:v>
                </c:pt>
                <c:pt idx="4">
                  <c:v>112096</c:v>
                </c:pt>
              </c:numCache>
            </c:numRef>
          </c:val>
          <c:smooth val="0"/>
          <c:extLst xmlns:c16r2="http://schemas.microsoft.com/office/drawing/2015/06/chart">
            <c:ext xmlns:c16="http://schemas.microsoft.com/office/drawing/2014/chart" uri="{C3380CC4-5D6E-409C-BE32-E72D297353CC}">
              <c16:uniqueId val="{00000000-DF84-4A31-BB98-86F6B42BD684}"/>
            </c:ext>
          </c:extLst>
        </c:ser>
        <c:ser>
          <c:idx val="1"/>
          <c:order val="1"/>
          <c:tx>
            <c:strRef>
              <c:f>'Totali Gare '!$D$3</c:f>
              <c:strCache>
                <c:ptCount val="1"/>
                <c:pt idx="0">
                  <c:v>Totale nr. Lotti</c:v>
                </c:pt>
              </c:strCache>
            </c:strRef>
          </c:tx>
          <c:cat>
            <c:numRef>
              <c:f>'Totali Gare '!$B$4:$B$8</c:f>
              <c:numCache>
                <c:formatCode>General</c:formatCode>
                <c:ptCount val="5"/>
                <c:pt idx="0">
                  <c:v>2013</c:v>
                </c:pt>
                <c:pt idx="1">
                  <c:v>2014</c:v>
                </c:pt>
                <c:pt idx="2">
                  <c:v>2015</c:v>
                </c:pt>
                <c:pt idx="3">
                  <c:v>2016</c:v>
                </c:pt>
                <c:pt idx="4">
                  <c:v>2017</c:v>
                </c:pt>
              </c:numCache>
            </c:numRef>
          </c:cat>
          <c:val>
            <c:numRef>
              <c:f>'Totali Gare '!$D$4:$D$8</c:f>
              <c:numCache>
                <c:formatCode>_-* #,##0_-;\-* #,##0_-;_-* "-"??_-;_-@_-</c:formatCode>
                <c:ptCount val="5"/>
                <c:pt idx="0">
                  <c:v>135765</c:v>
                </c:pt>
                <c:pt idx="1">
                  <c:v>136981</c:v>
                </c:pt>
                <c:pt idx="2">
                  <c:v>139530</c:v>
                </c:pt>
                <c:pt idx="3">
                  <c:v>118989</c:v>
                </c:pt>
                <c:pt idx="4">
                  <c:v>137237</c:v>
                </c:pt>
              </c:numCache>
            </c:numRef>
          </c:val>
          <c:smooth val="0"/>
          <c:extLst xmlns:c16r2="http://schemas.microsoft.com/office/drawing/2015/06/chart">
            <c:ext xmlns:c16="http://schemas.microsoft.com/office/drawing/2014/chart" uri="{C3380CC4-5D6E-409C-BE32-E72D297353CC}">
              <c16:uniqueId val="{00000001-DF84-4A31-BB98-86F6B42BD684}"/>
            </c:ext>
          </c:extLst>
        </c:ser>
        <c:dLbls>
          <c:showLegendKey val="0"/>
          <c:showVal val="0"/>
          <c:showCatName val="0"/>
          <c:showSerName val="0"/>
          <c:showPercent val="0"/>
          <c:showBubbleSize val="0"/>
        </c:dLbls>
        <c:marker val="1"/>
        <c:smooth val="0"/>
        <c:axId val="67568768"/>
        <c:axId val="67570304"/>
      </c:lineChart>
      <c:catAx>
        <c:axId val="67568768"/>
        <c:scaling>
          <c:orientation val="minMax"/>
        </c:scaling>
        <c:delete val="0"/>
        <c:axPos val="b"/>
        <c:numFmt formatCode="General" sourceLinked="1"/>
        <c:majorTickMark val="out"/>
        <c:minorTickMark val="none"/>
        <c:tickLblPos val="nextTo"/>
        <c:crossAx val="67570304"/>
        <c:crosses val="autoZero"/>
        <c:auto val="1"/>
        <c:lblAlgn val="ctr"/>
        <c:lblOffset val="100"/>
        <c:noMultiLvlLbl val="0"/>
      </c:catAx>
      <c:valAx>
        <c:axId val="67570304"/>
        <c:scaling>
          <c:orientation val="minMax"/>
        </c:scaling>
        <c:delete val="0"/>
        <c:axPos val="l"/>
        <c:majorGridlines/>
        <c:numFmt formatCode="_-* #,##0_-;\-* #,##0_-;_-* &quot;-&quot;??_-;_-@_-" sourceLinked="1"/>
        <c:majorTickMark val="out"/>
        <c:minorTickMark val="none"/>
        <c:tickLblPos val="nextTo"/>
        <c:crossAx val="67568768"/>
        <c:crosses val="autoZero"/>
        <c:crossBetween val="between"/>
      </c:valAx>
    </c:plotArea>
    <c:legend>
      <c:legendPos val="b"/>
      <c:layout>
        <c:manualLayout>
          <c:xMode val="edge"/>
          <c:yMode val="edge"/>
          <c:x val="0.27835705392738769"/>
          <c:y val="0.88850503062117236"/>
          <c:w val="0.56151247274910066"/>
          <c:h val="8.3717191601049873E-2"/>
        </c:manualLayou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baseline="0"/>
              <a:t>Ambiti Appalti - depositi anno 2015</a:t>
            </a:r>
            <a:endParaRPr lang="en-US"/>
          </a:p>
        </c:rich>
      </c:tx>
      <c:layout/>
      <c:overlay val="0"/>
      <c:spPr>
        <a:noFill/>
        <a:ln>
          <a:noFill/>
        </a:ln>
        <a:effectLst/>
      </c:spPr>
    </c:title>
    <c:autoTitleDeleted val="0"/>
    <c:view3D>
      <c:rotX val="40"/>
      <c:rotY val="0"/>
      <c:rAngAx val="0"/>
      <c:perspective val="2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444838145231846"/>
          <c:y val="0.12951407115777194"/>
          <c:w val="0.45284711286089241"/>
          <c:h val="0.75474518810148727"/>
        </c:manualLayout>
      </c:layout>
      <c:pie3DChart>
        <c:varyColors val="1"/>
        <c:ser>
          <c:idx val="0"/>
          <c:order val="0"/>
          <c:tx>
            <c:strRef>
              <c:f>Foglio2!$D$4</c:f>
              <c:strCache>
                <c:ptCount val="1"/>
                <c:pt idx="0">
                  <c:v>Anno</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Lbls>
            <c:dLbl>
              <c:idx val="0"/>
              <c:layout>
                <c:manualLayout>
                  <c:x val="8.186236229638752E-3"/>
                  <c:y val="-2.6936022855321456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5.7720048975688804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2.8651826803735556E-2"/>
                  <c:y val="-2.3088019590275521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6.1396771722290563E-2"/>
                  <c:y val="2.3088019590275486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3.8884622090783999E-2"/>
                  <c:y val="5.7720048975688804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2.0465590574096804E-2"/>
                  <c:y val="7.6960065300918395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5.3210535492651902E-2"/>
                  <c:y val="7.6960065300918402E-3"/>
                </c:manualLayout>
              </c:layout>
              <c:dLblPos val="bestFit"/>
              <c:showLegendKey val="0"/>
              <c:showVal val="1"/>
              <c:showCatName val="0"/>
              <c:showSerName val="0"/>
              <c:showPercent val="0"/>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it-IT"/>
              </a:p>
            </c:txPr>
            <c:dLblPos val="outEnd"/>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Foglio2!$C$5:$C$11</c:f>
              <c:strCache>
                <c:ptCount val="7"/>
                <c:pt idx="0">
                  <c:v>Sanita</c:v>
                </c:pt>
                <c:pt idx="1">
                  <c:v>Consip</c:v>
                </c:pt>
                <c:pt idx="2">
                  <c:v>Beni Culturali</c:v>
                </c:pt>
                <c:pt idx="3">
                  <c:v>Difesa</c:v>
                </c:pt>
                <c:pt idx="4">
                  <c:v>Scuola</c:v>
                </c:pt>
                <c:pt idx="5">
                  <c:v>Anas</c:v>
                </c:pt>
                <c:pt idx="6">
                  <c:v>Enti locali e altri ambiti </c:v>
                </c:pt>
              </c:strCache>
            </c:strRef>
          </c:cat>
          <c:val>
            <c:numRef>
              <c:f>Foglio2!$D$5:$D$11</c:f>
              <c:numCache>
                <c:formatCode>General</c:formatCode>
                <c:ptCount val="7"/>
                <c:pt idx="0">
                  <c:v>663</c:v>
                </c:pt>
                <c:pt idx="1">
                  <c:v>73</c:v>
                </c:pt>
                <c:pt idx="2">
                  <c:v>82</c:v>
                </c:pt>
                <c:pt idx="3">
                  <c:v>46</c:v>
                </c:pt>
                <c:pt idx="4">
                  <c:v>260</c:v>
                </c:pt>
                <c:pt idx="5">
                  <c:v>105</c:v>
                </c:pt>
                <c:pt idx="6" formatCode="#,##0">
                  <c:v>4351</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t-I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it-I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Ambiti</a:t>
            </a:r>
            <a:r>
              <a:rPr lang="en-US" baseline="0"/>
              <a:t> Appalti - depositi anno 2016</a:t>
            </a:r>
            <a:endParaRPr lang="en-US"/>
          </a:p>
        </c:rich>
      </c:tx>
      <c:layout/>
      <c:overlay val="0"/>
      <c:spPr>
        <a:noFill/>
        <a:ln>
          <a:noFill/>
        </a:ln>
        <a:effectLst/>
      </c:spPr>
    </c:title>
    <c:autoTitleDeleted val="0"/>
    <c:view3D>
      <c:rotX val="40"/>
      <c:rotY val="0"/>
      <c:rAngAx val="0"/>
      <c:perspective val="2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444838145231846"/>
          <c:y val="0.12951407115777194"/>
          <c:w val="0.45284711286089241"/>
          <c:h val="0.75474518810148727"/>
        </c:manualLayout>
      </c:layout>
      <c:pie3DChart>
        <c:varyColors val="1"/>
        <c:ser>
          <c:idx val="0"/>
          <c:order val="0"/>
          <c:tx>
            <c:strRef>
              <c:f>Foglio2!$L$4</c:f>
              <c:strCache>
                <c:ptCount val="1"/>
                <c:pt idx="0">
                  <c:v>Anno</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Lbls>
            <c:dLbl>
              <c:idx val="0"/>
              <c:layout>
                <c:manualLayout>
                  <c:x val="-7.5039631907457386E-17"/>
                  <c:y val="-3.4632029385413265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6.139677172229064E-3"/>
                  <c:y val="-4.2328035915505123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1.8419031516687192E-2"/>
                  <c:y val="-7.0545911573451452E-17"/>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1.8419031516687116E-2"/>
                  <c:y val="-3.8480032650459904E-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1.2279354344458128E-2"/>
                  <c:y val="2.693602285532137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7.5039631907457386E-17"/>
                  <c:y val="6.9264058770826559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3.6838063033374384E-2"/>
                  <c:y val="-7.0545911573451452E-17"/>
                </c:manualLayout>
              </c:layout>
              <c:dLblPos val="bestFit"/>
              <c:showLegendKey val="0"/>
              <c:showVal val="1"/>
              <c:showCatName val="0"/>
              <c:showSerName val="0"/>
              <c:showPercent val="0"/>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it-IT"/>
              </a:p>
            </c:txPr>
            <c:dLblPos val="outEnd"/>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Foglio2!$C$5:$C$11</c:f>
              <c:strCache>
                <c:ptCount val="7"/>
                <c:pt idx="0">
                  <c:v>Sanita</c:v>
                </c:pt>
                <c:pt idx="1">
                  <c:v>Consip</c:v>
                </c:pt>
                <c:pt idx="2">
                  <c:v>Beni Culturali</c:v>
                </c:pt>
                <c:pt idx="3">
                  <c:v>Difesa</c:v>
                </c:pt>
                <c:pt idx="4">
                  <c:v>Scuola</c:v>
                </c:pt>
                <c:pt idx="5">
                  <c:v>Anas</c:v>
                </c:pt>
                <c:pt idx="6">
                  <c:v>Enti locali e altri ambiti </c:v>
                </c:pt>
              </c:strCache>
            </c:strRef>
          </c:cat>
          <c:val>
            <c:numRef>
              <c:f>Foglio2!$L$5:$L$11</c:f>
              <c:numCache>
                <c:formatCode>General</c:formatCode>
                <c:ptCount val="7"/>
                <c:pt idx="0">
                  <c:v>698</c:v>
                </c:pt>
                <c:pt idx="1">
                  <c:v>49</c:v>
                </c:pt>
                <c:pt idx="2">
                  <c:v>68</c:v>
                </c:pt>
                <c:pt idx="3">
                  <c:v>110</c:v>
                </c:pt>
                <c:pt idx="4">
                  <c:v>269</c:v>
                </c:pt>
                <c:pt idx="5">
                  <c:v>48</c:v>
                </c:pt>
                <c:pt idx="6" formatCode="#,##0">
                  <c:v>2087</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t-I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it-IT"/>
    </a:p>
  </c:txPr>
  <c:externalData r:id="rId2">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70DB7-56FD-45D9-9ECF-BB3B0878C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24392</Words>
  <Characters>139038</Characters>
  <Application>Microsoft Office Word</Application>
  <DocSecurity>4</DocSecurity>
  <Lines>1158</Lines>
  <Paragraphs>326</Paragraphs>
  <ScaleCrop>false</ScaleCrop>
  <HeadingPairs>
    <vt:vector size="2" baseType="variant">
      <vt:variant>
        <vt:lpstr>Titolo</vt:lpstr>
      </vt:variant>
      <vt:variant>
        <vt:i4>1</vt:i4>
      </vt:variant>
    </vt:vector>
  </HeadingPairs>
  <TitlesOfParts>
    <vt:vector size="1" baseType="lpstr">
      <vt:lpstr>RELAZIONE DI CONTROLLO</vt:lpstr>
    </vt:vector>
  </TitlesOfParts>
  <Company>MIT</Company>
  <LinksUpToDate>false</LinksUpToDate>
  <CharactersWithSpaces>163104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RELAZIONE DI CONTROLLO</dc:title>
  <dc:subject>ai sensi dell’articolo 212, comma 3,      del Codice dei contratti pubblici</dc:subject>
  <dc:creator>Speranza Andrea</dc:creator>
  <cp:lastModifiedBy>Guidi Valentina</cp:lastModifiedBy>
  <cp:revision>2</cp:revision>
  <cp:lastPrinted>2018-11-29T14:12:00Z</cp:lastPrinted>
  <dcterms:created xsi:type="dcterms:W3CDTF">2018-11-30T12:32:00Z</dcterms:created>
  <dcterms:modified xsi:type="dcterms:W3CDTF">2018-11-30T12:32:00Z</dcterms:modified>
</cp:coreProperties>
</file>