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B7EBD" w14:textId="32F418F5" w:rsidR="00BD08CB" w:rsidRPr="00B01372" w:rsidRDefault="00411EDE" w:rsidP="00411EDE">
      <w:pPr>
        <w:pStyle w:val="Heading1"/>
        <w:jc w:val="center"/>
        <w:rPr>
          <w:rFonts w:asciiTheme="minorHAnsi" w:hAnsiTheme="minorHAnsi"/>
          <w:sz w:val="22"/>
          <w:szCs w:val="22"/>
          <w:u w:val="single"/>
        </w:rPr>
      </w:pPr>
      <w:r w:rsidRPr="00B01372">
        <w:rPr>
          <w:rFonts w:asciiTheme="minorHAnsi" w:hAnsiTheme="minorHAnsi"/>
          <w:sz w:val="22"/>
          <w:szCs w:val="22"/>
          <w:u w:val="single"/>
        </w:rPr>
        <w:br/>
      </w:r>
      <w:r w:rsidRPr="00B01372">
        <w:rPr>
          <w:rFonts w:asciiTheme="minorHAnsi" w:hAnsiTheme="minorHAnsi"/>
          <w:sz w:val="22"/>
          <w:szCs w:val="22"/>
          <w:u w:val="single"/>
        </w:rPr>
        <w:br/>
      </w:r>
      <w:r w:rsidR="00F92DAE" w:rsidRPr="00B01372">
        <w:rPr>
          <w:rFonts w:asciiTheme="minorHAnsi" w:hAnsiTheme="minorHAnsi"/>
          <w:sz w:val="32"/>
          <w:szCs w:val="32"/>
        </w:rPr>
        <w:br/>
      </w:r>
      <w:r w:rsidR="00F92DAE" w:rsidRPr="00B01372">
        <w:rPr>
          <w:rFonts w:asciiTheme="minorHAnsi" w:hAnsiTheme="minorHAnsi"/>
          <w:sz w:val="32"/>
          <w:szCs w:val="32"/>
          <w:u w:val="single"/>
        </w:rPr>
        <w:t xml:space="preserve">Procurement </w:t>
      </w:r>
      <w:r w:rsidR="0051246A" w:rsidRPr="00B01372">
        <w:rPr>
          <w:rFonts w:asciiTheme="minorHAnsi" w:hAnsiTheme="minorHAnsi"/>
          <w:sz w:val="32"/>
          <w:szCs w:val="32"/>
          <w:u w:val="single"/>
        </w:rPr>
        <w:t xml:space="preserve">Monitoring </w:t>
      </w:r>
      <w:r w:rsidR="00F92DAE" w:rsidRPr="00B01372">
        <w:rPr>
          <w:rFonts w:asciiTheme="minorHAnsi" w:hAnsiTheme="minorHAnsi"/>
          <w:sz w:val="32"/>
          <w:szCs w:val="32"/>
          <w:u w:val="single"/>
        </w:rPr>
        <w:t>Report Template</w:t>
      </w:r>
      <w:r w:rsidR="00F92DAE" w:rsidRPr="00B01372">
        <w:rPr>
          <w:rFonts w:asciiTheme="minorHAnsi" w:hAnsiTheme="minorHAnsi"/>
          <w:sz w:val="32"/>
          <w:szCs w:val="32"/>
        </w:rPr>
        <w:t xml:space="preserve"> </w:t>
      </w:r>
    </w:p>
    <w:p w14:paraId="34AB7EBE" w14:textId="77777777" w:rsidR="00BD08CB" w:rsidRPr="00B01372" w:rsidRDefault="00C314EF" w:rsidP="00F92DAE">
      <w:pPr>
        <w:pStyle w:val="NoSpacing"/>
        <w:jc w:val="center"/>
        <w:rPr>
          <w:b/>
          <w:sz w:val="32"/>
          <w:szCs w:val="32"/>
        </w:rPr>
      </w:pPr>
      <w:r w:rsidRPr="00B01372">
        <w:rPr>
          <w:b/>
          <w:sz w:val="32"/>
          <w:szCs w:val="32"/>
        </w:rPr>
        <w:t xml:space="preserve">In view of </w:t>
      </w:r>
      <w:r w:rsidR="00411EDE" w:rsidRPr="00B01372">
        <w:rPr>
          <w:b/>
          <w:sz w:val="32"/>
          <w:szCs w:val="32"/>
        </w:rPr>
        <w:t>the Member States' reporting proces</w:t>
      </w:r>
      <w:r w:rsidRPr="00B01372">
        <w:rPr>
          <w:b/>
          <w:sz w:val="32"/>
          <w:szCs w:val="32"/>
        </w:rPr>
        <w:t>s</w:t>
      </w:r>
      <w:r w:rsidR="00411EDE" w:rsidRPr="00B01372">
        <w:rPr>
          <w:b/>
          <w:sz w:val="32"/>
          <w:szCs w:val="32"/>
        </w:rPr>
        <w:t xml:space="preserve"> </w:t>
      </w:r>
      <w:r w:rsidR="00411EDE" w:rsidRPr="00B01372">
        <w:rPr>
          <w:b/>
          <w:sz w:val="32"/>
          <w:szCs w:val="32"/>
        </w:rPr>
        <w:br/>
      </w:r>
      <w:r w:rsidRPr="00B01372">
        <w:rPr>
          <w:b/>
          <w:sz w:val="32"/>
          <w:szCs w:val="32"/>
        </w:rPr>
        <w:t xml:space="preserve">under the </w:t>
      </w:r>
      <w:r w:rsidR="00411EDE" w:rsidRPr="00B01372">
        <w:rPr>
          <w:b/>
          <w:sz w:val="32"/>
          <w:szCs w:val="32"/>
        </w:rPr>
        <w:t xml:space="preserve">Directives 2014/23/EU, 2014/24/EU and 2014/25/EU   </w:t>
      </w:r>
    </w:p>
    <w:p w14:paraId="34AB7EC0" w14:textId="4C8A275E" w:rsidR="005E2AB6" w:rsidRPr="00B01372" w:rsidRDefault="00411EDE" w:rsidP="005E2AB6">
      <w:pPr>
        <w:pStyle w:val="Heading1"/>
        <w:rPr>
          <w:rFonts w:asciiTheme="minorHAnsi" w:hAnsiTheme="minorHAnsi"/>
        </w:rPr>
      </w:pPr>
      <w:r w:rsidRPr="00B01372">
        <w:rPr>
          <w:rFonts w:asciiTheme="minorHAnsi" w:hAnsiTheme="minorHAnsi"/>
        </w:rPr>
        <w:t>Purpose and key features of the template</w:t>
      </w:r>
    </w:p>
    <w:p w14:paraId="34AB7EC1" w14:textId="77777777" w:rsidR="00C314EF" w:rsidRPr="00B01372" w:rsidRDefault="00C314EF" w:rsidP="00C314EF">
      <w:pPr>
        <w:pStyle w:val="NoSpacing"/>
      </w:pPr>
    </w:p>
    <w:p w14:paraId="34AB7EC2" w14:textId="77777777" w:rsidR="005E2AB6" w:rsidRPr="00B01372" w:rsidRDefault="005E2AB6" w:rsidP="005E2AB6">
      <w:pPr>
        <w:pStyle w:val="NoSpacing"/>
      </w:pPr>
    </w:p>
    <w:p w14:paraId="34AB7EC3" w14:textId="5610A268" w:rsidR="00F134F8" w:rsidRDefault="00357EAC" w:rsidP="001E32E4">
      <w:pPr>
        <w:pStyle w:val="NoSpacing"/>
        <w:numPr>
          <w:ilvl w:val="0"/>
          <w:numId w:val="2"/>
        </w:numPr>
        <w:jc w:val="both"/>
      </w:pPr>
      <w:r w:rsidRPr="00B01372">
        <w:t xml:space="preserve">This </w:t>
      </w:r>
      <w:r w:rsidR="00F134F8" w:rsidRPr="00B01372">
        <w:t>template aims at facilitating Member States'</w:t>
      </w:r>
      <w:r w:rsidRPr="00B01372">
        <w:t xml:space="preserve"> (MS)</w:t>
      </w:r>
      <w:r w:rsidR="00F134F8" w:rsidRPr="00B01372">
        <w:t xml:space="preserve"> reporting in the context of the new procurement directives. The template </w:t>
      </w:r>
      <w:r w:rsidR="00402EDC" w:rsidRPr="00B01372">
        <w:t>sets out</w:t>
      </w:r>
      <w:r w:rsidR="00F134F8" w:rsidRPr="00B01372">
        <w:t xml:space="preserve"> the scope of the reporting </w:t>
      </w:r>
      <w:r w:rsidR="00402EDC" w:rsidRPr="00B01372">
        <w:t>requirements</w:t>
      </w:r>
      <w:r w:rsidR="00F134F8" w:rsidRPr="00B01372">
        <w:t xml:space="preserve"> and recommends MS a meth</w:t>
      </w:r>
      <w:r w:rsidR="00722834" w:rsidRPr="00B01372">
        <w:t>odology to gather and systematis</w:t>
      </w:r>
      <w:r w:rsidR="00F134F8" w:rsidRPr="00B01372">
        <w:t>e</w:t>
      </w:r>
      <w:r w:rsidR="0051246A" w:rsidRPr="00B01372">
        <w:t xml:space="preserve"> </w:t>
      </w:r>
      <w:r w:rsidR="00F134F8" w:rsidRPr="00B01372">
        <w:t xml:space="preserve">the </w:t>
      </w:r>
      <w:r w:rsidR="0051246A" w:rsidRPr="00B01372">
        <w:t xml:space="preserve">collection of </w:t>
      </w:r>
      <w:r w:rsidR="00F134F8" w:rsidRPr="00B01372">
        <w:t xml:space="preserve">relevant information. Furthermore, it </w:t>
      </w:r>
      <w:r w:rsidR="00722834" w:rsidRPr="00B01372">
        <w:t>strives to propose a harmonis</w:t>
      </w:r>
      <w:r w:rsidR="00F134F8" w:rsidRPr="00B01372">
        <w:t xml:space="preserve">ed structure of the reports so as to allow easier comparison of the information provided by the </w:t>
      </w:r>
      <w:r w:rsidRPr="00B01372">
        <w:t>MS</w:t>
      </w:r>
      <w:r w:rsidR="00F134F8" w:rsidRPr="00B01372">
        <w:t>.</w:t>
      </w:r>
      <w:r w:rsidR="00D6180B" w:rsidRPr="00B01372">
        <w:t xml:space="preserve"> </w:t>
      </w:r>
    </w:p>
    <w:p w14:paraId="429AD730" w14:textId="77777777" w:rsidR="00591D50" w:rsidRDefault="00591D50" w:rsidP="00591D50">
      <w:pPr>
        <w:pStyle w:val="NoSpacing"/>
        <w:ind w:left="360"/>
        <w:jc w:val="both"/>
      </w:pPr>
    </w:p>
    <w:p w14:paraId="62AF63DF" w14:textId="0896EF0B" w:rsidR="00DC7DB5" w:rsidRPr="00B01372" w:rsidRDefault="00DC7DB5" w:rsidP="00DC7DB5">
      <w:pPr>
        <w:pStyle w:val="NoSpacing"/>
        <w:numPr>
          <w:ilvl w:val="0"/>
          <w:numId w:val="2"/>
        </w:numPr>
        <w:jc w:val="both"/>
      </w:pPr>
      <w:r w:rsidRPr="00DC7DB5">
        <w:t>The questions in this template are non-binding specifications of the directives' legal obligations on monitoring reports</w:t>
      </w:r>
      <w:r>
        <w:t xml:space="preserve">. The template should be followed only as far as possible by the Member State, especially as concerns the availability of </w:t>
      </w:r>
      <w:r w:rsidR="00693D77" w:rsidRPr="001E32E4">
        <w:t>quantitative</w:t>
      </w:r>
      <w:r w:rsidR="00693D77">
        <w:t xml:space="preserve"> </w:t>
      </w:r>
      <w:r>
        <w:t>information. When information is not available</w:t>
      </w:r>
      <w:r w:rsidRPr="00DC7DB5">
        <w:t xml:space="preserve">, </w:t>
      </w:r>
      <w:r>
        <w:t xml:space="preserve">this may be noted in the report, possibly together with an </w:t>
      </w:r>
      <w:r w:rsidR="00E45EC8">
        <w:t xml:space="preserve">explanation of </w:t>
      </w:r>
      <w:r>
        <w:t xml:space="preserve">whether there are plans to start collecting such information and including it in the future edition of the </w:t>
      </w:r>
      <w:r w:rsidR="00E45EC8">
        <w:t>report</w:t>
      </w:r>
      <w:r>
        <w:t xml:space="preserve">. </w:t>
      </w:r>
    </w:p>
    <w:p w14:paraId="5FBC0F3D" w14:textId="7D0761A1" w:rsidR="006E27CD" w:rsidRPr="00B01372" w:rsidRDefault="006E27CD" w:rsidP="00411EDE">
      <w:pPr>
        <w:pStyle w:val="NoSpacing"/>
        <w:ind w:left="426" w:hanging="426"/>
        <w:jc w:val="both"/>
      </w:pPr>
    </w:p>
    <w:p w14:paraId="34AB7EC5" w14:textId="4A2FD3C0" w:rsidR="00F134F8" w:rsidRPr="00B01372" w:rsidRDefault="0051246A" w:rsidP="00411EDE">
      <w:pPr>
        <w:pStyle w:val="NoSpacing"/>
        <w:numPr>
          <w:ilvl w:val="0"/>
          <w:numId w:val="2"/>
        </w:numPr>
        <w:ind w:left="426" w:hanging="426"/>
        <w:jc w:val="both"/>
      </w:pPr>
      <w:r w:rsidRPr="00B01372">
        <w:t>MS</w:t>
      </w:r>
      <w:r w:rsidR="00F134F8" w:rsidRPr="00B01372">
        <w:t xml:space="preserve">' reports will be published on the European Commission website. The information will feed the </w:t>
      </w:r>
      <w:r w:rsidRPr="00B01372">
        <w:t>new R</w:t>
      </w:r>
      <w:r w:rsidR="00F134F8" w:rsidRPr="00B01372">
        <w:t xml:space="preserve">eport on the implementation and best practices of national procurement policies in the internal market to be </w:t>
      </w:r>
      <w:r w:rsidRPr="00B01372">
        <w:t xml:space="preserve">issued </w:t>
      </w:r>
      <w:r w:rsidR="00F134F8" w:rsidRPr="00B01372">
        <w:t xml:space="preserve">by the European Commission. </w:t>
      </w:r>
      <w:r w:rsidR="00BD08CB" w:rsidRPr="00B01372">
        <w:t>The information provided by the M</w:t>
      </w:r>
      <w:r w:rsidRPr="00B01372">
        <w:t>S</w:t>
      </w:r>
      <w:r w:rsidR="00BD08CB" w:rsidRPr="00B01372">
        <w:t xml:space="preserve"> will </w:t>
      </w:r>
      <w:r w:rsidR="00061269" w:rsidRPr="00B01372">
        <w:t>support the</w:t>
      </w:r>
      <w:r w:rsidR="00BD08CB" w:rsidRPr="00B01372">
        <w:t xml:space="preserve"> policy analysis work of the Commission.</w:t>
      </w:r>
    </w:p>
    <w:p w14:paraId="34AB7EC6" w14:textId="77777777" w:rsidR="00B11DB1" w:rsidRPr="00B01372" w:rsidRDefault="00B11DB1" w:rsidP="00411EDE">
      <w:pPr>
        <w:pStyle w:val="NoSpacing"/>
        <w:ind w:left="426" w:hanging="426"/>
        <w:jc w:val="both"/>
      </w:pPr>
    </w:p>
    <w:p w14:paraId="34AB7EC7" w14:textId="4DD654C1" w:rsidR="00B11DB1" w:rsidRPr="00B01372" w:rsidRDefault="00F134F8" w:rsidP="00411EDE">
      <w:pPr>
        <w:pStyle w:val="NoSpacing"/>
        <w:numPr>
          <w:ilvl w:val="0"/>
          <w:numId w:val="2"/>
        </w:numPr>
        <w:ind w:left="426" w:hanging="426"/>
        <w:jc w:val="both"/>
      </w:pPr>
      <w:r w:rsidRPr="00B01372">
        <w:t xml:space="preserve">The template </w:t>
      </w:r>
      <w:r w:rsidR="00EF5D67" w:rsidRPr="00B01372">
        <w:t>covers all</w:t>
      </w:r>
      <w:r w:rsidRPr="00B01372">
        <w:t xml:space="preserve"> </w:t>
      </w:r>
      <w:r w:rsidR="00BD08CB" w:rsidRPr="00B01372">
        <w:t xml:space="preserve">domains for </w:t>
      </w:r>
      <w:r w:rsidRPr="00B01372">
        <w:t xml:space="preserve">which </w:t>
      </w:r>
      <w:r w:rsidR="00BD08CB" w:rsidRPr="00B01372">
        <w:t>reporting requirement</w:t>
      </w:r>
      <w:r w:rsidR="001B1BD0">
        <w:t>s</w:t>
      </w:r>
      <w:r w:rsidR="00BD08CB" w:rsidRPr="00B01372">
        <w:t xml:space="preserve"> are defined</w:t>
      </w:r>
      <w:r w:rsidRPr="00B01372">
        <w:t xml:space="preserve"> under the </w:t>
      </w:r>
      <w:r w:rsidR="00357EAC" w:rsidRPr="00B01372">
        <w:t xml:space="preserve">2014 </w:t>
      </w:r>
      <w:r w:rsidRPr="00B01372">
        <w:t xml:space="preserve">procurement directives. </w:t>
      </w:r>
      <w:r w:rsidR="00357EAC" w:rsidRPr="00B01372">
        <w:t xml:space="preserve"> </w:t>
      </w:r>
    </w:p>
    <w:p w14:paraId="34AB7EC8" w14:textId="77777777" w:rsidR="00F134F8" w:rsidRPr="00B01372" w:rsidRDefault="00F134F8" w:rsidP="00411EDE">
      <w:pPr>
        <w:pStyle w:val="NoSpacing"/>
        <w:ind w:left="426" w:hanging="426"/>
        <w:jc w:val="both"/>
      </w:pPr>
      <w:r w:rsidRPr="00B01372">
        <w:t xml:space="preserve"> </w:t>
      </w:r>
    </w:p>
    <w:p w14:paraId="4E5CCF50" w14:textId="25D2D4DD" w:rsidR="0037143F" w:rsidRDefault="00F60E74" w:rsidP="00411EDE">
      <w:pPr>
        <w:pStyle w:val="NoSpacing"/>
        <w:numPr>
          <w:ilvl w:val="0"/>
          <w:numId w:val="2"/>
        </w:numPr>
        <w:ind w:left="426" w:hanging="426"/>
        <w:jc w:val="both"/>
      </w:pPr>
      <w:r w:rsidRPr="00B01372">
        <w:t>T</w:t>
      </w:r>
      <w:r w:rsidR="00F134F8" w:rsidRPr="00B01372">
        <w:t xml:space="preserve">he </w:t>
      </w:r>
      <w:r w:rsidR="00693D77">
        <w:t>template</w:t>
      </w:r>
      <w:r w:rsidR="00693D77" w:rsidRPr="00B01372">
        <w:t xml:space="preserve"> </w:t>
      </w:r>
      <w:r w:rsidR="00F134F8" w:rsidRPr="00B01372">
        <w:t>con</w:t>
      </w:r>
      <w:r w:rsidR="0037143F">
        <w:t>tains</w:t>
      </w:r>
      <w:r w:rsidR="00F134F8" w:rsidRPr="00B01372">
        <w:t xml:space="preserve"> </w:t>
      </w:r>
      <w:r w:rsidR="006B0E4D">
        <w:t xml:space="preserve">the following types of </w:t>
      </w:r>
      <w:r w:rsidR="00F134F8" w:rsidRPr="00B01372">
        <w:t>questions</w:t>
      </w:r>
      <w:r w:rsidR="00C3004E">
        <w:t xml:space="preserve">: </w:t>
      </w:r>
    </w:p>
    <w:p w14:paraId="1EADBFF9" w14:textId="2F1A33A1" w:rsidR="0037143F" w:rsidRDefault="00F134F8" w:rsidP="0037143F">
      <w:pPr>
        <w:pStyle w:val="NoSpacing"/>
        <w:ind w:left="1440"/>
        <w:jc w:val="both"/>
      </w:pPr>
      <w:r w:rsidRPr="00B01372">
        <w:t xml:space="preserve"> </w:t>
      </w:r>
      <w:proofErr w:type="spellStart"/>
      <w:r w:rsidR="00FB64C5" w:rsidRPr="00B01372">
        <w:t>i</w:t>
      </w:r>
      <w:proofErr w:type="spellEnd"/>
      <w:r w:rsidR="00FB64C5" w:rsidRPr="00B01372">
        <w:t xml:space="preserve">) </w:t>
      </w:r>
      <w:proofErr w:type="gramStart"/>
      <w:r w:rsidRPr="00B01372">
        <w:t>qualitative</w:t>
      </w:r>
      <w:proofErr w:type="gramEnd"/>
      <w:r w:rsidR="0037143F">
        <w:t xml:space="preserve"> description</w:t>
      </w:r>
      <w:r w:rsidR="00C3004E">
        <w:t>s</w:t>
      </w:r>
      <w:r w:rsidR="0037143F">
        <w:t xml:space="preserve"> and assessment,</w:t>
      </w:r>
    </w:p>
    <w:p w14:paraId="48C55345" w14:textId="52AF9E47" w:rsidR="0037143F" w:rsidRDefault="00FB64C5" w:rsidP="0037143F">
      <w:pPr>
        <w:pStyle w:val="NoSpacing"/>
        <w:ind w:left="1440"/>
        <w:jc w:val="both"/>
      </w:pPr>
      <w:r w:rsidRPr="00B01372">
        <w:t xml:space="preserve">ii) </w:t>
      </w:r>
      <w:proofErr w:type="gramStart"/>
      <w:r w:rsidR="0037143F">
        <w:t>supporting</w:t>
      </w:r>
      <w:proofErr w:type="gramEnd"/>
      <w:r w:rsidR="0037143F">
        <w:t xml:space="preserve"> documents which provide the </w:t>
      </w:r>
      <w:r w:rsidR="00C3004E">
        <w:t xml:space="preserve">evidence </w:t>
      </w:r>
      <w:r w:rsidR="0037143F">
        <w:t xml:space="preserve">for the </w:t>
      </w:r>
      <w:r w:rsidR="00C3004E">
        <w:t xml:space="preserve">descriptions and </w:t>
      </w:r>
      <w:r w:rsidR="0037143F">
        <w:t xml:space="preserve">assessment made </w:t>
      </w:r>
      <w:r w:rsidR="00C3004E">
        <w:t>above</w:t>
      </w:r>
      <w:r w:rsidR="00591D50">
        <w:t>,</w:t>
      </w:r>
      <w:r w:rsidR="0037143F" w:rsidRPr="00B01372">
        <w:t xml:space="preserve"> </w:t>
      </w:r>
    </w:p>
    <w:p w14:paraId="2047C418" w14:textId="3657DD0A" w:rsidR="0037143F" w:rsidRDefault="00FB64C5" w:rsidP="0037143F">
      <w:pPr>
        <w:pStyle w:val="NoSpacing"/>
        <w:ind w:left="1440"/>
        <w:jc w:val="both"/>
      </w:pPr>
      <w:r w:rsidRPr="00B01372">
        <w:lastRenderedPageBreak/>
        <w:t xml:space="preserve">iii) </w:t>
      </w:r>
      <w:proofErr w:type="gramStart"/>
      <w:r w:rsidR="00F134F8" w:rsidRPr="00B01372">
        <w:t>quantitative</w:t>
      </w:r>
      <w:proofErr w:type="gramEnd"/>
      <w:r w:rsidR="00F134F8" w:rsidRPr="00B01372">
        <w:t xml:space="preserve"> </w:t>
      </w:r>
      <w:r w:rsidR="0037143F">
        <w:t>indicators</w:t>
      </w:r>
      <w:r w:rsidR="00F134F8" w:rsidRPr="00B01372">
        <w:t>.</w:t>
      </w:r>
      <w:r w:rsidR="00357EAC" w:rsidRPr="00B01372">
        <w:t xml:space="preserve"> </w:t>
      </w:r>
    </w:p>
    <w:p w14:paraId="34AB7EC9" w14:textId="77D3233E" w:rsidR="00B11DB1" w:rsidRDefault="00357EAC" w:rsidP="00E3206F">
      <w:pPr>
        <w:pStyle w:val="NoSpacing"/>
        <w:numPr>
          <w:ilvl w:val="0"/>
          <w:numId w:val="9"/>
        </w:numPr>
        <w:jc w:val="both"/>
      </w:pPr>
      <w:r w:rsidRPr="00B01372">
        <w:t>In the tables below, the left side contains the name of the information to be submitted, while the right side contains further specifications of what this means.</w:t>
      </w:r>
      <w:r w:rsidR="00F134F8" w:rsidRPr="00B01372">
        <w:t xml:space="preserve"> The report should be submitted as a text </w:t>
      </w:r>
      <w:r w:rsidR="00591D50">
        <w:t xml:space="preserve">(.doc) </w:t>
      </w:r>
      <w:r w:rsidR="00FB64C5" w:rsidRPr="00B01372">
        <w:t xml:space="preserve">and PDF </w:t>
      </w:r>
      <w:r w:rsidR="00F134F8" w:rsidRPr="00B01372">
        <w:t xml:space="preserve">document </w:t>
      </w:r>
      <w:r w:rsidR="00FC1176" w:rsidRPr="00B01372">
        <w:t xml:space="preserve">based on </w:t>
      </w:r>
      <w:r w:rsidR="00F134F8" w:rsidRPr="00B01372">
        <w:t>this template</w:t>
      </w:r>
      <w:r w:rsidRPr="00B01372">
        <w:t>.</w:t>
      </w:r>
      <w:r w:rsidR="00F134F8" w:rsidRPr="00B01372">
        <w:t xml:space="preserve"> </w:t>
      </w:r>
    </w:p>
    <w:p w14:paraId="493E344A" w14:textId="77777777" w:rsidR="00591D50" w:rsidRDefault="00591D50" w:rsidP="0037143F">
      <w:pPr>
        <w:pStyle w:val="NoSpacing"/>
        <w:ind w:left="426"/>
        <w:jc w:val="both"/>
      </w:pPr>
    </w:p>
    <w:p w14:paraId="34AB7ECB" w14:textId="26724E0C" w:rsidR="00F134F8" w:rsidRPr="00B01372" w:rsidRDefault="00F134F8" w:rsidP="00411EDE">
      <w:pPr>
        <w:pStyle w:val="NoSpacing"/>
        <w:numPr>
          <w:ilvl w:val="0"/>
          <w:numId w:val="2"/>
        </w:numPr>
        <w:ind w:left="426" w:hanging="426"/>
        <w:jc w:val="both"/>
      </w:pPr>
      <w:r w:rsidRPr="00B01372">
        <w:t xml:space="preserve">To avoid duplication of reporting obligations and reduce administrative burden, </w:t>
      </w:r>
      <w:r w:rsidR="0051246A" w:rsidRPr="00B01372">
        <w:t>MS</w:t>
      </w:r>
      <w:r w:rsidRPr="00B01372">
        <w:t xml:space="preserve"> are invited to indicate any information/data requested in this template </w:t>
      </w:r>
      <w:r w:rsidR="00693D77">
        <w:t xml:space="preserve">that has been </w:t>
      </w:r>
      <w:r w:rsidRPr="00B01372">
        <w:t xml:space="preserve">already provided to the Commission via another channel (e.g. procurement irregularities falling within the scope of ESIF funds). </w:t>
      </w:r>
      <w:r w:rsidR="00693D77">
        <w:t>When it is the case, p</w:t>
      </w:r>
      <w:r w:rsidRPr="00B01372">
        <w:t>lease specify these channels, the context of the reporting and the nature of the information already provided.</w:t>
      </w:r>
    </w:p>
    <w:p w14:paraId="34AB7ECC" w14:textId="77777777" w:rsidR="008472EB" w:rsidRPr="00B01372" w:rsidRDefault="008472EB" w:rsidP="00D6180B">
      <w:pPr>
        <w:pStyle w:val="NoSpacing"/>
        <w:ind w:left="426"/>
        <w:jc w:val="both"/>
      </w:pPr>
    </w:p>
    <w:p w14:paraId="34AB7ED1" w14:textId="23F78D1D" w:rsidR="00C437AF" w:rsidRPr="00B01372" w:rsidRDefault="00411EDE" w:rsidP="003F1BD0">
      <w:pPr>
        <w:pStyle w:val="Heading1"/>
        <w:tabs>
          <w:tab w:val="right" w:pos="14004"/>
        </w:tabs>
        <w:rPr>
          <w:rFonts w:asciiTheme="minorHAnsi" w:hAnsiTheme="minorHAnsi"/>
        </w:rPr>
      </w:pPr>
      <w:r w:rsidRPr="00B01372">
        <w:rPr>
          <w:rFonts w:asciiTheme="minorHAnsi" w:hAnsiTheme="minorHAnsi"/>
        </w:rPr>
        <w:t xml:space="preserve">General information </w:t>
      </w:r>
      <w:r w:rsidR="003F1BD0" w:rsidRPr="00B01372">
        <w:rPr>
          <w:rFonts w:asciiTheme="minorHAnsi" w:hAnsiTheme="minorHAnsi"/>
        </w:rPr>
        <w:tab/>
      </w:r>
    </w:p>
    <w:p w14:paraId="34AB7ED3" w14:textId="77777777" w:rsidR="00411EDE" w:rsidRPr="00B01372" w:rsidRDefault="00411EDE" w:rsidP="00A051EB"/>
    <w:tbl>
      <w:tblPr>
        <w:tblStyle w:val="TableGrid"/>
        <w:tblW w:w="0" w:type="auto"/>
        <w:tblLook w:val="04A0" w:firstRow="1" w:lastRow="0" w:firstColumn="1" w:lastColumn="0" w:noHBand="0" w:noVBand="1"/>
      </w:tblPr>
      <w:tblGrid>
        <w:gridCol w:w="14220"/>
      </w:tblGrid>
      <w:tr w:rsidR="00411EDE" w:rsidRPr="00B01372" w14:paraId="34AB7ED5" w14:textId="77777777" w:rsidTr="00267227">
        <w:trPr>
          <w:trHeight w:val="369"/>
        </w:trPr>
        <w:tc>
          <w:tcPr>
            <w:tcW w:w="0" w:type="auto"/>
          </w:tcPr>
          <w:p w14:paraId="34AB7ED4" w14:textId="64AD19EA" w:rsidR="00411EDE" w:rsidRPr="00B01372" w:rsidRDefault="00B6290E" w:rsidP="00A051EB">
            <w:pPr>
              <w:rPr>
                <w:b/>
                <w:sz w:val="24"/>
                <w:szCs w:val="24"/>
              </w:rPr>
            </w:pPr>
            <w:r w:rsidRPr="00B01372">
              <w:rPr>
                <w:b/>
                <w:sz w:val="24"/>
                <w:szCs w:val="24"/>
              </w:rPr>
              <w:t xml:space="preserve">Scope of </w:t>
            </w:r>
            <w:r w:rsidR="00411EDE" w:rsidRPr="00B01372">
              <w:rPr>
                <w:b/>
                <w:sz w:val="24"/>
                <w:szCs w:val="24"/>
              </w:rPr>
              <w:t>reporting</w:t>
            </w:r>
          </w:p>
        </w:tc>
      </w:tr>
      <w:tr w:rsidR="00411EDE" w:rsidRPr="00B01372" w14:paraId="34AB7ED8" w14:textId="77777777" w:rsidTr="00267227">
        <w:trPr>
          <w:trHeight w:val="559"/>
        </w:trPr>
        <w:tc>
          <w:tcPr>
            <w:tcW w:w="0" w:type="auto"/>
          </w:tcPr>
          <w:p w14:paraId="12B617FF" w14:textId="27DB59EC" w:rsidR="00B6290E" w:rsidRPr="00B01372" w:rsidRDefault="00411EDE" w:rsidP="001A578A">
            <w:pPr>
              <w:pStyle w:val="NoSpacing"/>
              <w:jc w:val="both"/>
            </w:pPr>
            <w:r w:rsidRPr="00B01372">
              <w:t xml:space="preserve">The report </w:t>
            </w:r>
            <w:r w:rsidR="006C12A3">
              <w:t>should cover</w:t>
            </w:r>
            <w:r w:rsidR="00275538">
              <w:t xml:space="preserve"> the </w:t>
            </w:r>
            <w:r w:rsidR="006C12A3">
              <w:t>period between 1</w:t>
            </w:r>
            <w:r w:rsidR="006C12A3" w:rsidRPr="006C12A3">
              <w:rPr>
                <w:vertAlign w:val="superscript"/>
              </w:rPr>
              <w:t>st</w:t>
            </w:r>
            <w:r w:rsidR="006C12A3">
              <w:t xml:space="preserve"> January 2017 and 31</w:t>
            </w:r>
            <w:r w:rsidR="006C12A3" w:rsidRPr="006C12A3">
              <w:rPr>
                <w:vertAlign w:val="superscript"/>
              </w:rPr>
              <w:t>st</w:t>
            </w:r>
            <w:r w:rsidR="006C12A3">
              <w:t xml:space="preserve"> December 2017. </w:t>
            </w:r>
            <w:r w:rsidR="00275538">
              <w:t xml:space="preserve">For quantitative data based on procurement notices, this means that the contract award notice should have been awarded in this period. </w:t>
            </w:r>
            <w:r w:rsidR="006C12A3">
              <w:t xml:space="preserve">If </w:t>
            </w:r>
            <w:r w:rsidR="001B58D6">
              <w:t>a</w:t>
            </w:r>
            <w:r w:rsidR="00591D50">
              <w:t>n</w:t>
            </w:r>
            <w:r w:rsidR="001B58D6">
              <w:t xml:space="preserve"> MS has transposed later than on 1</w:t>
            </w:r>
            <w:r w:rsidR="001B58D6" w:rsidRPr="001B58D6">
              <w:rPr>
                <w:vertAlign w:val="superscript"/>
              </w:rPr>
              <w:t>st</w:t>
            </w:r>
            <w:r w:rsidR="001B58D6">
              <w:t xml:space="preserve"> January 2017, the reporting period should still start on the 1</w:t>
            </w:r>
            <w:r w:rsidR="001B58D6" w:rsidRPr="001B58D6">
              <w:rPr>
                <w:vertAlign w:val="superscript"/>
              </w:rPr>
              <w:t>st</w:t>
            </w:r>
            <w:r w:rsidR="001B58D6">
              <w:t xml:space="preserve"> January 2017.</w:t>
            </w:r>
          </w:p>
          <w:p w14:paraId="56AEFF24" w14:textId="77777777" w:rsidR="00B6290E" w:rsidRPr="00B01372" w:rsidRDefault="00B6290E" w:rsidP="001A578A">
            <w:pPr>
              <w:pStyle w:val="NoSpacing"/>
              <w:jc w:val="both"/>
            </w:pPr>
          </w:p>
          <w:p w14:paraId="34AB7ED7" w14:textId="65B9E27F" w:rsidR="008470C6" w:rsidRPr="00B01372" w:rsidRDefault="00B6290E" w:rsidP="00693D77">
            <w:pPr>
              <w:pStyle w:val="NoSpacing"/>
              <w:jc w:val="both"/>
            </w:pPr>
            <w:r w:rsidRPr="00B01372">
              <w:t xml:space="preserve">If the scope of your report is broader than that indicated in the directives (e.g. </w:t>
            </w:r>
            <w:r w:rsidR="00814E98">
              <w:t xml:space="preserve">because of </w:t>
            </w:r>
            <w:r w:rsidRPr="00B01372">
              <w:t>lower thresholds, broader definition of contracting authorities, c</w:t>
            </w:r>
            <w:r w:rsidR="00722834" w:rsidRPr="00B01372">
              <w:t>ontracting entities, or subsidis</w:t>
            </w:r>
            <w:r w:rsidRPr="00B01372">
              <w:t>ed contracts), please</w:t>
            </w:r>
            <w:r w:rsidR="001227DE" w:rsidRPr="00B01372">
              <w:t xml:space="preserve"> </w:t>
            </w:r>
            <w:r w:rsidRPr="00B01372">
              <w:t xml:space="preserve">indicate </w:t>
            </w:r>
            <w:r w:rsidR="001227DE" w:rsidRPr="00B01372">
              <w:t>this here</w:t>
            </w:r>
            <w:r w:rsidRPr="00B01372">
              <w:t>.</w:t>
            </w:r>
            <w:r w:rsidR="005D22AA">
              <w:t xml:space="preserve"> In such a case, for every indicator, information about procurement according to </w:t>
            </w:r>
            <w:r w:rsidR="007571ED">
              <w:t>the EU d</w:t>
            </w:r>
            <w:r w:rsidR="005D22AA">
              <w:t xml:space="preserve">irectives and any other information should be presented separately, so </w:t>
            </w:r>
            <w:r w:rsidR="007571ED">
              <w:t xml:space="preserve">that the same information can be compared </w:t>
            </w:r>
            <w:r w:rsidR="005D22AA">
              <w:t xml:space="preserve">between EU MS. </w:t>
            </w:r>
          </w:p>
        </w:tc>
      </w:tr>
      <w:tr w:rsidR="00F56EF6" w:rsidRPr="00B01372" w14:paraId="25297046" w14:textId="77777777" w:rsidTr="00267227">
        <w:trPr>
          <w:trHeight w:val="559"/>
        </w:trPr>
        <w:tc>
          <w:tcPr>
            <w:tcW w:w="0" w:type="auto"/>
          </w:tcPr>
          <w:p w14:paraId="4E3854CC" w14:textId="3C3CE7F9" w:rsidR="00F56EF6" w:rsidRDefault="00F44FC3" w:rsidP="00F44FC3">
            <w:pPr>
              <w:pStyle w:val="NoSpacing"/>
              <w:jc w:val="both"/>
              <w:rPr>
                <w:color w:val="FF0000"/>
              </w:rPr>
            </w:pPr>
            <w:r w:rsidRPr="001870E7">
              <w:rPr>
                <w:color w:val="FF0000"/>
              </w:rPr>
              <w:t>National thresholds for public procurement</w:t>
            </w:r>
            <w:r>
              <w:rPr>
                <w:color w:val="FF0000"/>
              </w:rPr>
              <w:t xml:space="preserve"> are 200.000,00 HRK</w:t>
            </w:r>
            <w:r w:rsidR="00C30638">
              <w:rPr>
                <w:color w:val="FF0000"/>
              </w:rPr>
              <w:t xml:space="preserve"> (27.000 EUR)</w:t>
            </w:r>
            <w:r>
              <w:rPr>
                <w:color w:val="FF0000"/>
              </w:rPr>
              <w:t xml:space="preserve"> for goods and</w:t>
            </w:r>
            <w:r w:rsidRPr="001870E7">
              <w:rPr>
                <w:color w:val="FF0000"/>
              </w:rPr>
              <w:t xml:space="preserve"> services</w:t>
            </w:r>
            <w:r>
              <w:rPr>
                <w:color w:val="FF0000"/>
              </w:rPr>
              <w:t xml:space="preserve"> and 500.000,00 HRK</w:t>
            </w:r>
            <w:r w:rsidR="00C30638">
              <w:rPr>
                <w:color w:val="FF0000"/>
              </w:rPr>
              <w:t xml:space="preserve"> (67.000 EUR)</w:t>
            </w:r>
            <w:r>
              <w:rPr>
                <w:color w:val="FF0000"/>
              </w:rPr>
              <w:t xml:space="preserve"> for works (</w:t>
            </w:r>
            <w:r w:rsidRPr="001870E7">
              <w:rPr>
                <w:color w:val="FF0000"/>
              </w:rPr>
              <w:t xml:space="preserve">explained in the Article </w:t>
            </w:r>
            <w:r>
              <w:rPr>
                <w:color w:val="FF0000"/>
              </w:rPr>
              <w:t>14</w:t>
            </w:r>
            <w:r w:rsidRPr="001870E7">
              <w:rPr>
                <w:color w:val="FF0000"/>
              </w:rPr>
              <w:t xml:space="preserve"> of </w:t>
            </w:r>
            <w:r w:rsidRPr="001870E7">
              <w:rPr>
                <w:bCs/>
                <w:color w:val="FF0000"/>
              </w:rPr>
              <w:t xml:space="preserve">the </w:t>
            </w:r>
            <w:r w:rsidRPr="001870E7">
              <w:rPr>
                <w:color w:val="FF0000"/>
              </w:rPr>
              <w:t xml:space="preserve">Public Procurement Act (Official Gazette no. </w:t>
            </w:r>
            <w:r>
              <w:rPr>
                <w:color w:val="FF0000"/>
              </w:rPr>
              <w:t>120</w:t>
            </w:r>
            <w:r w:rsidRPr="001870E7">
              <w:rPr>
                <w:color w:val="FF0000"/>
              </w:rPr>
              <w:t>/201</w:t>
            </w:r>
            <w:r>
              <w:rPr>
                <w:color w:val="FF0000"/>
              </w:rPr>
              <w:t>6</w:t>
            </w:r>
            <w:r w:rsidRPr="001870E7">
              <w:rPr>
                <w:color w:val="FF0000"/>
              </w:rPr>
              <w:t>; hereinafter: PPA)</w:t>
            </w:r>
            <w:r>
              <w:rPr>
                <w:color w:val="FF0000"/>
              </w:rPr>
              <w:t>.</w:t>
            </w:r>
          </w:p>
          <w:p w14:paraId="17173A76" w14:textId="77777777" w:rsidR="00F44FC3" w:rsidRDefault="00F44FC3" w:rsidP="00F44FC3">
            <w:pPr>
              <w:pStyle w:val="NoSpacing"/>
              <w:jc w:val="both"/>
              <w:rPr>
                <w:color w:val="FF0000"/>
              </w:rPr>
            </w:pPr>
          </w:p>
          <w:p w14:paraId="5704327F" w14:textId="22C00E69" w:rsidR="00F44FC3" w:rsidRDefault="00F44FC3" w:rsidP="00F44FC3">
            <w:pPr>
              <w:pStyle w:val="NoSpacing"/>
              <w:jc w:val="both"/>
              <w:rPr>
                <w:color w:val="FF0000"/>
              </w:rPr>
            </w:pPr>
            <w:r w:rsidRPr="001870E7">
              <w:rPr>
                <w:color w:val="FF0000"/>
              </w:rPr>
              <w:t>All submitted data referring to the value in this report do not include VAT.</w:t>
            </w:r>
          </w:p>
          <w:p w14:paraId="57122440" w14:textId="77777777" w:rsidR="00F44FC3" w:rsidRDefault="00F44FC3" w:rsidP="00F44FC3">
            <w:pPr>
              <w:pStyle w:val="NoSpacing"/>
              <w:jc w:val="both"/>
              <w:rPr>
                <w:color w:val="FF0000"/>
              </w:rPr>
            </w:pPr>
          </w:p>
          <w:p w14:paraId="5A8B1820" w14:textId="0AD61011" w:rsidR="00F44FC3" w:rsidRPr="00F56EF6" w:rsidRDefault="00F44FC3" w:rsidP="00AF7A5E">
            <w:pPr>
              <w:pStyle w:val="NoSpacing"/>
              <w:jc w:val="both"/>
              <w:rPr>
                <w:color w:val="FF0000"/>
              </w:rPr>
            </w:pPr>
            <w:r w:rsidRPr="001870E7">
              <w:rPr>
                <w:color w:val="FF0000"/>
              </w:rPr>
              <w:t xml:space="preserve">The scope of this report includes the data </w:t>
            </w:r>
            <w:r w:rsidR="00AF7A5E">
              <w:rPr>
                <w:color w:val="FF0000"/>
              </w:rPr>
              <w:t>for</w:t>
            </w:r>
            <w:r w:rsidRPr="001870E7">
              <w:rPr>
                <w:color w:val="FF0000"/>
              </w:rPr>
              <w:t xml:space="preserve"> public procurement procedures above and also below the EU threshold where possible.</w:t>
            </w:r>
          </w:p>
        </w:tc>
      </w:tr>
      <w:tr w:rsidR="004954F8" w:rsidRPr="00B01372" w14:paraId="023B8AE7" w14:textId="77777777" w:rsidTr="00267227">
        <w:trPr>
          <w:trHeight w:val="270"/>
        </w:trPr>
        <w:tc>
          <w:tcPr>
            <w:tcW w:w="0" w:type="auto"/>
          </w:tcPr>
          <w:p w14:paraId="585CFBFA" w14:textId="3433F10F" w:rsidR="004954F8" w:rsidRPr="00B01372" w:rsidRDefault="004954F8" w:rsidP="004954F8">
            <w:pPr>
              <w:pStyle w:val="NoSpacing"/>
              <w:jc w:val="both"/>
            </w:pPr>
            <w:r w:rsidRPr="00B01372">
              <w:rPr>
                <w:b/>
                <w:sz w:val="24"/>
                <w:szCs w:val="24"/>
              </w:rPr>
              <w:t>General information</w:t>
            </w:r>
          </w:p>
        </w:tc>
      </w:tr>
      <w:tr w:rsidR="004954F8" w:rsidRPr="00B01372" w14:paraId="11E1FAB6" w14:textId="77777777" w:rsidTr="00267227">
        <w:trPr>
          <w:trHeight w:val="701"/>
        </w:trPr>
        <w:tc>
          <w:tcPr>
            <w:tcW w:w="0" w:type="auto"/>
            <w:vAlign w:val="center"/>
          </w:tcPr>
          <w:p w14:paraId="5236DB1A" w14:textId="12CC0644" w:rsidR="004954F8" w:rsidRDefault="004954F8" w:rsidP="00F20712">
            <w:pPr>
              <w:pStyle w:val="NoSpacing"/>
            </w:pPr>
            <w:r w:rsidRPr="00B01372">
              <w:t xml:space="preserve">Number of procurement procedures (i.e. the number of </w:t>
            </w:r>
            <w:r w:rsidR="00602007">
              <w:t xml:space="preserve">notices announcing a </w:t>
            </w:r>
            <w:r w:rsidRPr="00B01372">
              <w:t>call for competition)</w:t>
            </w:r>
          </w:p>
          <w:p w14:paraId="10C2D5E9" w14:textId="3BD1F09C" w:rsidR="00F44FC3" w:rsidRPr="001870E7" w:rsidRDefault="00F44FC3" w:rsidP="00E3206F">
            <w:pPr>
              <w:pStyle w:val="NoSpacing"/>
              <w:numPr>
                <w:ilvl w:val="0"/>
                <w:numId w:val="10"/>
              </w:numPr>
              <w:rPr>
                <w:color w:val="FF0000"/>
              </w:rPr>
            </w:pPr>
            <w:r w:rsidRPr="001870E7">
              <w:rPr>
                <w:color w:val="FF0000"/>
              </w:rPr>
              <w:t>procurement procedures above the EU threshold: 1.</w:t>
            </w:r>
            <w:r w:rsidR="00C30638">
              <w:rPr>
                <w:color w:val="FF0000"/>
              </w:rPr>
              <w:t>370</w:t>
            </w:r>
            <w:r w:rsidRPr="001870E7">
              <w:rPr>
                <w:color w:val="FF0000"/>
              </w:rPr>
              <w:t xml:space="preserve">  </w:t>
            </w:r>
          </w:p>
          <w:p w14:paraId="677BBB06" w14:textId="4E514062" w:rsidR="00F44FC3" w:rsidRPr="00B01372" w:rsidRDefault="00F44FC3" w:rsidP="00E3206F">
            <w:pPr>
              <w:pStyle w:val="NoSpacing"/>
              <w:numPr>
                <w:ilvl w:val="0"/>
                <w:numId w:val="10"/>
              </w:numPr>
            </w:pPr>
            <w:r w:rsidRPr="001870E7">
              <w:rPr>
                <w:color w:val="FF0000"/>
              </w:rPr>
              <w:t>procurement procedures below the EU threshold</w:t>
            </w:r>
            <w:r w:rsidRPr="001870E7">
              <w:rPr>
                <w:bCs/>
                <w:color w:val="FF0000"/>
              </w:rPr>
              <w:t xml:space="preserve"> (</w:t>
            </w:r>
            <w:r w:rsidR="00AF7A5E">
              <w:rPr>
                <w:color w:val="FF0000"/>
              </w:rPr>
              <w:t>above</w:t>
            </w:r>
            <w:r w:rsidRPr="001870E7">
              <w:rPr>
                <w:color w:val="FF0000"/>
              </w:rPr>
              <w:t xml:space="preserve"> </w:t>
            </w:r>
            <w:r w:rsidR="00C30638">
              <w:rPr>
                <w:color w:val="FF0000"/>
              </w:rPr>
              <w:t xml:space="preserve">national </w:t>
            </w:r>
            <w:r w:rsidR="00C30638" w:rsidRPr="001870E7">
              <w:rPr>
                <w:color w:val="FF0000"/>
              </w:rPr>
              <w:t>threshold</w:t>
            </w:r>
            <w:r w:rsidRPr="001870E7">
              <w:rPr>
                <w:color w:val="FF0000"/>
              </w:rPr>
              <w:t xml:space="preserve">): </w:t>
            </w:r>
            <w:r w:rsidR="00C30638">
              <w:rPr>
                <w:color w:val="FF0000"/>
              </w:rPr>
              <w:t>7413</w:t>
            </w:r>
          </w:p>
          <w:p w14:paraId="70AAE236" w14:textId="77777777" w:rsidR="00E77899" w:rsidRDefault="00E77899" w:rsidP="00F20712">
            <w:pPr>
              <w:pStyle w:val="NoSpacing"/>
            </w:pPr>
          </w:p>
          <w:p w14:paraId="66B52408" w14:textId="77777777" w:rsidR="00E77899" w:rsidRDefault="00E77899" w:rsidP="00F20712">
            <w:pPr>
              <w:pStyle w:val="NoSpacing"/>
            </w:pPr>
          </w:p>
          <w:p w14:paraId="4AAB040A" w14:textId="77777777" w:rsidR="004954F8" w:rsidRDefault="004954F8" w:rsidP="00F20712">
            <w:pPr>
              <w:pStyle w:val="NoSpacing"/>
            </w:pPr>
            <w:r w:rsidRPr="00B01372">
              <w:lastRenderedPageBreak/>
              <w:t>Number of awarded contracts</w:t>
            </w:r>
          </w:p>
          <w:p w14:paraId="144F9CDE" w14:textId="3D802A17" w:rsidR="00C30638" w:rsidRPr="001870E7" w:rsidRDefault="00C30638" w:rsidP="00E3206F">
            <w:pPr>
              <w:pStyle w:val="NoSpacing"/>
              <w:numPr>
                <w:ilvl w:val="0"/>
                <w:numId w:val="11"/>
              </w:numPr>
              <w:rPr>
                <w:color w:val="FF0000"/>
              </w:rPr>
            </w:pPr>
            <w:r w:rsidRPr="001870E7">
              <w:rPr>
                <w:color w:val="FF0000"/>
              </w:rPr>
              <w:t xml:space="preserve">procurement procedures above the EU threshold: </w:t>
            </w:r>
            <w:r>
              <w:rPr>
                <w:color w:val="FF0000"/>
              </w:rPr>
              <w:t>3.337</w:t>
            </w:r>
          </w:p>
          <w:p w14:paraId="6035FAC3" w14:textId="6F42928D" w:rsidR="00C30638" w:rsidRPr="00B01372" w:rsidRDefault="00C30638" w:rsidP="00AF7A5E">
            <w:pPr>
              <w:pStyle w:val="NoSpacing"/>
              <w:numPr>
                <w:ilvl w:val="0"/>
                <w:numId w:val="11"/>
              </w:numPr>
            </w:pPr>
            <w:r w:rsidRPr="001870E7">
              <w:rPr>
                <w:color w:val="FF0000"/>
              </w:rPr>
              <w:t>procurement procedures below the EU threshold (</w:t>
            </w:r>
            <w:r w:rsidR="00AF7A5E">
              <w:rPr>
                <w:color w:val="FF0000"/>
              </w:rPr>
              <w:t>above</w:t>
            </w:r>
            <w:r w:rsidRPr="001870E7">
              <w:rPr>
                <w:color w:val="FF0000"/>
              </w:rPr>
              <w:t xml:space="preserve"> </w:t>
            </w:r>
            <w:r>
              <w:rPr>
                <w:color w:val="FF0000"/>
              </w:rPr>
              <w:t xml:space="preserve">national </w:t>
            </w:r>
            <w:r w:rsidRPr="001870E7">
              <w:rPr>
                <w:color w:val="FF0000"/>
              </w:rPr>
              <w:t xml:space="preserve">threshold): </w:t>
            </w:r>
            <w:r>
              <w:rPr>
                <w:color w:val="FF0000"/>
              </w:rPr>
              <w:t>9.376</w:t>
            </w:r>
          </w:p>
        </w:tc>
      </w:tr>
      <w:tr w:rsidR="004954F8" w:rsidRPr="00B01372" w14:paraId="34AB7EDA" w14:textId="77777777" w:rsidTr="00267227">
        <w:trPr>
          <w:trHeight w:val="397"/>
        </w:trPr>
        <w:tc>
          <w:tcPr>
            <w:tcW w:w="0" w:type="auto"/>
          </w:tcPr>
          <w:p w14:paraId="34AB7ED9" w14:textId="112B3641" w:rsidR="004954F8" w:rsidRPr="00B01372" w:rsidRDefault="004954F8" w:rsidP="00A051EB">
            <w:pPr>
              <w:rPr>
                <w:b/>
                <w:sz w:val="32"/>
                <w:szCs w:val="32"/>
              </w:rPr>
            </w:pPr>
            <w:r w:rsidRPr="00B01372">
              <w:rPr>
                <w:sz w:val="32"/>
                <w:szCs w:val="32"/>
              </w:rPr>
              <w:lastRenderedPageBreak/>
              <w:t>I</w:t>
            </w:r>
            <w:r w:rsidRPr="00B01372">
              <w:rPr>
                <w:b/>
                <w:sz w:val="24"/>
                <w:szCs w:val="24"/>
              </w:rPr>
              <w:t>nformation on monitoring and reporting bodies</w:t>
            </w:r>
          </w:p>
        </w:tc>
      </w:tr>
      <w:tr w:rsidR="004954F8" w:rsidRPr="00B01372" w14:paraId="34AB7EDE" w14:textId="77777777" w:rsidTr="00267227">
        <w:trPr>
          <w:trHeight w:val="558"/>
        </w:trPr>
        <w:tc>
          <w:tcPr>
            <w:tcW w:w="0" w:type="auto"/>
          </w:tcPr>
          <w:p w14:paraId="4C33A213" w14:textId="77777777" w:rsidR="00466DE4" w:rsidRDefault="004954F8" w:rsidP="005329C9">
            <w:pPr>
              <w:pStyle w:val="NoSpacing"/>
              <w:jc w:val="both"/>
            </w:pPr>
            <w:r w:rsidRPr="00B01372">
              <w:t>This section should include a list of the body/bodies performing the public procurement monitoring activities required by the public procurement directives and the entities in charge with the drafting of the report to be provided to the European Commission on the results of the monitoring activities.</w:t>
            </w:r>
          </w:p>
          <w:p w14:paraId="34AB7EDD" w14:textId="67FD14A5" w:rsidR="00466DE4" w:rsidRPr="00B01372" w:rsidRDefault="00466DE4" w:rsidP="005329C9">
            <w:pPr>
              <w:pStyle w:val="NoSpacing"/>
              <w:jc w:val="both"/>
            </w:pPr>
            <w:r w:rsidRPr="00466DE4">
              <w:rPr>
                <w:color w:val="FF0000"/>
              </w:rPr>
              <w:t xml:space="preserve">The Ministry of </w:t>
            </w:r>
            <w:r w:rsidR="00AF7A5E">
              <w:rPr>
                <w:color w:val="FF0000"/>
              </w:rPr>
              <w:t xml:space="preserve">the </w:t>
            </w:r>
            <w:r w:rsidRPr="00466DE4">
              <w:rPr>
                <w:color w:val="FF0000"/>
              </w:rPr>
              <w:t>Economy, Entrepreneurship and Crafts</w:t>
            </w:r>
            <w:r>
              <w:rPr>
                <w:color w:val="FF0000"/>
              </w:rPr>
              <w:t>, written in the Article 441.4 of the PPA</w:t>
            </w:r>
          </w:p>
        </w:tc>
      </w:tr>
    </w:tbl>
    <w:p w14:paraId="34AB7EE5" w14:textId="330ACF69" w:rsidR="00E75E9D" w:rsidRPr="00B01372" w:rsidRDefault="00E75E9D" w:rsidP="00E75E9D">
      <w:pPr>
        <w:pStyle w:val="NoSpacing"/>
      </w:pPr>
    </w:p>
    <w:p w14:paraId="355CF502" w14:textId="3F66EA1B" w:rsidR="00870F03" w:rsidRPr="00B01372" w:rsidRDefault="00870F03" w:rsidP="00FB64C5">
      <w:pPr>
        <w:pStyle w:val="Heading1"/>
        <w:rPr>
          <w:rFonts w:asciiTheme="minorHAnsi" w:hAnsiTheme="minorHAnsi"/>
        </w:rPr>
      </w:pPr>
    </w:p>
    <w:p w14:paraId="6A2FDC55" w14:textId="76FE22C6" w:rsidR="009B40D2" w:rsidRPr="00B01372" w:rsidRDefault="00BC4C3D" w:rsidP="00F52C6D">
      <w:pPr>
        <w:pStyle w:val="Heading2"/>
      </w:pPr>
      <w:r w:rsidRPr="00B01372">
        <w:t>Estimation of the aggregated total value of procurement which would have been covered by the directives if its value had exceeded the relevant thresholds</w:t>
      </w:r>
    </w:p>
    <w:p w14:paraId="148F7BBB" w14:textId="77777777" w:rsidR="00BC4C3D" w:rsidRPr="00B01372" w:rsidRDefault="00BC4C3D" w:rsidP="009B40D2">
      <w:pPr>
        <w:pStyle w:val="NoSpacing"/>
      </w:pPr>
    </w:p>
    <w:tbl>
      <w:tblPr>
        <w:tblStyle w:val="TableGrid"/>
        <w:tblW w:w="5000" w:type="pct"/>
        <w:tblLook w:val="04A0" w:firstRow="1" w:lastRow="0" w:firstColumn="1" w:lastColumn="0" w:noHBand="0" w:noVBand="1"/>
      </w:tblPr>
      <w:tblGrid>
        <w:gridCol w:w="4644"/>
        <w:gridCol w:w="9576"/>
      </w:tblGrid>
      <w:tr w:rsidR="003F660D" w:rsidRPr="00B01372" w14:paraId="277A2679" w14:textId="344A3042" w:rsidTr="003844FF">
        <w:trPr>
          <w:trHeight w:val="1354"/>
        </w:trPr>
        <w:tc>
          <w:tcPr>
            <w:tcW w:w="1633" w:type="pct"/>
          </w:tcPr>
          <w:p w14:paraId="70AFE892" w14:textId="12AE1746" w:rsidR="003F660D" w:rsidRPr="00B01372" w:rsidRDefault="003F660D" w:rsidP="003F660D">
            <w:pPr>
              <w:rPr>
                <w:b/>
                <w:sz w:val="24"/>
                <w:szCs w:val="24"/>
              </w:rPr>
            </w:pPr>
            <w:r w:rsidRPr="00B01372">
              <w:rPr>
                <w:b/>
                <w:sz w:val="24"/>
                <w:szCs w:val="24"/>
              </w:rPr>
              <w:t>Estimation of the aggregated total value of procurement which would have been covered by the directives if its value had exceeded the relevant thresholds</w:t>
            </w:r>
          </w:p>
        </w:tc>
        <w:tc>
          <w:tcPr>
            <w:tcW w:w="3367" w:type="pct"/>
          </w:tcPr>
          <w:p w14:paraId="1464C506" w14:textId="77C20ECD" w:rsidR="00F356F1" w:rsidRPr="00B01372" w:rsidRDefault="00B35E06" w:rsidP="003F660D">
            <w:pPr>
              <w:pStyle w:val="NoSpacing"/>
              <w:jc w:val="both"/>
            </w:pPr>
            <w:r w:rsidRPr="00B01372">
              <w:t xml:space="preserve">This stands for the value </w:t>
            </w:r>
            <w:r w:rsidR="00F356F1" w:rsidRPr="00B01372">
              <w:t xml:space="preserve">of procurement </w:t>
            </w:r>
            <w:r w:rsidRPr="00B01372">
              <w:t>informally</w:t>
            </w:r>
            <w:r w:rsidR="00F356F1" w:rsidRPr="00B01372">
              <w:t xml:space="preserve"> referred to as "below</w:t>
            </w:r>
            <w:r w:rsidR="008470C6">
              <w:t xml:space="preserve"> the EU </w:t>
            </w:r>
            <w:r w:rsidR="00F356F1" w:rsidRPr="00B01372">
              <w:t xml:space="preserve">threshold". </w:t>
            </w:r>
          </w:p>
          <w:p w14:paraId="694F2845" w14:textId="77777777" w:rsidR="00F356F1" w:rsidRPr="00B01372" w:rsidRDefault="00F356F1" w:rsidP="003F660D">
            <w:pPr>
              <w:pStyle w:val="NoSpacing"/>
              <w:jc w:val="both"/>
            </w:pPr>
          </w:p>
          <w:p w14:paraId="3D5CD8DF" w14:textId="77777777" w:rsidR="003F660D" w:rsidRPr="00B01372" w:rsidRDefault="003F660D" w:rsidP="006720AD">
            <w:pPr>
              <w:pStyle w:val="NoSpacing"/>
              <w:jc w:val="both"/>
            </w:pPr>
            <w:r w:rsidRPr="00B01372">
              <w:t>This section should include information on the estimated value</w:t>
            </w:r>
            <w:r w:rsidR="00F356F1" w:rsidRPr="00B01372">
              <w:t xml:space="preserve"> of procurement</w:t>
            </w:r>
            <w:r w:rsidRPr="00B01372">
              <w:t xml:space="preserve"> as well as the methodology used. </w:t>
            </w:r>
            <w:r w:rsidR="00317B05" w:rsidRPr="00B01372">
              <w:t xml:space="preserve">The methodology used for the estimation should be </w:t>
            </w:r>
            <w:r w:rsidR="00C33C12" w:rsidRPr="00B01372">
              <w:t xml:space="preserve">explained </w:t>
            </w:r>
            <w:r w:rsidR="00317B05" w:rsidRPr="00B01372">
              <w:t xml:space="preserve">in </w:t>
            </w:r>
            <w:r w:rsidRPr="00B01372">
              <w:rPr>
                <w:b/>
                <w:u w:val="single"/>
              </w:rPr>
              <w:t>Annex I</w:t>
            </w:r>
            <w:r w:rsidRPr="00B01372">
              <w:t>.</w:t>
            </w:r>
          </w:p>
          <w:p w14:paraId="70088AB4" w14:textId="77777777" w:rsidR="006720AD" w:rsidRPr="00B01372" w:rsidRDefault="006720AD" w:rsidP="006720AD">
            <w:pPr>
              <w:pStyle w:val="NoSpacing"/>
              <w:jc w:val="both"/>
            </w:pPr>
          </w:p>
          <w:p w14:paraId="4261F37F" w14:textId="77777777" w:rsidR="00466DE4" w:rsidRDefault="006720AD" w:rsidP="00EF2B09">
            <w:pPr>
              <w:pStyle w:val="NoSpacing"/>
              <w:jc w:val="both"/>
            </w:pPr>
            <w:r w:rsidRPr="00B01372">
              <w:t xml:space="preserve">"Value of procurement" </w:t>
            </w:r>
            <w:r w:rsidR="00024F85" w:rsidRPr="00B01372">
              <w:t>should</w:t>
            </w:r>
            <w:r w:rsidRPr="00B01372">
              <w:t xml:space="preserve"> be understood as the value of</w:t>
            </w:r>
            <w:r w:rsidR="00EF2B09">
              <w:t xml:space="preserve"> the</w:t>
            </w:r>
            <w:r w:rsidRPr="00B01372">
              <w:t xml:space="preserve"> awarded contracts</w:t>
            </w:r>
            <w:r w:rsidR="00775B0C">
              <w:t>, so as</w:t>
            </w:r>
            <w:r w:rsidR="00EF2B09">
              <w:t xml:space="preserve"> to be comparable with estimates</w:t>
            </w:r>
            <w:r w:rsidR="00775B0C">
              <w:t xml:space="preserve"> from contract award notices</w:t>
            </w:r>
            <w:r w:rsidR="00B27FEA">
              <w:t xml:space="preserve"> for above-threshold procurement</w:t>
            </w:r>
            <w:r w:rsidR="00A86892" w:rsidRPr="00B01372">
              <w:t>.</w:t>
            </w:r>
            <w:r w:rsidRPr="00B01372">
              <w:t xml:space="preserve"> (</w:t>
            </w:r>
            <w:r w:rsidR="00A86892" w:rsidRPr="00B01372">
              <w:t>N</w:t>
            </w:r>
            <w:r w:rsidRPr="00B01372">
              <w:t>ot</w:t>
            </w:r>
            <w:r w:rsidR="00024F85" w:rsidRPr="00B01372">
              <w:t xml:space="preserve"> as</w:t>
            </w:r>
            <w:r w:rsidRPr="00B01372">
              <w:t xml:space="preserve">, for </w:t>
            </w:r>
            <w:r w:rsidR="00A86892" w:rsidRPr="00B01372">
              <w:t>example</w:t>
            </w:r>
            <w:r w:rsidRPr="00B01372">
              <w:t>, the value of procurement which could have taken place if a contractor was found, i.e. business opportunities</w:t>
            </w:r>
            <w:r w:rsidR="00775B0C">
              <w:t>, nor on the level of actual spending, i.e. paid invoices</w:t>
            </w:r>
            <w:r w:rsidRPr="00B01372">
              <w:t xml:space="preserve">.) </w:t>
            </w:r>
          </w:p>
          <w:p w14:paraId="7F50E0C8" w14:textId="5D4C879D" w:rsidR="00466DE4" w:rsidRPr="001870E7" w:rsidRDefault="00466DE4" w:rsidP="00466DE4">
            <w:pPr>
              <w:pStyle w:val="NoSpacing"/>
              <w:jc w:val="both"/>
              <w:rPr>
                <w:color w:val="FF0000"/>
              </w:rPr>
            </w:pPr>
            <w:r w:rsidRPr="001870E7">
              <w:rPr>
                <w:color w:val="FF0000"/>
              </w:rPr>
              <w:t xml:space="preserve">The aggregated total value of procurement procedures above the EU threshold: </w:t>
            </w:r>
            <w:r w:rsidR="00A077E0" w:rsidRPr="00A541C5">
              <w:rPr>
                <w:rFonts w:ascii="Calibri" w:hAnsi="Calibri" w:cs="Calibri"/>
                <w:color w:val="FF0000"/>
              </w:rPr>
              <w:t>20.195.793.841,79</w:t>
            </w:r>
            <w:r w:rsidR="00A077E0">
              <w:rPr>
                <w:rFonts w:ascii="Calibri" w:hAnsi="Calibri" w:cs="Calibri"/>
                <w:color w:val="FF0000"/>
              </w:rPr>
              <w:t xml:space="preserve"> HRK (2.730.186.874,</w:t>
            </w:r>
            <w:r w:rsidR="00A077E0" w:rsidRPr="00A077E0">
              <w:rPr>
                <w:rFonts w:ascii="Calibri" w:hAnsi="Calibri" w:cs="Calibri"/>
                <w:color w:val="FF0000"/>
              </w:rPr>
              <w:t>20</w:t>
            </w:r>
            <w:r w:rsidR="00A077E0">
              <w:rPr>
                <w:rFonts w:ascii="Calibri" w:hAnsi="Calibri" w:cs="Calibri"/>
                <w:color w:val="FF0000"/>
              </w:rPr>
              <w:t xml:space="preserve"> EUR)</w:t>
            </w:r>
          </w:p>
          <w:p w14:paraId="5CCC484C" w14:textId="78633F90" w:rsidR="00466DE4" w:rsidRPr="001870E7" w:rsidRDefault="00466DE4" w:rsidP="00466DE4">
            <w:pPr>
              <w:pStyle w:val="NoSpacing"/>
              <w:jc w:val="both"/>
              <w:rPr>
                <w:color w:val="FF0000"/>
              </w:rPr>
            </w:pPr>
            <w:r w:rsidRPr="001870E7">
              <w:rPr>
                <w:color w:val="FF0000"/>
              </w:rPr>
              <w:t>The aggregated total value of procurement procedures below the EU threshold (</w:t>
            </w:r>
            <w:r w:rsidR="00AF7A5E">
              <w:rPr>
                <w:color w:val="FF0000"/>
              </w:rPr>
              <w:t>above</w:t>
            </w:r>
            <w:r w:rsidRPr="001870E7">
              <w:rPr>
                <w:color w:val="FF0000"/>
              </w:rPr>
              <w:t xml:space="preserve"> </w:t>
            </w:r>
            <w:r w:rsidR="00A077E0">
              <w:rPr>
                <w:color w:val="FF0000"/>
              </w:rPr>
              <w:t xml:space="preserve">national </w:t>
            </w:r>
            <w:r w:rsidR="00A077E0" w:rsidRPr="001870E7">
              <w:rPr>
                <w:color w:val="FF0000"/>
              </w:rPr>
              <w:t>threshold</w:t>
            </w:r>
            <w:r w:rsidRPr="001870E7">
              <w:rPr>
                <w:color w:val="FF0000"/>
              </w:rPr>
              <w:t xml:space="preserve">): </w:t>
            </w:r>
            <w:r w:rsidR="00A077E0" w:rsidRPr="00A541C5">
              <w:rPr>
                <w:rFonts w:ascii="Calibri" w:hAnsi="Calibri" w:cs="Calibri"/>
                <w:color w:val="FF0000"/>
              </w:rPr>
              <w:t>9.868.313.844,10</w:t>
            </w:r>
            <w:r w:rsidR="00A077E0">
              <w:rPr>
                <w:rFonts w:ascii="Calibri" w:hAnsi="Calibri" w:cs="Calibri"/>
                <w:color w:val="FF0000"/>
              </w:rPr>
              <w:t xml:space="preserve"> HRK (</w:t>
            </w:r>
            <w:r w:rsidR="00F52C6D">
              <w:rPr>
                <w:rStyle w:val="dflfde"/>
                <w:color w:val="FF0000"/>
              </w:rPr>
              <w:t>1.334.057.038,</w:t>
            </w:r>
            <w:r w:rsidR="00A077E0" w:rsidRPr="00F52C6D">
              <w:rPr>
                <w:rStyle w:val="dflfde"/>
                <w:color w:val="FF0000"/>
              </w:rPr>
              <w:t>74</w:t>
            </w:r>
            <w:r w:rsidR="00F52C6D">
              <w:rPr>
                <w:rStyle w:val="dflfde"/>
                <w:color w:val="FF0000"/>
              </w:rPr>
              <w:t xml:space="preserve"> EUR)</w:t>
            </w:r>
          </w:p>
          <w:p w14:paraId="1D2A3370" w14:textId="29784C61" w:rsidR="006720AD" w:rsidRPr="00A077E0" w:rsidRDefault="00466DE4" w:rsidP="00AF7A5E">
            <w:pPr>
              <w:pStyle w:val="NoSpacing"/>
              <w:jc w:val="both"/>
              <w:rPr>
                <w:color w:val="FF0000"/>
              </w:rPr>
            </w:pPr>
            <w:r w:rsidRPr="001870E7">
              <w:rPr>
                <w:color w:val="FF0000"/>
              </w:rPr>
              <w:t xml:space="preserve">The aggregated total value of procurement below </w:t>
            </w:r>
            <w:r w:rsidR="00A077E0">
              <w:rPr>
                <w:color w:val="FF0000"/>
              </w:rPr>
              <w:t xml:space="preserve">national </w:t>
            </w:r>
            <w:r w:rsidR="00A077E0" w:rsidRPr="001870E7">
              <w:rPr>
                <w:color w:val="FF0000"/>
              </w:rPr>
              <w:t>threshold</w:t>
            </w:r>
            <w:r w:rsidRPr="001870E7">
              <w:rPr>
                <w:color w:val="FF0000"/>
              </w:rPr>
              <w:t xml:space="preserve">: </w:t>
            </w:r>
            <w:r w:rsidR="00A077E0" w:rsidRPr="00A077E0">
              <w:rPr>
                <w:rFonts w:cstheme="minorHAnsi"/>
                <w:color w:val="FF0000"/>
              </w:rPr>
              <w:t xml:space="preserve">9.411.012.494 </w:t>
            </w:r>
            <w:r w:rsidR="00A077E0">
              <w:rPr>
                <w:rFonts w:cstheme="minorHAnsi"/>
                <w:color w:val="FF0000"/>
              </w:rPr>
              <w:t>HRK</w:t>
            </w:r>
            <w:r w:rsidR="00F52C6D">
              <w:rPr>
                <w:rFonts w:cstheme="minorHAnsi"/>
                <w:color w:val="FF0000"/>
              </w:rPr>
              <w:t xml:space="preserve"> (</w:t>
            </w:r>
            <w:r w:rsidR="00F52C6D">
              <w:rPr>
                <w:rStyle w:val="dflfde"/>
                <w:color w:val="FF0000"/>
              </w:rPr>
              <w:t>1.272.622.807,</w:t>
            </w:r>
            <w:r w:rsidR="00F52C6D" w:rsidRPr="00F52C6D">
              <w:rPr>
                <w:rStyle w:val="dflfde"/>
                <w:color w:val="FF0000"/>
              </w:rPr>
              <w:t>01</w:t>
            </w:r>
            <w:r w:rsidR="00F52C6D">
              <w:rPr>
                <w:rStyle w:val="dflfde"/>
                <w:color w:val="FF0000"/>
              </w:rPr>
              <w:t xml:space="preserve"> EUR)</w:t>
            </w:r>
          </w:p>
        </w:tc>
      </w:tr>
    </w:tbl>
    <w:p w14:paraId="52BB74F2" w14:textId="4D019D22" w:rsidR="009B40D2" w:rsidRPr="00B01372" w:rsidRDefault="009B40D2" w:rsidP="009B40D2">
      <w:pPr>
        <w:pStyle w:val="NoSpacing"/>
      </w:pPr>
    </w:p>
    <w:p w14:paraId="11B2FC22" w14:textId="77777777" w:rsidR="002F27BC" w:rsidRPr="00B01372" w:rsidRDefault="002F27BC" w:rsidP="009B40D2">
      <w:pPr>
        <w:pStyle w:val="NoSpacing"/>
      </w:pPr>
    </w:p>
    <w:p w14:paraId="34AB7EE8" w14:textId="77777777" w:rsidR="0057733C" w:rsidRPr="00B01372" w:rsidRDefault="00F122C4" w:rsidP="00F52C6D">
      <w:pPr>
        <w:pStyle w:val="Heading2"/>
      </w:pPr>
      <w:r w:rsidRPr="00B01372">
        <w:t>Most frequent sources of wrong application or of legal uncertainty, including possible structural or recurring problems in the application of the rules</w:t>
      </w:r>
    </w:p>
    <w:p w14:paraId="34AB7EE9" w14:textId="77777777" w:rsidR="00A051EB" w:rsidRPr="00B01372" w:rsidRDefault="00A051EB" w:rsidP="0057733C">
      <w:pPr>
        <w:pStyle w:val="NoSpacing"/>
        <w:jc w:val="both"/>
      </w:pPr>
    </w:p>
    <w:tbl>
      <w:tblPr>
        <w:tblStyle w:val="TableGrid"/>
        <w:tblW w:w="0" w:type="auto"/>
        <w:tblLook w:val="04A0" w:firstRow="1" w:lastRow="0" w:firstColumn="1" w:lastColumn="0" w:noHBand="0" w:noVBand="1"/>
      </w:tblPr>
      <w:tblGrid>
        <w:gridCol w:w="4606"/>
        <w:gridCol w:w="9509"/>
      </w:tblGrid>
      <w:tr w:rsidR="00253552" w:rsidRPr="00B01372" w14:paraId="3550B523" w14:textId="77777777" w:rsidTr="00095252">
        <w:tc>
          <w:tcPr>
            <w:tcW w:w="4606" w:type="dxa"/>
          </w:tcPr>
          <w:p w14:paraId="0C1AA974" w14:textId="25DBEC5D" w:rsidR="00253552" w:rsidRPr="00B01372" w:rsidRDefault="00620C02" w:rsidP="001D4DCD">
            <w:pPr>
              <w:pStyle w:val="NoSpacing"/>
            </w:pPr>
            <w:r w:rsidRPr="00B01372">
              <w:rPr>
                <w:b/>
              </w:rPr>
              <w:lastRenderedPageBreak/>
              <w:t>II</w:t>
            </w:r>
            <w:r w:rsidR="00253552" w:rsidRPr="00B01372">
              <w:rPr>
                <w:b/>
              </w:rPr>
              <w:t>.1.</w:t>
            </w:r>
            <w:r w:rsidR="00253552" w:rsidRPr="00B01372">
              <w:t xml:space="preserve"> </w:t>
            </w:r>
            <w:r w:rsidR="00253552" w:rsidRPr="00B01372">
              <w:rPr>
                <w:b/>
              </w:rPr>
              <w:t xml:space="preserve">Qualitative reporting </w:t>
            </w:r>
            <w:r w:rsidR="001D4DCD" w:rsidRPr="00B01372">
              <w:rPr>
                <w:b/>
              </w:rPr>
              <w:t>on</w:t>
            </w:r>
            <w:r w:rsidR="00253552" w:rsidRPr="00B01372">
              <w:rPr>
                <w:b/>
              </w:rPr>
              <w:t xml:space="preserve"> application of public procurement rules</w:t>
            </w:r>
          </w:p>
        </w:tc>
        <w:tc>
          <w:tcPr>
            <w:tcW w:w="9509" w:type="dxa"/>
          </w:tcPr>
          <w:p w14:paraId="75E38ACC" w14:textId="77777777" w:rsidR="00253552" w:rsidRPr="00B01372" w:rsidRDefault="00253552" w:rsidP="005329C9">
            <w:pPr>
              <w:pStyle w:val="NoSpacing"/>
              <w:jc w:val="both"/>
            </w:pPr>
          </w:p>
        </w:tc>
      </w:tr>
      <w:tr w:rsidR="00253552" w:rsidRPr="00B01372" w14:paraId="1AEF9F61" w14:textId="77777777" w:rsidTr="00095252">
        <w:tc>
          <w:tcPr>
            <w:tcW w:w="4606" w:type="dxa"/>
          </w:tcPr>
          <w:p w14:paraId="24EB57A5" w14:textId="169C6581" w:rsidR="00253552" w:rsidRPr="00B01372" w:rsidRDefault="00253552" w:rsidP="00253552">
            <w:pPr>
              <w:pStyle w:val="NoSpacing"/>
            </w:pPr>
            <w:r w:rsidRPr="00016E8B">
              <w:t>Main sources of wrong application or of legal uncertainty</w:t>
            </w:r>
          </w:p>
        </w:tc>
        <w:tc>
          <w:tcPr>
            <w:tcW w:w="9509" w:type="dxa"/>
          </w:tcPr>
          <w:p w14:paraId="738E2543" w14:textId="77777777" w:rsidR="00253552" w:rsidRPr="00B01372" w:rsidRDefault="00253552" w:rsidP="005329C9">
            <w:pPr>
              <w:pStyle w:val="NoSpacing"/>
              <w:jc w:val="both"/>
            </w:pPr>
            <w:r w:rsidRPr="00B01372">
              <w:t>The information should focus on:</w:t>
            </w:r>
          </w:p>
          <w:p w14:paraId="69D0DF45" w14:textId="0A670570" w:rsidR="00253552" w:rsidRPr="00B01372" w:rsidRDefault="00253552" w:rsidP="005329C9">
            <w:pPr>
              <w:pStyle w:val="NoSpacing"/>
              <w:jc w:val="both"/>
            </w:pPr>
            <w:r w:rsidRPr="00B01372">
              <w:t xml:space="preserve">- the most frequent </w:t>
            </w:r>
            <w:r w:rsidR="00F5788A">
              <w:t>cases</w:t>
            </w:r>
            <w:r w:rsidR="0043675B" w:rsidRPr="00B01372">
              <w:t xml:space="preserve"> </w:t>
            </w:r>
            <w:r w:rsidRPr="00B01372">
              <w:t>of wrong application of the rules and of legal uncertainty</w:t>
            </w:r>
          </w:p>
          <w:p w14:paraId="2F3870C1" w14:textId="2D45E00D" w:rsidR="00253552" w:rsidRDefault="00253552" w:rsidP="005329C9">
            <w:pPr>
              <w:pStyle w:val="NoSpacing"/>
              <w:jc w:val="both"/>
            </w:pPr>
            <w:r w:rsidRPr="00B01372">
              <w:t>-</w:t>
            </w:r>
            <w:r w:rsidR="003F1BD0" w:rsidRPr="00B01372">
              <w:t xml:space="preserve"> </w:t>
            </w:r>
            <w:proofErr w:type="gramStart"/>
            <w:r w:rsidRPr="00B01372">
              <w:t>the</w:t>
            </w:r>
            <w:proofErr w:type="gramEnd"/>
            <w:r w:rsidRPr="00B01372">
              <w:t xml:space="preserve"> key </w:t>
            </w:r>
            <w:r w:rsidR="00F5788A">
              <w:t>causes for the</w:t>
            </w:r>
            <w:r w:rsidRPr="00B01372">
              <w:t xml:space="preserve"> </w:t>
            </w:r>
            <w:r w:rsidR="00F5788A">
              <w:t xml:space="preserve">wrong </w:t>
            </w:r>
            <w:r w:rsidRPr="00B01372">
              <w:t>application of the rules</w:t>
            </w:r>
            <w:r w:rsidR="00F5788A">
              <w:t xml:space="preserve"> and the legal uncertainty, including their relative importance</w:t>
            </w:r>
            <w:r w:rsidR="008C2AE0">
              <w:t>, as well as the circumstances that explain their occurrence</w:t>
            </w:r>
            <w:r w:rsidR="00C957FC">
              <w:t>.</w:t>
            </w:r>
          </w:p>
          <w:p w14:paraId="787F7B9F" w14:textId="77777777" w:rsidR="00253552" w:rsidRPr="00B01372" w:rsidRDefault="00253552" w:rsidP="005329C9">
            <w:pPr>
              <w:pStyle w:val="NoSpacing"/>
              <w:jc w:val="both"/>
            </w:pPr>
          </w:p>
          <w:p w14:paraId="4DB68A02" w14:textId="77777777" w:rsidR="00253552" w:rsidRDefault="00253552" w:rsidP="005329C9">
            <w:pPr>
              <w:pStyle w:val="NoSpacing"/>
              <w:jc w:val="both"/>
              <w:rPr>
                <w:i/>
              </w:rPr>
            </w:pPr>
            <w:r w:rsidRPr="00B01372">
              <w:rPr>
                <w:i/>
              </w:rPr>
              <w:t>Possible relevant (non-exhaustive) elements for consideration may be:</w:t>
            </w:r>
          </w:p>
          <w:p w14:paraId="1571ABD4" w14:textId="17212F75" w:rsidR="00FF42D2" w:rsidRPr="00FF42D2" w:rsidRDefault="00FF42D2" w:rsidP="00E3206F">
            <w:pPr>
              <w:pStyle w:val="ListParagraph"/>
              <w:numPr>
                <w:ilvl w:val="0"/>
                <w:numId w:val="8"/>
              </w:numPr>
              <w:ind w:hanging="294"/>
              <w:jc w:val="both"/>
              <w:rPr>
                <w:i/>
              </w:rPr>
            </w:pPr>
            <w:r>
              <w:rPr>
                <w:i/>
              </w:rPr>
              <w:t>t</w:t>
            </w:r>
            <w:r w:rsidRPr="00FF42D2">
              <w:rPr>
                <w:i/>
              </w:rPr>
              <w:t>ypes of contracting authorities particularly affected by public procurement errors</w:t>
            </w:r>
          </w:p>
          <w:p w14:paraId="6ED94351" w14:textId="37D888B6" w:rsidR="00253552" w:rsidRPr="00B01372" w:rsidRDefault="00253552" w:rsidP="00E3206F">
            <w:pPr>
              <w:pStyle w:val="ListParagraph"/>
              <w:numPr>
                <w:ilvl w:val="0"/>
                <w:numId w:val="8"/>
              </w:numPr>
              <w:ind w:hanging="294"/>
              <w:jc w:val="both"/>
              <w:rPr>
                <w:i/>
              </w:rPr>
            </w:pPr>
            <w:r w:rsidRPr="00B01372">
              <w:rPr>
                <w:i/>
              </w:rPr>
              <w:t>types of procedures or contracts particularly affected by public procurement errors</w:t>
            </w:r>
          </w:p>
          <w:p w14:paraId="38CF3492" w14:textId="77777777" w:rsidR="00253552" w:rsidRDefault="00253552" w:rsidP="00E3206F">
            <w:pPr>
              <w:pStyle w:val="ListParagraph"/>
              <w:numPr>
                <w:ilvl w:val="0"/>
                <w:numId w:val="8"/>
              </w:numPr>
              <w:ind w:hanging="294"/>
              <w:jc w:val="both"/>
            </w:pPr>
            <w:r w:rsidRPr="00B01372">
              <w:rPr>
                <w:i/>
              </w:rPr>
              <w:t>recurrent patterns pointing at specific difficulties at a particular stage of the procedure</w:t>
            </w:r>
            <w:r w:rsidRPr="00B01372">
              <w:t xml:space="preserve"> </w:t>
            </w:r>
          </w:p>
          <w:p w14:paraId="1FF87D67" w14:textId="01335E19" w:rsidR="00B34E11" w:rsidRPr="00B01372" w:rsidRDefault="00B34E11" w:rsidP="00B34E11">
            <w:pPr>
              <w:jc w:val="both"/>
            </w:pPr>
          </w:p>
        </w:tc>
      </w:tr>
      <w:tr w:rsidR="00016E8B" w:rsidRPr="00B01372" w14:paraId="6537CA83" w14:textId="77777777" w:rsidTr="00095252">
        <w:tc>
          <w:tcPr>
            <w:tcW w:w="4606" w:type="dxa"/>
          </w:tcPr>
          <w:p w14:paraId="1952BD1A" w14:textId="77777777" w:rsidR="00016E8B" w:rsidRPr="00AF7A5E" w:rsidRDefault="00016E8B" w:rsidP="00253552">
            <w:pPr>
              <w:pStyle w:val="NoSpacing"/>
              <w:rPr>
                <w:highlight w:val="yellow"/>
              </w:rPr>
            </w:pPr>
          </w:p>
        </w:tc>
        <w:tc>
          <w:tcPr>
            <w:tcW w:w="9509" w:type="dxa"/>
          </w:tcPr>
          <w:p w14:paraId="57D4F4BF" w14:textId="77777777" w:rsidR="00016E8B" w:rsidRDefault="00016E8B" w:rsidP="00016E8B">
            <w:pPr>
              <w:rPr>
                <w:color w:val="FF0000"/>
                <w:lang w:val="en"/>
              </w:rPr>
            </w:pPr>
            <w:r>
              <w:rPr>
                <w:color w:val="FF0000"/>
                <w:lang w:val="en"/>
              </w:rPr>
              <w:t>“QUICK”</w:t>
            </w:r>
            <w:r w:rsidRPr="00F65559">
              <w:rPr>
                <w:color w:val="FF0000"/>
                <w:lang w:val="en"/>
              </w:rPr>
              <w:t xml:space="preserve"> </w:t>
            </w:r>
            <w:r w:rsidRPr="00F65559">
              <w:rPr>
                <w:caps/>
                <w:color w:val="FF0000"/>
                <w:lang w:val="en"/>
              </w:rPr>
              <w:t>procurement documentation</w:t>
            </w:r>
            <w:r w:rsidRPr="00F65559">
              <w:rPr>
                <w:color w:val="FF0000"/>
                <w:lang w:val="en"/>
              </w:rPr>
              <w:t xml:space="preserve"> </w:t>
            </w:r>
            <w:r>
              <w:rPr>
                <w:color w:val="FF0000"/>
                <w:lang w:val="en"/>
              </w:rPr>
              <w:t>MONITORING</w:t>
            </w:r>
            <w:r w:rsidRPr="00F65559">
              <w:rPr>
                <w:color w:val="FF0000"/>
                <w:lang w:val="en"/>
              </w:rPr>
              <w:t>:</w:t>
            </w:r>
          </w:p>
          <w:p w14:paraId="1FBE252C" w14:textId="77777777" w:rsidR="00016E8B" w:rsidRPr="00F65559" w:rsidRDefault="00016E8B" w:rsidP="00016E8B">
            <w:pPr>
              <w:pStyle w:val="ListParagraph"/>
              <w:numPr>
                <w:ilvl w:val="0"/>
                <w:numId w:val="21"/>
              </w:numPr>
              <w:rPr>
                <w:i/>
                <w:color w:val="FF0000"/>
              </w:rPr>
            </w:pPr>
            <w:r w:rsidRPr="00F65559">
              <w:rPr>
                <w:color w:val="FF0000"/>
                <w:lang w:val="en"/>
              </w:rPr>
              <w:t>Filling out ESPD Form / Prescribing optional submission of ESPD form</w:t>
            </w:r>
            <w:r>
              <w:rPr>
                <w:color w:val="FF0000"/>
                <w:lang w:val="en"/>
              </w:rPr>
              <w:t xml:space="preserve"> instead of obligatory submission</w:t>
            </w:r>
          </w:p>
          <w:p w14:paraId="5CA4BE08" w14:textId="77777777" w:rsidR="00016E8B" w:rsidRPr="00F65559" w:rsidRDefault="00016E8B" w:rsidP="00016E8B">
            <w:pPr>
              <w:pStyle w:val="ListParagraph"/>
              <w:numPr>
                <w:ilvl w:val="0"/>
                <w:numId w:val="21"/>
              </w:numPr>
              <w:rPr>
                <w:i/>
                <w:color w:val="FF0000"/>
              </w:rPr>
            </w:pPr>
            <w:r w:rsidRPr="00F65559">
              <w:rPr>
                <w:color w:val="FF0000"/>
                <w:lang w:val="en"/>
              </w:rPr>
              <w:t>Determining</w:t>
            </w:r>
            <w:r>
              <w:rPr>
                <w:color w:val="FF0000"/>
                <w:lang w:val="en"/>
              </w:rPr>
              <w:t xml:space="preserve"> correct</w:t>
            </w:r>
            <w:r w:rsidRPr="00F65559">
              <w:rPr>
                <w:color w:val="FF0000"/>
                <w:lang w:val="en"/>
              </w:rPr>
              <w:t xml:space="preserve"> criteria for qualitative selection of economic operator</w:t>
            </w:r>
          </w:p>
          <w:p w14:paraId="38FFBDBC" w14:textId="77777777" w:rsidR="00016E8B" w:rsidRDefault="00016E8B" w:rsidP="00016E8B">
            <w:pPr>
              <w:rPr>
                <w:color w:val="FF0000"/>
                <w:lang w:val="en"/>
              </w:rPr>
            </w:pPr>
            <w:r>
              <w:rPr>
                <w:color w:val="FF0000"/>
                <w:lang w:val="en"/>
              </w:rPr>
              <w:t xml:space="preserve">DESCENDING </w:t>
            </w:r>
            <w:r w:rsidRPr="00F65559">
              <w:rPr>
                <w:color w:val="FF0000"/>
                <w:lang w:val="en"/>
              </w:rPr>
              <w:t>ORDER BY</w:t>
            </w:r>
            <w:r>
              <w:rPr>
                <w:color w:val="FF0000"/>
                <w:lang w:val="en"/>
              </w:rPr>
              <w:t xml:space="preserve"> NUMBER OF</w:t>
            </w:r>
            <w:r w:rsidRPr="00F65559">
              <w:rPr>
                <w:color w:val="FF0000"/>
                <w:lang w:val="en"/>
              </w:rPr>
              <w:t xml:space="preserve"> </w:t>
            </w:r>
            <w:r>
              <w:rPr>
                <w:color w:val="FF0000"/>
                <w:lang w:val="en"/>
              </w:rPr>
              <w:t>INQUIRIES:</w:t>
            </w:r>
          </w:p>
          <w:p w14:paraId="461EA0F9" w14:textId="3879D3CD" w:rsidR="00016E8B" w:rsidRPr="00F65559" w:rsidRDefault="00766DA5" w:rsidP="00016E8B">
            <w:pPr>
              <w:pStyle w:val="ListParagraph"/>
              <w:numPr>
                <w:ilvl w:val="0"/>
                <w:numId w:val="20"/>
              </w:numPr>
              <w:rPr>
                <w:i/>
                <w:color w:val="FF0000"/>
              </w:rPr>
            </w:pPr>
            <w:r>
              <w:rPr>
                <w:color w:val="FF0000"/>
                <w:lang w:val="en"/>
              </w:rPr>
              <w:t>Exemption</w:t>
            </w:r>
            <w:r w:rsidR="00016E8B">
              <w:rPr>
                <w:color w:val="FF0000"/>
                <w:lang w:val="en"/>
              </w:rPr>
              <w:t xml:space="preserve"> from the scope of PPL 2016</w:t>
            </w:r>
          </w:p>
          <w:p w14:paraId="20125BD5" w14:textId="22FBB24B" w:rsidR="00016E8B" w:rsidRPr="00F65559" w:rsidRDefault="00016E8B" w:rsidP="00016E8B">
            <w:pPr>
              <w:pStyle w:val="ListParagraph"/>
              <w:numPr>
                <w:ilvl w:val="0"/>
                <w:numId w:val="20"/>
              </w:numPr>
              <w:rPr>
                <w:i/>
                <w:color w:val="FF0000"/>
              </w:rPr>
            </w:pPr>
            <w:r>
              <w:rPr>
                <w:color w:val="FF0000"/>
                <w:lang w:val="en"/>
              </w:rPr>
              <w:t>Determining if</w:t>
            </w:r>
            <w:r w:rsidRPr="00F65559">
              <w:rPr>
                <w:color w:val="FF0000"/>
                <w:lang w:val="en"/>
              </w:rPr>
              <w:t xml:space="preserve"> </w:t>
            </w:r>
            <w:r>
              <w:rPr>
                <w:color w:val="FF0000"/>
                <w:lang w:val="en"/>
              </w:rPr>
              <w:t xml:space="preserve">a </w:t>
            </w:r>
            <w:r w:rsidRPr="00F65559">
              <w:rPr>
                <w:color w:val="FF0000"/>
                <w:lang w:val="en"/>
              </w:rPr>
              <w:t xml:space="preserve">legal person </w:t>
            </w:r>
            <w:r>
              <w:rPr>
                <w:color w:val="FF0000"/>
                <w:lang w:val="en"/>
              </w:rPr>
              <w:t xml:space="preserve">is a </w:t>
            </w:r>
            <w:r w:rsidRPr="00F65559">
              <w:rPr>
                <w:color w:val="FF0000"/>
                <w:lang w:val="en"/>
              </w:rPr>
              <w:t>contracting authority/entity</w:t>
            </w:r>
            <w:r>
              <w:rPr>
                <w:color w:val="FF0000"/>
                <w:lang w:val="en"/>
              </w:rPr>
              <w:t xml:space="preserve"> in the </w:t>
            </w:r>
            <w:r w:rsidR="00766DA5">
              <w:rPr>
                <w:color w:val="FF0000"/>
                <w:lang w:val="en"/>
              </w:rPr>
              <w:t>meaning</w:t>
            </w:r>
            <w:r>
              <w:rPr>
                <w:color w:val="FF0000"/>
                <w:lang w:val="en"/>
              </w:rPr>
              <w:t xml:space="preserve"> of PPL 2016</w:t>
            </w:r>
          </w:p>
          <w:p w14:paraId="7B59B904" w14:textId="77777777" w:rsidR="00016E8B" w:rsidRPr="00F65559" w:rsidRDefault="00016E8B" w:rsidP="00016E8B">
            <w:pPr>
              <w:pStyle w:val="ListParagraph"/>
              <w:numPr>
                <w:ilvl w:val="0"/>
                <w:numId w:val="20"/>
              </w:numPr>
              <w:rPr>
                <w:i/>
                <w:color w:val="FF0000"/>
              </w:rPr>
            </w:pPr>
            <w:r w:rsidRPr="00F65559">
              <w:rPr>
                <w:caps/>
                <w:color w:val="FF0000"/>
                <w:lang w:val="en"/>
              </w:rPr>
              <w:t>procurement documentation</w:t>
            </w:r>
            <w:r w:rsidRPr="00F65559">
              <w:rPr>
                <w:color w:val="FF0000"/>
                <w:lang w:val="en"/>
              </w:rPr>
              <w:t xml:space="preserve"> - ESPD Form (Filling out</w:t>
            </w:r>
            <w:r>
              <w:rPr>
                <w:color w:val="FF0000"/>
                <w:lang w:val="en"/>
              </w:rPr>
              <w:t>)</w:t>
            </w:r>
            <w:r>
              <w:rPr>
                <w:color w:val="FF0000"/>
                <w:lang w:val="en"/>
              </w:rPr>
              <w:br/>
              <w:t xml:space="preserve">- Selection Criteria </w:t>
            </w:r>
            <w:r w:rsidRPr="00F65559">
              <w:rPr>
                <w:color w:val="FF0000"/>
                <w:lang w:val="en"/>
              </w:rPr>
              <w:t xml:space="preserve"> (prescribing the conditions of technical, professional, financial ability</w:t>
            </w:r>
            <w:r>
              <w:rPr>
                <w:color w:val="FF0000"/>
                <w:lang w:val="en"/>
              </w:rPr>
              <w:t>)</w:t>
            </w:r>
            <w:r w:rsidRPr="00F65559">
              <w:rPr>
                <w:color w:val="FF0000"/>
                <w:lang w:val="en"/>
              </w:rPr>
              <w:br/>
              <w:t xml:space="preserve">- </w:t>
            </w:r>
            <w:r w:rsidRPr="00F65559">
              <w:rPr>
                <w:rStyle w:val="alt-edited"/>
                <w:color w:val="FF0000"/>
                <w:lang w:val="en"/>
              </w:rPr>
              <w:t xml:space="preserve">Grounds for </w:t>
            </w:r>
            <w:r w:rsidRPr="00F65559">
              <w:rPr>
                <w:color w:val="FF0000"/>
                <w:lang w:val="en"/>
              </w:rPr>
              <w:t xml:space="preserve">exclusion </w:t>
            </w:r>
            <w:r>
              <w:rPr>
                <w:color w:val="FF0000"/>
                <w:lang w:val="en"/>
              </w:rPr>
              <w:t>–</w:t>
            </w:r>
            <w:r w:rsidRPr="00F65559">
              <w:rPr>
                <w:color w:val="FF0000"/>
                <w:lang w:val="en"/>
              </w:rPr>
              <w:t xml:space="preserve"> </w:t>
            </w:r>
            <w:r>
              <w:rPr>
                <w:color w:val="FF0000"/>
                <w:lang w:val="en"/>
              </w:rPr>
              <w:t xml:space="preserve">criminal </w:t>
            </w:r>
            <w:r w:rsidRPr="00F65559">
              <w:rPr>
                <w:rStyle w:val="alt-edited"/>
                <w:color w:val="FF0000"/>
                <w:lang w:val="en"/>
              </w:rPr>
              <w:t>convictions</w:t>
            </w:r>
            <w:r w:rsidRPr="00F65559">
              <w:rPr>
                <w:color w:val="FF0000"/>
                <w:lang w:val="en"/>
              </w:rPr>
              <w:br/>
              <w:t xml:space="preserve">- Technical specifications - </w:t>
            </w:r>
            <w:r>
              <w:rPr>
                <w:color w:val="FF0000"/>
                <w:lang w:val="en"/>
              </w:rPr>
              <w:t>norms</w:t>
            </w:r>
            <w:r w:rsidRPr="00F65559">
              <w:rPr>
                <w:color w:val="FF0000"/>
                <w:lang w:val="en"/>
              </w:rPr>
              <w:t xml:space="preserve"> / equivalence</w:t>
            </w:r>
            <w:r w:rsidRPr="00F65559">
              <w:rPr>
                <w:color w:val="FF0000"/>
                <w:lang w:val="en"/>
              </w:rPr>
              <w:br/>
              <w:t xml:space="preserve">- </w:t>
            </w:r>
            <w:r w:rsidRPr="00BE0B97">
              <w:rPr>
                <w:color w:val="FF0000"/>
              </w:rPr>
              <w:t>Subcontractors</w:t>
            </w:r>
            <w:r w:rsidRPr="00F65559">
              <w:rPr>
                <w:color w:val="FF0000"/>
                <w:lang w:val="en"/>
              </w:rPr>
              <w:t>/ Resources</w:t>
            </w:r>
            <w:r w:rsidRPr="008264D6">
              <w:rPr>
                <w:color w:val="FF0000"/>
              </w:rPr>
              <w:t xml:space="preserve"> of other entities</w:t>
            </w:r>
            <w:r w:rsidRPr="00F65559">
              <w:rPr>
                <w:color w:val="FF0000"/>
                <w:lang w:val="en"/>
              </w:rPr>
              <w:t xml:space="preserve"> / Relia</w:t>
            </w:r>
            <w:r>
              <w:rPr>
                <w:color w:val="FF0000"/>
                <w:lang w:val="en"/>
              </w:rPr>
              <w:t xml:space="preserve">nce on </w:t>
            </w:r>
            <w:r w:rsidRPr="008264D6">
              <w:rPr>
                <w:color w:val="FF0000"/>
              </w:rPr>
              <w:t>the capacities of other entities</w:t>
            </w:r>
          </w:p>
          <w:p w14:paraId="3C1BC8F6" w14:textId="77777777" w:rsidR="00016E8B" w:rsidRPr="00F65559" w:rsidRDefault="00016E8B" w:rsidP="00016E8B">
            <w:pPr>
              <w:pStyle w:val="ListParagraph"/>
              <w:numPr>
                <w:ilvl w:val="0"/>
                <w:numId w:val="20"/>
              </w:numPr>
              <w:rPr>
                <w:i/>
                <w:color w:val="FF0000"/>
              </w:rPr>
            </w:pPr>
            <w:r w:rsidRPr="00F65559">
              <w:rPr>
                <w:color w:val="FF0000"/>
                <w:lang w:val="en"/>
              </w:rPr>
              <w:t>Determining the subje</w:t>
            </w:r>
            <w:r>
              <w:rPr>
                <w:color w:val="FF0000"/>
                <w:lang w:val="en"/>
              </w:rPr>
              <w:t>ct of procurement</w:t>
            </w:r>
          </w:p>
          <w:p w14:paraId="10F95E9C" w14:textId="77777777" w:rsidR="00016E8B" w:rsidRPr="00F65559" w:rsidRDefault="00016E8B" w:rsidP="00016E8B">
            <w:pPr>
              <w:pStyle w:val="ListParagraph"/>
              <w:numPr>
                <w:ilvl w:val="0"/>
                <w:numId w:val="20"/>
              </w:numPr>
              <w:rPr>
                <w:i/>
                <w:color w:val="FF0000"/>
              </w:rPr>
            </w:pPr>
            <w:r w:rsidRPr="00F65559">
              <w:rPr>
                <w:color w:val="FF0000"/>
                <w:lang w:val="en"/>
              </w:rPr>
              <w:t>Execu</w:t>
            </w:r>
            <w:r>
              <w:rPr>
                <w:color w:val="FF0000"/>
                <w:lang w:val="en"/>
              </w:rPr>
              <w:t>tion of a contract – contract modifications</w:t>
            </w:r>
          </w:p>
          <w:p w14:paraId="49AF46F6" w14:textId="34139F6A" w:rsidR="00016E8B" w:rsidRPr="00F65559" w:rsidRDefault="00766DA5" w:rsidP="00016E8B">
            <w:pPr>
              <w:pStyle w:val="ListParagraph"/>
              <w:numPr>
                <w:ilvl w:val="0"/>
                <w:numId w:val="20"/>
              </w:numPr>
              <w:rPr>
                <w:i/>
                <w:color w:val="FF0000"/>
              </w:rPr>
            </w:pPr>
            <w:r>
              <w:rPr>
                <w:color w:val="FF0000"/>
                <w:lang w:val="en"/>
              </w:rPr>
              <w:t>Conflicts of interest</w:t>
            </w:r>
          </w:p>
          <w:p w14:paraId="64421F5C" w14:textId="77777777" w:rsidR="00016E8B" w:rsidRPr="00F65559" w:rsidRDefault="00016E8B" w:rsidP="00016E8B">
            <w:pPr>
              <w:pStyle w:val="ListParagraph"/>
              <w:numPr>
                <w:ilvl w:val="0"/>
                <w:numId w:val="20"/>
              </w:numPr>
              <w:rPr>
                <w:i/>
                <w:color w:val="FF0000"/>
              </w:rPr>
            </w:pPr>
            <w:r w:rsidRPr="00F65559">
              <w:rPr>
                <w:color w:val="FF0000"/>
                <w:lang w:val="en"/>
              </w:rPr>
              <w:t>Which public procurement procedure is to be conducted for a p</w:t>
            </w:r>
            <w:r>
              <w:rPr>
                <w:color w:val="FF0000"/>
                <w:lang w:val="en"/>
              </w:rPr>
              <w:t>articular type of procurement</w:t>
            </w:r>
          </w:p>
          <w:p w14:paraId="57B9FE03" w14:textId="77777777" w:rsidR="00016E8B" w:rsidRPr="00F65559" w:rsidRDefault="00016E8B" w:rsidP="00016E8B">
            <w:pPr>
              <w:pStyle w:val="ListParagraph"/>
              <w:numPr>
                <w:ilvl w:val="0"/>
                <w:numId w:val="20"/>
              </w:numPr>
              <w:rPr>
                <w:i/>
                <w:color w:val="FF0000"/>
              </w:rPr>
            </w:pPr>
            <w:r>
              <w:rPr>
                <w:rStyle w:val="alt-edited"/>
                <w:color w:val="FF0000"/>
                <w:lang w:val="en"/>
              </w:rPr>
              <w:t>B</w:t>
            </w:r>
            <w:r w:rsidRPr="00F65559">
              <w:rPr>
                <w:rStyle w:val="alt-edited"/>
                <w:color w:val="FF0000"/>
                <w:lang w:val="en"/>
              </w:rPr>
              <w:t>id evaluation</w:t>
            </w:r>
          </w:p>
          <w:p w14:paraId="162D5C3A" w14:textId="77777777" w:rsidR="00016E8B" w:rsidRPr="00B01372" w:rsidRDefault="00016E8B" w:rsidP="005329C9">
            <w:pPr>
              <w:pStyle w:val="NoSpacing"/>
              <w:jc w:val="both"/>
            </w:pPr>
          </w:p>
        </w:tc>
      </w:tr>
      <w:tr w:rsidR="00253552" w:rsidRPr="00B01372" w14:paraId="1F5C36BD" w14:textId="77777777" w:rsidTr="00095252">
        <w:tc>
          <w:tcPr>
            <w:tcW w:w="4606" w:type="dxa"/>
          </w:tcPr>
          <w:p w14:paraId="75C2003C" w14:textId="70EADB38" w:rsidR="00253552" w:rsidRPr="00B01372" w:rsidRDefault="00253552" w:rsidP="00B36524">
            <w:pPr>
              <w:jc w:val="both"/>
            </w:pPr>
            <w:r w:rsidRPr="00777D09">
              <w:t>Specific legal provisions (from EU or national law) which appear to raise significant problems of application</w:t>
            </w:r>
          </w:p>
        </w:tc>
        <w:tc>
          <w:tcPr>
            <w:tcW w:w="9509" w:type="dxa"/>
          </w:tcPr>
          <w:p w14:paraId="2E900040" w14:textId="77777777" w:rsidR="00253552" w:rsidRPr="00B01372" w:rsidRDefault="00253552" w:rsidP="005329C9">
            <w:r w:rsidRPr="00B01372">
              <w:t>The information should focus on:</w:t>
            </w:r>
          </w:p>
          <w:p w14:paraId="656653DD" w14:textId="6FFAC613" w:rsidR="00253552" w:rsidRPr="00B01372" w:rsidRDefault="00253552" w:rsidP="005329C9">
            <w:r w:rsidRPr="00B01372">
              <w:t>- the specific legal provisions</w:t>
            </w:r>
            <w:r w:rsidR="00B36524" w:rsidRPr="00B01372">
              <w:t xml:space="preserve"> in question</w:t>
            </w:r>
          </w:p>
          <w:p w14:paraId="21AC4377" w14:textId="0C4387CF" w:rsidR="00253552" w:rsidRPr="00B01372" w:rsidRDefault="00253552" w:rsidP="005329C9">
            <w:pPr>
              <w:rPr>
                <w:i/>
              </w:rPr>
            </w:pPr>
            <w:r w:rsidRPr="00B01372">
              <w:t>- a description of the type of difficulties identified</w:t>
            </w:r>
            <w:r w:rsidR="00B36524" w:rsidRPr="00B01372">
              <w:t>, if any</w:t>
            </w:r>
            <w:r w:rsidRPr="00B01372">
              <w:rPr>
                <w:i/>
              </w:rPr>
              <w:t xml:space="preserve"> </w:t>
            </w:r>
          </w:p>
          <w:p w14:paraId="68A50192" w14:textId="77777777" w:rsidR="00253552" w:rsidRPr="00B01372" w:rsidRDefault="00253552" w:rsidP="005329C9">
            <w:pPr>
              <w:rPr>
                <w:i/>
              </w:rPr>
            </w:pPr>
          </w:p>
          <w:p w14:paraId="1D3A39F9" w14:textId="77777777" w:rsidR="00253552" w:rsidRPr="00B01372" w:rsidRDefault="00253552" w:rsidP="005329C9">
            <w:pPr>
              <w:rPr>
                <w:i/>
              </w:rPr>
            </w:pPr>
            <w:r w:rsidRPr="00B01372">
              <w:rPr>
                <w:i/>
              </w:rPr>
              <w:t>Possible relevant (non-exhaustive) elements for consideration may be:</w:t>
            </w:r>
          </w:p>
          <w:p w14:paraId="5DCEC991" w14:textId="7389C199" w:rsidR="00253552" w:rsidRPr="00B01372" w:rsidRDefault="00253552" w:rsidP="00E3206F">
            <w:pPr>
              <w:pStyle w:val="ListParagraph"/>
              <w:numPr>
                <w:ilvl w:val="0"/>
                <w:numId w:val="8"/>
              </w:numPr>
              <w:ind w:hanging="294"/>
              <w:jc w:val="both"/>
              <w:rPr>
                <w:i/>
              </w:rPr>
            </w:pPr>
            <w:r w:rsidRPr="00B01372">
              <w:rPr>
                <w:i/>
              </w:rPr>
              <w:t xml:space="preserve">lack of consistent application of </w:t>
            </w:r>
            <w:r w:rsidR="00B36524" w:rsidRPr="00B01372">
              <w:rPr>
                <w:i/>
              </w:rPr>
              <w:t xml:space="preserve">a given provision </w:t>
            </w:r>
            <w:r w:rsidRPr="00B01372">
              <w:rPr>
                <w:i/>
              </w:rPr>
              <w:t>by the contracting authorities</w:t>
            </w:r>
          </w:p>
          <w:p w14:paraId="61179DC9" w14:textId="42536A22" w:rsidR="00253552" w:rsidRPr="00B01372" w:rsidRDefault="00253552" w:rsidP="00E3206F">
            <w:pPr>
              <w:pStyle w:val="ListParagraph"/>
              <w:numPr>
                <w:ilvl w:val="0"/>
                <w:numId w:val="8"/>
              </w:numPr>
              <w:ind w:hanging="294"/>
              <w:jc w:val="both"/>
              <w:rPr>
                <w:i/>
              </w:rPr>
            </w:pPr>
            <w:r w:rsidRPr="00B01372">
              <w:rPr>
                <w:i/>
              </w:rPr>
              <w:t>high frequency of requests for guidance as to how to understand or interpret a given provision</w:t>
            </w:r>
          </w:p>
          <w:p w14:paraId="620D0740" w14:textId="1E6D1DAA" w:rsidR="00253552" w:rsidRPr="00B01372" w:rsidRDefault="00253552" w:rsidP="00E3206F">
            <w:pPr>
              <w:pStyle w:val="ListParagraph"/>
              <w:numPr>
                <w:ilvl w:val="0"/>
                <w:numId w:val="8"/>
              </w:numPr>
              <w:ind w:hanging="294"/>
              <w:jc w:val="both"/>
              <w:rPr>
                <w:i/>
              </w:rPr>
            </w:pPr>
            <w:r w:rsidRPr="00B01372">
              <w:rPr>
                <w:i/>
              </w:rPr>
              <w:t xml:space="preserve">recurrence of the incorrect application of </w:t>
            </w:r>
            <w:r w:rsidR="003F1BD0" w:rsidRPr="00B01372">
              <w:rPr>
                <w:i/>
              </w:rPr>
              <w:t>a given provision</w:t>
            </w:r>
          </w:p>
          <w:p w14:paraId="6F72C59B" w14:textId="77777777" w:rsidR="00B34E11" w:rsidRPr="00B34E11" w:rsidRDefault="00253552" w:rsidP="00B34E11">
            <w:pPr>
              <w:pStyle w:val="ListParagraph"/>
              <w:numPr>
                <w:ilvl w:val="0"/>
                <w:numId w:val="8"/>
              </w:numPr>
              <w:ind w:hanging="294"/>
              <w:jc w:val="both"/>
            </w:pPr>
            <w:r w:rsidRPr="00B01372">
              <w:rPr>
                <w:i/>
              </w:rPr>
              <w:t xml:space="preserve">need to issue </w:t>
            </w:r>
            <w:r w:rsidR="00FF42D2">
              <w:rPr>
                <w:i/>
              </w:rPr>
              <w:t>(</w:t>
            </w:r>
            <w:r w:rsidRPr="00B01372">
              <w:rPr>
                <w:i/>
              </w:rPr>
              <w:t>additional</w:t>
            </w:r>
            <w:r w:rsidR="00FF42D2">
              <w:rPr>
                <w:i/>
              </w:rPr>
              <w:t>)</w:t>
            </w:r>
            <w:r w:rsidRPr="00B01372">
              <w:rPr>
                <w:i/>
              </w:rPr>
              <w:t xml:space="preserve"> interpretative guidance on a given provision</w:t>
            </w:r>
            <w:r w:rsidR="00FF42D2">
              <w:rPr>
                <w:i/>
              </w:rPr>
              <w:t xml:space="preserve"> </w:t>
            </w:r>
          </w:p>
          <w:p w14:paraId="3802EC9B" w14:textId="77777777" w:rsidR="00B34E11" w:rsidRDefault="00B34E11" w:rsidP="00B34E11">
            <w:pPr>
              <w:jc w:val="both"/>
            </w:pPr>
          </w:p>
          <w:p w14:paraId="4F1B734B" w14:textId="3164A91D" w:rsidR="00B34E11" w:rsidRPr="00B34E11" w:rsidRDefault="00B34E11" w:rsidP="00B34E11">
            <w:pPr>
              <w:jc w:val="both"/>
              <w:rPr>
                <w:color w:val="FF0000"/>
              </w:rPr>
            </w:pPr>
            <w:r>
              <w:rPr>
                <w:color w:val="FF0000"/>
              </w:rPr>
              <w:t>Croatian</w:t>
            </w:r>
            <w:r w:rsidRPr="00B34E11">
              <w:rPr>
                <w:color w:val="FF0000"/>
              </w:rPr>
              <w:t xml:space="preserve"> public procurement legislation is in coherence with EU acquirements. PP</w:t>
            </w:r>
            <w:r>
              <w:rPr>
                <w:color w:val="FF0000"/>
              </w:rPr>
              <w:t>L</w:t>
            </w:r>
            <w:r w:rsidRPr="00B34E11">
              <w:rPr>
                <w:color w:val="FF0000"/>
              </w:rPr>
              <w:t xml:space="preserve"> </w:t>
            </w:r>
            <w:r>
              <w:rPr>
                <w:color w:val="FF0000"/>
              </w:rPr>
              <w:t xml:space="preserve">2016 </w:t>
            </w:r>
            <w:r w:rsidRPr="00B34E11">
              <w:rPr>
                <w:color w:val="FF0000"/>
              </w:rPr>
              <w:t xml:space="preserve">transposed the following EU directives into the legislation of the Republic of </w:t>
            </w:r>
            <w:r w:rsidR="00EB432E">
              <w:rPr>
                <w:color w:val="FF0000"/>
              </w:rPr>
              <w:t>Croatia</w:t>
            </w:r>
            <w:r w:rsidRPr="00B34E11">
              <w:rPr>
                <w:color w:val="FF0000"/>
              </w:rPr>
              <w:t xml:space="preserve">: </w:t>
            </w:r>
          </w:p>
          <w:p w14:paraId="392D26FB" w14:textId="77777777" w:rsidR="00B34E11" w:rsidRPr="00B34E11" w:rsidRDefault="00B34E11" w:rsidP="00B34E11">
            <w:pPr>
              <w:jc w:val="both"/>
              <w:rPr>
                <w:color w:val="FF0000"/>
              </w:rPr>
            </w:pPr>
            <w:r w:rsidRPr="00B34E11">
              <w:rPr>
                <w:color w:val="FF0000"/>
              </w:rPr>
              <w:t>1. Directive 2014/24/EU of the European Parliament and of the Council of 26 February 2014 on public procurement and repealing Directive 2004/18/EC (OJ L 94, 28. 3. 2014), as last amended by Commission Delegated Regulation (EU) 2015/2170 of 24 November 2015 amending Directive 2014/24/EU of the European Parliament and of the Council in respect of the application thresholds for the procedures for the award of contracts (OJ L 307, 25. 11. 2015)</w:t>
            </w:r>
          </w:p>
          <w:p w14:paraId="143D4074" w14:textId="77777777" w:rsidR="00B34E11" w:rsidRPr="00B34E11" w:rsidRDefault="00B34E11" w:rsidP="00B34E11">
            <w:pPr>
              <w:jc w:val="both"/>
              <w:rPr>
                <w:color w:val="FF0000"/>
              </w:rPr>
            </w:pPr>
            <w:r w:rsidRPr="00B34E11">
              <w:rPr>
                <w:color w:val="FF0000"/>
              </w:rPr>
              <w:t>2. Directive 2014/25/EU of the European Parliament and of the Council of 26 February 2014 on procurement by entities operating in the water, energy, transport and postal services sectors and repealing Directive 2004/17/EC (OJ L 94, 28. 3. 2014), as last amended by Commission Delegated Regulation (EU) 2015/2171 of 24 November 2015 amending Directive 2014/25/EU of the European Parliament and of the Council in respect of the application thresholds for the procedures for the award of contracts (OJ L 307, 25. 11. 2015)</w:t>
            </w:r>
          </w:p>
          <w:p w14:paraId="0CDE70BE" w14:textId="77777777" w:rsidR="00B34E11" w:rsidRPr="00B34E11" w:rsidRDefault="00B34E11" w:rsidP="00B34E11">
            <w:pPr>
              <w:jc w:val="both"/>
              <w:rPr>
                <w:color w:val="FF0000"/>
              </w:rPr>
            </w:pPr>
            <w:r w:rsidRPr="00B34E11">
              <w:rPr>
                <w:color w:val="FF0000"/>
              </w:rPr>
              <w:t>3. Council Directive 89/665/EEC of 21 December 1989 on the coordination of the laws, regulations and administrative provisions relating to the application of review procedures to the award of public supply and public works contracts (OJ L 395, 30. 12. 1989</w:t>
            </w:r>
            <w:proofErr w:type="gramStart"/>
            <w:r w:rsidRPr="00B34E11">
              <w:rPr>
                <w:color w:val="FF0000"/>
              </w:rPr>
              <w:t>),</w:t>
            </w:r>
            <w:proofErr w:type="gramEnd"/>
            <w:r w:rsidRPr="00B34E11">
              <w:rPr>
                <w:color w:val="FF0000"/>
              </w:rPr>
              <w:t xml:space="preserve"> as last amended by Directive 2014/23/EU of the European Parliament and of the Council of 26 February 2014 on the award of concession contracts (OJ L 94, 28. 3. 2014)</w:t>
            </w:r>
          </w:p>
          <w:p w14:paraId="4C97F141" w14:textId="77777777" w:rsidR="00B34E11" w:rsidRPr="00B34E11" w:rsidRDefault="00B34E11" w:rsidP="00B34E11">
            <w:pPr>
              <w:jc w:val="both"/>
              <w:rPr>
                <w:color w:val="FF0000"/>
              </w:rPr>
            </w:pPr>
            <w:r w:rsidRPr="00B34E11">
              <w:rPr>
                <w:color w:val="FF0000"/>
              </w:rPr>
              <w:t>4. Council Directive 92/13/EEC of 25 February 1992 coordinating the laws, regulations and administrative provisions relating to the application of Community rules on the procurement procedures of entities operating in the water, energy, transport and telecommunications sectors (OJ L 76, 23. 3. 1992</w:t>
            </w:r>
            <w:proofErr w:type="gramStart"/>
            <w:r w:rsidRPr="00B34E11">
              <w:rPr>
                <w:color w:val="FF0000"/>
              </w:rPr>
              <w:t>),</w:t>
            </w:r>
            <w:proofErr w:type="gramEnd"/>
            <w:r w:rsidRPr="00B34E11">
              <w:rPr>
                <w:color w:val="FF0000"/>
              </w:rPr>
              <w:t xml:space="preserve"> as last amended by Directive 2014/23/EU of the European Parliament and of the Council of 26 February 2014 on the award of concession contracts (OJ L 94, 28. 3. 2014)</w:t>
            </w:r>
          </w:p>
          <w:p w14:paraId="31663964" w14:textId="7C0F2858" w:rsidR="00B34E11" w:rsidRDefault="00B34E11" w:rsidP="00B34E11">
            <w:pPr>
              <w:jc w:val="both"/>
              <w:rPr>
                <w:color w:val="FF0000"/>
              </w:rPr>
            </w:pPr>
            <w:r w:rsidRPr="00B34E11">
              <w:rPr>
                <w:color w:val="FF0000"/>
              </w:rPr>
              <w:t xml:space="preserve">5. Articles 2, 12 and 13 of Directive 2009/81/EC of the European Parliament and of the Council of 13 July 2009 on the coordination of procedures for the award of certain public works contracts, public supply contracts and public service contracts by contracting authorities or entities in the fields of </w:t>
            </w:r>
            <w:r w:rsidRPr="00B34E11">
              <w:rPr>
                <w:color w:val="FF0000"/>
              </w:rPr>
              <w:lastRenderedPageBreak/>
              <w:t>defence and security, and amending Directives 2004/17/EC and 2004/18/EC (OJ L 216, 20. 8. 2009), as last amended by Commission Regulation (EU) 2015/2340 of 15 December 2015 amending Directive 2009/81/EC of the European Parliament and of the Council in respect of the application thresholds for the procedures for the award of contracts (OJ L 330, 16. 12. 2015).</w:t>
            </w:r>
          </w:p>
          <w:p w14:paraId="6C8BC116" w14:textId="77777777" w:rsidR="00B34E11" w:rsidRPr="00B34E11" w:rsidRDefault="00B34E11" w:rsidP="00B34E11">
            <w:pPr>
              <w:jc w:val="both"/>
              <w:rPr>
                <w:color w:val="FF0000"/>
              </w:rPr>
            </w:pPr>
          </w:p>
          <w:p w14:paraId="39B47211" w14:textId="143A3375" w:rsidR="00B34E11" w:rsidRPr="00B34E11" w:rsidRDefault="008611FF" w:rsidP="00B34E11">
            <w:pPr>
              <w:jc w:val="both"/>
              <w:rPr>
                <w:color w:val="FF0000"/>
              </w:rPr>
            </w:pPr>
            <w:r>
              <w:rPr>
                <w:color w:val="FF0000"/>
              </w:rPr>
              <w:t>We have</w:t>
            </w:r>
            <w:r w:rsidR="00766DA5">
              <w:rPr>
                <w:color w:val="FF0000"/>
              </w:rPr>
              <w:t xml:space="preserve"> identified</w:t>
            </w:r>
            <w:r w:rsidR="00B34E11" w:rsidRPr="00B34E11">
              <w:rPr>
                <w:color w:val="FF0000"/>
              </w:rPr>
              <w:t xml:space="preserve"> different type</w:t>
            </w:r>
            <w:r w:rsidR="00766DA5">
              <w:rPr>
                <w:color w:val="FF0000"/>
              </w:rPr>
              <w:t>s of difficulties which relate</w:t>
            </w:r>
            <w:r w:rsidR="00B34E11" w:rsidRPr="00B34E11">
              <w:rPr>
                <w:color w:val="FF0000"/>
              </w:rPr>
              <w:t xml:space="preserve"> to the implementation of </w:t>
            </w:r>
            <w:r w:rsidR="00766DA5">
              <w:rPr>
                <w:color w:val="FF0000"/>
              </w:rPr>
              <w:t xml:space="preserve">the </w:t>
            </w:r>
            <w:r w:rsidR="00B34E11" w:rsidRPr="00B34E11">
              <w:rPr>
                <w:color w:val="FF0000"/>
              </w:rPr>
              <w:t>above mentioned Directives:</w:t>
            </w:r>
          </w:p>
          <w:p w14:paraId="3CDD79C0" w14:textId="77777777" w:rsidR="00B34E11" w:rsidRPr="00B34E11" w:rsidRDefault="00B34E11" w:rsidP="00B34E11">
            <w:pPr>
              <w:jc w:val="both"/>
              <w:rPr>
                <w:color w:val="FF0000"/>
              </w:rPr>
            </w:pPr>
          </w:p>
          <w:p w14:paraId="17948202" w14:textId="3F99BB3A" w:rsidR="00B34E11" w:rsidRPr="00B34E11" w:rsidRDefault="008611FF" w:rsidP="00B34E11">
            <w:pPr>
              <w:jc w:val="both"/>
              <w:rPr>
                <w:color w:val="FF0000"/>
              </w:rPr>
            </w:pPr>
            <w:r>
              <w:rPr>
                <w:color w:val="FF0000"/>
              </w:rPr>
              <w:t>For each bidder</w:t>
            </w:r>
            <w:r w:rsidR="00B34E11" w:rsidRPr="00B34E11">
              <w:rPr>
                <w:color w:val="FF0000"/>
              </w:rPr>
              <w:t xml:space="preserve">, the grounds for exclusion and </w:t>
            </w:r>
            <w:r>
              <w:rPr>
                <w:color w:val="FF0000"/>
              </w:rPr>
              <w:t xml:space="preserve">selection criteria </w:t>
            </w:r>
            <w:r w:rsidR="00B34E11" w:rsidRPr="00B34E11">
              <w:rPr>
                <w:color w:val="FF0000"/>
              </w:rPr>
              <w:t>are in some ways the entry factor in the public procurement procedure. Who passes this test, is put in the phase of balance, which is the most advantageous tender based on the criteria. Criteria must be related to the subject-matter of the contract</w:t>
            </w:r>
            <w:r>
              <w:rPr>
                <w:color w:val="FF0000"/>
              </w:rPr>
              <w:t xml:space="preserve">. </w:t>
            </w:r>
            <w:r w:rsidR="00B34E11" w:rsidRPr="00B34E11">
              <w:rPr>
                <w:color w:val="FF0000"/>
              </w:rPr>
              <w:t xml:space="preserve">The issue arises </w:t>
            </w:r>
            <w:r>
              <w:rPr>
                <w:color w:val="FF0000"/>
              </w:rPr>
              <w:t xml:space="preserve">in works and services contracts on how to set selection and award criteria according to PPL and not to make selection criteria into an award criteria. </w:t>
            </w:r>
          </w:p>
          <w:p w14:paraId="374C569A" w14:textId="77777777" w:rsidR="00B34E11" w:rsidRPr="00B34E11" w:rsidRDefault="00B34E11" w:rsidP="00B34E11">
            <w:pPr>
              <w:jc w:val="both"/>
              <w:rPr>
                <w:color w:val="FF0000"/>
              </w:rPr>
            </w:pPr>
          </w:p>
          <w:p w14:paraId="06A31D8D" w14:textId="3E947680" w:rsidR="00B34E11" w:rsidRPr="00B34E11" w:rsidRDefault="008611FF" w:rsidP="00B34E11">
            <w:pPr>
              <w:jc w:val="both"/>
              <w:rPr>
                <w:color w:val="FF0000"/>
              </w:rPr>
            </w:pPr>
            <w:r>
              <w:rPr>
                <w:color w:val="FF0000"/>
              </w:rPr>
              <w:t xml:space="preserve">Croatian </w:t>
            </w:r>
            <w:r w:rsidR="00B34E11" w:rsidRPr="00B34E11">
              <w:rPr>
                <w:color w:val="FF0000"/>
              </w:rPr>
              <w:t xml:space="preserve">public procurement </w:t>
            </w:r>
            <w:r>
              <w:rPr>
                <w:color w:val="FF0000"/>
              </w:rPr>
              <w:t xml:space="preserve">legislation and </w:t>
            </w:r>
            <w:r w:rsidR="00B34E11" w:rsidRPr="00B34E11">
              <w:rPr>
                <w:color w:val="FF0000"/>
              </w:rPr>
              <w:t xml:space="preserve">system </w:t>
            </w:r>
            <w:r w:rsidR="00766DA5">
              <w:rPr>
                <w:color w:val="FF0000"/>
              </w:rPr>
              <w:t>have ensured</w:t>
            </w:r>
            <w:r w:rsidR="00B34E11" w:rsidRPr="00B34E11">
              <w:rPr>
                <w:color w:val="FF0000"/>
              </w:rPr>
              <w:t xml:space="preserve"> high level of transparency and digitization. All public procurements are published on the </w:t>
            </w:r>
            <w:r>
              <w:rPr>
                <w:color w:val="FF0000"/>
              </w:rPr>
              <w:t>EOJN - national e-tendering system</w:t>
            </w:r>
            <w:r w:rsidR="00B34E11" w:rsidRPr="00B34E11">
              <w:rPr>
                <w:color w:val="FF0000"/>
              </w:rPr>
              <w:t xml:space="preserve"> (all in one place), where the complete public procurement </w:t>
            </w:r>
            <w:proofErr w:type="gramStart"/>
            <w:r w:rsidR="00B34E11" w:rsidRPr="00B34E11">
              <w:rPr>
                <w:color w:val="FF0000"/>
              </w:rPr>
              <w:t>file</w:t>
            </w:r>
            <w:proofErr w:type="gramEnd"/>
            <w:r w:rsidR="00B34E11" w:rsidRPr="00B34E11">
              <w:rPr>
                <w:color w:val="FF0000"/>
              </w:rPr>
              <w:t xml:space="preserve"> is seen. We have implemented the ESPD and e-Submission as well. However, the trend of </w:t>
            </w:r>
            <w:r w:rsidR="00766DA5">
              <w:rPr>
                <w:color w:val="FF0000"/>
              </w:rPr>
              <w:t xml:space="preserve">a </w:t>
            </w:r>
            <w:r w:rsidR="00B34E11" w:rsidRPr="00B34E11">
              <w:rPr>
                <w:color w:val="FF0000"/>
              </w:rPr>
              <w:t xml:space="preserve">single </w:t>
            </w:r>
            <w:r>
              <w:rPr>
                <w:color w:val="FF0000"/>
              </w:rPr>
              <w:t>bidder</w:t>
            </w:r>
            <w:r w:rsidR="00B34E11" w:rsidRPr="00B34E11">
              <w:rPr>
                <w:color w:val="FF0000"/>
              </w:rPr>
              <w:t xml:space="preserve"> is still an issue.  As an improvement measure, the European Commission proposes to update the public procurement system, </w:t>
            </w:r>
            <w:r w:rsidR="00766DA5">
              <w:rPr>
                <w:color w:val="FF0000"/>
              </w:rPr>
              <w:t>to further improve</w:t>
            </w:r>
            <w:r w:rsidR="00B34E11" w:rsidRPr="00B34E11">
              <w:rPr>
                <w:color w:val="FF0000"/>
              </w:rPr>
              <w:t xml:space="preserve"> digitization, </w:t>
            </w:r>
            <w:r w:rsidR="00766DA5">
              <w:rPr>
                <w:color w:val="FF0000"/>
              </w:rPr>
              <w:t>and to introduce a more advanced ordering system</w:t>
            </w:r>
            <w:r w:rsidR="00B34E11" w:rsidRPr="00B34E11">
              <w:rPr>
                <w:color w:val="FF0000"/>
              </w:rPr>
              <w:t xml:space="preserve">. The issue in question is what other measures </w:t>
            </w:r>
            <w:r>
              <w:rPr>
                <w:color w:val="FF0000"/>
              </w:rPr>
              <w:t>are applicable to tackle the issue of</w:t>
            </w:r>
            <w:r w:rsidR="00B34E11" w:rsidRPr="00B34E11">
              <w:rPr>
                <w:color w:val="FF0000"/>
              </w:rPr>
              <w:t xml:space="preserve"> low competition</w:t>
            </w:r>
            <w:r>
              <w:rPr>
                <w:color w:val="FF0000"/>
              </w:rPr>
              <w:t xml:space="preserve"> </w:t>
            </w:r>
            <w:r w:rsidRPr="00B34E11">
              <w:rPr>
                <w:color w:val="FF0000"/>
              </w:rPr>
              <w:t>(except blaming publi</w:t>
            </w:r>
            <w:r>
              <w:rPr>
                <w:color w:val="FF0000"/>
              </w:rPr>
              <w:t>c procurement system)</w:t>
            </w:r>
            <w:r w:rsidR="00B34E11" w:rsidRPr="00B34E11">
              <w:rPr>
                <w:color w:val="FF0000"/>
              </w:rPr>
              <w:t xml:space="preserve">? </w:t>
            </w:r>
          </w:p>
          <w:p w14:paraId="3AB16844" w14:textId="77777777" w:rsidR="00B34E11" w:rsidRPr="00B34E11" w:rsidRDefault="00B34E11" w:rsidP="00B34E11">
            <w:pPr>
              <w:jc w:val="both"/>
              <w:rPr>
                <w:color w:val="FF0000"/>
              </w:rPr>
            </w:pPr>
          </w:p>
          <w:p w14:paraId="42F9BB77" w14:textId="133DE0CA" w:rsidR="00B34E11" w:rsidRPr="00B34E11" w:rsidRDefault="00B34E11" w:rsidP="00B34E11">
            <w:pPr>
              <w:jc w:val="both"/>
              <w:rPr>
                <w:color w:val="FF0000"/>
              </w:rPr>
            </w:pPr>
            <w:r w:rsidRPr="00B34E11">
              <w:rPr>
                <w:color w:val="FF0000"/>
              </w:rPr>
              <w:t xml:space="preserve">In practice, we are also </w:t>
            </w:r>
            <w:r w:rsidR="00766DA5">
              <w:rPr>
                <w:color w:val="FF0000"/>
              </w:rPr>
              <w:t>faced</w:t>
            </w:r>
            <w:r w:rsidR="008611FF">
              <w:rPr>
                <w:color w:val="FF0000"/>
              </w:rPr>
              <w:t xml:space="preserve"> from time to time with t</w:t>
            </w:r>
            <w:r w:rsidRPr="00B34E11">
              <w:rPr>
                <w:color w:val="FF0000"/>
              </w:rPr>
              <w:t xml:space="preserve">he </w:t>
            </w:r>
            <w:r w:rsidR="008611FF">
              <w:rPr>
                <w:color w:val="FF0000"/>
              </w:rPr>
              <w:t>issue</w:t>
            </w:r>
            <w:r w:rsidRPr="00B34E11">
              <w:rPr>
                <w:color w:val="FF0000"/>
              </w:rPr>
              <w:t xml:space="preserve"> </w:t>
            </w:r>
            <w:r w:rsidR="008611FF">
              <w:rPr>
                <w:color w:val="FF0000"/>
              </w:rPr>
              <w:t xml:space="preserve">of </w:t>
            </w:r>
            <w:r w:rsidRPr="00B34E11">
              <w:rPr>
                <w:color w:val="FF0000"/>
              </w:rPr>
              <w:t>abnormally low tenders. While legislation and judicial prudence have already given clarifications and it is already known, what the contracting authority</w:t>
            </w:r>
            <w:r w:rsidR="008611FF">
              <w:rPr>
                <w:color w:val="FF0000"/>
              </w:rPr>
              <w:t>/entity</w:t>
            </w:r>
            <w:r w:rsidRPr="00B34E11">
              <w:rPr>
                <w:color w:val="FF0000"/>
              </w:rPr>
              <w:t xml:space="preserve"> must </w:t>
            </w:r>
            <w:r w:rsidR="008611FF">
              <w:rPr>
                <w:color w:val="FF0000"/>
              </w:rPr>
              <w:t xml:space="preserve">do </w:t>
            </w:r>
            <w:r w:rsidRPr="00B34E11">
              <w:rPr>
                <w:color w:val="FF0000"/>
              </w:rPr>
              <w:t>or should not do. When he determines whether the tender is abnormally low or not, there are no references, when such tender can or must be</w:t>
            </w:r>
            <w:r w:rsidR="00766DA5">
              <w:rPr>
                <w:color w:val="FF0000"/>
              </w:rPr>
              <w:t xml:space="preserve"> excluded. It is indisputable</w:t>
            </w:r>
            <w:r w:rsidRPr="00B34E11">
              <w:rPr>
                <w:color w:val="FF0000"/>
              </w:rPr>
              <w:t xml:space="preserve"> that automatic exclusion and exclusion without proper explanation is not the correct behaviour. But </w:t>
            </w:r>
            <w:r w:rsidR="00E3148F">
              <w:rPr>
                <w:color w:val="FF0000"/>
              </w:rPr>
              <w:t>it remains open</w:t>
            </w:r>
            <w:r w:rsidRPr="00B34E11">
              <w:rPr>
                <w:color w:val="FF0000"/>
              </w:rPr>
              <w:t xml:space="preserve"> how much discretion the contracting authority</w:t>
            </w:r>
            <w:r w:rsidR="008611FF">
              <w:rPr>
                <w:color w:val="FF0000"/>
              </w:rPr>
              <w:t>/entity</w:t>
            </w:r>
            <w:r w:rsidR="00E3148F">
              <w:rPr>
                <w:color w:val="FF0000"/>
              </w:rPr>
              <w:t xml:space="preserve"> has</w:t>
            </w:r>
            <w:r w:rsidRPr="00B34E11">
              <w:rPr>
                <w:color w:val="FF0000"/>
              </w:rPr>
              <w:t xml:space="preserve"> to judge whether the offered price together with all the explanations is considered as abnormal or not</w:t>
            </w:r>
            <w:r w:rsidR="00E3148F">
              <w:rPr>
                <w:color w:val="FF0000"/>
              </w:rPr>
              <w:t>,</w:t>
            </w:r>
            <w:r w:rsidRPr="00B34E11">
              <w:rPr>
                <w:color w:val="FF0000"/>
              </w:rPr>
              <w:t xml:space="preserve"> and how much discretion has the contracting authority</w:t>
            </w:r>
            <w:r w:rsidR="008611FF">
              <w:rPr>
                <w:color w:val="FF0000"/>
              </w:rPr>
              <w:t>/entity</w:t>
            </w:r>
            <w:r w:rsidRPr="00B34E11">
              <w:rPr>
                <w:color w:val="FF0000"/>
              </w:rPr>
              <w:t xml:space="preserve"> in accordance with legal protection? In other words, can the </w:t>
            </w:r>
            <w:r w:rsidR="008611FF">
              <w:rPr>
                <w:color w:val="FF0000"/>
              </w:rPr>
              <w:t>bidder</w:t>
            </w:r>
            <w:r w:rsidRPr="00B34E11">
              <w:rPr>
                <w:color w:val="FF0000"/>
              </w:rPr>
              <w:t xml:space="preserve"> always explain that his tender is low due to the right to design free price, possibly not covering the cost of labour or material costs because he provides financial flows from other sources </w:t>
            </w:r>
            <w:r w:rsidRPr="00B34E11">
              <w:rPr>
                <w:color w:val="FF0000"/>
              </w:rPr>
              <w:lastRenderedPageBreak/>
              <w:t>in a non-specific business?</w:t>
            </w:r>
          </w:p>
          <w:p w14:paraId="01999801" w14:textId="77777777" w:rsidR="00B34E11" w:rsidRPr="00B34E11" w:rsidRDefault="00B34E11" w:rsidP="00B34E11">
            <w:pPr>
              <w:jc w:val="both"/>
              <w:rPr>
                <w:color w:val="FF0000"/>
              </w:rPr>
            </w:pPr>
          </w:p>
          <w:p w14:paraId="2C521947" w14:textId="77777777" w:rsidR="008611FF" w:rsidRPr="008611FF" w:rsidRDefault="00B34E11" w:rsidP="008611FF">
            <w:pPr>
              <w:jc w:val="both"/>
              <w:rPr>
                <w:color w:val="FF0000"/>
              </w:rPr>
            </w:pPr>
            <w:r w:rsidRPr="00B34E11">
              <w:rPr>
                <w:color w:val="FF0000"/>
              </w:rPr>
              <w:t xml:space="preserve"> </w:t>
            </w:r>
          </w:p>
          <w:p w14:paraId="64A083A5" w14:textId="21A789C6" w:rsidR="008611FF" w:rsidRPr="008611FF" w:rsidRDefault="008611FF" w:rsidP="008611FF">
            <w:pPr>
              <w:jc w:val="both"/>
              <w:rPr>
                <w:color w:val="FF0000"/>
              </w:rPr>
            </w:pPr>
            <w:r w:rsidRPr="008611FF">
              <w:rPr>
                <w:color w:val="FF0000"/>
              </w:rPr>
              <w:t>Technical and professional ability – means of proof</w:t>
            </w:r>
          </w:p>
          <w:p w14:paraId="7CE73C63" w14:textId="77777777" w:rsidR="008611FF" w:rsidRPr="008611FF" w:rsidRDefault="008611FF" w:rsidP="008611FF">
            <w:pPr>
              <w:jc w:val="both"/>
              <w:rPr>
                <w:color w:val="FF0000"/>
              </w:rPr>
            </w:pPr>
            <w:r w:rsidRPr="008611FF">
              <w:rPr>
                <w:color w:val="FF0000"/>
              </w:rPr>
              <w:t xml:space="preserve">Annex XII Part II of the Classical Directive lists means of proof for technical ability. It states: </w:t>
            </w:r>
          </w:p>
          <w:p w14:paraId="4E048DF0" w14:textId="77777777" w:rsidR="008611FF" w:rsidRPr="008611FF" w:rsidRDefault="008611FF" w:rsidP="008611FF">
            <w:pPr>
              <w:jc w:val="both"/>
              <w:rPr>
                <w:color w:val="FF0000"/>
              </w:rPr>
            </w:pPr>
            <w:r w:rsidRPr="008611FF">
              <w:rPr>
                <w:color w:val="FF0000"/>
              </w:rPr>
              <w:t>„Means providing evidence of the economic operators’ technical abilities, as referred to in Article 58:</w:t>
            </w:r>
          </w:p>
          <w:p w14:paraId="1FC6004A" w14:textId="77777777" w:rsidR="008611FF" w:rsidRPr="008611FF" w:rsidRDefault="008611FF" w:rsidP="008611FF">
            <w:pPr>
              <w:jc w:val="both"/>
              <w:rPr>
                <w:color w:val="FF0000"/>
              </w:rPr>
            </w:pPr>
            <w:r w:rsidRPr="008611FF">
              <w:rPr>
                <w:color w:val="FF0000"/>
              </w:rPr>
              <w:t>(a)</w:t>
            </w:r>
            <w:r w:rsidRPr="008611FF">
              <w:rPr>
                <w:color w:val="FF0000"/>
              </w:rPr>
              <w:tab/>
              <w:t>the following lists:</w:t>
            </w:r>
          </w:p>
          <w:p w14:paraId="0A05D108" w14:textId="77777777" w:rsidR="008611FF" w:rsidRPr="008611FF" w:rsidRDefault="008611FF" w:rsidP="008611FF">
            <w:pPr>
              <w:jc w:val="both"/>
              <w:rPr>
                <w:color w:val="FF0000"/>
              </w:rPr>
            </w:pPr>
            <w:r w:rsidRPr="008611FF">
              <w:rPr>
                <w:color w:val="FF0000"/>
              </w:rPr>
              <w:t>(</w:t>
            </w:r>
            <w:proofErr w:type="spellStart"/>
            <w:r w:rsidRPr="008611FF">
              <w:rPr>
                <w:color w:val="FF0000"/>
              </w:rPr>
              <w:t>i</w:t>
            </w:r>
            <w:proofErr w:type="spellEnd"/>
            <w:r w:rsidRPr="008611FF">
              <w:rPr>
                <w:color w:val="FF0000"/>
              </w:rPr>
              <w:t>)</w:t>
            </w:r>
            <w:r w:rsidRPr="008611FF">
              <w:rPr>
                <w:color w:val="FF0000"/>
              </w:rPr>
              <w:tab/>
              <w:t>a list of the works carried out over at the most the past five years, accompanied by certificates of satisfactory execution and outcome for the most important works; where necessary in order to ensure an adequate level of competition, contracting authorities may indicate that evidence of relevant works carried out more than five years before will be taken into account;</w:t>
            </w:r>
          </w:p>
          <w:p w14:paraId="1C30D196" w14:textId="77777777" w:rsidR="008611FF" w:rsidRPr="008611FF" w:rsidRDefault="008611FF" w:rsidP="008611FF">
            <w:pPr>
              <w:jc w:val="both"/>
              <w:rPr>
                <w:color w:val="FF0000"/>
              </w:rPr>
            </w:pPr>
          </w:p>
          <w:p w14:paraId="17E52B61" w14:textId="77777777" w:rsidR="008611FF" w:rsidRPr="008611FF" w:rsidRDefault="008611FF" w:rsidP="008611FF">
            <w:pPr>
              <w:jc w:val="both"/>
              <w:rPr>
                <w:color w:val="FF0000"/>
              </w:rPr>
            </w:pPr>
            <w:r w:rsidRPr="008611FF">
              <w:rPr>
                <w:color w:val="FF0000"/>
              </w:rPr>
              <w:t>(ii)</w:t>
            </w:r>
            <w:r w:rsidRPr="008611FF">
              <w:rPr>
                <w:color w:val="FF0000"/>
              </w:rPr>
              <w:tab/>
            </w:r>
            <w:proofErr w:type="gramStart"/>
            <w:r w:rsidRPr="008611FF">
              <w:rPr>
                <w:color w:val="FF0000"/>
              </w:rPr>
              <w:t>a</w:t>
            </w:r>
            <w:proofErr w:type="gramEnd"/>
            <w:r w:rsidRPr="008611FF">
              <w:rPr>
                <w:color w:val="FF0000"/>
              </w:rPr>
              <w:t xml:space="preserve"> list of the principal deliveries effected or the main services provided over at the most the past three years, with the sums, dates and recipients, whether public or private, involved. Where necessary in order to ensure an adequate level of competition, contracting authorities may indicate that evidence of relevant supplies or services delivered or performed more than three years before will be taken into account;“</w:t>
            </w:r>
          </w:p>
          <w:p w14:paraId="4DBDF171" w14:textId="77777777" w:rsidR="008611FF" w:rsidRPr="008611FF" w:rsidRDefault="008611FF" w:rsidP="008611FF">
            <w:pPr>
              <w:jc w:val="both"/>
              <w:rPr>
                <w:color w:val="FF0000"/>
              </w:rPr>
            </w:pPr>
          </w:p>
          <w:p w14:paraId="0AE467A7" w14:textId="3AF5DF1D" w:rsidR="008611FF" w:rsidRPr="008611FF" w:rsidRDefault="008611FF" w:rsidP="008611FF">
            <w:pPr>
              <w:jc w:val="both"/>
              <w:rPr>
                <w:color w:val="FF0000"/>
              </w:rPr>
            </w:pPr>
            <w:r w:rsidRPr="008611FF">
              <w:rPr>
                <w:color w:val="FF0000"/>
              </w:rPr>
              <w:t>The ESPD regulation follo</w:t>
            </w:r>
            <w:r>
              <w:rPr>
                <w:color w:val="FF0000"/>
              </w:rPr>
              <w:t>ws the wording of the Directive</w:t>
            </w:r>
            <w:r w:rsidRPr="008611FF">
              <w:rPr>
                <w:color w:val="FF0000"/>
              </w:rPr>
              <w:t>.</w:t>
            </w:r>
          </w:p>
          <w:p w14:paraId="77691ED9" w14:textId="77777777" w:rsidR="008611FF" w:rsidRPr="008611FF" w:rsidRDefault="008611FF" w:rsidP="008611FF">
            <w:pPr>
              <w:jc w:val="both"/>
              <w:rPr>
                <w:color w:val="FF0000"/>
              </w:rPr>
            </w:pPr>
          </w:p>
          <w:p w14:paraId="16D158FB" w14:textId="2F8C7483" w:rsidR="008611FF" w:rsidRPr="008611FF" w:rsidRDefault="008611FF" w:rsidP="008611FF">
            <w:pPr>
              <w:jc w:val="both"/>
              <w:rPr>
                <w:color w:val="FF0000"/>
              </w:rPr>
            </w:pPr>
            <w:r w:rsidRPr="008611FF">
              <w:rPr>
                <w:color w:val="FF0000"/>
              </w:rPr>
              <w:t xml:space="preserve">From the wording of this two points in the Directive, two things are clear to </w:t>
            </w:r>
            <w:r>
              <w:rPr>
                <w:color w:val="FF0000"/>
              </w:rPr>
              <w:t>us</w:t>
            </w:r>
            <w:r w:rsidRPr="008611FF">
              <w:rPr>
                <w:color w:val="FF0000"/>
              </w:rPr>
              <w:t>:</w:t>
            </w:r>
          </w:p>
          <w:p w14:paraId="784F4941" w14:textId="77777777" w:rsidR="008611FF" w:rsidRPr="008611FF" w:rsidRDefault="008611FF" w:rsidP="008611FF">
            <w:pPr>
              <w:jc w:val="both"/>
              <w:rPr>
                <w:color w:val="FF0000"/>
              </w:rPr>
            </w:pPr>
            <w:r w:rsidRPr="008611FF">
              <w:rPr>
                <w:color w:val="FF0000"/>
              </w:rPr>
              <w:t>1)</w:t>
            </w:r>
            <w:r w:rsidRPr="008611FF">
              <w:rPr>
                <w:color w:val="FF0000"/>
              </w:rPr>
              <w:tab/>
              <w:t>EU legislator didn't want to burden EO with a sum of works carried out</w:t>
            </w:r>
          </w:p>
          <w:p w14:paraId="14BA4C09" w14:textId="77777777" w:rsidR="008611FF" w:rsidRPr="008611FF" w:rsidRDefault="008611FF" w:rsidP="008611FF">
            <w:pPr>
              <w:jc w:val="both"/>
              <w:rPr>
                <w:color w:val="FF0000"/>
              </w:rPr>
            </w:pPr>
            <w:r w:rsidRPr="008611FF">
              <w:rPr>
                <w:color w:val="FF0000"/>
              </w:rPr>
              <w:t>2)</w:t>
            </w:r>
            <w:r w:rsidRPr="008611FF">
              <w:rPr>
                <w:color w:val="FF0000"/>
              </w:rPr>
              <w:tab/>
              <w:t>EU legislator didn't want to burden EO with certificate regarding satisfactory execution of goods and services.</w:t>
            </w:r>
          </w:p>
          <w:p w14:paraId="4A03ADD7" w14:textId="77777777" w:rsidR="008611FF" w:rsidRPr="008611FF" w:rsidRDefault="008611FF" w:rsidP="008611FF">
            <w:pPr>
              <w:jc w:val="both"/>
              <w:rPr>
                <w:color w:val="FF0000"/>
              </w:rPr>
            </w:pPr>
          </w:p>
          <w:p w14:paraId="28DC1D49" w14:textId="478726C8" w:rsidR="00B34E11" w:rsidRPr="00D04A47" w:rsidRDefault="008611FF" w:rsidP="00E3148F">
            <w:pPr>
              <w:jc w:val="both"/>
              <w:rPr>
                <w:color w:val="FF0000"/>
              </w:rPr>
            </w:pPr>
            <w:r w:rsidRPr="008611FF">
              <w:rPr>
                <w:color w:val="FF0000"/>
              </w:rPr>
              <w:t>In other words, if national legislation or tender documents would ask EO operator to provide sum of works, or to provide a certificate regarding satisfactory execution of goods and services</w:t>
            </w:r>
            <w:r w:rsidR="00E3148F">
              <w:rPr>
                <w:color w:val="FF0000"/>
              </w:rPr>
              <w:t>,</w:t>
            </w:r>
            <w:r w:rsidRPr="008611FF">
              <w:rPr>
                <w:color w:val="FF0000"/>
              </w:rPr>
              <w:t xml:space="preserve"> would</w:t>
            </w:r>
            <w:r w:rsidR="00E3148F">
              <w:rPr>
                <w:color w:val="FF0000"/>
              </w:rPr>
              <w:t xml:space="preserve"> this</w:t>
            </w:r>
            <w:r w:rsidRPr="008611FF">
              <w:rPr>
                <w:color w:val="FF0000"/>
              </w:rPr>
              <w:t xml:space="preserve"> be contrary to EU law</w:t>
            </w:r>
            <w:r w:rsidR="00C567A3">
              <w:rPr>
                <w:color w:val="FF0000"/>
              </w:rPr>
              <w:t>, or not?</w:t>
            </w:r>
            <w:r w:rsidRPr="008611FF">
              <w:rPr>
                <w:color w:val="FF0000"/>
              </w:rPr>
              <w:t xml:space="preserve">. </w:t>
            </w:r>
          </w:p>
        </w:tc>
      </w:tr>
      <w:tr w:rsidR="00253552" w:rsidRPr="00B01372" w14:paraId="28261C74" w14:textId="77777777" w:rsidTr="00095252">
        <w:tc>
          <w:tcPr>
            <w:tcW w:w="4606" w:type="dxa"/>
          </w:tcPr>
          <w:p w14:paraId="0F6EE9E1" w14:textId="2B26760A" w:rsidR="00253552" w:rsidRPr="00B01372" w:rsidRDefault="0037143F" w:rsidP="0037143F">
            <w:pPr>
              <w:jc w:val="both"/>
            </w:pPr>
            <w:r w:rsidRPr="005E726E">
              <w:lastRenderedPageBreak/>
              <w:t>An assessment on whether a wrong application of rules might exist, by observing p</w:t>
            </w:r>
            <w:r w:rsidR="00253552" w:rsidRPr="005E726E">
              <w:t>atterns of application of the rules which</w:t>
            </w:r>
            <w:r w:rsidR="00CC72D1" w:rsidRPr="005E726E">
              <w:t xml:space="preserve"> do not by themselves</w:t>
            </w:r>
            <w:r w:rsidR="00253552" w:rsidRPr="005E726E">
              <w:t xml:space="preserve"> constitut</w:t>
            </w:r>
            <w:r w:rsidR="00CC72D1" w:rsidRPr="005E726E">
              <w:t>e</w:t>
            </w:r>
            <w:r w:rsidR="00253552" w:rsidRPr="005E726E">
              <w:t xml:space="preserve"> cases of wrong application of the rules,</w:t>
            </w:r>
            <w:r w:rsidR="00CC72D1" w:rsidRPr="005E726E">
              <w:t xml:space="preserve"> but</w:t>
            </w:r>
            <w:r w:rsidR="00253552" w:rsidRPr="005E726E">
              <w:t xml:space="preserve"> nonetheless</w:t>
            </w:r>
            <w:r w:rsidR="00CC72D1" w:rsidRPr="005E726E">
              <w:t xml:space="preserve"> point at </w:t>
            </w:r>
            <w:r w:rsidR="00CC72D1" w:rsidRPr="005E726E">
              <w:lastRenderedPageBreak/>
              <w:t>structural or recurring problems yielding a sub-optimal outcome</w:t>
            </w:r>
            <w:r w:rsidRPr="005E726E">
              <w:t>.</w:t>
            </w:r>
          </w:p>
        </w:tc>
        <w:tc>
          <w:tcPr>
            <w:tcW w:w="9509" w:type="dxa"/>
          </w:tcPr>
          <w:p w14:paraId="2D0F0EF1" w14:textId="77777777" w:rsidR="00253552" w:rsidRPr="00B01372" w:rsidRDefault="00253552" w:rsidP="005329C9">
            <w:r w:rsidRPr="00B01372">
              <w:lastRenderedPageBreak/>
              <w:t>The information should focus on:</w:t>
            </w:r>
          </w:p>
          <w:p w14:paraId="35BD01DA" w14:textId="593C3A99" w:rsidR="00253552" w:rsidRPr="00B01372" w:rsidRDefault="00253552" w:rsidP="005329C9">
            <w:pPr>
              <w:jc w:val="both"/>
            </w:pPr>
            <w:r w:rsidRPr="00B01372">
              <w:t>- the specific type of problems identified</w:t>
            </w:r>
            <w:r w:rsidR="00B36524" w:rsidRPr="00B01372">
              <w:t>, if any</w:t>
            </w:r>
          </w:p>
          <w:p w14:paraId="2EFCDAEB" w14:textId="77777777" w:rsidR="00253552" w:rsidRPr="00B01372" w:rsidRDefault="00253552" w:rsidP="005329C9">
            <w:pPr>
              <w:jc w:val="both"/>
            </w:pPr>
            <w:r w:rsidRPr="00B01372">
              <w:t>- any possible assessment of the impact of these difficulties on the efficiency of the public procurement process</w:t>
            </w:r>
          </w:p>
          <w:p w14:paraId="3567313A" w14:textId="77777777" w:rsidR="00253552" w:rsidRPr="00B01372" w:rsidRDefault="00253552" w:rsidP="005329C9">
            <w:pPr>
              <w:jc w:val="both"/>
            </w:pPr>
          </w:p>
          <w:p w14:paraId="52D85F54" w14:textId="77777777" w:rsidR="00253552" w:rsidRPr="00B01372" w:rsidRDefault="00253552" w:rsidP="005329C9">
            <w:pPr>
              <w:jc w:val="both"/>
              <w:rPr>
                <w:i/>
              </w:rPr>
            </w:pPr>
            <w:r w:rsidRPr="00B01372">
              <w:rPr>
                <w:i/>
              </w:rPr>
              <w:lastRenderedPageBreak/>
              <w:t>Possible relevant (non-exhaustive) elements for consideration may be</w:t>
            </w:r>
          </w:p>
          <w:p w14:paraId="51CDEA83" w14:textId="4A0487AD" w:rsidR="00253552" w:rsidRPr="00B01372" w:rsidRDefault="00253552" w:rsidP="00E3206F">
            <w:pPr>
              <w:pStyle w:val="ListParagraph"/>
              <w:numPr>
                <w:ilvl w:val="0"/>
                <w:numId w:val="8"/>
              </w:numPr>
              <w:ind w:hanging="294"/>
              <w:jc w:val="both"/>
              <w:rPr>
                <w:i/>
              </w:rPr>
            </w:pPr>
            <w:r w:rsidRPr="00B01372">
              <w:rPr>
                <w:i/>
              </w:rPr>
              <w:t>bias towards the systematic use of certain award criteria irrespective of the context (e.g. systematic use of lowest price as award criterion)</w:t>
            </w:r>
          </w:p>
          <w:p w14:paraId="63AA8AFD" w14:textId="290998F6" w:rsidR="00253552" w:rsidRPr="00B01372" w:rsidRDefault="00253552" w:rsidP="00E3206F">
            <w:pPr>
              <w:pStyle w:val="ListParagraph"/>
              <w:numPr>
                <w:ilvl w:val="0"/>
                <w:numId w:val="8"/>
              </w:numPr>
              <w:ind w:hanging="294"/>
              <w:jc w:val="both"/>
              <w:rPr>
                <w:i/>
              </w:rPr>
            </w:pPr>
            <w:r w:rsidRPr="00B01372">
              <w:rPr>
                <w:i/>
              </w:rPr>
              <w:t>overly frequent use of derogatory procedures or shortest possible deadlines</w:t>
            </w:r>
          </w:p>
          <w:p w14:paraId="20A2FF3A" w14:textId="682DDDA4" w:rsidR="00253552" w:rsidRPr="00B01372" w:rsidDel="00B943DE" w:rsidRDefault="00253552" w:rsidP="00E3206F">
            <w:pPr>
              <w:pStyle w:val="ListParagraph"/>
              <w:numPr>
                <w:ilvl w:val="0"/>
                <w:numId w:val="8"/>
              </w:numPr>
              <w:ind w:hanging="294"/>
              <w:jc w:val="both"/>
              <w:rPr>
                <w:b/>
                <w:u w:val="single"/>
              </w:rPr>
            </w:pPr>
            <w:r w:rsidRPr="00B01372">
              <w:rPr>
                <w:i/>
              </w:rPr>
              <w:t>recurrent, particularly low number of bidders or of non-domestic bidders</w:t>
            </w:r>
          </w:p>
        </w:tc>
      </w:tr>
      <w:tr w:rsidR="00016E8B" w:rsidRPr="00B01372" w14:paraId="6B2BF6D8" w14:textId="77777777" w:rsidTr="00095252">
        <w:tc>
          <w:tcPr>
            <w:tcW w:w="4606" w:type="dxa"/>
          </w:tcPr>
          <w:p w14:paraId="4D30525E" w14:textId="77777777" w:rsidR="00016E8B" w:rsidRPr="00AF7A5E" w:rsidRDefault="00016E8B" w:rsidP="0037143F">
            <w:pPr>
              <w:jc w:val="both"/>
              <w:rPr>
                <w:highlight w:val="yellow"/>
              </w:rPr>
            </w:pPr>
          </w:p>
        </w:tc>
        <w:tc>
          <w:tcPr>
            <w:tcW w:w="9509" w:type="dxa"/>
          </w:tcPr>
          <w:p w14:paraId="11A7C14D" w14:textId="77777777" w:rsidR="00016E8B" w:rsidRDefault="00016E8B" w:rsidP="005329C9">
            <w:pPr>
              <w:rPr>
                <w:color w:val="FF0000"/>
              </w:rPr>
            </w:pPr>
            <w:r>
              <w:rPr>
                <w:color w:val="FF0000"/>
              </w:rPr>
              <w:t>There are no specific problems that are identified other than mentioned in II. 1.:</w:t>
            </w:r>
          </w:p>
          <w:p w14:paraId="42C8CCF5" w14:textId="77777777" w:rsidR="00016E8B" w:rsidRDefault="00016E8B" w:rsidP="00016E8B">
            <w:pPr>
              <w:rPr>
                <w:color w:val="FF0000"/>
                <w:lang w:val="en"/>
              </w:rPr>
            </w:pPr>
            <w:r>
              <w:rPr>
                <w:color w:val="FF0000"/>
                <w:lang w:val="en"/>
              </w:rPr>
              <w:t>“QUICK”</w:t>
            </w:r>
            <w:r w:rsidRPr="00F65559">
              <w:rPr>
                <w:color w:val="FF0000"/>
                <w:lang w:val="en"/>
              </w:rPr>
              <w:t xml:space="preserve"> </w:t>
            </w:r>
            <w:r w:rsidRPr="00F65559">
              <w:rPr>
                <w:caps/>
                <w:color w:val="FF0000"/>
                <w:lang w:val="en"/>
              </w:rPr>
              <w:t>procurement documentation</w:t>
            </w:r>
            <w:r w:rsidRPr="00F65559">
              <w:rPr>
                <w:color w:val="FF0000"/>
                <w:lang w:val="en"/>
              </w:rPr>
              <w:t xml:space="preserve"> </w:t>
            </w:r>
            <w:r>
              <w:rPr>
                <w:color w:val="FF0000"/>
                <w:lang w:val="en"/>
              </w:rPr>
              <w:t>MONITORING</w:t>
            </w:r>
            <w:r w:rsidRPr="00F65559">
              <w:rPr>
                <w:color w:val="FF0000"/>
                <w:lang w:val="en"/>
              </w:rPr>
              <w:t>:</w:t>
            </w:r>
          </w:p>
          <w:p w14:paraId="2C6B9E9C" w14:textId="77777777" w:rsidR="00016E8B" w:rsidRPr="00F65559" w:rsidRDefault="00016E8B" w:rsidP="00016E8B">
            <w:pPr>
              <w:pStyle w:val="ListParagraph"/>
              <w:numPr>
                <w:ilvl w:val="0"/>
                <w:numId w:val="21"/>
              </w:numPr>
              <w:rPr>
                <w:i/>
                <w:color w:val="FF0000"/>
              </w:rPr>
            </w:pPr>
            <w:r w:rsidRPr="00F65559">
              <w:rPr>
                <w:color w:val="FF0000"/>
                <w:lang w:val="en"/>
              </w:rPr>
              <w:t>Filling out ESPD Form / Prescribing optional submission of ESPD form</w:t>
            </w:r>
            <w:r>
              <w:rPr>
                <w:color w:val="FF0000"/>
                <w:lang w:val="en"/>
              </w:rPr>
              <w:t xml:space="preserve"> instead of obligatory submission</w:t>
            </w:r>
          </w:p>
          <w:p w14:paraId="37B084B7" w14:textId="77777777" w:rsidR="00016E8B" w:rsidRPr="00F65559" w:rsidRDefault="00016E8B" w:rsidP="00016E8B">
            <w:pPr>
              <w:pStyle w:val="ListParagraph"/>
              <w:numPr>
                <w:ilvl w:val="0"/>
                <w:numId w:val="21"/>
              </w:numPr>
              <w:rPr>
                <w:i/>
                <w:color w:val="FF0000"/>
              </w:rPr>
            </w:pPr>
            <w:r w:rsidRPr="00F65559">
              <w:rPr>
                <w:color w:val="FF0000"/>
                <w:lang w:val="en"/>
              </w:rPr>
              <w:t>Determining</w:t>
            </w:r>
            <w:r>
              <w:rPr>
                <w:color w:val="FF0000"/>
                <w:lang w:val="en"/>
              </w:rPr>
              <w:t xml:space="preserve"> correct</w:t>
            </w:r>
            <w:r w:rsidRPr="00F65559">
              <w:rPr>
                <w:color w:val="FF0000"/>
                <w:lang w:val="en"/>
              </w:rPr>
              <w:t xml:space="preserve"> criteria for qualitative selection of economic operator</w:t>
            </w:r>
          </w:p>
          <w:p w14:paraId="09E0233F" w14:textId="77777777" w:rsidR="00016E8B" w:rsidRDefault="00016E8B" w:rsidP="00016E8B">
            <w:pPr>
              <w:rPr>
                <w:color w:val="FF0000"/>
                <w:lang w:val="en"/>
              </w:rPr>
            </w:pPr>
            <w:r>
              <w:rPr>
                <w:color w:val="FF0000"/>
                <w:lang w:val="en"/>
              </w:rPr>
              <w:t xml:space="preserve">DESCENDING </w:t>
            </w:r>
            <w:r w:rsidRPr="00F65559">
              <w:rPr>
                <w:color w:val="FF0000"/>
                <w:lang w:val="en"/>
              </w:rPr>
              <w:t>ORDER BY</w:t>
            </w:r>
            <w:r>
              <w:rPr>
                <w:color w:val="FF0000"/>
                <w:lang w:val="en"/>
              </w:rPr>
              <w:t xml:space="preserve"> NUMBER OF</w:t>
            </w:r>
            <w:r w:rsidRPr="00F65559">
              <w:rPr>
                <w:color w:val="FF0000"/>
                <w:lang w:val="en"/>
              </w:rPr>
              <w:t xml:space="preserve"> </w:t>
            </w:r>
            <w:r>
              <w:rPr>
                <w:color w:val="FF0000"/>
                <w:lang w:val="en"/>
              </w:rPr>
              <w:t>INQUIRIES:</w:t>
            </w:r>
          </w:p>
          <w:p w14:paraId="76B4D54A" w14:textId="1C4F112B" w:rsidR="00016E8B" w:rsidRPr="00F65559" w:rsidRDefault="00766DA5" w:rsidP="00016E8B">
            <w:pPr>
              <w:pStyle w:val="ListParagraph"/>
              <w:numPr>
                <w:ilvl w:val="0"/>
                <w:numId w:val="20"/>
              </w:numPr>
              <w:rPr>
                <w:i/>
                <w:color w:val="FF0000"/>
              </w:rPr>
            </w:pPr>
            <w:r>
              <w:rPr>
                <w:color w:val="FF0000"/>
                <w:lang w:val="en"/>
              </w:rPr>
              <w:t>Exemption</w:t>
            </w:r>
            <w:r w:rsidR="00016E8B">
              <w:rPr>
                <w:color w:val="FF0000"/>
                <w:lang w:val="en"/>
              </w:rPr>
              <w:t xml:space="preserve"> from the scope of PPL 2016</w:t>
            </w:r>
          </w:p>
          <w:p w14:paraId="12677AEF" w14:textId="150CADC0" w:rsidR="00016E8B" w:rsidRPr="00F65559" w:rsidRDefault="00016E8B" w:rsidP="00016E8B">
            <w:pPr>
              <w:pStyle w:val="ListParagraph"/>
              <w:numPr>
                <w:ilvl w:val="0"/>
                <w:numId w:val="20"/>
              </w:numPr>
              <w:rPr>
                <w:i/>
                <w:color w:val="FF0000"/>
              </w:rPr>
            </w:pPr>
            <w:r>
              <w:rPr>
                <w:color w:val="FF0000"/>
                <w:lang w:val="en"/>
              </w:rPr>
              <w:t>Determining if</w:t>
            </w:r>
            <w:r w:rsidRPr="00F65559">
              <w:rPr>
                <w:color w:val="FF0000"/>
                <w:lang w:val="en"/>
              </w:rPr>
              <w:t xml:space="preserve"> </w:t>
            </w:r>
            <w:r>
              <w:rPr>
                <w:color w:val="FF0000"/>
                <w:lang w:val="en"/>
              </w:rPr>
              <w:t xml:space="preserve">a </w:t>
            </w:r>
            <w:r w:rsidRPr="00F65559">
              <w:rPr>
                <w:color w:val="FF0000"/>
                <w:lang w:val="en"/>
              </w:rPr>
              <w:t xml:space="preserve">legal person </w:t>
            </w:r>
            <w:r>
              <w:rPr>
                <w:color w:val="FF0000"/>
                <w:lang w:val="en"/>
              </w:rPr>
              <w:t xml:space="preserve">is a </w:t>
            </w:r>
            <w:r w:rsidRPr="00F65559">
              <w:rPr>
                <w:color w:val="FF0000"/>
                <w:lang w:val="en"/>
              </w:rPr>
              <w:t>contracting authority/entity</w:t>
            </w:r>
            <w:r>
              <w:rPr>
                <w:color w:val="FF0000"/>
                <w:lang w:val="en"/>
              </w:rPr>
              <w:t xml:space="preserve"> in the </w:t>
            </w:r>
            <w:r w:rsidR="00766DA5">
              <w:rPr>
                <w:color w:val="FF0000"/>
                <w:lang w:val="en"/>
              </w:rPr>
              <w:t>meaning</w:t>
            </w:r>
            <w:r>
              <w:rPr>
                <w:color w:val="FF0000"/>
                <w:lang w:val="en"/>
              </w:rPr>
              <w:t xml:space="preserve"> of PPL 2016</w:t>
            </w:r>
          </w:p>
          <w:p w14:paraId="26E3F0D4" w14:textId="77777777" w:rsidR="00016E8B" w:rsidRPr="00F65559" w:rsidRDefault="00016E8B" w:rsidP="00016E8B">
            <w:pPr>
              <w:pStyle w:val="ListParagraph"/>
              <w:numPr>
                <w:ilvl w:val="0"/>
                <w:numId w:val="20"/>
              </w:numPr>
              <w:rPr>
                <w:i/>
                <w:color w:val="FF0000"/>
              </w:rPr>
            </w:pPr>
            <w:r w:rsidRPr="00F65559">
              <w:rPr>
                <w:caps/>
                <w:color w:val="FF0000"/>
                <w:lang w:val="en"/>
              </w:rPr>
              <w:t>procurement documentation</w:t>
            </w:r>
            <w:r w:rsidRPr="00F65559">
              <w:rPr>
                <w:color w:val="FF0000"/>
                <w:lang w:val="en"/>
              </w:rPr>
              <w:t xml:space="preserve"> - ESPD Form (Filling out</w:t>
            </w:r>
            <w:r>
              <w:rPr>
                <w:color w:val="FF0000"/>
                <w:lang w:val="en"/>
              </w:rPr>
              <w:t>)</w:t>
            </w:r>
            <w:r>
              <w:rPr>
                <w:color w:val="FF0000"/>
                <w:lang w:val="en"/>
              </w:rPr>
              <w:br/>
              <w:t xml:space="preserve">- Selection Criteria </w:t>
            </w:r>
            <w:r w:rsidRPr="00F65559">
              <w:rPr>
                <w:color w:val="FF0000"/>
                <w:lang w:val="en"/>
              </w:rPr>
              <w:t xml:space="preserve"> (prescribing the conditions of technical, professional, financial ability</w:t>
            </w:r>
            <w:r>
              <w:rPr>
                <w:color w:val="FF0000"/>
                <w:lang w:val="en"/>
              </w:rPr>
              <w:t>)</w:t>
            </w:r>
            <w:r w:rsidRPr="00F65559">
              <w:rPr>
                <w:color w:val="FF0000"/>
                <w:lang w:val="en"/>
              </w:rPr>
              <w:br/>
              <w:t xml:space="preserve">- </w:t>
            </w:r>
            <w:r w:rsidRPr="00F65559">
              <w:rPr>
                <w:rStyle w:val="alt-edited"/>
                <w:color w:val="FF0000"/>
                <w:lang w:val="en"/>
              </w:rPr>
              <w:t xml:space="preserve">Grounds for </w:t>
            </w:r>
            <w:r w:rsidRPr="00F65559">
              <w:rPr>
                <w:color w:val="FF0000"/>
                <w:lang w:val="en"/>
              </w:rPr>
              <w:t xml:space="preserve">exclusion </w:t>
            </w:r>
            <w:r>
              <w:rPr>
                <w:color w:val="FF0000"/>
                <w:lang w:val="en"/>
              </w:rPr>
              <w:t>–</w:t>
            </w:r>
            <w:r w:rsidRPr="00F65559">
              <w:rPr>
                <w:color w:val="FF0000"/>
                <w:lang w:val="en"/>
              </w:rPr>
              <w:t xml:space="preserve"> </w:t>
            </w:r>
            <w:r>
              <w:rPr>
                <w:color w:val="FF0000"/>
                <w:lang w:val="en"/>
              </w:rPr>
              <w:t xml:space="preserve">criminal </w:t>
            </w:r>
            <w:r w:rsidRPr="00F65559">
              <w:rPr>
                <w:rStyle w:val="alt-edited"/>
                <w:color w:val="FF0000"/>
                <w:lang w:val="en"/>
              </w:rPr>
              <w:t>convictions</w:t>
            </w:r>
            <w:r w:rsidRPr="00F65559">
              <w:rPr>
                <w:color w:val="FF0000"/>
                <w:lang w:val="en"/>
              </w:rPr>
              <w:br/>
              <w:t xml:space="preserve">- Technical specifications - </w:t>
            </w:r>
            <w:r>
              <w:rPr>
                <w:color w:val="FF0000"/>
                <w:lang w:val="en"/>
              </w:rPr>
              <w:t>norms</w:t>
            </w:r>
            <w:r w:rsidRPr="00F65559">
              <w:rPr>
                <w:color w:val="FF0000"/>
                <w:lang w:val="en"/>
              </w:rPr>
              <w:t xml:space="preserve"> / equivalence</w:t>
            </w:r>
            <w:r w:rsidRPr="00F65559">
              <w:rPr>
                <w:color w:val="FF0000"/>
                <w:lang w:val="en"/>
              </w:rPr>
              <w:br/>
              <w:t xml:space="preserve">- </w:t>
            </w:r>
            <w:r w:rsidRPr="00BE0B97">
              <w:rPr>
                <w:color w:val="FF0000"/>
              </w:rPr>
              <w:t>Subcontractors</w:t>
            </w:r>
            <w:r w:rsidRPr="00F65559">
              <w:rPr>
                <w:color w:val="FF0000"/>
                <w:lang w:val="en"/>
              </w:rPr>
              <w:t>/ Resources</w:t>
            </w:r>
            <w:r w:rsidRPr="008264D6">
              <w:rPr>
                <w:color w:val="FF0000"/>
              </w:rPr>
              <w:t xml:space="preserve"> of other entities</w:t>
            </w:r>
            <w:r w:rsidRPr="00F65559">
              <w:rPr>
                <w:color w:val="FF0000"/>
                <w:lang w:val="en"/>
              </w:rPr>
              <w:t xml:space="preserve"> / Relia</w:t>
            </w:r>
            <w:r>
              <w:rPr>
                <w:color w:val="FF0000"/>
                <w:lang w:val="en"/>
              </w:rPr>
              <w:t xml:space="preserve">nce on </w:t>
            </w:r>
            <w:r w:rsidRPr="008264D6">
              <w:rPr>
                <w:color w:val="FF0000"/>
              </w:rPr>
              <w:t>the capacities of other entities</w:t>
            </w:r>
          </w:p>
          <w:p w14:paraId="119AABDE" w14:textId="77777777" w:rsidR="00016E8B" w:rsidRPr="00F65559" w:rsidRDefault="00016E8B" w:rsidP="00016E8B">
            <w:pPr>
              <w:pStyle w:val="ListParagraph"/>
              <w:numPr>
                <w:ilvl w:val="0"/>
                <w:numId w:val="20"/>
              </w:numPr>
              <w:rPr>
                <w:i/>
                <w:color w:val="FF0000"/>
              </w:rPr>
            </w:pPr>
            <w:r w:rsidRPr="00F65559">
              <w:rPr>
                <w:color w:val="FF0000"/>
                <w:lang w:val="en"/>
              </w:rPr>
              <w:t>Determining the subje</w:t>
            </w:r>
            <w:r>
              <w:rPr>
                <w:color w:val="FF0000"/>
                <w:lang w:val="en"/>
              </w:rPr>
              <w:t>ct of procurement</w:t>
            </w:r>
          </w:p>
          <w:p w14:paraId="75C0159F" w14:textId="77777777" w:rsidR="00016E8B" w:rsidRPr="00F65559" w:rsidRDefault="00016E8B" w:rsidP="00016E8B">
            <w:pPr>
              <w:pStyle w:val="ListParagraph"/>
              <w:numPr>
                <w:ilvl w:val="0"/>
                <w:numId w:val="20"/>
              </w:numPr>
              <w:rPr>
                <w:i/>
                <w:color w:val="FF0000"/>
              </w:rPr>
            </w:pPr>
            <w:r w:rsidRPr="00F65559">
              <w:rPr>
                <w:color w:val="FF0000"/>
                <w:lang w:val="en"/>
              </w:rPr>
              <w:t>Execu</w:t>
            </w:r>
            <w:r>
              <w:rPr>
                <w:color w:val="FF0000"/>
                <w:lang w:val="en"/>
              </w:rPr>
              <w:t>tion of a contract – contract modifications</w:t>
            </w:r>
          </w:p>
          <w:p w14:paraId="650A7AE2" w14:textId="1A4464A7" w:rsidR="00016E8B" w:rsidRPr="00F65559" w:rsidRDefault="00766DA5" w:rsidP="00016E8B">
            <w:pPr>
              <w:pStyle w:val="ListParagraph"/>
              <w:numPr>
                <w:ilvl w:val="0"/>
                <w:numId w:val="20"/>
              </w:numPr>
              <w:rPr>
                <w:i/>
                <w:color w:val="FF0000"/>
              </w:rPr>
            </w:pPr>
            <w:r>
              <w:rPr>
                <w:color w:val="FF0000"/>
                <w:lang w:val="en"/>
              </w:rPr>
              <w:t>Conflicts of interest</w:t>
            </w:r>
          </w:p>
          <w:p w14:paraId="5E190F2F" w14:textId="77777777" w:rsidR="00016E8B" w:rsidRPr="00F65559" w:rsidRDefault="00016E8B" w:rsidP="00016E8B">
            <w:pPr>
              <w:pStyle w:val="ListParagraph"/>
              <w:numPr>
                <w:ilvl w:val="0"/>
                <w:numId w:val="20"/>
              </w:numPr>
              <w:rPr>
                <w:i/>
                <w:color w:val="FF0000"/>
              </w:rPr>
            </w:pPr>
            <w:r w:rsidRPr="00F65559">
              <w:rPr>
                <w:color w:val="FF0000"/>
                <w:lang w:val="en"/>
              </w:rPr>
              <w:t>Which public procurement procedure is to be conducted for a p</w:t>
            </w:r>
            <w:r>
              <w:rPr>
                <w:color w:val="FF0000"/>
                <w:lang w:val="en"/>
              </w:rPr>
              <w:t>articular type of procurement</w:t>
            </w:r>
          </w:p>
          <w:p w14:paraId="02686B2D" w14:textId="77777777" w:rsidR="00016E8B" w:rsidRPr="00F65559" w:rsidRDefault="00016E8B" w:rsidP="00016E8B">
            <w:pPr>
              <w:pStyle w:val="ListParagraph"/>
              <w:numPr>
                <w:ilvl w:val="0"/>
                <w:numId w:val="20"/>
              </w:numPr>
              <w:rPr>
                <w:i/>
                <w:color w:val="FF0000"/>
              </w:rPr>
            </w:pPr>
            <w:r>
              <w:rPr>
                <w:rStyle w:val="alt-edited"/>
                <w:color w:val="FF0000"/>
                <w:lang w:val="en"/>
              </w:rPr>
              <w:t>B</w:t>
            </w:r>
            <w:r w:rsidRPr="00F65559">
              <w:rPr>
                <w:rStyle w:val="alt-edited"/>
                <w:color w:val="FF0000"/>
                <w:lang w:val="en"/>
              </w:rPr>
              <w:t>id evaluation</w:t>
            </w:r>
          </w:p>
          <w:p w14:paraId="50CBB89F" w14:textId="4EDD4597" w:rsidR="00016E8B" w:rsidRDefault="00F35775" w:rsidP="005329C9">
            <w:pPr>
              <w:rPr>
                <w:color w:val="FF0000"/>
              </w:rPr>
            </w:pPr>
            <w:r>
              <w:rPr>
                <w:color w:val="FF0000"/>
              </w:rPr>
              <w:t>A MEAT criterion (i</w:t>
            </w:r>
            <w:r w:rsidR="00766DA5">
              <w:rPr>
                <w:color w:val="FF0000"/>
              </w:rPr>
              <w:t>.</w:t>
            </w:r>
            <w:r>
              <w:rPr>
                <w:color w:val="FF0000"/>
              </w:rPr>
              <w:t>e</w:t>
            </w:r>
            <w:r w:rsidR="00766DA5">
              <w:rPr>
                <w:color w:val="FF0000"/>
              </w:rPr>
              <w:t>.</w:t>
            </w:r>
            <w:r>
              <w:rPr>
                <w:color w:val="FF0000"/>
              </w:rPr>
              <w:t xml:space="preserve"> best price quality ratio) is</w:t>
            </w:r>
            <w:r w:rsidR="005E726E">
              <w:rPr>
                <w:color w:val="FF0000"/>
              </w:rPr>
              <w:t xml:space="preserve"> obligatory.</w:t>
            </w:r>
          </w:p>
          <w:p w14:paraId="51D4C8E6" w14:textId="1FA8D270" w:rsidR="005E726E" w:rsidRPr="00016E8B" w:rsidRDefault="005E726E" w:rsidP="00E3148F">
            <w:pPr>
              <w:rPr>
                <w:color w:val="FF0000"/>
              </w:rPr>
            </w:pPr>
            <w:r>
              <w:rPr>
                <w:color w:val="FF0000"/>
              </w:rPr>
              <w:t>Minimum deadl</w:t>
            </w:r>
            <w:r w:rsidR="00F35775">
              <w:rPr>
                <w:color w:val="FF0000"/>
              </w:rPr>
              <w:t>ines are prescribed by law and State C</w:t>
            </w:r>
            <w:r>
              <w:rPr>
                <w:color w:val="FF0000"/>
              </w:rPr>
              <w:t xml:space="preserve">ommission </w:t>
            </w:r>
            <w:r w:rsidR="00F35775" w:rsidRPr="00F35775">
              <w:rPr>
                <w:color w:val="FF0000"/>
              </w:rPr>
              <w:t xml:space="preserve">for the Supervision of Public Procurement Procedures </w:t>
            </w:r>
            <w:r>
              <w:rPr>
                <w:color w:val="FF0000"/>
              </w:rPr>
              <w:t xml:space="preserve">in appeal procedure </w:t>
            </w:r>
            <w:r w:rsidR="00F35775">
              <w:rPr>
                <w:color w:val="FF0000"/>
              </w:rPr>
              <w:t xml:space="preserve">checks </w:t>
            </w:r>
            <w:r>
              <w:rPr>
                <w:color w:val="FF0000"/>
              </w:rPr>
              <w:t>ex offi</w:t>
            </w:r>
            <w:r w:rsidR="00F35775">
              <w:rPr>
                <w:color w:val="FF0000"/>
              </w:rPr>
              <w:t>c</w:t>
            </w:r>
            <w:r>
              <w:rPr>
                <w:color w:val="FF0000"/>
              </w:rPr>
              <w:t xml:space="preserve">io if those deadlines were shortened below </w:t>
            </w:r>
            <w:r w:rsidR="00E3148F">
              <w:rPr>
                <w:color w:val="FF0000"/>
              </w:rPr>
              <w:t>the regulated minimum time</w:t>
            </w:r>
            <w:r>
              <w:rPr>
                <w:color w:val="FF0000"/>
              </w:rPr>
              <w:t>.</w:t>
            </w:r>
          </w:p>
        </w:tc>
      </w:tr>
      <w:tr w:rsidR="00253552" w:rsidRPr="00B01372" w14:paraId="356029E8" w14:textId="77777777" w:rsidTr="00095252">
        <w:tc>
          <w:tcPr>
            <w:tcW w:w="4606" w:type="dxa"/>
          </w:tcPr>
          <w:p w14:paraId="591E5373" w14:textId="6BAF6529" w:rsidR="00253552" w:rsidRPr="00B01372" w:rsidDel="00BC09FC" w:rsidRDefault="00620C02" w:rsidP="0037143F">
            <w:pPr>
              <w:jc w:val="both"/>
              <w:rPr>
                <w:b/>
              </w:rPr>
            </w:pPr>
            <w:r w:rsidRPr="00B01372">
              <w:rPr>
                <w:b/>
              </w:rPr>
              <w:t>II</w:t>
            </w:r>
            <w:r w:rsidR="00253552" w:rsidRPr="00B01372">
              <w:rPr>
                <w:b/>
              </w:rPr>
              <w:t xml:space="preserve">.2 </w:t>
            </w:r>
            <w:r w:rsidR="0037143F">
              <w:rPr>
                <w:b/>
              </w:rPr>
              <w:t>Supporting documents</w:t>
            </w:r>
          </w:p>
        </w:tc>
        <w:tc>
          <w:tcPr>
            <w:tcW w:w="9509" w:type="dxa"/>
          </w:tcPr>
          <w:p w14:paraId="7B743D4A" w14:textId="77777777" w:rsidR="00253552" w:rsidRPr="00B01372" w:rsidRDefault="00253552" w:rsidP="00CE4EFC">
            <w:pPr>
              <w:jc w:val="both"/>
            </w:pPr>
          </w:p>
        </w:tc>
      </w:tr>
      <w:tr w:rsidR="00253552" w:rsidRPr="00B01372" w14:paraId="30910821" w14:textId="77777777" w:rsidTr="00095252">
        <w:tc>
          <w:tcPr>
            <w:tcW w:w="4606" w:type="dxa"/>
          </w:tcPr>
          <w:p w14:paraId="45348405" w14:textId="65903456" w:rsidR="00253552" w:rsidRPr="00B01372" w:rsidRDefault="00AC7614" w:rsidP="0037143F">
            <w:pPr>
              <w:jc w:val="both"/>
            </w:pPr>
            <w:r w:rsidRPr="00B01372">
              <w:t xml:space="preserve">Please </w:t>
            </w:r>
            <w:r w:rsidR="00B72720" w:rsidRPr="00B01372">
              <w:t>provide</w:t>
            </w:r>
            <w:r w:rsidRPr="00B01372">
              <w:t xml:space="preserve"> any available evidence of the issues identified under section </w:t>
            </w:r>
            <w:r w:rsidR="00464D72" w:rsidRPr="00B01372">
              <w:t>II</w:t>
            </w:r>
            <w:r w:rsidRPr="00B01372">
              <w:t>.1.</w:t>
            </w:r>
          </w:p>
        </w:tc>
        <w:tc>
          <w:tcPr>
            <w:tcW w:w="9509" w:type="dxa"/>
          </w:tcPr>
          <w:p w14:paraId="0AB98C63" w14:textId="2BB4E21E" w:rsidR="00253552" w:rsidRPr="00B01372" w:rsidRDefault="00253552" w:rsidP="005329C9">
            <w:pPr>
              <w:jc w:val="both"/>
              <w:rPr>
                <w:i/>
              </w:rPr>
            </w:pPr>
            <w:r w:rsidRPr="00B01372">
              <w:rPr>
                <w:i/>
              </w:rPr>
              <w:t>Possible relevant (non-exhaustive) documents for consideration may be as follows</w:t>
            </w:r>
            <w:r w:rsidR="00E90EF9">
              <w:rPr>
                <w:i/>
              </w:rPr>
              <w:t xml:space="preserve"> </w:t>
            </w:r>
            <w:r w:rsidR="00CB736C">
              <w:rPr>
                <w:i/>
              </w:rPr>
              <w:t>(please provide a link to the document, and if possible, a summary of the document in English, if the document is in another language)</w:t>
            </w:r>
            <w:r w:rsidRPr="00B01372">
              <w:rPr>
                <w:i/>
              </w:rPr>
              <w:t>:</w:t>
            </w:r>
          </w:p>
          <w:p w14:paraId="0B4B59E8" w14:textId="315B720C" w:rsidR="00253552" w:rsidRPr="00B01372" w:rsidRDefault="00253552" w:rsidP="00E3206F">
            <w:pPr>
              <w:pStyle w:val="ListParagraph"/>
              <w:numPr>
                <w:ilvl w:val="0"/>
                <w:numId w:val="8"/>
              </w:numPr>
              <w:ind w:hanging="294"/>
              <w:jc w:val="both"/>
              <w:rPr>
                <w:i/>
              </w:rPr>
            </w:pPr>
            <w:r w:rsidRPr="00B01372">
              <w:rPr>
                <w:i/>
              </w:rPr>
              <w:t>Audit report</w:t>
            </w:r>
            <w:r w:rsidR="00B72720" w:rsidRPr="00B01372">
              <w:rPr>
                <w:i/>
              </w:rPr>
              <w:t>s</w:t>
            </w:r>
            <w:r w:rsidRPr="00B01372">
              <w:rPr>
                <w:i/>
              </w:rPr>
              <w:t xml:space="preserve"> on identified irregularities related to public procurement</w:t>
            </w:r>
            <w:r w:rsidR="00CC72D1">
              <w:rPr>
                <w:i/>
              </w:rPr>
              <w:t>, including auditors specialising in ESIF irregularities</w:t>
            </w:r>
          </w:p>
          <w:p w14:paraId="36090043" w14:textId="4EBE51DC" w:rsidR="00AC7614" w:rsidRDefault="00253552" w:rsidP="00E3206F">
            <w:pPr>
              <w:pStyle w:val="ListParagraph"/>
              <w:numPr>
                <w:ilvl w:val="0"/>
                <w:numId w:val="8"/>
              </w:numPr>
              <w:ind w:hanging="294"/>
              <w:jc w:val="both"/>
              <w:rPr>
                <w:i/>
              </w:rPr>
            </w:pPr>
            <w:r w:rsidRPr="00B01372">
              <w:rPr>
                <w:i/>
              </w:rPr>
              <w:lastRenderedPageBreak/>
              <w:t>Existing typologies of the most frequent errors in public procurement</w:t>
            </w:r>
          </w:p>
          <w:p w14:paraId="29D796BB" w14:textId="0F53C3AE" w:rsidR="00DA1EED" w:rsidRPr="00F65559" w:rsidRDefault="00DA1EED" w:rsidP="00E3206F">
            <w:pPr>
              <w:pStyle w:val="ListParagraph"/>
              <w:numPr>
                <w:ilvl w:val="0"/>
                <w:numId w:val="8"/>
              </w:numPr>
              <w:ind w:hanging="294"/>
              <w:jc w:val="both"/>
              <w:rPr>
                <w:i/>
              </w:rPr>
            </w:pPr>
            <w:r w:rsidRPr="00F65559">
              <w:rPr>
                <w:i/>
              </w:rPr>
              <w:t>Reports on the most frequent requests for guidance</w:t>
            </w:r>
          </w:p>
          <w:p w14:paraId="18ACD619" w14:textId="237852AD" w:rsidR="00AC7614" w:rsidRPr="00B01372" w:rsidRDefault="003F1BD0" w:rsidP="00E3206F">
            <w:pPr>
              <w:pStyle w:val="ListParagraph"/>
              <w:numPr>
                <w:ilvl w:val="0"/>
                <w:numId w:val="8"/>
              </w:numPr>
              <w:ind w:hanging="294"/>
              <w:jc w:val="both"/>
              <w:rPr>
                <w:i/>
              </w:rPr>
            </w:pPr>
            <w:r w:rsidRPr="00B01372">
              <w:rPr>
                <w:i/>
              </w:rPr>
              <w:t>A</w:t>
            </w:r>
            <w:r w:rsidR="00AC7614" w:rsidRPr="00B01372">
              <w:rPr>
                <w:i/>
              </w:rPr>
              <w:t xml:space="preserve">dditional interpretative guidance documents published in order to clarify legal issues </w:t>
            </w:r>
          </w:p>
          <w:p w14:paraId="62213F94" w14:textId="41A70135" w:rsidR="00F65559" w:rsidRPr="00016E8B" w:rsidRDefault="00253552" w:rsidP="00016E8B">
            <w:pPr>
              <w:pStyle w:val="ListParagraph"/>
              <w:numPr>
                <w:ilvl w:val="0"/>
                <w:numId w:val="8"/>
              </w:numPr>
              <w:ind w:hanging="294"/>
              <w:jc w:val="both"/>
              <w:rPr>
                <w:i/>
              </w:rPr>
            </w:pPr>
            <w:r w:rsidRPr="00B01372">
              <w:rPr>
                <w:i/>
              </w:rPr>
              <w:t xml:space="preserve">Policy or other administrative documents discussing issues in relation to the implementation of the rules </w:t>
            </w:r>
          </w:p>
        </w:tc>
      </w:tr>
      <w:tr w:rsidR="00016E8B" w:rsidRPr="00B01372" w14:paraId="3591E5D4" w14:textId="77777777" w:rsidTr="00095252">
        <w:tc>
          <w:tcPr>
            <w:tcW w:w="4606" w:type="dxa"/>
          </w:tcPr>
          <w:p w14:paraId="71C8F05E" w14:textId="77777777" w:rsidR="00016E8B" w:rsidRPr="00B01372" w:rsidRDefault="00016E8B" w:rsidP="0037143F">
            <w:pPr>
              <w:jc w:val="both"/>
            </w:pPr>
          </w:p>
        </w:tc>
        <w:tc>
          <w:tcPr>
            <w:tcW w:w="9509" w:type="dxa"/>
          </w:tcPr>
          <w:p w14:paraId="3D5E56C0" w14:textId="52750997" w:rsidR="00016E8B" w:rsidRDefault="00016E8B" w:rsidP="00016E8B">
            <w:pPr>
              <w:jc w:val="both"/>
              <w:rPr>
                <w:color w:val="FF0000"/>
              </w:rPr>
            </w:pPr>
            <w:r w:rsidRPr="00B34E11">
              <w:rPr>
                <w:color w:val="FF0000"/>
              </w:rPr>
              <w:t>The Ministry of</w:t>
            </w:r>
            <w:r>
              <w:rPr>
                <w:color w:val="FF0000"/>
              </w:rPr>
              <w:t xml:space="preserve"> the Economy, Entrepreneurship and Crafts </w:t>
            </w:r>
            <w:r w:rsidRPr="00B34E11">
              <w:rPr>
                <w:color w:val="FF0000"/>
              </w:rPr>
              <w:t>provide</w:t>
            </w:r>
            <w:r>
              <w:rPr>
                <w:color w:val="FF0000"/>
              </w:rPr>
              <w:t>s</w:t>
            </w:r>
            <w:r w:rsidRPr="00B34E11">
              <w:rPr>
                <w:color w:val="FF0000"/>
              </w:rPr>
              <w:t xml:space="preserve"> guidance and interpretations for the </w:t>
            </w:r>
            <w:r>
              <w:rPr>
                <w:color w:val="FF0000"/>
              </w:rPr>
              <w:t xml:space="preserve">application of the PPL 2016 </w:t>
            </w:r>
            <w:r w:rsidRPr="00B34E11">
              <w:rPr>
                <w:color w:val="FF0000"/>
              </w:rPr>
              <w:t>in</w:t>
            </w:r>
            <w:r w:rsidR="00E3148F">
              <w:rPr>
                <w:color w:val="FF0000"/>
              </w:rPr>
              <w:t xml:space="preserve"> the</w:t>
            </w:r>
            <w:r w:rsidRPr="00B34E11">
              <w:rPr>
                <w:color w:val="FF0000"/>
              </w:rPr>
              <w:t xml:space="preserve"> form of: </w:t>
            </w:r>
            <w:r>
              <w:rPr>
                <w:color w:val="FF0000"/>
              </w:rPr>
              <w:t>written opinions/</w:t>
            </w:r>
            <w:r w:rsidRPr="00B34E11">
              <w:rPr>
                <w:color w:val="FF0000"/>
              </w:rPr>
              <w:t xml:space="preserve"> responses to the received questions from contracting authorities and economic operators, telephone counselling to contracting authorities and economic operators, establishment of "help desk", preparation and publication of materials on the website of the Public Procurement </w:t>
            </w:r>
            <w:r>
              <w:rPr>
                <w:color w:val="FF0000"/>
              </w:rPr>
              <w:t>Portal, conducting quick procurement documents monitor</w:t>
            </w:r>
            <w:r w:rsidR="00E3148F">
              <w:rPr>
                <w:color w:val="FF0000"/>
              </w:rPr>
              <w:t>ing</w:t>
            </w:r>
            <w:r>
              <w:rPr>
                <w:color w:val="FF0000"/>
              </w:rPr>
              <w:t xml:space="preserve"> in EOJN, </w:t>
            </w:r>
            <w:r w:rsidRPr="00B34E11">
              <w:rPr>
                <w:color w:val="FF0000"/>
              </w:rPr>
              <w:t xml:space="preserve"> and </w:t>
            </w:r>
            <w:r w:rsidR="00E3148F">
              <w:rPr>
                <w:color w:val="FF0000"/>
              </w:rPr>
              <w:t>through</w:t>
            </w:r>
            <w:r w:rsidRPr="00B34E11">
              <w:rPr>
                <w:color w:val="FF0000"/>
              </w:rPr>
              <w:t xml:space="preserve"> expert coordination meetings with different stakeholders.</w:t>
            </w:r>
          </w:p>
          <w:p w14:paraId="44BA2E60" w14:textId="7338ABF6" w:rsidR="005E726E" w:rsidRPr="00B01372" w:rsidRDefault="005E726E" w:rsidP="00016E8B">
            <w:pPr>
              <w:jc w:val="both"/>
              <w:rPr>
                <w:i/>
              </w:rPr>
            </w:pPr>
          </w:p>
        </w:tc>
      </w:tr>
      <w:tr w:rsidR="00C91FDC" w:rsidRPr="00B01372" w14:paraId="1B195211" w14:textId="77777777" w:rsidTr="00095252">
        <w:tc>
          <w:tcPr>
            <w:tcW w:w="4606" w:type="dxa"/>
          </w:tcPr>
          <w:p w14:paraId="0F2E16FB" w14:textId="6A94DC2E" w:rsidR="00C91FDC" w:rsidRPr="00B01372" w:rsidRDefault="00464D72" w:rsidP="00C91FDC">
            <w:pPr>
              <w:pStyle w:val="Heading3"/>
              <w:outlineLvl w:val="2"/>
            </w:pPr>
            <w:r w:rsidRPr="00B01372">
              <w:t>II</w:t>
            </w:r>
            <w:r w:rsidR="00C91FDC" w:rsidRPr="00B01372">
              <w:t>.3</w:t>
            </w:r>
            <w:r w:rsidR="00B72720" w:rsidRPr="00B01372">
              <w:t xml:space="preserve">. </w:t>
            </w:r>
            <w:r w:rsidR="00C91FDC" w:rsidRPr="00B01372">
              <w:t xml:space="preserve">Quantitative indicators </w:t>
            </w:r>
          </w:p>
          <w:p w14:paraId="0EFDD4F3" w14:textId="77777777" w:rsidR="00C91FDC" w:rsidRPr="00B01372" w:rsidRDefault="00C91FDC" w:rsidP="00C91FDC">
            <w:pPr>
              <w:jc w:val="both"/>
            </w:pPr>
          </w:p>
        </w:tc>
        <w:tc>
          <w:tcPr>
            <w:tcW w:w="9509" w:type="dxa"/>
          </w:tcPr>
          <w:p w14:paraId="3ADF1444" w14:textId="0B6445EB" w:rsidR="00C91FDC" w:rsidRPr="00B01372" w:rsidRDefault="00C91FDC" w:rsidP="0086391B">
            <w:pPr>
              <w:jc w:val="both"/>
              <w:rPr>
                <w:i/>
              </w:rPr>
            </w:pPr>
            <w:r w:rsidRPr="00B01372">
              <w:rPr>
                <w:i/>
              </w:rPr>
              <w:t xml:space="preserve">This section contains quantitative indicators related to section </w:t>
            </w:r>
            <w:r w:rsidR="00247E16" w:rsidRPr="00B01372">
              <w:rPr>
                <w:i/>
              </w:rPr>
              <w:t>II</w:t>
            </w:r>
            <w:r w:rsidRPr="00B01372">
              <w:rPr>
                <w:i/>
              </w:rPr>
              <w:t xml:space="preserve">.1. </w:t>
            </w:r>
            <w:r w:rsidR="00AC3891" w:rsidRPr="00B01372">
              <w:rPr>
                <w:i/>
              </w:rPr>
              <w:t>Other indicators can also be included in the report.</w:t>
            </w:r>
          </w:p>
        </w:tc>
      </w:tr>
      <w:tr w:rsidR="00095252" w:rsidRPr="00B01372" w14:paraId="69EC1028" w14:textId="77777777" w:rsidTr="00095252">
        <w:tc>
          <w:tcPr>
            <w:tcW w:w="4606" w:type="dxa"/>
          </w:tcPr>
          <w:p w14:paraId="29E065ED" w14:textId="77777777" w:rsidR="00095252" w:rsidRDefault="00095252">
            <w:pPr>
              <w:pStyle w:val="Heading3"/>
              <w:outlineLvl w:val="2"/>
              <w:rPr>
                <w:rFonts w:ascii="Calibri" w:eastAsia="Times New Roman" w:hAnsi="Calibri"/>
                <w:b w:val="0"/>
                <w:lang w:val="en-US"/>
              </w:rPr>
            </w:pPr>
            <w:r>
              <w:rPr>
                <w:rFonts w:eastAsia="Times New Roman"/>
                <w:b w:val="0"/>
                <w:bCs/>
              </w:rPr>
              <w:t xml:space="preserve">Indicators about the national review system </w:t>
            </w:r>
          </w:p>
          <w:p w14:paraId="20B30B6B" w14:textId="77777777" w:rsidR="00095252" w:rsidRDefault="00095252"/>
          <w:p w14:paraId="5F0023A7" w14:textId="6056C412" w:rsidR="00095252" w:rsidRPr="00B01372" w:rsidRDefault="00095252" w:rsidP="00A61403"/>
        </w:tc>
        <w:tc>
          <w:tcPr>
            <w:tcW w:w="9509" w:type="dxa"/>
          </w:tcPr>
          <w:p w14:paraId="0A6512AA" w14:textId="3E5F4C9D" w:rsidR="00095252" w:rsidRDefault="00095252">
            <w:pPr>
              <w:jc w:val="both"/>
              <w:rPr>
                <w:rFonts w:ascii="Calibri" w:hAnsi="Calibri"/>
                <w:lang w:val="en-US"/>
              </w:rPr>
            </w:pPr>
            <w:r>
              <w:t xml:space="preserve">A list of proposed specific indicators will be drafted in the course of </w:t>
            </w:r>
            <w:r>
              <w:rPr>
                <w:lang w:val="en-US"/>
              </w:rPr>
              <w:t xml:space="preserve">2017, </w:t>
            </w:r>
            <w:r w:rsidR="00505141">
              <w:rPr>
                <w:lang w:val="en-US"/>
              </w:rPr>
              <w:t xml:space="preserve">linked to </w:t>
            </w:r>
            <w:r w:rsidR="00602007">
              <w:rPr>
                <w:lang w:val="en-US"/>
              </w:rPr>
              <w:t>a future</w:t>
            </w:r>
            <w:r w:rsidR="00505141">
              <w:rPr>
                <w:lang w:val="en-US"/>
              </w:rPr>
              <w:t xml:space="preserve"> </w:t>
            </w:r>
            <w:r w:rsidR="00602007">
              <w:rPr>
                <w:lang w:val="en-US"/>
              </w:rPr>
              <w:t>r</w:t>
            </w:r>
            <w:r w:rsidR="00505141">
              <w:rPr>
                <w:lang w:val="en-US"/>
              </w:rPr>
              <w:t xml:space="preserve">emedies </w:t>
            </w:r>
            <w:r w:rsidR="00602007">
              <w:rPr>
                <w:lang w:val="en-US"/>
              </w:rPr>
              <w:t>s</w:t>
            </w:r>
            <w:r w:rsidR="00505141">
              <w:rPr>
                <w:lang w:val="en-US"/>
              </w:rPr>
              <w:t xml:space="preserve">coreboard, </w:t>
            </w:r>
            <w:r w:rsidR="00602007">
              <w:rPr>
                <w:lang w:val="en-US"/>
              </w:rPr>
              <w:t xml:space="preserve">a part of </w:t>
            </w:r>
            <w:r w:rsidR="00505141">
              <w:rPr>
                <w:lang w:val="en-US"/>
              </w:rPr>
              <w:t xml:space="preserve">the European Commission's Single Market Strategy. The indicators will be defined </w:t>
            </w:r>
            <w:r w:rsidR="00602007">
              <w:rPr>
                <w:lang w:val="en-US"/>
              </w:rPr>
              <w:t>on the basis of</w:t>
            </w:r>
            <w:r w:rsidR="00505141">
              <w:rPr>
                <w:lang w:val="en-US"/>
              </w:rPr>
              <w:t xml:space="preserve"> the findings of </w:t>
            </w:r>
            <w:r>
              <w:rPr>
                <w:lang w:val="en-US"/>
              </w:rPr>
              <w:t xml:space="preserve">a study </w:t>
            </w:r>
            <w:r w:rsidR="00505141">
              <w:rPr>
                <w:lang w:val="en-US"/>
              </w:rPr>
              <w:t xml:space="preserve">to be commissioned </w:t>
            </w:r>
            <w:r>
              <w:rPr>
                <w:lang w:val="en-US"/>
              </w:rPr>
              <w:t xml:space="preserve">by DG GROW </w:t>
            </w:r>
            <w:r w:rsidR="00505141">
              <w:rPr>
                <w:lang w:val="en-US"/>
              </w:rPr>
              <w:t xml:space="preserve">in 2017 </w:t>
            </w:r>
            <w:r>
              <w:rPr>
                <w:lang w:val="en-US"/>
              </w:rPr>
              <w:t>and further discussion</w:t>
            </w:r>
            <w:r w:rsidR="00505141">
              <w:rPr>
                <w:lang w:val="en-US"/>
              </w:rPr>
              <w:t>s</w:t>
            </w:r>
            <w:r>
              <w:rPr>
                <w:lang w:val="en-US"/>
              </w:rPr>
              <w:t xml:space="preserve"> with Member States</w:t>
            </w:r>
            <w:r w:rsidR="00505141">
              <w:rPr>
                <w:lang w:val="en-US"/>
              </w:rPr>
              <w:t>, including in the context of the network of first instance administrative review bodies</w:t>
            </w:r>
            <w:r>
              <w:rPr>
                <w:lang w:val="en-US"/>
              </w:rPr>
              <w:t xml:space="preserve">. </w:t>
            </w:r>
          </w:p>
          <w:p w14:paraId="6289AC38" w14:textId="77777777" w:rsidR="00095252" w:rsidRDefault="00095252">
            <w:pPr>
              <w:jc w:val="both"/>
              <w:rPr>
                <w:lang w:val="en-US"/>
              </w:rPr>
            </w:pPr>
          </w:p>
          <w:p w14:paraId="261782DD" w14:textId="169B053A" w:rsidR="00505141" w:rsidRDefault="00095252" w:rsidP="00AF3A52">
            <w:pPr>
              <w:jc w:val="both"/>
            </w:pPr>
            <w:r>
              <w:t xml:space="preserve">A first study commissioned by the Commission services on the subject of </w:t>
            </w:r>
            <w:r w:rsidR="00505141">
              <w:t xml:space="preserve">procurement </w:t>
            </w:r>
            <w:r>
              <w:t>remedies is already available at</w:t>
            </w:r>
            <w:r w:rsidR="00505141">
              <w:t xml:space="preserve"> </w:t>
            </w:r>
            <w:hyperlink r:id="rId12" w:history="1">
              <w:r>
                <w:rPr>
                  <w:rStyle w:val="Hyperlink"/>
                </w:rPr>
                <w:t>http://bookshop.europa.eu/en/economic-efficiency-and-legal-effectiveness-of-review-and-remedies-procedures-for-public-contracts-pbKM0414023/</w:t>
              </w:r>
            </w:hyperlink>
            <w:r>
              <w:t xml:space="preserve">. </w:t>
            </w:r>
          </w:p>
          <w:p w14:paraId="0B88AF64" w14:textId="77777777" w:rsidR="00505141" w:rsidRDefault="00505141" w:rsidP="00AF3A52">
            <w:pPr>
              <w:jc w:val="both"/>
            </w:pPr>
          </w:p>
          <w:p w14:paraId="656131E3" w14:textId="6297A253" w:rsidR="00505141" w:rsidRDefault="00095252" w:rsidP="00AF3A52">
            <w:pPr>
              <w:jc w:val="both"/>
            </w:pPr>
            <w:r>
              <w:t>This study, together with other materials</w:t>
            </w:r>
            <w:r w:rsidR="00505141">
              <w:t xml:space="preserve"> (including public and ad-hoc consultations)</w:t>
            </w:r>
            <w:r>
              <w:t xml:space="preserve">, </w:t>
            </w:r>
            <w:r w:rsidR="00505141">
              <w:t xml:space="preserve">are </w:t>
            </w:r>
            <w:r>
              <w:t>the basis for the Commission</w:t>
            </w:r>
            <w:r w:rsidR="00505141">
              <w:t>'s</w:t>
            </w:r>
            <w:r>
              <w:t xml:space="preserve"> </w:t>
            </w:r>
            <w:r w:rsidR="00505141">
              <w:t xml:space="preserve">report and </w:t>
            </w:r>
            <w:r>
              <w:t xml:space="preserve">evaluation </w:t>
            </w:r>
            <w:r w:rsidR="00505141">
              <w:t xml:space="preserve">on the operation </w:t>
            </w:r>
            <w:r>
              <w:t xml:space="preserve">of the </w:t>
            </w:r>
            <w:r w:rsidR="00505141">
              <w:t>R</w:t>
            </w:r>
            <w:r>
              <w:t xml:space="preserve">emedies </w:t>
            </w:r>
            <w:r w:rsidR="00505141">
              <w:t>D</w:t>
            </w:r>
            <w:r>
              <w:t>irective</w:t>
            </w:r>
            <w:r w:rsidR="00505141">
              <w:t>s</w:t>
            </w:r>
            <w:r w:rsidR="00591D50">
              <w:t>.</w:t>
            </w:r>
          </w:p>
          <w:p w14:paraId="5C4A2195" w14:textId="77777777" w:rsidR="00505141" w:rsidRDefault="00505141" w:rsidP="00AF3A52">
            <w:pPr>
              <w:jc w:val="both"/>
            </w:pPr>
          </w:p>
          <w:p w14:paraId="2364B7CE" w14:textId="64479B2D" w:rsidR="00095252" w:rsidRPr="00B01372" w:rsidRDefault="00095252" w:rsidP="00AF3A52">
            <w:pPr>
              <w:jc w:val="both"/>
            </w:pPr>
            <w:r>
              <w:t xml:space="preserve">Based on </w:t>
            </w:r>
            <w:r w:rsidR="00505141">
              <w:t>all this</w:t>
            </w:r>
            <w:r>
              <w:t xml:space="preserve">, indicators such as the </w:t>
            </w:r>
            <w:r>
              <w:rPr>
                <w:lang w:val="en-US"/>
              </w:rPr>
              <w:t xml:space="preserve">numbers of complaints, </w:t>
            </w:r>
            <w:r w:rsidR="00505141">
              <w:rPr>
                <w:lang w:val="en-US"/>
              </w:rPr>
              <w:t xml:space="preserve">the </w:t>
            </w:r>
            <w:r>
              <w:rPr>
                <w:lang w:val="en-US"/>
              </w:rPr>
              <w:t xml:space="preserve">number of </w:t>
            </w:r>
            <w:r w:rsidR="00505141">
              <w:rPr>
                <w:lang w:val="en-US"/>
              </w:rPr>
              <w:t>appeal</w:t>
            </w:r>
            <w:r w:rsidR="00362778">
              <w:rPr>
                <w:lang w:val="en-US"/>
              </w:rPr>
              <w:t xml:space="preserve">ed </w:t>
            </w:r>
            <w:r>
              <w:rPr>
                <w:lang w:val="en-US"/>
              </w:rPr>
              <w:t xml:space="preserve">procurement procedures, </w:t>
            </w:r>
            <w:r w:rsidR="00362778">
              <w:rPr>
                <w:lang w:val="en-US"/>
              </w:rPr>
              <w:t xml:space="preserve">the </w:t>
            </w:r>
            <w:r>
              <w:rPr>
                <w:lang w:val="en-US"/>
              </w:rPr>
              <w:t>number of resolved complaints</w:t>
            </w:r>
            <w:r w:rsidR="00362778">
              <w:rPr>
                <w:lang w:val="en-US"/>
              </w:rPr>
              <w:t xml:space="preserve">, </w:t>
            </w:r>
            <w:r w:rsidR="00505141">
              <w:rPr>
                <w:lang w:val="en-US"/>
              </w:rPr>
              <w:t xml:space="preserve">the </w:t>
            </w:r>
            <w:r>
              <w:rPr>
                <w:lang w:val="en-US"/>
              </w:rPr>
              <w:t xml:space="preserve">number of complaints resolved in favor of the complainant, or the average length </w:t>
            </w:r>
            <w:r w:rsidRPr="000116CF">
              <w:rPr>
                <w:lang w:val="en-US"/>
              </w:rPr>
              <w:t xml:space="preserve">of the </w:t>
            </w:r>
            <w:r w:rsidR="00505141">
              <w:rPr>
                <w:lang w:val="en-US"/>
              </w:rPr>
              <w:t xml:space="preserve">review </w:t>
            </w:r>
            <w:r w:rsidRPr="000116CF">
              <w:rPr>
                <w:lang w:val="en-US"/>
              </w:rPr>
              <w:t>procedure could be considered.</w:t>
            </w:r>
          </w:p>
        </w:tc>
      </w:tr>
      <w:tr w:rsidR="00F52C6D" w:rsidRPr="00B01372" w14:paraId="0CA729E8" w14:textId="77777777" w:rsidTr="00095252">
        <w:tc>
          <w:tcPr>
            <w:tcW w:w="4606" w:type="dxa"/>
          </w:tcPr>
          <w:p w14:paraId="1CD928F1" w14:textId="77777777" w:rsidR="00F52C6D" w:rsidRDefault="00F52C6D">
            <w:pPr>
              <w:pStyle w:val="Heading3"/>
              <w:outlineLvl w:val="2"/>
              <w:rPr>
                <w:rFonts w:eastAsia="Times New Roman"/>
                <w:b w:val="0"/>
                <w:bCs/>
              </w:rPr>
            </w:pPr>
          </w:p>
        </w:tc>
        <w:tc>
          <w:tcPr>
            <w:tcW w:w="9509" w:type="dxa"/>
          </w:tcPr>
          <w:p w14:paraId="03FF6680" w14:textId="6EFDC683" w:rsidR="00F52C6D" w:rsidRPr="004C0388" w:rsidRDefault="00F52C6D" w:rsidP="00F52C6D">
            <w:pPr>
              <w:pStyle w:val="Heading2"/>
              <w:outlineLvl w:val="1"/>
              <w:rPr>
                <w:color w:val="FF0000"/>
                <w:lang w:eastAsia="x-none"/>
              </w:rPr>
            </w:pPr>
            <w:r w:rsidRPr="004C0388">
              <w:rPr>
                <w:rStyle w:val="Strong"/>
                <w:color w:val="FF0000"/>
              </w:rPr>
              <w:t xml:space="preserve">I. The State Commission for the Supervision of Public Procurement Procedures  (State Commission) is an autonomous, independent and specialized public procurement review body, having jurisdiction to conduct the appellate proceeding in the matters of public procurement, grant of concessions and </w:t>
            </w:r>
            <w:r w:rsidR="00E3148F">
              <w:rPr>
                <w:rStyle w:val="Strong"/>
                <w:color w:val="FF0000"/>
              </w:rPr>
              <w:lastRenderedPageBreak/>
              <w:t>s</w:t>
            </w:r>
            <w:r w:rsidRPr="004C0388">
              <w:rPr>
                <w:rStyle w:val="Strong"/>
                <w:color w:val="FF0000"/>
              </w:rPr>
              <w:t>election of private partners in public-private partnership projects.</w:t>
            </w:r>
          </w:p>
          <w:p w14:paraId="780BFF55" w14:textId="77777777" w:rsidR="00F52C6D" w:rsidRPr="004C0388" w:rsidRDefault="00F52C6D" w:rsidP="00F52C6D">
            <w:pPr>
              <w:jc w:val="both"/>
              <w:rPr>
                <w:rFonts w:cstheme="minorHAnsi"/>
                <w:color w:val="FF0000"/>
                <w:lang w:eastAsia="x-none"/>
              </w:rPr>
            </w:pPr>
          </w:p>
          <w:p w14:paraId="538D966D" w14:textId="16F3AF40" w:rsidR="00F52C6D" w:rsidRPr="004C0388" w:rsidRDefault="00F52C6D" w:rsidP="004C0388">
            <w:pPr>
              <w:jc w:val="both"/>
              <w:rPr>
                <w:rFonts w:cstheme="minorHAnsi"/>
                <w:color w:val="FF0000"/>
                <w:lang w:eastAsia="x-none"/>
              </w:rPr>
            </w:pPr>
            <w:r w:rsidRPr="004C0388">
              <w:rPr>
                <w:rFonts w:cstheme="minorHAnsi"/>
                <w:color w:val="FF0000"/>
                <w:lang w:eastAsia="x-none"/>
              </w:rPr>
              <w:t xml:space="preserve">Public Procurement Act </w:t>
            </w:r>
            <w:r w:rsidRPr="004C0388">
              <w:rPr>
                <w:rFonts w:cstheme="minorHAnsi"/>
                <w:noProof/>
                <w:color w:val="FF0000"/>
                <w:lang w:eastAsia="x-none"/>
              </w:rPr>
              <w:t>applies</w:t>
            </w:r>
            <w:r w:rsidRPr="004C0388">
              <w:rPr>
                <w:rFonts w:cstheme="minorHAnsi"/>
                <w:color w:val="FF0000"/>
                <w:lang w:eastAsia="x-none"/>
              </w:rPr>
              <w:t xml:space="preserve"> to contracts which are above </w:t>
            </w:r>
            <w:r w:rsidRPr="004C0388">
              <w:rPr>
                <w:rFonts w:cstheme="minorHAnsi"/>
                <w:noProof/>
                <w:color w:val="FF0000"/>
                <w:lang w:eastAsia="x-none"/>
              </w:rPr>
              <w:t>national</w:t>
            </w:r>
            <w:r w:rsidRPr="004C0388">
              <w:rPr>
                <w:rFonts w:cstheme="minorHAnsi"/>
                <w:color w:val="FF0000"/>
                <w:lang w:eastAsia="x-none"/>
              </w:rPr>
              <w:t xml:space="preserve"> thresholds. Also, the </w:t>
            </w:r>
            <w:r w:rsidRPr="004C0388">
              <w:rPr>
                <w:rFonts w:cstheme="minorHAnsi"/>
                <w:noProof/>
                <w:color w:val="FF0000"/>
                <w:lang w:eastAsia="x-none"/>
              </w:rPr>
              <w:t>jurisdiction</w:t>
            </w:r>
            <w:r w:rsidRPr="004C0388">
              <w:rPr>
                <w:rFonts w:cstheme="minorHAnsi"/>
                <w:color w:val="FF0000"/>
                <w:lang w:eastAsia="x-none"/>
              </w:rPr>
              <w:t xml:space="preserve"> of the State Commission covers procedures above </w:t>
            </w:r>
            <w:r w:rsidRPr="004C0388">
              <w:rPr>
                <w:rFonts w:cstheme="minorHAnsi"/>
                <w:noProof/>
                <w:color w:val="FF0000"/>
                <w:lang w:eastAsia="x-none"/>
              </w:rPr>
              <w:t>national</w:t>
            </w:r>
            <w:r w:rsidRPr="004C0388">
              <w:rPr>
                <w:rFonts w:cstheme="minorHAnsi"/>
                <w:color w:val="FF0000"/>
                <w:lang w:eastAsia="x-none"/>
              </w:rPr>
              <w:t xml:space="preserve"> </w:t>
            </w:r>
            <w:r w:rsidRPr="004C0388">
              <w:rPr>
                <w:rFonts w:cstheme="minorHAnsi"/>
                <w:noProof/>
                <w:color w:val="FF0000"/>
                <w:lang w:eastAsia="x-none"/>
              </w:rPr>
              <w:t>thresholds</w:t>
            </w:r>
            <w:r w:rsidRPr="004C0388">
              <w:rPr>
                <w:rFonts w:cstheme="minorHAnsi"/>
                <w:color w:val="FF0000"/>
                <w:lang w:eastAsia="x-none"/>
              </w:rPr>
              <w:t>.</w:t>
            </w:r>
            <w:r w:rsidR="004C0388">
              <w:rPr>
                <w:rFonts w:cstheme="minorHAnsi"/>
                <w:color w:val="FF0000"/>
                <w:lang w:eastAsia="x-none"/>
              </w:rPr>
              <w:t xml:space="preserve"> </w:t>
            </w:r>
            <w:r w:rsidRPr="004C0388">
              <w:rPr>
                <w:rFonts w:cstheme="minorHAnsi"/>
                <w:noProof/>
                <w:color w:val="FF0000"/>
                <w:lang w:eastAsia="x-none"/>
              </w:rPr>
              <w:t>Value</w:t>
            </w:r>
            <w:r w:rsidRPr="004C0388">
              <w:rPr>
                <w:rFonts w:cstheme="minorHAnsi"/>
                <w:color w:val="FF0000"/>
                <w:lang w:eastAsia="x-none"/>
              </w:rPr>
              <w:t xml:space="preserve"> of national thresholds is lower than the </w:t>
            </w:r>
            <w:r w:rsidRPr="004C0388">
              <w:rPr>
                <w:rFonts w:cstheme="minorHAnsi"/>
                <w:noProof/>
                <w:color w:val="FF0000"/>
                <w:lang w:eastAsia="x-none"/>
              </w:rPr>
              <w:t>value</w:t>
            </w:r>
            <w:r w:rsidRPr="004C0388">
              <w:rPr>
                <w:rFonts w:cstheme="minorHAnsi"/>
                <w:color w:val="FF0000"/>
                <w:lang w:eastAsia="x-none"/>
              </w:rPr>
              <w:t xml:space="preserve"> of Directive thresholds.</w:t>
            </w:r>
            <w:r w:rsidR="004C0388">
              <w:rPr>
                <w:rFonts w:cstheme="minorHAnsi"/>
                <w:color w:val="FF0000"/>
                <w:lang w:eastAsia="x-none"/>
              </w:rPr>
              <w:t xml:space="preserve"> </w:t>
            </w:r>
            <w:r w:rsidRPr="004C0388">
              <w:rPr>
                <w:rFonts w:cstheme="minorHAnsi"/>
                <w:color w:val="FF0000"/>
                <w:lang w:eastAsia="x-none"/>
              </w:rPr>
              <w:t>Information presented below is based on</w:t>
            </w:r>
            <w:r w:rsidRPr="004C0388">
              <w:rPr>
                <w:rFonts w:cstheme="minorHAnsi"/>
                <w:noProof/>
                <w:color w:val="FF0000"/>
                <w:lang w:eastAsia="x-none"/>
              </w:rPr>
              <w:t xml:space="preserve"> the State Commission’s database, considering</w:t>
            </w:r>
            <w:r w:rsidRPr="004C0388">
              <w:rPr>
                <w:rFonts w:cstheme="minorHAnsi"/>
                <w:color w:val="FF0000"/>
                <w:lang w:eastAsia="x-none"/>
              </w:rPr>
              <w:t xml:space="preserve"> procedur</w:t>
            </w:r>
            <w:r w:rsidR="004C0388">
              <w:rPr>
                <w:rFonts w:cstheme="minorHAnsi"/>
                <w:color w:val="FF0000"/>
                <w:lang w:eastAsia="x-none"/>
              </w:rPr>
              <w:t>es above national thresholds.</w:t>
            </w:r>
            <w:r w:rsidRPr="004C0388">
              <w:rPr>
                <w:rFonts w:cstheme="minorHAnsi"/>
                <w:b/>
                <w:color w:val="FF0000"/>
                <w:lang w:eastAsia="x-none"/>
              </w:rPr>
              <w:t xml:space="preserve"> In 2017 the State Commission received 945 complaints</w:t>
            </w:r>
            <w:r w:rsidRPr="004C0388">
              <w:rPr>
                <w:rFonts w:cstheme="minorHAnsi"/>
                <w:b/>
                <w:noProof/>
                <w:color w:val="FF0000"/>
                <w:lang w:eastAsia="x-none"/>
              </w:rPr>
              <w:t xml:space="preserve">. </w:t>
            </w:r>
          </w:p>
          <w:p w14:paraId="46E17744" w14:textId="77777777" w:rsidR="004C0388" w:rsidRDefault="004C0388" w:rsidP="00F52C6D">
            <w:pPr>
              <w:spacing w:line="276" w:lineRule="auto"/>
              <w:rPr>
                <w:rFonts w:cstheme="minorHAnsi"/>
                <w:b/>
                <w:noProof/>
                <w:color w:val="FF0000"/>
                <w:lang w:eastAsia="x-none"/>
              </w:rPr>
            </w:pPr>
          </w:p>
          <w:p w14:paraId="70A8458B" w14:textId="34FC1C96" w:rsidR="004C0388" w:rsidRPr="004C0388" w:rsidRDefault="004C0388" w:rsidP="00F52C6D">
            <w:pPr>
              <w:spacing w:line="276" w:lineRule="auto"/>
              <w:rPr>
                <w:rFonts w:cstheme="minorHAnsi"/>
                <w:b/>
                <w:color w:val="FF0000"/>
                <w:lang w:eastAsia="x-none"/>
              </w:rPr>
            </w:pPr>
            <w:r>
              <w:rPr>
                <w:rFonts w:cstheme="minorHAnsi"/>
                <w:b/>
              </w:rPr>
              <w:t xml:space="preserve">  </w:t>
            </w:r>
            <w:r w:rsidRPr="004C0388">
              <w:rPr>
                <w:rFonts w:cstheme="minorHAnsi"/>
                <w:b/>
                <w:color w:val="FF0000"/>
              </w:rPr>
              <w:t>Number of complaints in 2017</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2816"/>
              <w:gridCol w:w="2445"/>
            </w:tblGrid>
            <w:tr w:rsidR="004C0388" w14:paraId="4BCC853B" w14:textId="77777777" w:rsidTr="00714345">
              <w:tc>
                <w:tcPr>
                  <w:tcW w:w="3244" w:type="dxa"/>
                  <w:tcBorders>
                    <w:top w:val="single" w:sz="4" w:space="0" w:color="auto"/>
                    <w:left w:val="single" w:sz="4" w:space="0" w:color="auto"/>
                    <w:bottom w:val="single" w:sz="4" w:space="0" w:color="auto"/>
                    <w:right w:val="single" w:sz="4" w:space="0" w:color="auto"/>
                  </w:tcBorders>
                  <w:shd w:val="clear" w:color="auto" w:fill="365F91"/>
                </w:tcPr>
                <w:p w14:paraId="03F4E8B6" w14:textId="77777777" w:rsidR="004C0388" w:rsidRDefault="004C0388" w:rsidP="00714345">
                  <w:pPr>
                    <w:spacing w:line="256" w:lineRule="auto"/>
                    <w:rPr>
                      <w:rFonts w:eastAsia="Arial Unicode MS" w:cstheme="minorHAnsi"/>
                      <w:b/>
                      <w:color w:val="FFFFFF"/>
                      <w:lang w:eastAsia="x-none"/>
                    </w:rPr>
                  </w:pPr>
                </w:p>
              </w:tc>
              <w:tc>
                <w:tcPr>
                  <w:tcW w:w="2816" w:type="dxa"/>
                  <w:tcBorders>
                    <w:top w:val="single" w:sz="4" w:space="0" w:color="auto"/>
                    <w:left w:val="single" w:sz="4" w:space="0" w:color="auto"/>
                    <w:bottom w:val="single" w:sz="4" w:space="0" w:color="auto"/>
                    <w:right w:val="single" w:sz="4" w:space="0" w:color="auto"/>
                  </w:tcBorders>
                  <w:shd w:val="clear" w:color="auto" w:fill="365F91"/>
                  <w:hideMark/>
                </w:tcPr>
                <w:p w14:paraId="65903D78" w14:textId="77777777" w:rsidR="004C0388" w:rsidRDefault="004C0388" w:rsidP="00714345">
                  <w:pPr>
                    <w:spacing w:line="256" w:lineRule="auto"/>
                    <w:jc w:val="center"/>
                    <w:rPr>
                      <w:rFonts w:eastAsia="Arial Unicode MS" w:cstheme="minorHAnsi"/>
                      <w:b/>
                      <w:color w:val="FFFFFF"/>
                      <w:lang w:eastAsia="x-none"/>
                    </w:rPr>
                  </w:pPr>
                  <w:r>
                    <w:rPr>
                      <w:rFonts w:eastAsia="Arial Unicode MS" w:cstheme="minorHAnsi"/>
                      <w:b/>
                      <w:color w:val="FFFFFF"/>
                      <w:lang w:eastAsia="x-none"/>
                    </w:rPr>
                    <w:t xml:space="preserve">Number of complaints </w:t>
                  </w:r>
                </w:p>
              </w:tc>
              <w:tc>
                <w:tcPr>
                  <w:tcW w:w="2445" w:type="dxa"/>
                  <w:tcBorders>
                    <w:top w:val="single" w:sz="4" w:space="0" w:color="auto"/>
                    <w:left w:val="single" w:sz="4" w:space="0" w:color="auto"/>
                    <w:bottom w:val="single" w:sz="4" w:space="0" w:color="auto"/>
                    <w:right w:val="single" w:sz="4" w:space="0" w:color="auto"/>
                  </w:tcBorders>
                  <w:shd w:val="clear" w:color="auto" w:fill="365F91"/>
                  <w:hideMark/>
                </w:tcPr>
                <w:p w14:paraId="69931D00" w14:textId="77777777" w:rsidR="004C0388" w:rsidRDefault="004C0388" w:rsidP="00714345">
                  <w:pPr>
                    <w:spacing w:line="256" w:lineRule="auto"/>
                    <w:jc w:val="center"/>
                    <w:rPr>
                      <w:rFonts w:eastAsia="Arial Unicode MS" w:cstheme="minorHAnsi"/>
                      <w:b/>
                      <w:color w:val="FFFFFF"/>
                      <w:lang w:eastAsia="x-none"/>
                    </w:rPr>
                  </w:pPr>
                  <w:r>
                    <w:rPr>
                      <w:rFonts w:eastAsia="Arial Unicode MS" w:cstheme="minorHAnsi"/>
                      <w:b/>
                      <w:color w:val="FFFFFF"/>
                      <w:lang w:eastAsia="x-none"/>
                    </w:rPr>
                    <w:t>%</w:t>
                  </w:r>
                </w:p>
              </w:tc>
            </w:tr>
            <w:tr w:rsidR="004C0388" w14:paraId="0EB7B5FC" w14:textId="77777777" w:rsidTr="00714345">
              <w:tc>
                <w:tcPr>
                  <w:tcW w:w="3244" w:type="dxa"/>
                  <w:tcBorders>
                    <w:top w:val="single" w:sz="4" w:space="0" w:color="auto"/>
                    <w:left w:val="single" w:sz="4" w:space="0" w:color="auto"/>
                    <w:bottom w:val="single" w:sz="4" w:space="0" w:color="auto"/>
                    <w:right w:val="single" w:sz="4" w:space="0" w:color="auto"/>
                  </w:tcBorders>
                  <w:hideMark/>
                </w:tcPr>
                <w:p w14:paraId="0020086C" w14:textId="77777777" w:rsidR="004C0388" w:rsidRDefault="004C0388" w:rsidP="00714345">
                  <w:pPr>
                    <w:spacing w:line="256" w:lineRule="auto"/>
                    <w:rPr>
                      <w:rFonts w:eastAsia="Arial Unicode MS" w:cstheme="minorHAnsi"/>
                      <w:lang w:eastAsia="x-none"/>
                    </w:rPr>
                  </w:pPr>
                  <w:r>
                    <w:rPr>
                      <w:rFonts w:eastAsia="Arial Unicode MS" w:cstheme="minorHAnsi"/>
                      <w:lang w:eastAsia="x-none"/>
                    </w:rPr>
                    <w:t>Public procurement</w:t>
                  </w:r>
                </w:p>
              </w:tc>
              <w:tc>
                <w:tcPr>
                  <w:tcW w:w="2816" w:type="dxa"/>
                  <w:tcBorders>
                    <w:top w:val="single" w:sz="4" w:space="0" w:color="auto"/>
                    <w:left w:val="single" w:sz="4" w:space="0" w:color="auto"/>
                    <w:bottom w:val="single" w:sz="4" w:space="0" w:color="auto"/>
                    <w:right w:val="single" w:sz="4" w:space="0" w:color="auto"/>
                  </w:tcBorders>
                  <w:hideMark/>
                </w:tcPr>
                <w:p w14:paraId="67EFBE7F" w14:textId="77777777" w:rsidR="004C0388" w:rsidRDefault="004C0388" w:rsidP="00714345">
                  <w:pPr>
                    <w:spacing w:line="256" w:lineRule="auto"/>
                    <w:jc w:val="center"/>
                    <w:rPr>
                      <w:rFonts w:eastAsia="Arial Unicode MS" w:cstheme="minorHAnsi"/>
                      <w:lang w:eastAsia="x-none"/>
                    </w:rPr>
                  </w:pPr>
                  <w:r>
                    <w:rPr>
                      <w:rFonts w:eastAsia="Arial Unicode MS" w:cstheme="minorHAnsi"/>
                      <w:lang w:eastAsia="x-none"/>
                    </w:rPr>
                    <w:t xml:space="preserve"> 928</w:t>
                  </w:r>
                </w:p>
              </w:tc>
              <w:tc>
                <w:tcPr>
                  <w:tcW w:w="2445" w:type="dxa"/>
                  <w:tcBorders>
                    <w:top w:val="single" w:sz="4" w:space="0" w:color="auto"/>
                    <w:left w:val="single" w:sz="4" w:space="0" w:color="auto"/>
                    <w:bottom w:val="single" w:sz="4" w:space="0" w:color="auto"/>
                    <w:right w:val="single" w:sz="4" w:space="0" w:color="auto"/>
                  </w:tcBorders>
                  <w:hideMark/>
                </w:tcPr>
                <w:p w14:paraId="736BEEDE" w14:textId="77777777" w:rsidR="004C0388" w:rsidRDefault="004C0388" w:rsidP="00714345">
                  <w:pPr>
                    <w:spacing w:line="256" w:lineRule="auto"/>
                    <w:jc w:val="center"/>
                    <w:rPr>
                      <w:rFonts w:eastAsia="Arial Unicode MS" w:cstheme="minorHAnsi"/>
                      <w:lang w:eastAsia="x-none"/>
                    </w:rPr>
                  </w:pPr>
                  <w:r>
                    <w:rPr>
                      <w:rFonts w:eastAsia="Arial Unicode MS" w:cstheme="minorHAnsi"/>
                      <w:lang w:eastAsia="x-none"/>
                    </w:rPr>
                    <w:t xml:space="preserve"> 98,20 %</w:t>
                  </w:r>
                </w:p>
              </w:tc>
            </w:tr>
            <w:tr w:rsidR="004C0388" w14:paraId="19EAE1B1" w14:textId="77777777" w:rsidTr="00714345">
              <w:tc>
                <w:tcPr>
                  <w:tcW w:w="3244" w:type="dxa"/>
                  <w:tcBorders>
                    <w:top w:val="single" w:sz="4" w:space="0" w:color="auto"/>
                    <w:left w:val="single" w:sz="4" w:space="0" w:color="auto"/>
                    <w:bottom w:val="single" w:sz="4" w:space="0" w:color="auto"/>
                    <w:right w:val="single" w:sz="4" w:space="0" w:color="auto"/>
                  </w:tcBorders>
                  <w:hideMark/>
                </w:tcPr>
                <w:p w14:paraId="38CD3746" w14:textId="77777777" w:rsidR="004C0388" w:rsidRDefault="004C0388" w:rsidP="00714345">
                  <w:pPr>
                    <w:spacing w:line="256" w:lineRule="auto"/>
                    <w:rPr>
                      <w:rFonts w:eastAsia="Arial Unicode MS" w:cstheme="minorHAnsi"/>
                      <w:lang w:eastAsia="x-none"/>
                    </w:rPr>
                  </w:pPr>
                  <w:r>
                    <w:rPr>
                      <w:rFonts w:eastAsia="Arial Unicode MS" w:cstheme="minorHAnsi"/>
                      <w:lang w:eastAsia="x-none"/>
                    </w:rPr>
                    <w:t>Concessions</w:t>
                  </w:r>
                </w:p>
              </w:tc>
              <w:tc>
                <w:tcPr>
                  <w:tcW w:w="2816" w:type="dxa"/>
                  <w:tcBorders>
                    <w:top w:val="single" w:sz="4" w:space="0" w:color="auto"/>
                    <w:left w:val="single" w:sz="4" w:space="0" w:color="auto"/>
                    <w:bottom w:val="single" w:sz="4" w:space="0" w:color="auto"/>
                    <w:right w:val="single" w:sz="4" w:space="0" w:color="auto"/>
                  </w:tcBorders>
                  <w:hideMark/>
                </w:tcPr>
                <w:p w14:paraId="33CE5125" w14:textId="77777777" w:rsidR="004C0388" w:rsidRDefault="004C0388" w:rsidP="00714345">
                  <w:pPr>
                    <w:spacing w:line="256" w:lineRule="auto"/>
                    <w:jc w:val="center"/>
                    <w:rPr>
                      <w:rFonts w:eastAsia="Arial Unicode MS" w:cstheme="minorHAnsi"/>
                      <w:lang w:eastAsia="x-none"/>
                    </w:rPr>
                  </w:pPr>
                  <w:r>
                    <w:rPr>
                      <w:rFonts w:eastAsia="Arial Unicode MS" w:cstheme="minorHAnsi"/>
                      <w:lang w:eastAsia="x-none"/>
                    </w:rPr>
                    <w:t xml:space="preserve">   17</w:t>
                  </w:r>
                </w:p>
              </w:tc>
              <w:tc>
                <w:tcPr>
                  <w:tcW w:w="2445" w:type="dxa"/>
                  <w:tcBorders>
                    <w:top w:val="single" w:sz="4" w:space="0" w:color="auto"/>
                    <w:left w:val="single" w:sz="4" w:space="0" w:color="auto"/>
                    <w:bottom w:val="single" w:sz="4" w:space="0" w:color="auto"/>
                    <w:right w:val="single" w:sz="4" w:space="0" w:color="auto"/>
                  </w:tcBorders>
                  <w:hideMark/>
                </w:tcPr>
                <w:p w14:paraId="0D0BD4AE" w14:textId="77777777" w:rsidR="004C0388" w:rsidRDefault="004C0388" w:rsidP="00714345">
                  <w:pPr>
                    <w:spacing w:line="256" w:lineRule="auto"/>
                    <w:jc w:val="center"/>
                    <w:rPr>
                      <w:rFonts w:eastAsia="Arial Unicode MS" w:cstheme="minorHAnsi"/>
                      <w:lang w:eastAsia="x-none"/>
                    </w:rPr>
                  </w:pPr>
                  <w:r>
                    <w:rPr>
                      <w:rFonts w:eastAsia="Arial Unicode MS" w:cstheme="minorHAnsi"/>
                      <w:lang w:eastAsia="x-none"/>
                    </w:rPr>
                    <w:t xml:space="preserve">  1,80%</w:t>
                  </w:r>
                </w:p>
              </w:tc>
            </w:tr>
            <w:tr w:rsidR="004C0388" w14:paraId="6172DEBD" w14:textId="77777777" w:rsidTr="00714345">
              <w:tc>
                <w:tcPr>
                  <w:tcW w:w="3244" w:type="dxa"/>
                  <w:tcBorders>
                    <w:top w:val="single" w:sz="4" w:space="0" w:color="auto"/>
                    <w:left w:val="single" w:sz="4" w:space="0" w:color="auto"/>
                    <w:bottom w:val="single" w:sz="4" w:space="0" w:color="auto"/>
                    <w:right w:val="single" w:sz="4" w:space="0" w:color="auto"/>
                  </w:tcBorders>
                  <w:hideMark/>
                </w:tcPr>
                <w:p w14:paraId="62E10BE8" w14:textId="77777777" w:rsidR="004C0388" w:rsidRDefault="004C0388" w:rsidP="00714345">
                  <w:pPr>
                    <w:spacing w:line="256" w:lineRule="auto"/>
                    <w:rPr>
                      <w:rFonts w:eastAsia="Arial Unicode MS" w:cstheme="minorHAnsi"/>
                      <w:lang w:eastAsia="x-none"/>
                    </w:rPr>
                  </w:pPr>
                  <w:r>
                    <w:rPr>
                      <w:rFonts w:eastAsia="Arial Unicode MS" w:cstheme="minorHAnsi"/>
                      <w:lang w:eastAsia="x-none"/>
                    </w:rPr>
                    <w:t>Public-private partnerships</w:t>
                  </w:r>
                </w:p>
              </w:tc>
              <w:tc>
                <w:tcPr>
                  <w:tcW w:w="2816" w:type="dxa"/>
                  <w:tcBorders>
                    <w:top w:val="single" w:sz="4" w:space="0" w:color="auto"/>
                    <w:left w:val="single" w:sz="4" w:space="0" w:color="auto"/>
                    <w:bottom w:val="single" w:sz="4" w:space="0" w:color="auto"/>
                    <w:right w:val="single" w:sz="4" w:space="0" w:color="auto"/>
                  </w:tcBorders>
                  <w:hideMark/>
                </w:tcPr>
                <w:p w14:paraId="6E929D7E" w14:textId="77777777" w:rsidR="004C0388" w:rsidRDefault="004C0388" w:rsidP="00714345">
                  <w:pPr>
                    <w:spacing w:line="256" w:lineRule="auto"/>
                    <w:jc w:val="center"/>
                    <w:rPr>
                      <w:rFonts w:eastAsia="Arial Unicode MS" w:cstheme="minorHAnsi"/>
                      <w:lang w:eastAsia="x-none"/>
                    </w:rPr>
                  </w:pPr>
                  <w:r>
                    <w:rPr>
                      <w:rFonts w:eastAsia="Arial Unicode MS" w:cstheme="minorHAnsi"/>
                      <w:lang w:eastAsia="x-none"/>
                    </w:rPr>
                    <w:t xml:space="preserve">    0</w:t>
                  </w:r>
                </w:p>
              </w:tc>
              <w:tc>
                <w:tcPr>
                  <w:tcW w:w="2445" w:type="dxa"/>
                  <w:tcBorders>
                    <w:top w:val="single" w:sz="4" w:space="0" w:color="auto"/>
                    <w:left w:val="single" w:sz="4" w:space="0" w:color="auto"/>
                    <w:bottom w:val="single" w:sz="4" w:space="0" w:color="auto"/>
                    <w:right w:val="single" w:sz="4" w:space="0" w:color="auto"/>
                  </w:tcBorders>
                  <w:hideMark/>
                </w:tcPr>
                <w:p w14:paraId="09B0DF4A" w14:textId="77777777" w:rsidR="004C0388" w:rsidRDefault="004C0388" w:rsidP="00714345">
                  <w:pPr>
                    <w:spacing w:line="256" w:lineRule="auto"/>
                    <w:jc w:val="center"/>
                    <w:rPr>
                      <w:rFonts w:eastAsia="Arial Unicode MS" w:cstheme="minorHAnsi"/>
                      <w:lang w:eastAsia="x-none"/>
                    </w:rPr>
                  </w:pPr>
                  <w:r>
                    <w:rPr>
                      <w:rFonts w:eastAsia="Arial Unicode MS" w:cstheme="minorHAnsi"/>
                      <w:lang w:eastAsia="x-none"/>
                    </w:rPr>
                    <w:t xml:space="preserve"> 0</w:t>
                  </w:r>
                </w:p>
              </w:tc>
            </w:tr>
            <w:tr w:rsidR="004C0388" w14:paraId="5AF1286A" w14:textId="77777777" w:rsidTr="00714345">
              <w:tc>
                <w:tcPr>
                  <w:tcW w:w="3244" w:type="dxa"/>
                  <w:tcBorders>
                    <w:top w:val="single" w:sz="4" w:space="0" w:color="auto"/>
                    <w:left w:val="single" w:sz="4" w:space="0" w:color="auto"/>
                    <w:bottom w:val="single" w:sz="4" w:space="0" w:color="auto"/>
                    <w:right w:val="single" w:sz="4" w:space="0" w:color="auto"/>
                  </w:tcBorders>
                  <w:hideMark/>
                </w:tcPr>
                <w:p w14:paraId="0ED7F618" w14:textId="77777777" w:rsidR="004C0388" w:rsidRDefault="004C0388" w:rsidP="00714345">
                  <w:pPr>
                    <w:spacing w:line="256" w:lineRule="auto"/>
                    <w:rPr>
                      <w:rFonts w:eastAsia="Arial Unicode MS" w:cstheme="minorHAnsi"/>
                      <w:b/>
                      <w:lang w:eastAsia="x-none"/>
                    </w:rPr>
                  </w:pPr>
                  <w:r>
                    <w:rPr>
                      <w:rFonts w:eastAsia="Arial Unicode MS" w:cstheme="minorHAnsi"/>
                      <w:b/>
                      <w:lang w:eastAsia="x-none"/>
                    </w:rPr>
                    <w:t>Total</w:t>
                  </w:r>
                </w:p>
              </w:tc>
              <w:tc>
                <w:tcPr>
                  <w:tcW w:w="2816" w:type="dxa"/>
                  <w:tcBorders>
                    <w:top w:val="single" w:sz="4" w:space="0" w:color="auto"/>
                    <w:left w:val="single" w:sz="4" w:space="0" w:color="auto"/>
                    <w:bottom w:val="single" w:sz="4" w:space="0" w:color="auto"/>
                    <w:right w:val="single" w:sz="4" w:space="0" w:color="auto"/>
                  </w:tcBorders>
                  <w:hideMark/>
                </w:tcPr>
                <w:p w14:paraId="0E08ACBF" w14:textId="77777777" w:rsidR="004C0388" w:rsidRDefault="004C0388" w:rsidP="00714345">
                  <w:pPr>
                    <w:spacing w:line="256" w:lineRule="auto"/>
                    <w:jc w:val="center"/>
                    <w:rPr>
                      <w:rFonts w:eastAsia="Arial Unicode MS" w:cstheme="minorHAnsi"/>
                      <w:b/>
                      <w:lang w:eastAsia="x-none"/>
                    </w:rPr>
                  </w:pPr>
                  <w:r>
                    <w:rPr>
                      <w:rFonts w:eastAsia="Arial Unicode MS" w:cstheme="minorHAnsi"/>
                      <w:b/>
                      <w:lang w:eastAsia="x-none"/>
                    </w:rPr>
                    <w:t xml:space="preserve"> 945</w:t>
                  </w:r>
                </w:p>
              </w:tc>
              <w:tc>
                <w:tcPr>
                  <w:tcW w:w="2445" w:type="dxa"/>
                  <w:tcBorders>
                    <w:top w:val="single" w:sz="4" w:space="0" w:color="auto"/>
                    <w:left w:val="single" w:sz="4" w:space="0" w:color="auto"/>
                    <w:bottom w:val="single" w:sz="4" w:space="0" w:color="auto"/>
                    <w:right w:val="single" w:sz="4" w:space="0" w:color="auto"/>
                  </w:tcBorders>
                  <w:hideMark/>
                </w:tcPr>
                <w:p w14:paraId="7DD7CD6F" w14:textId="77777777" w:rsidR="004C0388" w:rsidRDefault="004C0388" w:rsidP="00714345">
                  <w:pPr>
                    <w:spacing w:line="256" w:lineRule="auto"/>
                    <w:jc w:val="center"/>
                    <w:rPr>
                      <w:rFonts w:eastAsia="Arial Unicode MS" w:cstheme="minorHAnsi"/>
                      <w:b/>
                      <w:lang w:eastAsia="x-none"/>
                    </w:rPr>
                  </w:pPr>
                  <w:r>
                    <w:rPr>
                      <w:rFonts w:eastAsia="Arial Unicode MS" w:cstheme="minorHAnsi"/>
                      <w:b/>
                      <w:lang w:eastAsia="x-none"/>
                    </w:rPr>
                    <w:t>100,00 %</w:t>
                  </w:r>
                </w:p>
              </w:tc>
            </w:tr>
          </w:tbl>
          <w:p w14:paraId="2C70F558" w14:textId="77777777" w:rsidR="00F52C6D" w:rsidRDefault="00F52C6D">
            <w:pPr>
              <w:jc w:val="both"/>
              <w:rPr>
                <w:color w:val="FF0000"/>
              </w:rPr>
            </w:pPr>
          </w:p>
          <w:p w14:paraId="01525F3A" w14:textId="09D1345C" w:rsidR="004C0388" w:rsidRPr="004C0388" w:rsidRDefault="004C0388">
            <w:pPr>
              <w:jc w:val="both"/>
              <w:rPr>
                <w:rFonts w:cstheme="minorHAnsi"/>
                <w:b/>
                <w:color w:val="FF0000"/>
                <w:lang w:eastAsia="x-none"/>
              </w:rPr>
            </w:pPr>
            <w:r w:rsidRPr="004C0388">
              <w:rPr>
                <w:rFonts w:cstheme="minorHAnsi"/>
                <w:b/>
                <w:color w:val="FF0000"/>
                <w:lang w:eastAsia="x-none"/>
              </w:rPr>
              <w:t xml:space="preserve">  Comparison between number of procedures and number of complaints</w:t>
            </w: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2134"/>
              <w:gridCol w:w="1984"/>
              <w:gridCol w:w="2171"/>
            </w:tblGrid>
            <w:tr w:rsidR="004C0388" w14:paraId="1A1D5BDC" w14:textId="77777777" w:rsidTr="00714345">
              <w:trPr>
                <w:trHeight w:val="797"/>
              </w:trPr>
              <w:tc>
                <w:tcPr>
                  <w:tcW w:w="2261" w:type="dxa"/>
                  <w:tcBorders>
                    <w:top w:val="single" w:sz="4" w:space="0" w:color="auto"/>
                    <w:left w:val="single" w:sz="4" w:space="0" w:color="auto"/>
                    <w:bottom w:val="single" w:sz="4" w:space="0" w:color="auto"/>
                    <w:right w:val="single" w:sz="4" w:space="0" w:color="auto"/>
                  </w:tcBorders>
                  <w:shd w:val="clear" w:color="auto" w:fill="365F91"/>
                </w:tcPr>
                <w:p w14:paraId="501BF362" w14:textId="77777777" w:rsidR="004C0388" w:rsidRDefault="004C0388" w:rsidP="00714345">
                  <w:pPr>
                    <w:spacing w:line="256" w:lineRule="auto"/>
                    <w:rPr>
                      <w:rFonts w:eastAsia="Arial Unicode MS" w:cstheme="minorHAnsi"/>
                      <w:b/>
                      <w:color w:val="FFFFFF"/>
                      <w:lang w:eastAsia="x-none"/>
                    </w:rPr>
                  </w:pPr>
                </w:p>
              </w:tc>
              <w:tc>
                <w:tcPr>
                  <w:tcW w:w="2134" w:type="dxa"/>
                  <w:tcBorders>
                    <w:top w:val="single" w:sz="4" w:space="0" w:color="auto"/>
                    <w:left w:val="single" w:sz="4" w:space="0" w:color="auto"/>
                    <w:bottom w:val="single" w:sz="4" w:space="0" w:color="auto"/>
                    <w:right w:val="single" w:sz="4" w:space="0" w:color="auto"/>
                  </w:tcBorders>
                  <w:shd w:val="clear" w:color="auto" w:fill="365F91"/>
                  <w:hideMark/>
                </w:tcPr>
                <w:p w14:paraId="5B54E319" w14:textId="77777777" w:rsidR="004C0388" w:rsidRDefault="004C0388" w:rsidP="00714345">
                  <w:pPr>
                    <w:spacing w:line="256" w:lineRule="auto"/>
                    <w:jc w:val="center"/>
                    <w:rPr>
                      <w:rFonts w:eastAsia="Arial Unicode MS" w:cstheme="minorHAnsi"/>
                      <w:b/>
                      <w:color w:val="FFFFFF"/>
                      <w:lang w:eastAsia="x-none"/>
                    </w:rPr>
                  </w:pPr>
                  <w:r>
                    <w:rPr>
                      <w:rFonts w:eastAsia="Arial Unicode MS" w:cstheme="minorHAnsi"/>
                      <w:b/>
                      <w:noProof/>
                      <w:color w:val="FFFFFF"/>
                      <w:lang w:eastAsia="x-none"/>
                    </w:rPr>
                    <w:t>Number</w:t>
                  </w:r>
                  <w:r>
                    <w:rPr>
                      <w:rFonts w:eastAsia="Arial Unicode MS" w:cstheme="minorHAnsi"/>
                      <w:b/>
                      <w:color w:val="FFFFFF"/>
                      <w:lang w:eastAsia="x-none"/>
                    </w:rPr>
                    <w:t xml:space="preserve"> of published procedures </w:t>
                  </w:r>
                </w:p>
              </w:tc>
              <w:tc>
                <w:tcPr>
                  <w:tcW w:w="1984" w:type="dxa"/>
                  <w:tcBorders>
                    <w:top w:val="single" w:sz="4" w:space="0" w:color="auto"/>
                    <w:left w:val="single" w:sz="4" w:space="0" w:color="auto"/>
                    <w:bottom w:val="single" w:sz="4" w:space="0" w:color="auto"/>
                    <w:right w:val="single" w:sz="4" w:space="0" w:color="auto"/>
                  </w:tcBorders>
                  <w:shd w:val="clear" w:color="auto" w:fill="365F91"/>
                </w:tcPr>
                <w:p w14:paraId="62991BFC" w14:textId="77777777" w:rsidR="004C0388" w:rsidRDefault="004C0388" w:rsidP="00714345">
                  <w:pPr>
                    <w:spacing w:line="256" w:lineRule="auto"/>
                    <w:jc w:val="center"/>
                    <w:rPr>
                      <w:rFonts w:eastAsia="Arial Unicode MS" w:cstheme="minorHAnsi"/>
                      <w:b/>
                      <w:color w:val="FFFFFF"/>
                      <w:lang w:eastAsia="x-none"/>
                    </w:rPr>
                  </w:pPr>
                  <w:r>
                    <w:rPr>
                      <w:rFonts w:eastAsia="Arial Unicode MS" w:cstheme="minorHAnsi"/>
                      <w:b/>
                      <w:color w:val="FFFFFF"/>
                      <w:lang w:eastAsia="x-none"/>
                    </w:rPr>
                    <w:t xml:space="preserve">Number of complaints </w:t>
                  </w:r>
                </w:p>
                <w:p w14:paraId="26D36D96" w14:textId="77777777" w:rsidR="004C0388" w:rsidRDefault="004C0388" w:rsidP="00714345">
                  <w:pPr>
                    <w:spacing w:line="256" w:lineRule="auto"/>
                    <w:jc w:val="center"/>
                    <w:rPr>
                      <w:rFonts w:eastAsia="Arial Unicode MS" w:cstheme="minorHAnsi"/>
                      <w:b/>
                      <w:color w:val="FFFFFF"/>
                      <w:lang w:eastAsia="x-none"/>
                    </w:rPr>
                  </w:pPr>
                </w:p>
              </w:tc>
              <w:tc>
                <w:tcPr>
                  <w:tcW w:w="2171" w:type="dxa"/>
                  <w:tcBorders>
                    <w:top w:val="single" w:sz="4" w:space="0" w:color="auto"/>
                    <w:left w:val="single" w:sz="4" w:space="0" w:color="auto"/>
                    <w:bottom w:val="single" w:sz="4" w:space="0" w:color="auto"/>
                    <w:right w:val="single" w:sz="4" w:space="0" w:color="auto"/>
                  </w:tcBorders>
                  <w:shd w:val="clear" w:color="auto" w:fill="365F91"/>
                  <w:hideMark/>
                </w:tcPr>
                <w:p w14:paraId="181FE192" w14:textId="77777777" w:rsidR="004C0388" w:rsidRDefault="004C0388" w:rsidP="00714345">
                  <w:pPr>
                    <w:spacing w:line="256" w:lineRule="auto"/>
                    <w:jc w:val="center"/>
                    <w:rPr>
                      <w:rFonts w:eastAsia="Arial Unicode MS" w:cstheme="minorHAnsi"/>
                      <w:b/>
                      <w:color w:val="FFFFFF"/>
                      <w:lang w:eastAsia="x-none"/>
                    </w:rPr>
                  </w:pPr>
                  <w:r>
                    <w:rPr>
                      <w:rFonts w:eastAsia="Arial Unicode MS" w:cstheme="minorHAnsi"/>
                      <w:b/>
                      <w:color w:val="FFFFFF"/>
                      <w:lang w:eastAsia="x-none"/>
                    </w:rPr>
                    <w:t>%</w:t>
                  </w:r>
                </w:p>
              </w:tc>
            </w:tr>
            <w:tr w:rsidR="004C0388" w14:paraId="737BD72F" w14:textId="77777777" w:rsidTr="00714345">
              <w:tc>
                <w:tcPr>
                  <w:tcW w:w="2261" w:type="dxa"/>
                  <w:tcBorders>
                    <w:top w:val="single" w:sz="4" w:space="0" w:color="auto"/>
                    <w:left w:val="single" w:sz="4" w:space="0" w:color="auto"/>
                    <w:bottom w:val="single" w:sz="4" w:space="0" w:color="auto"/>
                    <w:right w:val="single" w:sz="4" w:space="0" w:color="auto"/>
                  </w:tcBorders>
                  <w:hideMark/>
                </w:tcPr>
                <w:p w14:paraId="7359B4C6" w14:textId="77777777" w:rsidR="004C0388" w:rsidRDefault="004C0388" w:rsidP="00714345">
                  <w:pPr>
                    <w:spacing w:line="256" w:lineRule="auto"/>
                    <w:rPr>
                      <w:rFonts w:eastAsia="Arial Unicode MS" w:cstheme="minorHAnsi"/>
                      <w:lang w:eastAsia="x-none"/>
                    </w:rPr>
                  </w:pPr>
                  <w:r>
                    <w:rPr>
                      <w:rFonts w:eastAsia="Arial Unicode MS" w:cstheme="minorHAnsi"/>
                      <w:lang w:eastAsia="x-none"/>
                    </w:rPr>
                    <w:t>Public procurement</w:t>
                  </w:r>
                </w:p>
              </w:tc>
              <w:tc>
                <w:tcPr>
                  <w:tcW w:w="2134" w:type="dxa"/>
                  <w:tcBorders>
                    <w:top w:val="single" w:sz="4" w:space="0" w:color="auto"/>
                    <w:left w:val="single" w:sz="4" w:space="0" w:color="auto"/>
                    <w:bottom w:val="single" w:sz="4" w:space="0" w:color="auto"/>
                    <w:right w:val="single" w:sz="4" w:space="0" w:color="auto"/>
                  </w:tcBorders>
                  <w:hideMark/>
                </w:tcPr>
                <w:p w14:paraId="5379166D" w14:textId="77777777" w:rsidR="004C0388" w:rsidRDefault="004C0388" w:rsidP="00714345">
                  <w:pPr>
                    <w:spacing w:line="256" w:lineRule="auto"/>
                    <w:jc w:val="center"/>
                    <w:rPr>
                      <w:rFonts w:eastAsia="Arial Unicode MS" w:cstheme="minorHAnsi"/>
                      <w:lang w:eastAsia="x-none"/>
                    </w:rPr>
                  </w:pPr>
                  <w:r>
                    <w:rPr>
                      <w:rFonts w:eastAsia="Arial Unicode MS" w:cstheme="minorHAnsi"/>
                      <w:lang w:eastAsia="x-none"/>
                    </w:rPr>
                    <w:t>9484</w:t>
                  </w:r>
                </w:p>
              </w:tc>
              <w:tc>
                <w:tcPr>
                  <w:tcW w:w="1984" w:type="dxa"/>
                  <w:tcBorders>
                    <w:top w:val="single" w:sz="4" w:space="0" w:color="auto"/>
                    <w:left w:val="single" w:sz="4" w:space="0" w:color="auto"/>
                    <w:bottom w:val="single" w:sz="4" w:space="0" w:color="auto"/>
                    <w:right w:val="single" w:sz="4" w:space="0" w:color="auto"/>
                  </w:tcBorders>
                  <w:hideMark/>
                </w:tcPr>
                <w:p w14:paraId="675E2F3C" w14:textId="77777777" w:rsidR="004C0388" w:rsidRDefault="004C0388" w:rsidP="00714345">
                  <w:pPr>
                    <w:spacing w:line="256" w:lineRule="auto"/>
                    <w:jc w:val="center"/>
                    <w:rPr>
                      <w:rFonts w:eastAsia="Arial Unicode MS" w:cstheme="minorHAnsi"/>
                      <w:lang w:eastAsia="x-none"/>
                    </w:rPr>
                  </w:pPr>
                  <w:r>
                    <w:rPr>
                      <w:rFonts w:eastAsia="Arial Unicode MS" w:cstheme="minorHAnsi"/>
                      <w:lang w:eastAsia="x-none"/>
                    </w:rPr>
                    <w:t xml:space="preserve"> 928</w:t>
                  </w:r>
                </w:p>
              </w:tc>
              <w:tc>
                <w:tcPr>
                  <w:tcW w:w="2171" w:type="dxa"/>
                  <w:tcBorders>
                    <w:top w:val="single" w:sz="4" w:space="0" w:color="auto"/>
                    <w:left w:val="single" w:sz="4" w:space="0" w:color="auto"/>
                    <w:bottom w:val="single" w:sz="4" w:space="0" w:color="auto"/>
                    <w:right w:val="single" w:sz="4" w:space="0" w:color="auto"/>
                  </w:tcBorders>
                  <w:hideMark/>
                </w:tcPr>
                <w:p w14:paraId="2346F042" w14:textId="77777777" w:rsidR="004C0388" w:rsidRDefault="004C0388" w:rsidP="00714345">
                  <w:pPr>
                    <w:spacing w:line="256" w:lineRule="auto"/>
                    <w:jc w:val="center"/>
                    <w:rPr>
                      <w:rFonts w:eastAsia="Arial Unicode MS" w:cstheme="minorHAnsi"/>
                      <w:lang w:eastAsia="x-none"/>
                    </w:rPr>
                  </w:pPr>
                  <w:r>
                    <w:rPr>
                      <w:rFonts w:eastAsia="Arial Unicode MS" w:cstheme="minorHAnsi"/>
                      <w:lang w:eastAsia="x-none"/>
                    </w:rPr>
                    <w:t xml:space="preserve">    9,78%</w:t>
                  </w:r>
                </w:p>
              </w:tc>
            </w:tr>
            <w:tr w:rsidR="004C0388" w14:paraId="0470F783" w14:textId="77777777" w:rsidTr="00714345">
              <w:tc>
                <w:tcPr>
                  <w:tcW w:w="2261" w:type="dxa"/>
                  <w:tcBorders>
                    <w:top w:val="single" w:sz="4" w:space="0" w:color="auto"/>
                    <w:left w:val="single" w:sz="4" w:space="0" w:color="auto"/>
                    <w:bottom w:val="single" w:sz="4" w:space="0" w:color="auto"/>
                    <w:right w:val="single" w:sz="4" w:space="0" w:color="auto"/>
                  </w:tcBorders>
                  <w:hideMark/>
                </w:tcPr>
                <w:p w14:paraId="70FB23A7" w14:textId="77777777" w:rsidR="004C0388" w:rsidRDefault="004C0388" w:rsidP="00714345">
                  <w:pPr>
                    <w:spacing w:line="256" w:lineRule="auto"/>
                    <w:rPr>
                      <w:rFonts w:eastAsia="Arial Unicode MS" w:cstheme="minorHAnsi"/>
                      <w:lang w:eastAsia="x-none"/>
                    </w:rPr>
                  </w:pPr>
                  <w:r>
                    <w:rPr>
                      <w:rFonts w:eastAsia="Arial Unicode MS" w:cstheme="minorHAnsi"/>
                      <w:lang w:eastAsia="x-none"/>
                    </w:rPr>
                    <w:t>Concessions</w:t>
                  </w:r>
                </w:p>
              </w:tc>
              <w:tc>
                <w:tcPr>
                  <w:tcW w:w="2134" w:type="dxa"/>
                  <w:tcBorders>
                    <w:top w:val="single" w:sz="4" w:space="0" w:color="auto"/>
                    <w:left w:val="single" w:sz="4" w:space="0" w:color="auto"/>
                    <w:bottom w:val="single" w:sz="4" w:space="0" w:color="auto"/>
                    <w:right w:val="single" w:sz="4" w:space="0" w:color="auto"/>
                  </w:tcBorders>
                  <w:hideMark/>
                </w:tcPr>
                <w:p w14:paraId="6D93A7FD" w14:textId="77777777" w:rsidR="004C0388" w:rsidRDefault="004C0388" w:rsidP="00714345">
                  <w:pPr>
                    <w:spacing w:line="256" w:lineRule="auto"/>
                    <w:jc w:val="center"/>
                    <w:rPr>
                      <w:rFonts w:eastAsia="Arial Unicode MS" w:cstheme="minorHAnsi"/>
                      <w:lang w:eastAsia="x-none"/>
                    </w:rPr>
                  </w:pPr>
                  <w:r>
                    <w:rPr>
                      <w:rFonts w:eastAsia="Arial Unicode MS" w:cstheme="minorHAnsi"/>
                      <w:lang w:eastAsia="x-none"/>
                    </w:rPr>
                    <w:t xml:space="preserve">  265</w:t>
                  </w:r>
                </w:p>
              </w:tc>
              <w:tc>
                <w:tcPr>
                  <w:tcW w:w="1984" w:type="dxa"/>
                  <w:tcBorders>
                    <w:top w:val="single" w:sz="4" w:space="0" w:color="auto"/>
                    <w:left w:val="single" w:sz="4" w:space="0" w:color="auto"/>
                    <w:bottom w:val="single" w:sz="4" w:space="0" w:color="auto"/>
                    <w:right w:val="single" w:sz="4" w:space="0" w:color="auto"/>
                  </w:tcBorders>
                  <w:hideMark/>
                </w:tcPr>
                <w:p w14:paraId="54A08B85" w14:textId="77777777" w:rsidR="004C0388" w:rsidRDefault="004C0388" w:rsidP="00714345">
                  <w:pPr>
                    <w:spacing w:line="256" w:lineRule="auto"/>
                    <w:jc w:val="center"/>
                    <w:rPr>
                      <w:rFonts w:eastAsia="Arial Unicode MS" w:cstheme="minorHAnsi"/>
                      <w:lang w:eastAsia="x-none"/>
                    </w:rPr>
                  </w:pPr>
                  <w:r>
                    <w:rPr>
                      <w:rFonts w:eastAsia="Arial Unicode MS" w:cstheme="minorHAnsi"/>
                      <w:lang w:eastAsia="x-none"/>
                    </w:rPr>
                    <w:t xml:space="preserve">  17</w:t>
                  </w:r>
                </w:p>
              </w:tc>
              <w:tc>
                <w:tcPr>
                  <w:tcW w:w="2171" w:type="dxa"/>
                  <w:tcBorders>
                    <w:top w:val="single" w:sz="4" w:space="0" w:color="auto"/>
                    <w:left w:val="single" w:sz="4" w:space="0" w:color="auto"/>
                    <w:bottom w:val="single" w:sz="4" w:space="0" w:color="auto"/>
                    <w:right w:val="single" w:sz="4" w:space="0" w:color="auto"/>
                  </w:tcBorders>
                  <w:hideMark/>
                </w:tcPr>
                <w:p w14:paraId="2E155BD6" w14:textId="77777777" w:rsidR="004C0388" w:rsidRDefault="004C0388" w:rsidP="00714345">
                  <w:pPr>
                    <w:spacing w:line="256" w:lineRule="auto"/>
                    <w:jc w:val="center"/>
                    <w:rPr>
                      <w:rFonts w:eastAsia="Arial Unicode MS" w:cstheme="minorHAnsi"/>
                      <w:lang w:eastAsia="x-none"/>
                    </w:rPr>
                  </w:pPr>
                  <w:r>
                    <w:rPr>
                      <w:rFonts w:eastAsia="Arial Unicode MS" w:cstheme="minorHAnsi"/>
                      <w:lang w:eastAsia="x-none"/>
                    </w:rPr>
                    <w:t xml:space="preserve">   6,42%</w:t>
                  </w:r>
                </w:p>
              </w:tc>
            </w:tr>
            <w:tr w:rsidR="004C0388" w14:paraId="7FE185A6" w14:textId="77777777" w:rsidTr="00714345">
              <w:tc>
                <w:tcPr>
                  <w:tcW w:w="2261" w:type="dxa"/>
                  <w:tcBorders>
                    <w:top w:val="single" w:sz="4" w:space="0" w:color="auto"/>
                    <w:left w:val="single" w:sz="4" w:space="0" w:color="auto"/>
                    <w:bottom w:val="single" w:sz="4" w:space="0" w:color="auto"/>
                    <w:right w:val="single" w:sz="4" w:space="0" w:color="auto"/>
                  </w:tcBorders>
                  <w:hideMark/>
                </w:tcPr>
                <w:p w14:paraId="7CD41D1A" w14:textId="77777777" w:rsidR="004C0388" w:rsidRDefault="004C0388" w:rsidP="00714345">
                  <w:pPr>
                    <w:spacing w:line="256" w:lineRule="auto"/>
                    <w:rPr>
                      <w:rFonts w:eastAsia="Arial Unicode MS" w:cstheme="minorHAnsi"/>
                      <w:b/>
                      <w:lang w:eastAsia="x-none"/>
                    </w:rPr>
                  </w:pPr>
                  <w:r>
                    <w:rPr>
                      <w:rFonts w:eastAsia="Arial Unicode MS" w:cstheme="minorHAnsi"/>
                      <w:b/>
                      <w:lang w:eastAsia="x-none"/>
                    </w:rPr>
                    <w:t>Total</w:t>
                  </w:r>
                </w:p>
              </w:tc>
              <w:tc>
                <w:tcPr>
                  <w:tcW w:w="2134" w:type="dxa"/>
                  <w:tcBorders>
                    <w:top w:val="single" w:sz="4" w:space="0" w:color="auto"/>
                    <w:left w:val="single" w:sz="4" w:space="0" w:color="auto"/>
                    <w:bottom w:val="single" w:sz="4" w:space="0" w:color="auto"/>
                    <w:right w:val="single" w:sz="4" w:space="0" w:color="auto"/>
                  </w:tcBorders>
                  <w:hideMark/>
                </w:tcPr>
                <w:p w14:paraId="706D5758" w14:textId="77777777" w:rsidR="004C0388" w:rsidRDefault="004C0388" w:rsidP="00714345">
                  <w:pPr>
                    <w:spacing w:line="256" w:lineRule="auto"/>
                    <w:jc w:val="center"/>
                    <w:rPr>
                      <w:rFonts w:eastAsia="Arial Unicode MS" w:cstheme="minorHAnsi"/>
                      <w:b/>
                      <w:lang w:eastAsia="x-none"/>
                    </w:rPr>
                  </w:pPr>
                  <w:r>
                    <w:rPr>
                      <w:rFonts w:eastAsia="Arial Unicode MS" w:cstheme="minorHAnsi"/>
                      <w:b/>
                      <w:lang w:eastAsia="x-none"/>
                    </w:rPr>
                    <w:t>9749</w:t>
                  </w:r>
                </w:p>
              </w:tc>
              <w:tc>
                <w:tcPr>
                  <w:tcW w:w="1984" w:type="dxa"/>
                  <w:tcBorders>
                    <w:top w:val="single" w:sz="4" w:space="0" w:color="auto"/>
                    <w:left w:val="single" w:sz="4" w:space="0" w:color="auto"/>
                    <w:bottom w:val="single" w:sz="4" w:space="0" w:color="auto"/>
                    <w:right w:val="single" w:sz="4" w:space="0" w:color="auto"/>
                  </w:tcBorders>
                  <w:hideMark/>
                </w:tcPr>
                <w:p w14:paraId="2DBCB033" w14:textId="77777777" w:rsidR="004C0388" w:rsidRDefault="004C0388" w:rsidP="00714345">
                  <w:pPr>
                    <w:spacing w:line="256" w:lineRule="auto"/>
                    <w:jc w:val="center"/>
                    <w:rPr>
                      <w:rFonts w:eastAsia="Arial Unicode MS" w:cstheme="minorHAnsi"/>
                      <w:b/>
                      <w:lang w:eastAsia="x-none"/>
                    </w:rPr>
                  </w:pPr>
                  <w:r>
                    <w:rPr>
                      <w:rFonts w:eastAsia="Arial Unicode MS" w:cstheme="minorHAnsi"/>
                      <w:b/>
                      <w:lang w:eastAsia="x-none"/>
                    </w:rPr>
                    <w:t xml:space="preserve"> 945</w:t>
                  </w:r>
                </w:p>
              </w:tc>
              <w:tc>
                <w:tcPr>
                  <w:tcW w:w="2171" w:type="dxa"/>
                  <w:tcBorders>
                    <w:top w:val="single" w:sz="4" w:space="0" w:color="auto"/>
                    <w:left w:val="single" w:sz="4" w:space="0" w:color="auto"/>
                    <w:bottom w:val="single" w:sz="4" w:space="0" w:color="auto"/>
                    <w:right w:val="single" w:sz="4" w:space="0" w:color="auto"/>
                  </w:tcBorders>
                  <w:hideMark/>
                </w:tcPr>
                <w:p w14:paraId="3AC0574A" w14:textId="77777777" w:rsidR="004C0388" w:rsidRDefault="004C0388" w:rsidP="00714345">
                  <w:pPr>
                    <w:spacing w:line="256" w:lineRule="auto"/>
                    <w:jc w:val="center"/>
                    <w:rPr>
                      <w:rFonts w:eastAsia="Arial Unicode MS" w:cstheme="minorHAnsi"/>
                      <w:b/>
                      <w:lang w:eastAsia="x-none"/>
                    </w:rPr>
                  </w:pPr>
                  <w:r>
                    <w:rPr>
                      <w:rFonts w:eastAsia="Arial Unicode MS" w:cstheme="minorHAnsi"/>
                      <w:b/>
                      <w:lang w:eastAsia="x-none"/>
                    </w:rPr>
                    <w:t xml:space="preserve">     9,70 %</w:t>
                  </w:r>
                </w:p>
              </w:tc>
            </w:tr>
          </w:tbl>
          <w:p w14:paraId="6C880587" w14:textId="77777777" w:rsidR="004C0388" w:rsidRDefault="004C0388">
            <w:pPr>
              <w:jc w:val="both"/>
              <w:rPr>
                <w:color w:val="FF0000"/>
              </w:rPr>
            </w:pPr>
          </w:p>
          <w:p w14:paraId="5440C85C" w14:textId="77777777" w:rsidR="004C0388" w:rsidRDefault="004C0388" w:rsidP="004C0388">
            <w:pPr>
              <w:jc w:val="both"/>
              <w:rPr>
                <w:rFonts w:cstheme="minorHAnsi"/>
                <w:noProof/>
                <w:color w:val="FF0000"/>
              </w:rPr>
            </w:pPr>
            <w:r>
              <w:rPr>
                <w:rFonts w:cstheme="minorHAnsi"/>
                <w:color w:val="FF0000"/>
              </w:rPr>
              <w:t>Of</w:t>
            </w:r>
            <w:r w:rsidRPr="004C0388">
              <w:rPr>
                <w:rFonts w:cstheme="minorHAnsi"/>
                <w:color w:val="FF0000"/>
              </w:rPr>
              <w:t xml:space="preserve"> 945 </w:t>
            </w:r>
            <w:r w:rsidRPr="004C0388">
              <w:rPr>
                <w:rFonts w:cstheme="minorHAnsi"/>
                <w:noProof/>
                <w:color w:val="FF0000"/>
              </w:rPr>
              <w:t>complaints received</w:t>
            </w:r>
            <w:r w:rsidRPr="004C0388">
              <w:rPr>
                <w:rFonts w:cstheme="minorHAnsi"/>
                <w:color w:val="FF0000"/>
              </w:rPr>
              <w:t xml:space="preserve"> in 2017, the </w:t>
            </w:r>
            <w:r w:rsidRPr="004C0388">
              <w:rPr>
                <w:rFonts w:cstheme="minorHAnsi"/>
                <w:noProof/>
                <w:color w:val="FF0000"/>
              </w:rPr>
              <w:t>State</w:t>
            </w:r>
            <w:r w:rsidRPr="004C0388">
              <w:rPr>
                <w:rFonts w:cstheme="minorHAnsi"/>
                <w:color w:val="FF0000"/>
              </w:rPr>
              <w:t xml:space="preserve"> Commission </w:t>
            </w:r>
            <w:r w:rsidRPr="004C0388">
              <w:rPr>
                <w:rFonts w:cstheme="minorHAnsi"/>
                <w:noProof/>
                <w:color w:val="FF0000"/>
              </w:rPr>
              <w:t>resolved 854 complaints till the end of 2017.</w:t>
            </w:r>
            <w:r>
              <w:rPr>
                <w:rFonts w:cstheme="minorHAnsi"/>
                <w:noProof/>
                <w:color w:val="FF0000"/>
              </w:rPr>
              <w:t xml:space="preserve"> </w:t>
            </w:r>
            <w:r>
              <w:rPr>
                <w:rFonts w:cstheme="minorHAnsi"/>
                <w:noProof/>
                <w:color w:val="FF0000"/>
              </w:rPr>
              <w:lastRenderedPageBreak/>
              <w:t>Of</w:t>
            </w:r>
            <w:r w:rsidRPr="004C0388">
              <w:rPr>
                <w:rFonts w:cstheme="minorHAnsi"/>
                <w:noProof/>
                <w:color w:val="FF0000"/>
              </w:rPr>
              <w:t xml:space="preserve"> 854 resolved complaints, 446 were resolved in the favor of the complainant (52,22%).</w:t>
            </w:r>
          </w:p>
          <w:p w14:paraId="31BDFACB" w14:textId="77777777" w:rsidR="004C0388" w:rsidRDefault="004C0388" w:rsidP="004C0388">
            <w:pPr>
              <w:jc w:val="both"/>
              <w:rPr>
                <w:rFonts w:cstheme="minorHAnsi"/>
                <w:noProof/>
                <w:color w:val="FF0000"/>
              </w:rPr>
            </w:pPr>
          </w:p>
          <w:p w14:paraId="604B1842" w14:textId="77777777" w:rsidR="004C0388" w:rsidRDefault="004C0388" w:rsidP="004C0388">
            <w:pPr>
              <w:jc w:val="both"/>
              <w:rPr>
                <w:rFonts w:cstheme="minorHAnsi"/>
                <w:noProof/>
                <w:color w:val="FF0000"/>
              </w:rPr>
            </w:pPr>
          </w:p>
          <w:tbl>
            <w:tblPr>
              <w:tblW w:w="8447" w:type="dxa"/>
              <w:tblInd w:w="16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60" w:firstRow="1" w:lastRow="1" w:firstColumn="0" w:lastColumn="0" w:noHBand="0" w:noVBand="0"/>
            </w:tblPr>
            <w:tblGrid>
              <w:gridCol w:w="1785"/>
              <w:gridCol w:w="3969"/>
              <w:gridCol w:w="1337"/>
              <w:gridCol w:w="1356"/>
            </w:tblGrid>
            <w:tr w:rsidR="004C0388" w14:paraId="24A24F26" w14:textId="77777777" w:rsidTr="00714345">
              <w:trPr>
                <w:trHeight w:val="315"/>
              </w:trPr>
              <w:tc>
                <w:tcPr>
                  <w:tcW w:w="1785" w:type="dxa"/>
                  <w:tcBorders>
                    <w:top w:val="single" w:sz="4" w:space="0" w:color="auto"/>
                    <w:left w:val="single" w:sz="4" w:space="0" w:color="auto"/>
                    <w:bottom w:val="single" w:sz="4" w:space="0" w:color="auto"/>
                    <w:right w:val="single" w:sz="4" w:space="0" w:color="auto"/>
                  </w:tcBorders>
                  <w:shd w:val="clear" w:color="auto" w:fill="365F91"/>
                  <w:noWrap/>
                  <w:hideMark/>
                </w:tcPr>
                <w:p w14:paraId="01200A51" w14:textId="77777777" w:rsidR="004C0388" w:rsidRDefault="004C0388" w:rsidP="00714345">
                  <w:pPr>
                    <w:ind w:right="-228"/>
                    <w:rPr>
                      <w:rFonts w:eastAsia="Arial Unicode MS" w:cstheme="minorHAnsi"/>
                      <w:color w:val="FFFFFF"/>
                    </w:rPr>
                  </w:pPr>
                  <w:r>
                    <w:rPr>
                      <w:rFonts w:eastAsia="Arial Unicode MS" w:cstheme="minorHAnsi"/>
                      <w:color w:val="FFFFFF"/>
                    </w:rPr>
                    <w:t xml:space="preserve">Type </w:t>
                  </w:r>
                  <w:r>
                    <w:rPr>
                      <w:rFonts w:eastAsia="Arial Unicode MS" w:cstheme="minorHAnsi"/>
                      <w:noProof/>
                      <w:color w:val="FFFFFF"/>
                    </w:rPr>
                    <w:t>of</w:t>
                  </w:r>
                  <w:r>
                    <w:rPr>
                      <w:rFonts w:eastAsia="Arial Unicode MS" w:cstheme="minorHAnsi"/>
                      <w:color w:val="FFFFFF"/>
                    </w:rPr>
                    <w:t xml:space="preserve"> decision</w:t>
                  </w:r>
                </w:p>
              </w:tc>
              <w:tc>
                <w:tcPr>
                  <w:tcW w:w="6662" w:type="dxa"/>
                  <w:gridSpan w:val="3"/>
                  <w:tcBorders>
                    <w:top w:val="single" w:sz="4" w:space="0" w:color="auto"/>
                    <w:left w:val="single" w:sz="4" w:space="0" w:color="auto"/>
                    <w:bottom w:val="single" w:sz="4" w:space="0" w:color="auto"/>
                    <w:right w:val="single" w:sz="4" w:space="0" w:color="auto"/>
                  </w:tcBorders>
                  <w:shd w:val="clear" w:color="auto" w:fill="365F91"/>
                  <w:hideMark/>
                </w:tcPr>
                <w:p w14:paraId="45388710" w14:textId="77777777" w:rsidR="004C0388" w:rsidRDefault="004C0388" w:rsidP="00714345">
                  <w:pPr>
                    <w:ind w:right="-228"/>
                    <w:jc w:val="both"/>
                    <w:rPr>
                      <w:rFonts w:eastAsia="Arial Unicode MS" w:cstheme="minorHAnsi"/>
                      <w:color w:val="FFFFFF"/>
                    </w:rPr>
                  </w:pPr>
                  <w:r>
                    <w:rPr>
                      <w:rFonts w:eastAsia="Arial Unicode MS" w:cstheme="minorHAnsi"/>
                      <w:color w:val="FFFFFF"/>
                    </w:rPr>
                    <w:t xml:space="preserve">                                                                                   Number                    %</w:t>
                  </w:r>
                </w:p>
              </w:tc>
            </w:tr>
            <w:tr w:rsidR="004C0388" w14:paraId="2B8AF235" w14:textId="77777777" w:rsidTr="00714345">
              <w:trPr>
                <w:trHeight w:val="255"/>
              </w:trPr>
              <w:tc>
                <w:tcPr>
                  <w:tcW w:w="5754" w:type="dxa"/>
                  <w:gridSpan w:val="2"/>
                  <w:tcBorders>
                    <w:top w:val="single" w:sz="4" w:space="0" w:color="auto"/>
                    <w:left w:val="single" w:sz="6" w:space="0" w:color="000080"/>
                    <w:bottom w:val="single" w:sz="6" w:space="0" w:color="000080"/>
                    <w:right w:val="single" w:sz="6" w:space="0" w:color="000080"/>
                  </w:tcBorders>
                  <w:noWrap/>
                  <w:hideMark/>
                </w:tcPr>
                <w:p w14:paraId="01C33E0C" w14:textId="77777777" w:rsidR="004C0388" w:rsidRDefault="004C0388" w:rsidP="00714345">
                  <w:pPr>
                    <w:rPr>
                      <w:rFonts w:eastAsia="Arial Unicode MS" w:cstheme="minorHAnsi"/>
                    </w:rPr>
                  </w:pPr>
                  <w:r>
                    <w:rPr>
                      <w:rFonts w:eastAsia="Arial Unicode MS" w:cstheme="minorHAnsi"/>
                    </w:rPr>
                    <w:t xml:space="preserve">Complaint accepted                                                                                 </w:t>
                  </w:r>
                </w:p>
              </w:tc>
              <w:tc>
                <w:tcPr>
                  <w:tcW w:w="1337" w:type="dxa"/>
                  <w:tcBorders>
                    <w:top w:val="single" w:sz="4" w:space="0" w:color="auto"/>
                    <w:left w:val="single" w:sz="6" w:space="0" w:color="000080"/>
                    <w:bottom w:val="single" w:sz="6" w:space="0" w:color="000080"/>
                    <w:right w:val="single" w:sz="6" w:space="0" w:color="000080"/>
                  </w:tcBorders>
                  <w:noWrap/>
                  <w:hideMark/>
                </w:tcPr>
                <w:p w14:paraId="3A3012A6" w14:textId="77777777" w:rsidR="004C0388" w:rsidRDefault="004C0388" w:rsidP="00714345">
                  <w:pPr>
                    <w:jc w:val="right"/>
                    <w:rPr>
                      <w:rFonts w:eastAsia="Arial Unicode MS" w:cstheme="minorHAnsi"/>
                    </w:rPr>
                  </w:pPr>
                  <w:r>
                    <w:rPr>
                      <w:rFonts w:eastAsia="Arial Unicode MS" w:cstheme="minorHAnsi"/>
                    </w:rPr>
                    <w:t>446</w:t>
                  </w:r>
                </w:p>
              </w:tc>
              <w:tc>
                <w:tcPr>
                  <w:tcW w:w="1356" w:type="dxa"/>
                  <w:tcBorders>
                    <w:top w:val="single" w:sz="4" w:space="0" w:color="auto"/>
                    <w:left w:val="single" w:sz="6" w:space="0" w:color="000080"/>
                    <w:bottom w:val="single" w:sz="6" w:space="0" w:color="000080"/>
                    <w:right w:val="single" w:sz="6" w:space="0" w:color="000080"/>
                  </w:tcBorders>
                  <w:hideMark/>
                </w:tcPr>
                <w:p w14:paraId="61483E4D" w14:textId="77777777" w:rsidR="004C0388" w:rsidRDefault="004C0388" w:rsidP="00714345">
                  <w:pPr>
                    <w:jc w:val="right"/>
                    <w:rPr>
                      <w:rFonts w:eastAsia="Arial Unicode MS" w:cstheme="minorHAnsi"/>
                    </w:rPr>
                  </w:pPr>
                  <w:r>
                    <w:rPr>
                      <w:rFonts w:eastAsia="Arial Unicode MS" w:cstheme="minorHAnsi"/>
                    </w:rPr>
                    <w:t>52,22%</w:t>
                  </w:r>
                </w:p>
              </w:tc>
            </w:tr>
            <w:tr w:rsidR="004C0388" w14:paraId="192E1AD7" w14:textId="77777777" w:rsidTr="00714345">
              <w:trPr>
                <w:trHeight w:val="80"/>
              </w:trPr>
              <w:tc>
                <w:tcPr>
                  <w:tcW w:w="5754" w:type="dxa"/>
                  <w:gridSpan w:val="2"/>
                  <w:tcBorders>
                    <w:top w:val="single" w:sz="6" w:space="0" w:color="000080"/>
                    <w:left w:val="single" w:sz="6" w:space="0" w:color="000080"/>
                    <w:bottom w:val="single" w:sz="6" w:space="0" w:color="000080"/>
                    <w:right w:val="single" w:sz="6" w:space="0" w:color="000080"/>
                  </w:tcBorders>
                  <w:noWrap/>
                  <w:hideMark/>
                </w:tcPr>
                <w:p w14:paraId="0C7A93C1" w14:textId="77777777" w:rsidR="004C0388" w:rsidRDefault="004C0388" w:rsidP="00714345">
                  <w:pPr>
                    <w:rPr>
                      <w:rFonts w:eastAsia="Arial Unicode MS" w:cstheme="minorHAnsi"/>
                    </w:rPr>
                  </w:pPr>
                  <w:r>
                    <w:rPr>
                      <w:rFonts w:eastAsia="Arial Unicode MS" w:cstheme="minorHAnsi"/>
                    </w:rPr>
                    <w:t>Complaint rejected</w:t>
                  </w:r>
                </w:p>
              </w:tc>
              <w:tc>
                <w:tcPr>
                  <w:tcW w:w="1337" w:type="dxa"/>
                  <w:tcBorders>
                    <w:top w:val="single" w:sz="6" w:space="0" w:color="000080"/>
                    <w:left w:val="single" w:sz="6" w:space="0" w:color="000080"/>
                    <w:bottom w:val="single" w:sz="6" w:space="0" w:color="000080"/>
                    <w:right w:val="single" w:sz="6" w:space="0" w:color="000080"/>
                  </w:tcBorders>
                  <w:noWrap/>
                  <w:hideMark/>
                </w:tcPr>
                <w:p w14:paraId="558304F1" w14:textId="77777777" w:rsidR="004C0388" w:rsidRDefault="004C0388" w:rsidP="00714345">
                  <w:pPr>
                    <w:jc w:val="right"/>
                    <w:rPr>
                      <w:rFonts w:eastAsia="Arial Unicode MS" w:cstheme="minorHAnsi"/>
                    </w:rPr>
                  </w:pPr>
                  <w:r>
                    <w:rPr>
                      <w:rFonts w:eastAsia="Arial Unicode MS" w:cstheme="minorHAnsi"/>
                    </w:rPr>
                    <w:t>193</w:t>
                  </w:r>
                </w:p>
              </w:tc>
              <w:tc>
                <w:tcPr>
                  <w:tcW w:w="1356" w:type="dxa"/>
                  <w:tcBorders>
                    <w:top w:val="single" w:sz="6" w:space="0" w:color="000080"/>
                    <w:left w:val="single" w:sz="6" w:space="0" w:color="000080"/>
                    <w:bottom w:val="single" w:sz="6" w:space="0" w:color="000080"/>
                    <w:right w:val="single" w:sz="6" w:space="0" w:color="000080"/>
                  </w:tcBorders>
                  <w:hideMark/>
                </w:tcPr>
                <w:p w14:paraId="1E616360" w14:textId="77777777" w:rsidR="004C0388" w:rsidRDefault="004C0388" w:rsidP="00714345">
                  <w:pPr>
                    <w:jc w:val="right"/>
                    <w:rPr>
                      <w:rFonts w:eastAsia="Arial Unicode MS" w:cstheme="minorHAnsi"/>
                    </w:rPr>
                  </w:pPr>
                  <w:r>
                    <w:rPr>
                      <w:rFonts w:eastAsia="Arial Unicode MS" w:cstheme="minorHAnsi"/>
                    </w:rPr>
                    <w:t>22,60%</w:t>
                  </w:r>
                </w:p>
              </w:tc>
            </w:tr>
            <w:tr w:rsidR="004C0388" w14:paraId="27A3D998" w14:textId="77777777" w:rsidTr="00714345">
              <w:trPr>
                <w:trHeight w:val="255"/>
              </w:trPr>
              <w:tc>
                <w:tcPr>
                  <w:tcW w:w="5754" w:type="dxa"/>
                  <w:gridSpan w:val="2"/>
                  <w:tcBorders>
                    <w:top w:val="single" w:sz="6" w:space="0" w:color="000080"/>
                    <w:left w:val="single" w:sz="6" w:space="0" w:color="000080"/>
                    <w:bottom w:val="single" w:sz="6" w:space="0" w:color="000080"/>
                    <w:right w:val="single" w:sz="6" w:space="0" w:color="000080"/>
                  </w:tcBorders>
                  <w:noWrap/>
                  <w:hideMark/>
                </w:tcPr>
                <w:p w14:paraId="18C87017" w14:textId="77777777" w:rsidR="004C0388" w:rsidRDefault="004C0388" w:rsidP="00714345">
                  <w:pPr>
                    <w:rPr>
                      <w:rFonts w:eastAsia="Arial Unicode MS" w:cstheme="minorHAnsi"/>
                    </w:rPr>
                  </w:pPr>
                  <w:r>
                    <w:rPr>
                      <w:rFonts w:eastAsia="Arial Unicode MS" w:cstheme="minorHAnsi"/>
                    </w:rPr>
                    <w:t>Complaint dismissed</w:t>
                  </w:r>
                </w:p>
              </w:tc>
              <w:tc>
                <w:tcPr>
                  <w:tcW w:w="1337" w:type="dxa"/>
                  <w:tcBorders>
                    <w:top w:val="single" w:sz="6" w:space="0" w:color="000080"/>
                    <w:left w:val="single" w:sz="6" w:space="0" w:color="000080"/>
                    <w:bottom w:val="single" w:sz="6" w:space="0" w:color="000080"/>
                    <w:right w:val="single" w:sz="6" w:space="0" w:color="000080"/>
                  </w:tcBorders>
                  <w:noWrap/>
                  <w:hideMark/>
                </w:tcPr>
                <w:p w14:paraId="5C80EEDB" w14:textId="77777777" w:rsidR="004C0388" w:rsidRDefault="004C0388" w:rsidP="00714345">
                  <w:pPr>
                    <w:jc w:val="right"/>
                    <w:rPr>
                      <w:rFonts w:eastAsia="Arial Unicode MS" w:cstheme="minorHAnsi"/>
                    </w:rPr>
                  </w:pPr>
                  <w:r>
                    <w:rPr>
                      <w:rFonts w:eastAsia="Arial Unicode MS" w:cstheme="minorHAnsi"/>
                    </w:rPr>
                    <w:t>168</w:t>
                  </w:r>
                </w:p>
              </w:tc>
              <w:tc>
                <w:tcPr>
                  <w:tcW w:w="1356" w:type="dxa"/>
                  <w:tcBorders>
                    <w:top w:val="single" w:sz="6" w:space="0" w:color="000080"/>
                    <w:left w:val="single" w:sz="6" w:space="0" w:color="000080"/>
                    <w:bottom w:val="single" w:sz="6" w:space="0" w:color="000080"/>
                    <w:right w:val="single" w:sz="6" w:space="0" w:color="000080"/>
                  </w:tcBorders>
                  <w:hideMark/>
                </w:tcPr>
                <w:p w14:paraId="595832DB" w14:textId="77777777" w:rsidR="004C0388" w:rsidRDefault="004C0388" w:rsidP="00714345">
                  <w:pPr>
                    <w:jc w:val="right"/>
                    <w:rPr>
                      <w:rFonts w:eastAsia="Arial Unicode MS" w:cstheme="minorHAnsi"/>
                    </w:rPr>
                  </w:pPr>
                  <w:r>
                    <w:rPr>
                      <w:rFonts w:eastAsia="Arial Unicode MS" w:cstheme="minorHAnsi"/>
                    </w:rPr>
                    <w:t xml:space="preserve"> 19,67%</w:t>
                  </w:r>
                </w:p>
              </w:tc>
            </w:tr>
            <w:tr w:rsidR="004C0388" w14:paraId="4AE0ADA2" w14:textId="77777777" w:rsidTr="00714345">
              <w:trPr>
                <w:trHeight w:val="255"/>
              </w:trPr>
              <w:tc>
                <w:tcPr>
                  <w:tcW w:w="5754" w:type="dxa"/>
                  <w:gridSpan w:val="2"/>
                  <w:tcBorders>
                    <w:top w:val="single" w:sz="6" w:space="0" w:color="000080"/>
                    <w:left w:val="single" w:sz="6" w:space="0" w:color="000080"/>
                    <w:bottom w:val="single" w:sz="6" w:space="0" w:color="000080"/>
                    <w:right w:val="single" w:sz="6" w:space="0" w:color="000080"/>
                  </w:tcBorders>
                  <w:noWrap/>
                  <w:hideMark/>
                </w:tcPr>
                <w:p w14:paraId="53DF747C" w14:textId="77777777" w:rsidR="004C0388" w:rsidRDefault="004C0388" w:rsidP="00714345">
                  <w:pPr>
                    <w:rPr>
                      <w:rFonts w:eastAsia="Arial Unicode MS" w:cstheme="minorHAnsi"/>
                    </w:rPr>
                  </w:pPr>
                  <w:r>
                    <w:rPr>
                      <w:rFonts w:eastAsia="Arial Unicode MS" w:cstheme="minorHAnsi"/>
                      <w:lang w:eastAsia="zh-CN"/>
                    </w:rPr>
                    <w:t>Other</w:t>
                  </w:r>
                </w:p>
              </w:tc>
              <w:tc>
                <w:tcPr>
                  <w:tcW w:w="1337" w:type="dxa"/>
                  <w:tcBorders>
                    <w:top w:val="single" w:sz="6" w:space="0" w:color="000080"/>
                    <w:left w:val="single" w:sz="6" w:space="0" w:color="000080"/>
                    <w:bottom w:val="single" w:sz="6" w:space="0" w:color="000080"/>
                    <w:right w:val="single" w:sz="6" w:space="0" w:color="000080"/>
                  </w:tcBorders>
                  <w:noWrap/>
                  <w:hideMark/>
                </w:tcPr>
                <w:p w14:paraId="3E8491D6" w14:textId="77777777" w:rsidR="004C0388" w:rsidRDefault="004C0388" w:rsidP="00714345">
                  <w:pPr>
                    <w:jc w:val="right"/>
                    <w:rPr>
                      <w:rFonts w:eastAsia="Arial Unicode MS" w:cstheme="minorHAnsi"/>
                    </w:rPr>
                  </w:pPr>
                  <w:r>
                    <w:rPr>
                      <w:rFonts w:eastAsia="Arial Unicode MS" w:cstheme="minorHAnsi"/>
                    </w:rPr>
                    <w:t>47</w:t>
                  </w:r>
                </w:p>
              </w:tc>
              <w:tc>
                <w:tcPr>
                  <w:tcW w:w="1356" w:type="dxa"/>
                  <w:tcBorders>
                    <w:top w:val="single" w:sz="6" w:space="0" w:color="000080"/>
                    <w:left w:val="single" w:sz="6" w:space="0" w:color="000080"/>
                    <w:bottom w:val="single" w:sz="6" w:space="0" w:color="000080"/>
                    <w:right w:val="single" w:sz="6" w:space="0" w:color="000080"/>
                  </w:tcBorders>
                  <w:hideMark/>
                </w:tcPr>
                <w:p w14:paraId="7EDBA1F2" w14:textId="77777777" w:rsidR="004C0388" w:rsidRDefault="004C0388" w:rsidP="00714345">
                  <w:pPr>
                    <w:jc w:val="right"/>
                    <w:rPr>
                      <w:rFonts w:eastAsia="Arial Unicode MS" w:cstheme="minorHAnsi"/>
                    </w:rPr>
                  </w:pPr>
                  <w:r>
                    <w:rPr>
                      <w:rFonts w:eastAsia="Arial Unicode MS" w:cstheme="minorHAnsi"/>
                    </w:rPr>
                    <w:t>5,51%</w:t>
                  </w:r>
                </w:p>
              </w:tc>
            </w:tr>
            <w:tr w:rsidR="004C0388" w14:paraId="7A369E73" w14:textId="77777777" w:rsidTr="00714345">
              <w:trPr>
                <w:trHeight w:val="255"/>
              </w:trPr>
              <w:tc>
                <w:tcPr>
                  <w:tcW w:w="5754" w:type="dxa"/>
                  <w:gridSpan w:val="2"/>
                  <w:tcBorders>
                    <w:top w:val="single" w:sz="6" w:space="0" w:color="000080"/>
                    <w:left w:val="single" w:sz="6" w:space="0" w:color="000080"/>
                    <w:bottom w:val="single" w:sz="4" w:space="0" w:color="auto"/>
                    <w:right w:val="single" w:sz="6" w:space="0" w:color="000080"/>
                  </w:tcBorders>
                  <w:noWrap/>
                  <w:hideMark/>
                </w:tcPr>
                <w:p w14:paraId="28720F46" w14:textId="77777777" w:rsidR="004C0388" w:rsidRDefault="004C0388" w:rsidP="00714345">
                  <w:pPr>
                    <w:rPr>
                      <w:rFonts w:eastAsia="Arial Unicode MS" w:cstheme="minorHAnsi"/>
                      <w:b/>
                      <w:bCs/>
                      <w:lang w:eastAsia="zh-CN"/>
                    </w:rPr>
                  </w:pPr>
                  <w:r>
                    <w:rPr>
                      <w:rFonts w:eastAsia="Arial Unicode MS" w:cstheme="minorHAnsi"/>
                      <w:b/>
                      <w:bCs/>
                      <w:lang w:eastAsia="zh-CN"/>
                    </w:rPr>
                    <w:t>Total</w:t>
                  </w:r>
                </w:p>
              </w:tc>
              <w:tc>
                <w:tcPr>
                  <w:tcW w:w="1337" w:type="dxa"/>
                  <w:tcBorders>
                    <w:top w:val="single" w:sz="6" w:space="0" w:color="000080"/>
                    <w:left w:val="single" w:sz="6" w:space="0" w:color="000080"/>
                    <w:bottom w:val="single" w:sz="4" w:space="0" w:color="auto"/>
                    <w:right w:val="single" w:sz="6" w:space="0" w:color="000080"/>
                  </w:tcBorders>
                  <w:noWrap/>
                  <w:hideMark/>
                </w:tcPr>
                <w:p w14:paraId="3AC0A7BA" w14:textId="77777777" w:rsidR="004C0388" w:rsidRDefault="004C0388" w:rsidP="00714345">
                  <w:pPr>
                    <w:rPr>
                      <w:rFonts w:eastAsia="Arial Unicode MS" w:cstheme="minorHAnsi"/>
                      <w:b/>
                      <w:bCs/>
                    </w:rPr>
                  </w:pPr>
                  <w:r>
                    <w:rPr>
                      <w:rFonts w:eastAsia="Arial Unicode MS" w:cstheme="minorHAnsi"/>
                      <w:b/>
                      <w:bCs/>
                    </w:rPr>
                    <w:t xml:space="preserve">               854</w:t>
                  </w:r>
                </w:p>
              </w:tc>
              <w:tc>
                <w:tcPr>
                  <w:tcW w:w="1356" w:type="dxa"/>
                  <w:tcBorders>
                    <w:top w:val="single" w:sz="6" w:space="0" w:color="000080"/>
                    <w:left w:val="single" w:sz="6" w:space="0" w:color="000080"/>
                    <w:bottom w:val="single" w:sz="4" w:space="0" w:color="auto"/>
                    <w:right w:val="single" w:sz="6" w:space="0" w:color="000080"/>
                  </w:tcBorders>
                  <w:hideMark/>
                </w:tcPr>
                <w:p w14:paraId="0BEF665C" w14:textId="77777777" w:rsidR="004C0388" w:rsidRDefault="004C0388" w:rsidP="00714345">
                  <w:pPr>
                    <w:jc w:val="right"/>
                    <w:rPr>
                      <w:rFonts w:eastAsia="Arial Unicode MS" w:cstheme="minorHAnsi"/>
                      <w:b/>
                      <w:bCs/>
                    </w:rPr>
                  </w:pPr>
                  <w:r>
                    <w:rPr>
                      <w:rFonts w:eastAsia="Arial Unicode MS" w:cstheme="minorHAnsi"/>
                      <w:b/>
                      <w:bCs/>
                    </w:rPr>
                    <w:t>100,00%</w:t>
                  </w:r>
                </w:p>
              </w:tc>
            </w:tr>
            <w:tr w:rsidR="004C0388" w14:paraId="68C03BAB" w14:textId="77777777" w:rsidTr="00714345">
              <w:trPr>
                <w:trHeight w:val="255"/>
              </w:trPr>
              <w:tc>
                <w:tcPr>
                  <w:tcW w:w="5754" w:type="dxa"/>
                  <w:gridSpan w:val="2"/>
                  <w:tcBorders>
                    <w:top w:val="single" w:sz="4" w:space="0" w:color="auto"/>
                    <w:left w:val="nil"/>
                    <w:bottom w:val="nil"/>
                    <w:right w:val="nil"/>
                  </w:tcBorders>
                  <w:noWrap/>
                </w:tcPr>
                <w:p w14:paraId="1C69A97A" w14:textId="77777777" w:rsidR="004C0388" w:rsidRDefault="004C0388" w:rsidP="00714345">
                  <w:pPr>
                    <w:rPr>
                      <w:rFonts w:eastAsia="Arial Unicode MS" w:cstheme="minorHAnsi"/>
                      <w:b/>
                      <w:bCs/>
                      <w:lang w:eastAsia="zh-CN"/>
                    </w:rPr>
                  </w:pPr>
                </w:p>
              </w:tc>
              <w:tc>
                <w:tcPr>
                  <w:tcW w:w="1337" w:type="dxa"/>
                  <w:tcBorders>
                    <w:top w:val="single" w:sz="4" w:space="0" w:color="auto"/>
                    <w:left w:val="nil"/>
                    <w:bottom w:val="nil"/>
                    <w:right w:val="nil"/>
                  </w:tcBorders>
                  <w:noWrap/>
                </w:tcPr>
                <w:p w14:paraId="1C975F00" w14:textId="77777777" w:rsidR="004C0388" w:rsidRDefault="004C0388" w:rsidP="00714345">
                  <w:pPr>
                    <w:jc w:val="right"/>
                    <w:rPr>
                      <w:rFonts w:eastAsia="Arial Unicode MS" w:cstheme="minorHAnsi"/>
                      <w:b/>
                      <w:bCs/>
                    </w:rPr>
                  </w:pPr>
                </w:p>
              </w:tc>
              <w:tc>
                <w:tcPr>
                  <w:tcW w:w="1356" w:type="dxa"/>
                  <w:tcBorders>
                    <w:top w:val="single" w:sz="4" w:space="0" w:color="auto"/>
                    <w:left w:val="nil"/>
                    <w:bottom w:val="nil"/>
                    <w:right w:val="nil"/>
                  </w:tcBorders>
                </w:tcPr>
                <w:p w14:paraId="762446E2" w14:textId="77777777" w:rsidR="004C0388" w:rsidRDefault="004C0388" w:rsidP="00714345">
                  <w:pPr>
                    <w:jc w:val="right"/>
                    <w:rPr>
                      <w:rFonts w:eastAsia="Arial Unicode MS" w:cstheme="minorHAnsi"/>
                      <w:b/>
                      <w:bCs/>
                    </w:rPr>
                  </w:pPr>
                </w:p>
              </w:tc>
            </w:tr>
          </w:tbl>
          <w:p w14:paraId="455251C9" w14:textId="77777777" w:rsidR="004C0388" w:rsidRPr="004C0388" w:rsidRDefault="004C0388" w:rsidP="004C03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noProof/>
                <w:color w:val="FF0000"/>
                <w:lang w:val="en-US"/>
              </w:rPr>
            </w:pPr>
            <w:r w:rsidRPr="004C0388">
              <w:rPr>
                <w:rFonts w:cstheme="minorHAnsi"/>
                <w:noProof/>
                <w:color w:val="FF0000"/>
              </w:rPr>
              <w:t>The average</w:t>
            </w:r>
            <w:r w:rsidRPr="004C0388">
              <w:rPr>
                <w:rFonts w:cstheme="minorHAnsi"/>
                <w:color w:val="FF0000"/>
              </w:rPr>
              <w:t xml:space="preserve"> length of the </w:t>
            </w:r>
            <w:r w:rsidRPr="004C0388">
              <w:rPr>
                <w:rFonts w:cstheme="minorHAnsi"/>
                <w:noProof/>
                <w:color w:val="FF0000"/>
              </w:rPr>
              <w:t xml:space="preserve">review procedure before the State Commission is 36 days. Duration of the proceeding is calculated from the date of receiving a complaint to the date of the publishing the State Commission’s decision. But, when we calculate the average length of the review procedure from receiving complete documentation from the parties, the average length is </w:t>
            </w:r>
            <w:r w:rsidRPr="004C0388">
              <w:rPr>
                <w:rFonts w:cstheme="minorHAnsi"/>
                <w:b/>
                <w:noProof/>
                <w:color w:val="FF0000"/>
              </w:rPr>
              <w:t>14 days.</w:t>
            </w:r>
          </w:p>
          <w:p w14:paraId="02185CCC" w14:textId="77777777" w:rsidR="004C0388" w:rsidRPr="004C0388" w:rsidRDefault="004C0388" w:rsidP="004C0388">
            <w:pPr>
              <w:jc w:val="both"/>
              <w:rPr>
                <w:rFonts w:cstheme="minorHAnsi"/>
                <w:noProof/>
                <w:color w:val="FF0000"/>
              </w:rPr>
            </w:pPr>
          </w:p>
          <w:p w14:paraId="7BACAA3D" w14:textId="1E51657D" w:rsidR="004C0388" w:rsidRPr="004C0388" w:rsidRDefault="004C0388" w:rsidP="004C0388">
            <w:pPr>
              <w:jc w:val="both"/>
              <w:rPr>
                <w:rFonts w:cstheme="minorHAnsi"/>
                <w:color w:val="FF0000"/>
              </w:rPr>
            </w:pPr>
            <w:r w:rsidRPr="004C0388">
              <w:rPr>
                <w:rFonts w:cstheme="minorHAnsi"/>
                <w:noProof/>
                <w:color w:val="FF0000"/>
              </w:rPr>
              <w:t xml:space="preserve">II. According to the new Public Procurement Act (Narodne novine, broj 120/16.), unsuccessful party can bring an action against the State </w:t>
            </w:r>
            <w:r w:rsidRPr="004C0388">
              <w:rPr>
                <w:rFonts w:cstheme="minorHAnsi"/>
                <w:noProof/>
                <w:color w:val="FF0000"/>
                <w:lang w:eastAsia="x-none"/>
              </w:rPr>
              <w:t xml:space="preserve">Commission’s </w:t>
            </w:r>
            <w:r w:rsidRPr="004C0388">
              <w:rPr>
                <w:rFonts w:cstheme="minorHAnsi"/>
                <w:noProof/>
                <w:color w:val="FF0000"/>
              </w:rPr>
              <w:t>decisions</w:t>
            </w:r>
            <w:r w:rsidRPr="004C0388">
              <w:rPr>
                <w:rFonts w:cstheme="minorHAnsi"/>
                <w:color w:val="FF0000"/>
              </w:rPr>
              <w:t xml:space="preserve"> before the </w:t>
            </w:r>
            <w:r w:rsidRPr="004C0388">
              <w:rPr>
                <w:rFonts w:cstheme="minorHAnsi"/>
                <w:noProof/>
                <w:color w:val="FF0000"/>
              </w:rPr>
              <w:t>High</w:t>
            </w:r>
            <w:r w:rsidRPr="004C0388">
              <w:rPr>
                <w:rFonts w:cstheme="minorHAnsi"/>
                <w:color w:val="FF0000"/>
              </w:rPr>
              <w:t xml:space="preserve"> </w:t>
            </w:r>
            <w:r w:rsidR="00E3148F">
              <w:rPr>
                <w:rFonts w:cstheme="minorHAnsi"/>
                <w:color w:val="FF0000"/>
              </w:rPr>
              <w:t>A</w:t>
            </w:r>
            <w:r w:rsidRPr="004C0388">
              <w:rPr>
                <w:rFonts w:cstheme="minorHAnsi"/>
                <w:color w:val="FF0000"/>
              </w:rPr>
              <w:t xml:space="preserve">dministrative </w:t>
            </w:r>
            <w:r w:rsidR="00E3148F">
              <w:rPr>
                <w:rFonts w:cstheme="minorHAnsi"/>
                <w:color w:val="FF0000"/>
              </w:rPr>
              <w:t>C</w:t>
            </w:r>
            <w:r w:rsidRPr="004C0388">
              <w:rPr>
                <w:rFonts w:cstheme="minorHAnsi"/>
                <w:color w:val="FF0000"/>
              </w:rPr>
              <w:t>ourt (one instance of court proceeding).</w:t>
            </w:r>
          </w:p>
          <w:p w14:paraId="2A0BE5D8" w14:textId="77777777" w:rsidR="004C0388" w:rsidRPr="004C0388" w:rsidRDefault="004C0388" w:rsidP="004C0388">
            <w:pPr>
              <w:jc w:val="both"/>
              <w:rPr>
                <w:rFonts w:cstheme="minorHAnsi"/>
                <w:noProof/>
                <w:color w:val="FF0000"/>
              </w:rPr>
            </w:pPr>
          </w:p>
          <w:p w14:paraId="257D474B" w14:textId="0DB52E4E" w:rsidR="004C0388" w:rsidRPr="004C0388" w:rsidRDefault="004C0388" w:rsidP="004C0388">
            <w:pPr>
              <w:jc w:val="both"/>
              <w:rPr>
                <w:rFonts w:cstheme="minorHAnsi"/>
                <w:noProof/>
                <w:color w:val="FF0000"/>
              </w:rPr>
            </w:pPr>
            <w:r w:rsidRPr="004C0388">
              <w:rPr>
                <w:rFonts w:cstheme="minorHAnsi"/>
                <w:noProof/>
                <w:color w:val="FF0000"/>
              </w:rPr>
              <w:t>According to the previous Public Procurement Act</w:t>
            </w:r>
            <w:r w:rsidR="00E3148F">
              <w:rPr>
                <w:rFonts w:cstheme="minorHAnsi"/>
                <w:noProof/>
                <w:color w:val="FF0000"/>
              </w:rPr>
              <w:t xml:space="preserve"> (in force until the end of 2016)</w:t>
            </w:r>
            <w:r w:rsidRPr="004C0388">
              <w:rPr>
                <w:rFonts w:cstheme="minorHAnsi"/>
                <w:noProof/>
                <w:color w:val="FF0000"/>
              </w:rPr>
              <w:t>, the unsuccessful</w:t>
            </w:r>
            <w:r w:rsidRPr="004C0388">
              <w:rPr>
                <w:rFonts w:cstheme="minorHAnsi"/>
                <w:color w:val="FF0000"/>
              </w:rPr>
              <w:t xml:space="preserve"> </w:t>
            </w:r>
            <w:r w:rsidRPr="004C0388">
              <w:rPr>
                <w:rFonts w:cstheme="minorHAnsi"/>
                <w:noProof/>
                <w:color w:val="FF0000"/>
              </w:rPr>
              <w:t>party</w:t>
            </w:r>
            <w:r w:rsidRPr="004C0388">
              <w:rPr>
                <w:rFonts w:cstheme="minorHAnsi"/>
                <w:color w:val="FF0000"/>
              </w:rPr>
              <w:t xml:space="preserve"> had the </w:t>
            </w:r>
            <w:r w:rsidRPr="004C0388">
              <w:rPr>
                <w:rFonts w:cstheme="minorHAnsi"/>
                <w:noProof/>
                <w:color w:val="FF0000"/>
              </w:rPr>
              <w:t>possibility</w:t>
            </w:r>
            <w:r w:rsidRPr="004C0388">
              <w:rPr>
                <w:rFonts w:cstheme="minorHAnsi"/>
                <w:color w:val="FF0000"/>
              </w:rPr>
              <w:t xml:space="preserve"> to bring an </w:t>
            </w:r>
            <w:r w:rsidRPr="004C0388">
              <w:rPr>
                <w:rFonts w:cstheme="minorHAnsi"/>
                <w:noProof/>
                <w:color w:val="FF0000"/>
              </w:rPr>
              <w:t>action against</w:t>
            </w:r>
            <w:r w:rsidRPr="004C0388">
              <w:rPr>
                <w:rFonts w:cstheme="minorHAnsi"/>
                <w:color w:val="FF0000"/>
              </w:rPr>
              <w:t xml:space="preserve"> the </w:t>
            </w:r>
            <w:r w:rsidRPr="004C0388">
              <w:rPr>
                <w:rFonts w:cstheme="minorHAnsi"/>
                <w:noProof/>
                <w:color w:val="FF0000"/>
                <w:lang w:eastAsia="x-none"/>
              </w:rPr>
              <w:t xml:space="preserve">State Commission’s </w:t>
            </w:r>
            <w:r w:rsidRPr="004C0388">
              <w:rPr>
                <w:rFonts w:cstheme="minorHAnsi"/>
                <w:noProof/>
                <w:color w:val="FF0000"/>
              </w:rPr>
              <w:t>decisions</w:t>
            </w:r>
            <w:r w:rsidRPr="004C0388">
              <w:rPr>
                <w:rFonts w:cstheme="minorHAnsi"/>
                <w:color w:val="FF0000"/>
              </w:rPr>
              <w:t xml:space="preserve"> before</w:t>
            </w:r>
            <w:r w:rsidRPr="004C0388">
              <w:rPr>
                <w:rFonts w:cstheme="minorHAnsi"/>
                <w:noProof/>
                <w:color w:val="FF0000"/>
              </w:rPr>
              <w:t xml:space="preserve"> four regional administrative courts (administrative dispute)</w:t>
            </w:r>
            <w:r w:rsidRPr="004C0388">
              <w:rPr>
                <w:rFonts w:cstheme="minorHAnsi"/>
                <w:color w:val="FF0000"/>
              </w:rPr>
              <w:t xml:space="preserve">. Against the decision of </w:t>
            </w:r>
            <w:r w:rsidR="00E3148F">
              <w:rPr>
                <w:rFonts w:cstheme="minorHAnsi"/>
                <w:noProof/>
                <w:color w:val="FF0000"/>
              </w:rPr>
              <w:t>the courts in</w:t>
            </w:r>
            <w:r w:rsidRPr="004C0388">
              <w:rPr>
                <w:rFonts w:cstheme="minorHAnsi"/>
                <w:noProof/>
                <w:color w:val="FF0000"/>
              </w:rPr>
              <w:t xml:space="preserve"> the first</w:t>
            </w:r>
            <w:r w:rsidRPr="004C0388">
              <w:rPr>
                <w:rFonts w:cstheme="minorHAnsi"/>
                <w:color w:val="FF0000"/>
              </w:rPr>
              <w:t xml:space="preserve"> instance, the </w:t>
            </w:r>
            <w:r w:rsidRPr="004C0388">
              <w:rPr>
                <w:rFonts w:cstheme="minorHAnsi"/>
                <w:noProof/>
                <w:color w:val="FF0000"/>
              </w:rPr>
              <w:t xml:space="preserve">unsuccessful </w:t>
            </w:r>
            <w:r w:rsidRPr="004C0388">
              <w:rPr>
                <w:rFonts w:cstheme="minorHAnsi"/>
                <w:color w:val="FF0000"/>
              </w:rPr>
              <w:t xml:space="preserve">party had the </w:t>
            </w:r>
            <w:r w:rsidRPr="004C0388">
              <w:rPr>
                <w:rFonts w:cstheme="minorHAnsi"/>
                <w:noProof/>
                <w:color w:val="FF0000"/>
              </w:rPr>
              <w:t>possibility to</w:t>
            </w:r>
            <w:r w:rsidRPr="004C0388">
              <w:rPr>
                <w:rFonts w:cstheme="minorHAnsi"/>
                <w:color w:val="FF0000"/>
              </w:rPr>
              <w:t xml:space="preserve"> launch an appeal to the </w:t>
            </w:r>
            <w:r w:rsidRPr="004C0388">
              <w:rPr>
                <w:rFonts w:cstheme="minorHAnsi"/>
                <w:noProof/>
                <w:color w:val="FF0000"/>
              </w:rPr>
              <w:t>High</w:t>
            </w:r>
            <w:r w:rsidRPr="004C0388">
              <w:rPr>
                <w:rFonts w:cstheme="minorHAnsi"/>
                <w:color w:val="FF0000"/>
              </w:rPr>
              <w:t xml:space="preserve"> </w:t>
            </w:r>
            <w:r w:rsidR="00E3148F">
              <w:rPr>
                <w:rFonts w:cstheme="minorHAnsi"/>
                <w:color w:val="FF0000"/>
              </w:rPr>
              <w:t>A</w:t>
            </w:r>
            <w:r w:rsidRPr="004C0388">
              <w:rPr>
                <w:rFonts w:cstheme="minorHAnsi"/>
                <w:color w:val="FF0000"/>
              </w:rPr>
              <w:t xml:space="preserve">dministrative </w:t>
            </w:r>
            <w:r w:rsidR="00E3148F">
              <w:rPr>
                <w:rFonts w:cstheme="minorHAnsi"/>
                <w:color w:val="FF0000"/>
              </w:rPr>
              <w:t>C</w:t>
            </w:r>
            <w:r w:rsidRPr="004C0388">
              <w:rPr>
                <w:rFonts w:cstheme="minorHAnsi"/>
                <w:color w:val="FF0000"/>
              </w:rPr>
              <w:t xml:space="preserve">ourt (second instance). </w:t>
            </w:r>
          </w:p>
          <w:p w14:paraId="5224C816" w14:textId="77777777" w:rsidR="004C0388" w:rsidRPr="004C0388" w:rsidRDefault="004C0388" w:rsidP="004C0388">
            <w:pPr>
              <w:jc w:val="both"/>
              <w:rPr>
                <w:rFonts w:cstheme="minorHAnsi"/>
                <w:color w:val="FF0000"/>
              </w:rPr>
            </w:pPr>
          </w:p>
          <w:p w14:paraId="681CC48A" w14:textId="77777777" w:rsidR="004C0388" w:rsidRPr="004C0388" w:rsidRDefault="004C0388" w:rsidP="004C0388">
            <w:pPr>
              <w:jc w:val="both"/>
              <w:rPr>
                <w:rFonts w:cstheme="minorHAnsi"/>
                <w:color w:val="FF0000"/>
              </w:rPr>
            </w:pPr>
            <w:r w:rsidRPr="004C0388">
              <w:rPr>
                <w:rFonts w:cstheme="minorHAnsi"/>
                <w:color w:val="FF0000"/>
              </w:rPr>
              <w:t>In 2017, in 112 cases, unsuccessful party initiated administrative dispute against</w:t>
            </w:r>
            <w:r w:rsidRPr="004C0388">
              <w:rPr>
                <w:rFonts w:cstheme="minorHAnsi"/>
                <w:noProof/>
                <w:color w:val="FF0000"/>
                <w:lang w:eastAsia="x-none"/>
              </w:rPr>
              <w:t xml:space="preserve"> State Commission’s decison</w:t>
            </w:r>
            <w:r w:rsidRPr="004C0388">
              <w:rPr>
                <w:rFonts w:cstheme="minorHAnsi"/>
                <w:color w:val="FF0000"/>
              </w:rPr>
              <w:t xml:space="preserve"> (12%).  </w:t>
            </w:r>
          </w:p>
          <w:p w14:paraId="32ACC617" w14:textId="77777777" w:rsidR="004C0388" w:rsidRPr="004C0388" w:rsidRDefault="004C0388" w:rsidP="004C0388">
            <w:pPr>
              <w:jc w:val="both"/>
              <w:rPr>
                <w:rFonts w:cstheme="minorHAnsi"/>
                <w:color w:val="FF0000"/>
              </w:rPr>
            </w:pPr>
          </w:p>
          <w:p w14:paraId="29381FAC" w14:textId="77777777" w:rsidR="004C0388" w:rsidRDefault="004C0388" w:rsidP="004C0388">
            <w:pPr>
              <w:jc w:val="both"/>
              <w:rPr>
                <w:rFonts w:cstheme="minorHAnsi"/>
                <w:color w:val="FF0000"/>
              </w:rPr>
            </w:pPr>
            <w:r w:rsidRPr="004C0388">
              <w:rPr>
                <w:rFonts w:cstheme="minorHAnsi"/>
                <w:color w:val="FF0000"/>
              </w:rPr>
              <w:t xml:space="preserve">In 2017 the State Commission </w:t>
            </w:r>
            <w:r w:rsidRPr="004C0388">
              <w:rPr>
                <w:rFonts w:cstheme="minorHAnsi"/>
                <w:noProof/>
                <w:color w:val="FF0000"/>
              </w:rPr>
              <w:t>received</w:t>
            </w:r>
            <w:r w:rsidRPr="004C0388">
              <w:rPr>
                <w:rFonts w:cstheme="minorHAnsi"/>
                <w:color w:val="FF0000"/>
              </w:rPr>
              <w:t xml:space="preserve"> 155 rulings from administrative courts (first and second instance). These rulings refer to the </w:t>
            </w:r>
            <w:r w:rsidRPr="004C0388">
              <w:rPr>
                <w:rFonts w:cstheme="minorHAnsi"/>
                <w:noProof/>
                <w:color w:val="FF0000"/>
              </w:rPr>
              <w:t>State</w:t>
            </w:r>
            <w:r w:rsidRPr="004C0388">
              <w:rPr>
                <w:rFonts w:cstheme="minorHAnsi"/>
                <w:color w:val="FF0000"/>
              </w:rPr>
              <w:t xml:space="preserve"> </w:t>
            </w:r>
            <w:r w:rsidRPr="004C0388">
              <w:rPr>
                <w:rFonts w:cstheme="minorHAnsi"/>
                <w:noProof/>
                <w:color w:val="FF0000"/>
              </w:rPr>
              <w:t>Commission's</w:t>
            </w:r>
            <w:r w:rsidRPr="004C0388">
              <w:rPr>
                <w:rFonts w:cstheme="minorHAnsi"/>
                <w:color w:val="FF0000"/>
              </w:rPr>
              <w:t xml:space="preserve"> decision from 2017, but also from previous years.</w:t>
            </w:r>
          </w:p>
          <w:p w14:paraId="1DE0BAD7" w14:textId="3EFC8855" w:rsidR="004C0388" w:rsidRPr="004C0388" w:rsidRDefault="004C0388" w:rsidP="004C0388">
            <w:pPr>
              <w:jc w:val="both"/>
              <w:rPr>
                <w:rFonts w:eastAsia="Arial Unicode MS" w:cstheme="minorHAnsi"/>
                <w:b/>
                <w:color w:val="FF0000"/>
              </w:rPr>
            </w:pPr>
            <w:r>
              <w:rPr>
                <w:rFonts w:eastAsia="Arial Unicode MS" w:cstheme="minorHAnsi"/>
                <w:b/>
              </w:rPr>
              <w:t xml:space="preserve">     </w:t>
            </w:r>
            <w:r w:rsidRPr="004C0388">
              <w:rPr>
                <w:rFonts w:eastAsia="Arial Unicode MS" w:cstheme="minorHAnsi"/>
                <w:b/>
                <w:color w:val="FF0000"/>
              </w:rPr>
              <w:t>Number of court rulings</w:t>
            </w:r>
          </w:p>
          <w:tbl>
            <w:tblPr>
              <w:tblpPr w:leftFromText="180" w:rightFromText="180" w:bottomFromText="160" w:vertAnchor="text" w:horzAnchor="margin" w:tblpXSpec="center" w:tblpY="152"/>
              <w:tblW w:w="8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859"/>
            </w:tblGrid>
            <w:tr w:rsidR="004C0388" w14:paraId="3F18659F" w14:textId="77777777" w:rsidTr="00714345">
              <w:tc>
                <w:tcPr>
                  <w:tcW w:w="3942" w:type="dxa"/>
                  <w:tcBorders>
                    <w:top w:val="single" w:sz="4" w:space="0" w:color="auto"/>
                    <w:left w:val="single" w:sz="4" w:space="0" w:color="auto"/>
                    <w:bottom w:val="single" w:sz="4" w:space="0" w:color="auto"/>
                    <w:right w:val="single" w:sz="4" w:space="0" w:color="auto"/>
                  </w:tcBorders>
                  <w:shd w:val="clear" w:color="auto" w:fill="365F91"/>
                  <w:hideMark/>
                </w:tcPr>
                <w:p w14:paraId="261C5507" w14:textId="77777777" w:rsidR="004C0388" w:rsidRDefault="004C0388" w:rsidP="004C0388">
                  <w:pPr>
                    <w:pStyle w:val="NormalWeb"/>
                    <w:spacing w:before="0" w:beforeAutospacing="0" w:after="0" w:afterAutospacing="0" w:line="276" w:lineRule="auto"/>
                    <w:jc w:val="center"/>
                    <w:rPr>
                      <w:rFonts w:asciiTheme="minorHAnsi" w:eastAsia="Arial Unicode MS" w:hAnsiTheme="minorHAnsi" w:cstheme="minorHAnsi"/>
                      <w:b/>
                      <w:color w:val="FFFFFF"/>
                      <w:sz w:val="22"/>
                      <w:szCs w:val="22"/>
                      <w:lang w:eastAsia="en-US"/>
                    </w:rPr>
                  </w:pPr>
                  <w:proofErr w:type="spellStart"/>
                  <w:r>
                    <w:rPr>
                      <w:rFonts w:asciiTheme="minorHAnsi" w:eastAsia="Arial Unicode MS" w:hAnsiTheme="minorHAnsi" w:cstheme="minorHAnsi"/>
                      <w:b/>
                      <w:color w:val="FFFFFF"/>
                      <w:sz w:val="22"/>
                      <w:szCs w:val="22"/>
                      <w:lang w:eastAsia="en-US"/>
                    </w:rPr>
                    <w:t>Administrative</w:t>
                  </w:r>
                  <w:proofErr w:type="spellEnd"/>
                  <w:r>
                    <w:rPr>
                      <w:rFonts w:asciiTheme="minorHAnsi" w:eastAsia="Arial Unicode MS" w:hAnsiTheme="minorHAnsi" w:cstheme="minorHAnsi"/>
                      <w:b/>
                      <w:color w:val="FFFFFF"/>
                      <w:sz w:val="22"/>
                      <w:szCs w:val="22"/>
                      <w:lang w:eastAsia="en-US"/>
                    </w:rPr>
                    <w:t xml:space="preserve"> Court</w:t>
                  </w:r>
                </w:p>
              </w:tc>
              <w:tc>
                <w:tcPr>
                  <w:tcW w:w="4859" w:type="dxa"/>
                  <w:tcBorders>
                    <w:top w:val="single" w:sz="4" w:space="0" w:color="auto"/>
                    <w:left w:val="single" w:sz="4" w:space="0" w:color="auto"/>
                    <w:bottom w:val="single" w:sz="4" w:space="0" w:color="auto"/>
                    <w:right w:val="single" w:sz="4" w:space="0" w:color="auto"/>
                  </w:tcBorders>
                  <w:shd w:val="clear" w:color="auto" w:fill="365F91"/>
                  <w:hideMark/>
                </w:tcPr>
                <w:p w14:paraId="27F6B8B3" w14:textId="77777777" w:rsidR="004C0388" w:rsidRDefault="004C0388" w:rsidP="004C0388">
                  <w:pPr>
                    <w:pStyle w:val="NormalWeb"/>
                    <w:spacing w:before="0" w:beforeAutospacing="0" w:after="0" w:afterAutospacing="0" w:line="276" w:lineRule="auto"/>
                    <w:jc w:val="center"/>
                    <w:rPr>
                      <w:rFonts w:asciiTheme="minorHAnsi" w:eastAsia="Arial Unicode MS" w:hAnsiTheme="minorHAnsi" w:cstheme="minorHAnsi"/>
                      <w:b/>
                      <w:color w:val="FFFFFF"/>
                      <w:sz w:val="22"/>
                      <w:szCs w:val="22"/>
                      <w:lang w:eastAsia="en-US"/>
                    </w:rPr>
                  </w:pPr>
                  <w:r>
                    <w:rPr>
                      <w:rFonts w:asciiTheme="minorHAnsi" w:eastAsia="Arial Unicode MS" w:hAnsiTheme="minorHAnsi" w:cstheme="minorHAnsi"/>
                      <w:b/>
                      <w:color w:val="FFFFFF"/>
                      <w:sz w:val="22"/>
                      <w:szCs w:val="22"/>
                      <w:lang w:val="en-US" w:eastAsia="en-US"/>
                    </w:rPr>
                    <w:t>Number</w:t>
                  </w:r>
                  <w:r>
                    <w:rPr>
                      <w:rFonts w:asciiTheme="minorHAnsi" w:eastAsia="Arial Unicode MS" w:hAnsiTheme="minorHAnsi" w:cstheme="minorHAnsi"/>
                      <w:b/>
                      <w:color w:val="FFFFFF"/>
                      <w:sz w:val="22"/>
                      <w:szCs w:val="22"/>
                      <w:lang w:eastAsia="en-US"/>
                    </w:rPr>
                    <w:t xml:space="preserve"> </w:t>
                  </w:r>
                  <w:proofErr w:type="spellStart"/>
                  <w:r>
                    <w:rPr>
                      <w:rFonts w:asciiTheme="minorHAnsi" w:eastAsia="Arial Unicode MS" w:hAnsiTheme="minorHAnsi" w:cstheme="minorHAnsi"/>
                      <w:b/>
                      <w:color w:val="FFFFFF"/>
                      <w:sz w:val="22"/>
                      <w:szCs w:val="22"/>
                      <w:lang w:eastAsia="en-US"/>
                    </w:rPr>
                    <w:t>of</w:t>
                  </w:r>
                  <w:proofErr w:type="spellEnd"/>
                  <w:r>
                    <w:rPr>
                      <w:rFonts w:asciiTheme="minorHAnsi" w:eastAsia="Arial Unicode MS" w:hAnsiTheme="minorHAnsi" w:cstheme="minorHAnsi"/>
                      <w:b/>
                      <w:color w:val="FFFFFF"/>
                      <w:sz w:val="22"/>
                      <w:szCs w:val="22"/>
                      <w:lang w:eastAsia="en-US"/>
                    </w:rPr>
                    <w:t xml:space="preserve"> </w:t>
                  </w:r>
                  <w:proofErr w:type="spellStart"/>
                  <w:r>
                    <w:rPr>
                      <w:rFonts w:asciiTheme="minorHAnsi" w:eastAsia="Arial Unicode MS" w:hAnsiTheme="minorHAnsi" w:cstheme="minorHAnsi"/>
                      <w:b/>
                      <w:color w:val="FFFFFF"/>
                      <w:sz w:val="22"/>
                      <w:szCs w:val="22"/>
                      <w:lang w:eastAsia="en-US"/>
                    </w:rPr>
                    <w:t>rulings</w:t>
                  </w:r>
                  <w:proofErr w:type="spellEnd"/>
                </w:p>
              </w:tc>
            </w:tr>
            <w:tr w:rsidR="004C0388" w14:paraId="45209F62" w14:textId="77777777" w:rsidTr="00714345">
              <w:tc>
                <w:tcPr>
                  <w:tcW w:w="3942" w:type="dxa"/>
                  <w:tcBorders>
                    <w:top w:val="single" w:sz="4" w:space="0" w:color="auto"/>
                    <w:left w:val="single" w:sz="4" w:space="0" w:color="auto"/>
                    <w:bottom w:val="single" w:sz="4" w:space="0" w:color="auto"/>
                    <w:right w:val="single" w:sz="4" w:space="0" w:color="auto"/>
                  </w:tcBorders>
                  <w:hideMark/>
                </w:tcPr>
                <w:p w14:paraId="25FF6040" w14:textId="77777777" w:rsidR="004C0388" w:rsidRDefault="004C0388" w:rsidP="004C0388">
                  <w:pPr>
                    <w:pStyle w:val="NormalWeb"/>
                    <w:spacing w:before="0" w:beforeAutospacing="0" w:after="0" w:afterAutospacing="0" w:line="276" w:lineRule="auto"/>
                    <w:jc w:val="center"/>
                    <w:rPr>
                      <w:rFonts w:asciiTheme="minorHAnsi" w:eastAsia="Arial Unicode MS" w:hAnsiTheme="minorHAnsi" w:cstheme="minorHAnsi"/>
                      <w:sz w:val="22"/>
                      <w:szCs w:val="22"/>
                      <w:lang w:eastAsia="en-US"/>
                    </w:rPr>
                  </w:pPr>
                  <w:r>
                    <w:rPr>
                      <w:rFonts w:asciiTheme="minorHAnsi" w:eastAsia="Arial Unicode MS" w:hAnsiTheme="minorHAnsi" w:cstheme="minorHAnsi"/>
                      <w:sz w:val="22"/>
                      <w:szCs w:val="22"/>
                      <w:lang w:eastAsia="en-US"/>
                    </w:rPr>
                    <w:t xml:space="preserve">First instance </w:t>
                  </w:r>
                  <w:proofErr w:type="spellStart"/>
                  <w:r>
                    <w:rPr>
                      <w:rFonts w:asciiTheme="minorHAnsi" w:eastAsia="Arial Unicode MS" w:hAnsiTheme="minorHAnsi" w:cstheme="minorHAnsi"/>
                      <w:sz w:val="22"/>
                      <w:szCs w:val="22"/>
                      <w:lang w:eastAsia="en-US"/>
                    </w:rPr>
                    <w:t>court</w:t>
                  </w:r>
                  <w:proofErr w:type="spellEnd"/>
                </w:p>
              </w:tc>
              <w:tc>
                <w:tcPr>
                  <w:tcW w:w="4859" w:type="dxa"/>
                  <w:tcBorders>
                    <w:top w:val="single" w:sz="4" w:space="0" w:color="auto"/>
                    <w:left w:val="single" w:sz="4" w:space="0" w:color="auto"/>
                    <w:bottom w:val="single" w:sz="4" w:space="0" w:color="auto"/>
                    <w:right w:val="single" w:sz="4" w:space="0" w:color="auto"/>
                  </w:tcBorders>
                  <w:hideMark/>
                </w:tcPr>
                <w:p w14:paraId="511C48C5" w14:textId="77777777" w:rsidR="004C0388" w:rsidRDefault="004C0388" w:rsidP="004C0388">
                  <w:pPr>
                    <w:pStyle w:val="NormalWeb"/>
                    <w:spacing w:before="0" w:beforeAutospacing="0" w:after="0" w:afterAutospacing="0" w:line="276" w:lineRule="auto"/>
                    <w:jc w:val="center"/>
                    <w:rPr>
                      <w:rFonts w:asciiTheme="minorHAnsi" w:eastAsia="Arial Unicode MS" w:hAnsiTheme="minorHAnsi" w:cstheme="minorHAnsi"/>
                      <w:sz w:val="22"/>
                      <w:szCs w:val="22"/>
                      <w:lang w:eastAsia="en-US"/>
                    </w:rPr>
                  </w:pPr>
                  <w:r>
                    <w:rPr>
                      <w:rFonts w:asciiTheme="minorHAnsi" w:eastAsia="Calibri" w:hAnsiTheme="minorHAnsi" w:cstheme="minorHAnsi"/>
                      <w:sz w:val="22"/>
                      <w:szCs w:val="22"/>
                      <w:lang w:eastAsia="en-US"/>
                    </w:rPr>
                    <w:t>119</w:t>
                  </w:r>
                </w:p>
              </w:tc>
            </w:tr>
            <w:tr w:rsidR="004C0388" w14:paraId="33B56185" w14:textId="77777777" w:rsidTr="00714345">
              <w:tc>
                <w:tcPr>
                  <w:tcW w:w="3942" w:type="dxa"/>
                  <w:tcBorders>
                    <w:top w:val="single" w:sz="4" w:space="0" w:color="auto"/>
                    <w:left w:val="single" w:sz="4" w:space="0" w:color="auto"/>
                    <w:bottom w:val="single" w:sz="4" w:space="0" w:color="auto"/>
                    <w:right w:val="single" w:sz="4" w:space="0" w:color="auto"/>
                  </w:tcBorders>
                  <w:hideMark/>
                </w:tcPr>
                <w:p w14:paraId="0F8F4912" w14:textId="77777777" w:rsidR="004C0388" w:rsidRDefault="004C0388" w:rsidP="004C0388">
                  <w:pPr>
                    <w:pStyle w:val="NormalWeb"/>
                    <w:spacing w:before="0" w:beforeAutospacing="0" w:after="0" w:afterAutospacing="0" w:line="276" w:lineRule="auto"/>
                    <w:jc w:val="center"/>
                    <w:rPr>
                      <w:rFonts w:asciiTheme="minorHAnsi" w:eastAsia="Arial Unicode MS" w:hAnsiTheme="minorHAnsi" w:cstheme="minorHAnsi"/>
                      <w:sz w:val="22"/>
                      <w:szCs w:val="22"/>
                      <w:lang w:eastAsia="en-US"/>
                    </w:rPr>
                  </w:pPr>
                  <w:proofErr w:type="spellStart"/>
                  <w:r>
                    <w:rPr>
                      <w:rFonts w:asciiTheme="minorHAnsi" w:eastAsia="Arial Unicode MS" w:hAnsiTheme="minorHAnsi" w:cstheme="minorHAnsi"/>
                      <w:sz w:val="22"/>
                      <w:szCs w:val="22"/>
                      <w:lang w:eastAsia="en-US"/>
                    </w:rPr>
                    <w:t>Second</w:t>
                  </w:r>
                  <w:proofErr w:type="spellEnd"/>
                  <w:r>
                    <w:rPr>
                      <w:rFonts w:asciiTheme="minorHAnsi" w:eastAsia="Arial Unicode MS" w:hAnsiTheme="minorHAnsi" w:cstheme="minorHAnsi"/>
                      <w:sz w:val="22"/>
                      <w:szCs w:val="22"/>
                      <w:lang w:eastAsia="en-US"/>
                    </w:rPr>
                    <w:t xml:space="preserve"> instance </w:t>
                  </w:r>
                  <w:proofErr w:type="spellStart"/>
                  <w:r>
                    <w:rPr>
                      <w:rFonts w:asciiTheme="minorHAnsi" w:eastAsia="Arial Unicode MS" w:hAnsiTheme="minorHAnsi" w:cstheme="minorHAnsi"/>
                      <w:sz w:val="22"/>
                      <w:szCs w:val="22"/>
                      <w:lang w:eastAsia="en-US"/>
                    </w:rPr>
                    <w:t>court</w:t>
                  </w:r>
                  <w:proofErr w:type="spellEnd"/>
                </w:p>
              </w:tc>
              <w:tc>
                <w:tcPr>
                  <w:tcW w:w="4859" w:type="dxa"/>
                  <w:tcBorders>
                    <w:top w:val="single" w:sz="4" w:space="0" w:color="auto"/>
                    <w:left w:val="single" w:sz="4" w:space="0" w:color="auto"/>
                    <w:bottom w:val="single" w:sz="4" w:space="0" w:color="auto"/>
                    <w:right w:val="single" w:sz="4" w:space="0" w:color="auto"/>
                  </w:tcBorders>
                  <w:hideMark/>
                </w:tcPr>
                <w:p w14:paraId="06F3028C" w14:textId="77777777" w:rsidR="004C0388" w:rsidRDefault="004C0388" w:rsidP="004C0388">
                  <w:pPr>
                    <w:pStyle w:val="NormalWeb"/>
                    <w:spacing w:before="0" w:beforeAutospacing="0" w:after="0" w:afterAutospacing="0" w:line="276" w:lineRule="auto"/>
                    <w:jc w:val="center"/>
                    <w:rPr>
                      <w:rFonts w:asciiTheme="minorHAnsi" w:eastAsia="Arial Unicode MS" w:hAnsiTheme="minorHAnsi" w:cstheme="minorHAnsi"/>
                      <w:sz w:val="22"/>
                      <w:szCs w:val="22"/>
                      <w:lang w:eastAsia="en-US"/>
                    </w:rPr>
                  </w:pPr>
                  <w:r>
                    <w:rPr>
                      <w:rFonts w:asciiTheme="minorHAnsi" w:eastAsia="Calibri" w:hAnsiTheme="minorHAnsi" w:cstheme="minorHAnsi"/>
                      <w:sz w:val="22"/>
                      <w:szCs w:val="22"/>
                      <w:lang w:eastAsia="en-US"/>
                    </w:rPr>
                    <w:t xml:space="preserve"> 36</w:t>
                  </w:r>
                </w:p>
              </w:tc>
            </w:tr>
            <w:tr w:rsidR="004C0388" w14:paraId="6CFCF2D3" w14:textId="77777777" w:rsidTr="00714345">
              <w:tc>
                <w:tcPr>
                  <w:tcW w:w="3942" w:type="dxa"/>
                  <w:tcBorders>
                    <w:top w:val="single" w:sz="4" w:space="0" w:color="auto"/>
                    <w:left w:val="single" w:sz="4" w:space="0" w:color="auto"/>
                    <w:bottom w:val="single" w:sz="4" w:space="0" w:color="auto"/>
                    <w:right w:val="single" w:sz="4" w:space="0" w:color="auto"/>
                  </w:tcBorders>
                  <w:hideMark/>
                </w:tcPr>
                <w:p w14:paraId="506AE8AF" w14:textId="77777777" w:rsidR="004C0388" w:rsidRDefault="004C0388" w:rsidP="004C0388">
                  <w:pPr>
                    <w:pStyle w:val="NormalWeb"/>
                    <w:spacing w:before="0" w:beforeAutospacing="0" w:after="0" w:afterAutospacing="0" w:line="276" w:lineRule="auto"/>
                    <w:jc w:val="center"/>
                    <w:rPr>
                      <w:rFonts w:asciiTheme="minorHAnsi" w:eastAsia="Arial Unicode MS" w:hAnsiTheme="minorHAnsi" w:cstheme="minorHAnsi"/>
                      <w:sz w:val="22"/>
                      <w:szCs w:val="22"/>
                      <w:lang w:eastAsia="en-US"/>
                    </w:rPr>
                  </w:pPr>
                  <w:r>
                    <w:rPr>
                      <w:rFonts w:asciiTheme="minorHAnsi" w:eastAsia="Arial Unicode MS" w:hAnsiTheme="minorHAnsi" w:cstheme="minorHAnsi"/>
                      <w:sz w:val="22"/>
                      <w:szCs w:val="22"/>
                      <w:lang w:eastAsia="en-US"/>
                    </w:rPr>
                    <w:t>Total</w:t>
                  </w:r>
                </w:p>
              </w:tc>
              <w:tc>
                <w:tcPr>
                  <w:tcW w:w="4859" w:type="dxa"/>
                  <w:tcBorders>
                    <w:top w:val="single" w:sz="4" w:space="0" w:color="auto"/>
                    <w:left w:val="single" w:sz="4" w:space="0" w:color="auto"/>
                    <w:bottom w:val="single" w:sz="4" w:space="0" w:color="auto"/>
                    <w:right w:val="single" w:sz="4" w:space="0" w:color="auto"/>
                  </w:tcBorders>
                  <w:hideMark/>
                </w:tcPr>
                <w:p w14:paraId="306D5259" w14:textId="77777777" w:rsidR="004C0388" w:rsidRDefault="004C0388" w:rsidP="004C0388">
                  <w:pPr>
                    <w:pStyle w:val="NormalWeb"/>
                    <w:spacing w:before="0" w:beforeAutospacing="0" w:after="0" w:afterAutospacing="0" w:line="276" w:lineRule="auto"/>
                    <w:jc w:val="center"/>
                    <w:rPr>
                      <w:rFonts w:asciiTheme="minorHAnsi" w:eastAsia="Arial Unicode MS" w:hAnsiTheme="minorHAnsi" w:cstheme="minorHAnsi"/>
                      <w:b/>
                      <w:sz w:val="22"/>
                      <w:szCs w:val="22"/>
                      <w:lang w:eastAsia="en-US"/>
                    </w:rPr>
                  </w:pPr>
                  <w:r>
                    <w:rPr>
                      <w:rFonts w:asciiTheme="minorHAnsi" w:eastAsia="Calibri" w:hAnsiTheme="minorHAnsi" w:cstheme="minorHAnsi"/>
                      <w:b/>
                      <w:sz w:val="22"/>
                      <w:szCs w:val="22"/>
                      <w:lang w:eastAsia="en-US"/>
                    </w:rPr>
                    <w:t>155</w:t>
                  </w:r>
                </w:p>
              </w:tc>
            </w:tr>
          </w:tbl>
          <w:p w14:paraId="551873B9" w14:textId="285B59D5" w:rsidR="004C0388" w:rsidRPr="004C0388" w:rsidRDefault="00644F99" w:rsidP="004C0388">
            <w:pPr>
              <w:jc w:val="both"/>
              <w:rPr>
                <w:rFonts w:cstheme="minorHAnsi"/>
                <w:b/>
                <w:color w:val="FF0000"/>
                <w:lang w:val="hr-HR"/>
              </w:rPr>
            </w:pPr>
            <w:r>
              <w:rPr>
                <w:rFonts w:cstheme="minorHAnsi"/>
                <w:b/>
                <w:noProof/>
                <w:color w:val="FF0000"/>
                <w:lang w:val="hr-HR"/>
              </w:rPr>
              <w:t xml:space="preserve">       </w:t>
            </w:r>
            <w:r w:rsidR="004C0388" w:rsidRPr="004C0388">
              <w:rPr>
                <w:rFonts w:cstheme="minorHAnsi"/>
                <w:b/>
                <w:noProof/>
                <w:color w:val="FF0000"/>
                <w:lang w:val="hr-HR"/>
              </w:rPr>
              <w:t>The average</w:t>
            </w:r>
            <w:r w:rsidR="004C0388" w:rsidRPr="004C0388">
              <w:rPr>
                <w:rFonts w:cstheme="minorHAnsi"/>
                <w:b/>
                <w:color w:val="FF0000"/>
                <w:lang w:val="hr-HR"/>
              </w:rPr>
              <w:t xml:space="preserve"> </w:t>
            </w:r>
            <w:proofErr w:type="spellStart"/>
            <w:r w:rsidR="004C0388" w:rsidRPr="004C0388">
              <w:rPr>
                <w:rFonts w:cstheme="minorHAnsi"/>
                <w:b/>
                <w:color w:val="FF0000"/>
                <w:lang w:val="hr-HR"/>
              </w:rPr>
              <w:t>length</w:t>
            </w:r>
            <w:proofErr w:type="spellEnd"/>
            <w:r w:rsidR="004C0388" w:rsidRPr="004C0388">
              <w:rPr>
                <w:rFonts w:cstheme="minorHAnsi"/>
                <w:b/>
                <w:color w:val="FF0000"/>
                <w:lang w:val="hr-HR"/>
              </w:rPr>
              <w:t xml:space="preserve"> </w:t>
            </w:r>
            <w:proofErr w:type="spellStart"/>
            <w:r w:rsidR="004C0388" w:rsidRPr="004C0388">
              <w:rPr>
                <w:rFonts w:cstheme="minorHAnsi"/>
                <w:b/>
                <w:color w:val="FF0000"/>
                <w:lang w:val="hr-HR"/>
              </w:rPr>
              <w:t>of</w:t>
            </w:r>
            <w:proofErr w:type="spellEnd"/>
            <w:r w:rsidR="004C0388" w:rsidRPr="004C0388">
              <w:rPr>
                <w:rFonts w:cstheme="minorHAnsi"/>
                <w:b/>
                <w:color w:val="FF0000"/>
                <w:lang w:val="hr-HR"/>
              </w:rPr>
              <w:t xml:space="preserve"> </w:t>
            </w:r>
            <w:proofErr w:type="spellStart"/>
            <w:r w:rsidR="004C0388" w:rsidRPr="004C0388">
              <w:rPr>
                <w:rFonts w:cstheme="minorHAnsi"/>
                <w:b/>
                <w:color w:val="FF0000"/>
                <w:lang w:val="hr-HR"/>
              </w:rPr>
              <w:t>court</w:t>
            </w:r>
            <w:proofErr w:type="spellEnd"/>
            <w:r w:rsidR="004C0388" w:rsidRPr="004C0388">
              <w:rPr>
                <w:rFonts w:cstheme="minorHAnsi"/>
                <w:b/>
                <w:color w:val="FF0000"/>
                <w:lang w:val="hr-HR"/>
              </w:rPr>
              <w:t xml:space="preserve"> </w:t>
            </w:r>
            <w:proofErr w:type="spellStart"/>
            <w:r w:rsidR="004C0388" w:rsidRPr="004C0388">
              <w:rPr>
                <w:rFonts w:cstheme="minorHAnsi"/>
                <w:b/>
                <w:color w:val="FF0000"/>
                <w:lang w:val="hr-HR"/>
              </w:rPr>
              <w:t>proceedings</w:t>
            </w:r>
            <w:proofErr w:type="spellEnd"/>
          </w:p>
          <w:tbl>
            <w:tblPr>
              <w:tblW w:w="0" w:type="auto"/>
              <w:tblInd w:w="3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535"/>
              <w:gridCol w:w="17"/>
              <w:gridCol w:w="2885"/>
              <w:gridCol w:w="2921"/>
            </w:tblGrid>
            <w:tr w:rsidR="004C0388" w14:paraId="3FDB2888" w14:textId="77777777" w:rsidTr="00714345">
              <w:trPr>
                <w:trHeight w:val="546"/>
              </w:trPr>
              <w:tc>
                <w:tcPr>
                  <w:tcW w:w="2535" w:type="dxa"/>
                  <w:tcBorders>
                    <w:top w:val="single" w:sz="4" w:space="0" w:color="auto"/>
                    <w:left w:val="single" w:sz="4" w:space="0" w:color="auto"/>
                    <w:bottom w:val="single" w:sz="4" w:space="0" w:color="auto"/>
                    <w:right w:val="single" w:sz="4" w:space="0" w:color="auto"/>
                  </w:tcBorders>
                  <w:shd w:val="clear" w:color="auto" w:fill="365F91"/>
                  <w:hideMark/>
                </w:tcPr>
                <w:p w14:paraId="2C358EA2" w14:textId="77777777" w:rsidR="004C0388" w:rsidRDefault="004C0388" w:rsidP="00714345">
                  <w:pPr>
                    <w:jc w:val="center"/>
                    <w:rPr>
                      <w:rFonts w:eastAsia="Calibri" w:cstheme="minorHAnsi"/>
                      <w:b/>
                      <w:bCs/>
                    </w:rPr>
                  </w:pPr>
                  <w:r>
                    <w:rPr>
                      <w:rFonts w:eastAsia="Calibri" w:cstheme="minorHAnsi"/>
                      <w:b/>
                      <w:bCs/>
                      <w:color w:val="FFFFFF" w:themeColor="background1"/>
                    </w:rPr>
                    <w:t>Administrative Court</w:t>
                  </w:r>
                </w:p>
              </w:tc>
              <w:tc>
                <w:tcPr>
                  <w:tcW w:w="2902" w:type="dxa"/>
                  <w:gridSpan w:val="2"/>
                  <w:tcBorders>
                    <w:top w:val="single" w:sz="4" w:space="0" w:color="auto"/>
                    <w:left w:val="single" w:sz="4" w:space="0" w:color="auto"/>
                    <w:bottom w:val="single" w:sz="4" w:space="0" w:color="auto"/>
                    <w:right w:val="single" w:sz="4" w:space="0" w:color="auto"/>
                  </w:tcBorders>
                  <w:shd w:val="clear" w:color="auto" w:fill="365F91"/>
                  <w:hideMark/>
                </w:tcPr>
                <w:p w14:paraId="1DADB2CC" w14:textId="77777777" w:rsidR="004C0388" w:rsidRDefault="004C0388" w:rsidP="00714345">
                  <w:pPr>
                    <w:jc w:val="center"/>
                    <w:rPr>
                      <w:rFonts w:eastAsia="Calibri" w:cstheme="minorHAnsi"/>
                      <w:b/>
                      <w:bCs/>
                      <w:color w:val="FFFFFF" w:themeColor="background1"/>
                    </w:rPr>
                  </w:pPr>
                  <w:r>
                    <w:rPr>
                      <w:rFonts w:eastAsia="Calibri" w:cstheme="minorHAnsi"/>
                      <w:b/>
                      <w:bCs/>
                      <w:color w:val="FFFFFF" w:themeColor="background1"/>
                    </w:rPr>
                    <w:t>Number of rulings</w:t>
                  </w:r>
                </w:p>
              </w:tc>
              <w:tc>
                <w:tcPr>
                  <w:tcW w:w="2921" w:type="dxa"/>
                  <w:tcBorders>
                    <w:top w:val="single" w:sz="4" w:space="0" w:color="auto"/>
                    <w:left w:val="single" w:sz="4" w:space="0" w:color="auto"/>
                    <w:bottom w:val="single" w:sz="4" w:space="0" w:color="auto"/>
                    <w:right w:val="single" w:sz="4" w:space="0" w:color="auto"/>
                  </w:tcBorders>
                  <w:shd w:val="clear" w:color="auto" w:fill="365F91"/>
                  <w:hideMark/>
                </w:tcPr>
                <w:p w14:paraId="2BB0FCB3" w14:textId="77777777" w:rsidR="004C0388" w:rsidRDefault="004C0388" w:rsidP="00714345">
                  <w:pPr>
                    <w:jc w:val="center"/>
                    <w:rPr>
                      <w:rFonts w:eastAsia="Calibri" w:cstheme="minorHAnsi"/>
                      <w:b/>
                      <w:bCs/>
                      <w:color w:val="FFFFFF" w:themeColor="background1"/>
                    </w:rPr>
                  </w:pPr>
                  <w:r>
                    <w:rPr>
                      <w:rFonts w:eastAsia="Calibri" w:cstheme="minorHAnsi"/>
                      <w:b/>
                      <w:bCs/>
                      <w:color w:val="FFFFFF" w:themeColor="background1"/>
                    </w:rPr>
                    <w:t>Days</w:t>
                  </w:r>
                </w:p>
              </w:tc>
            </w:tr>
            <w:tr w:rsidR="004C0388" w14:paraId="2BF7A780" w14:textId="77777777" w:rsidTr="00714345">
              <w:tc>
                <w:tcPr>
                  <w:tcW w:w="2552" w:type="dxa"/>
                  <w:gridSpan w:val="2"/>
                  <w:tcBorders>
                    <w:top w:val="single" w:sz="4" w:space="0" w:color="auto"/>
                    <w:left w:val="single" w:sz="4" w:space="0" w:color="999999"/>
                    <w:bottom w:val="single" w:sz="4" w:space="0" w:color="999999"/>
                    <w:right w:val="single" w:sz="4" w:space="0" w:color="999999"/>
                  </w:tcBorders>
                  <w:hideMark/>
                </w:tcPr>
                <w:p w14:paraId="55AECA83" w14:textId="77777777" w:rsidR="004C0388" w:rsidRDefault="004C0388" w:rsidP="00714345">
                  <w:pPr>
                    <w:jc w:val="center"/>
                    <w:rPr>
                      <w:rFonts w:eastAsia="Calibri" w:cstheme="minorHAnsi"/>
                      <w:bCs/>
                    </w:rPr>
                  </w:pPr>
                  <w:r>
                    <w:rPr>
                      <w:rFonts w:eastAsia="Calibri" w:cstheme="minorHAnsi"/>
                      <w:bCs/>
                    </w:rPr>
                    <w:t>First instance court</w:t>
                  </w:r>
                </w:p>
              </w:tc>
              <w:tc>
                <w:tcPr>
                  <w:tcW w:w="2885" w:type="dxa"/>
                  <w:tcBorders>
                    <w:top w:val="single" w:sz="4" w:space="0" w:color="auto"/>
                    <w:left w:val="single" w:sz="4" w:space="0" w:color="999999"/>
                    <w:bottom w:val="single" w:sz="4" w:space="0" w:color="999999"/>
                    <w:right w:val="single" w:sz="4" w:space="0" w:color="999999"/>
                  </w:tcBorders>
                  <w:hideMark/>
                </w:tcPr>
                <w:p w14:paraId="2D9BED04" w14:textId="77777777" w:rsidR="004C0388" w:rsidRDefault="004C0388" w:rsidP="00714345">
                  <w:pPr>
                    <w:jc w:val="center"/>
                    <w:rPr>
                      <w:rFonts w:eastAsia="Calibri" w:cstheme="minorHAnsi"/>
                    </w:rPr>
                  </w:pPr>
                  <w:r>
                    <w:rPr>
                      <w:rFonts w:eastAsia="Calibri" w:cstheme="minorHAnsi"/>
                    </w:rPr>
                    <w:t>119</w:t>
                  </w:r>
                </w:p>
              </w:tc>
              <w:tc>
                <w:tcPr>
                  <w:tcW w:w="2921" w:type="dxa"/>
                  <w:tcBorders>
                    <w:top w:val="single" w:sz="4" w:space="0" w:color="auto"/>
                    <w:left w:val="single" w:sz="4" w:space="0" w:color="999999"/>
                    <w:bottom w:val="single" w:sz="4" w:space="0" w:color="999999"/>
                    <w:right w:val="single" w:sz="4" w:space="0" w:color="999999"/>
                  </w:tcBorders>
                  <w:hideMark/>
                </w:tcPr>
                <w:p w14:paraId="51E07BBB" w14:textId="77777777" w:rsidR="004C0388" w:rsidRDefault="004C0388" w:rsidP="00714345">
                  <w:pPr>
                    <w:jc w:val="center"/>
                    <w:rPr>
                      <w:rFonts w:eastAsia="Calibri" w:cstheme="minorHAnsi"/>
                    </w:rPr>
                  </w:pPr>
                  <w:r>
                    <w:rPr>
                      <w:rFonts w:eastAsia="Calibri" w:cstheme="minorHAnsi"/>
                    </w:rPr>
                    <w:t>666</w:t>
                  </w:r>
                </w:p>
              </w:tc>
            </w:tr>
            <w:tr w:rsidR="004C0388" w14:paraId="76F7281D" w14:textId="77777777" w:rsidTr="00714345">
              <w:tc>
                <w:tcPr>
                  <w:tcW w:w="2552" w:type="dxa"/>
                  <w:gridSpan w:val="2"/>
                  <w:tcBorders>
                    <w:top w:val="single" w:sz="4" w:space="0" w:color="999999"/>
                    <w:left w:val="single" w:sz="4" w:space="0" w:color="999999"/>
                    <w:bottom w:val="single" w:sz="4" w:space="0" w:color="999999"/>
                    <w:right w:val="single" w:sz="4" w:space="0" w:color="999999"/>
                  </w:tcBorders>
                  <w:hideMark/>
                </w:tcPr>
                <w:p w14:paraId="56E1A8EC" w14:textId="77777777" w:rsidR="004C0388" w:rsidRDefault="004C0388" w:rsidP="00714345">
                  <w:pPr>
                    <w:jc w:val="center"/>
                    <w:rPr>
                      <w:rFonts w:eastAsia="Calibri" w:cstheme="minorHAnsi"/>
                      <w:bCs/>
                    </w:rPr>
                  </w:pPr>
                  <w:r>
                    <w:rPr>
                      <w:rFonts w:eastAsia="Calibri" w:cstheme="minorHAnsi"/>
                      <w:bCs/>
                    </w:rPr>
                    <w:t>Second instance court</w:t>
                  </w:r>
                </w:p>
              </w:tc>
              <w:tc>
                <w:tcPr>
                  <w:tcW w:w="2885" w:type="dxa"/>
                  <w:tcBorders>
                    <w:top w:val="single" w:sz="4" w:space="0" w:color="999999"/>
                    <w:left w:val="single" w:sz="4" w:space="0" w:color="999999"/>
                    <w:bottom w:val="single" w:sz="4" w:space="0" w:color="999999"/>
                    <w:right w:val="single" w:sz="4" w:space="0" w:color="999999"/>
                  </w:tcBorders>
                  <w:hideMark/>
                </w:tcPr>
                <w:p w14:paraId="2A1A5441" w14:textId="77777777" w:rsidR="004C0388" w:rsidRDefault="004C0388" w:rsidP="00714345">
                  <w:pPr>
                    <w:jc w:val="center"/>
                    <w:rPr>
                      <w:rFonts w:eastAsia="Calibri" w:cstheme="minorHAnsi"/>
                    </w:rPr>
                  </w:pPr>
                  <w:r>
                    <w:rPr>
                      <w:rFonts w:eastAsia="Calibri" w:cstheme="minorHAnsi"/>
                    </w:rPr>
                    <w:t xml:space="preserve"> 36</w:t>
                  </w:r>
                </w:p>
              </w:tc>
              <w:tc>
                <w:tcPr>
                  <w:tcW w:w="2921" w:type="dxa"/>
                  <w:tcBorders>
                    <w:top w:val="single" w:sz="4" w:space="0" w:color="999999"/>
                    <w:left w:val="single" w:sz="4" w:space="0" w:color="999999"/>
                    <w:bottom w:val="single" w:sz="4" w:space="0" w:color="999999"/>
                    <w:right w:val="single" w:sz="4" w:space="0" w:color="999999"/>
                  </w:tcBorders>
                  <w:hideMark/>
                </w:tcPr>
                <w:p w14:paraId="4F1F1861" w14:textId="77777777" w:rsidR="004C0388" w:rsidRDefault="004C0388" w:rsidP="00714345">
                  <w:pPr>
                    <w:jc w:val="center"/>
                    <w:rPr>
                      <w:rFonts w:eastAsia="Calibri" w:cstheme="minorHAnsi"/>
                    </w:rPr>
                  </w:pPr>
                  <w:r>
                    <w:rPr>
                      <w:rFonts w:eastAsia="Calibri" w:cstheme="minorHAnsi"/>
                    </w:rPr>
                    <w:t>227</w:t>
                  </w:r>
                </w:p>
              </w:tc>
            </w:tr>
          </w:tbl>
          <w:p w14:paraId="3582E647" w14:textId="77777777" w:rsidR="004C0388" w:rsidRDefault="004C0388" w:rsidP="004C03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212121"/>
                <w:lang w:val="en"/>
              </w:rPr>
            </w:pPr>
          </w:p>
          <w:p w14:paraId="52045E6C" w14:textId="14BF28CA" w:rsidR="004C0388" w:rsidRPr="004C0388" w:rsidRDefault="004C0388" w:rsidP="004C03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FF0000"/>
                <w:lang w:val="hr-HR"/>
              </w:rPr>
            </w:pPr>
            <w:r w:rsidRPr="004C0388">
              <w:rPr>
                <w:rFonts w:cstheme="minorHAnsi"/>
                <w:color w:val="FF0000"/>
                <w:lang w:val="en"/>
              </w:rPr>
              <w:t xml:space="preserve">The information presented above </w:t>
            </w:r>
            <w:r w:rsidRPr="004C0388">
              <w:rPr>
                <w:rFonts w:cstheme="minorHAnsi"/>
                <w:noProof/>
                <w:color w:val="FF0000"/>
                <w:lang w:val="en"/>
              </w:rPr>
              <w:t>is</w:t>
            </w:r>
            <w:r w:rsidRPr="004C0388">
              <w:rPr>
                <w:rFonts w:cstheme="minorHAnsi"/>
                <w:color w:val="FF0000"/>
                <w:lang w:val="en"/>
              </w:rPr>
              <w:t xml:space="preserve"> based on the State Commission's Appeal Registry, comparing the number of calendar days from the day </w:t>
            </w:r>
            <w:r w:rsidRPr="004C0388">
              <w:rPr>
                <w:rFonts w:cstheme="minorHAnsi"/>
                <w:noProof/>
                <w:color w:val="FF0000"/>
                <w:lang w:val="en"/>
              </w:rPr>
              <w:t>of launching an administrative dispute till</w:t>
            </w:r>
            <w:r w:rsidRPr="004C0388">
              <w:rPr>
                <w:rFonts w:cstheme="minorHAnsi"/>
                <w:color w:val="FF0000"/>
                <w:lang w:val="en"/>
              </w:rPr>
              <w:t xml:space="preserve"> the date of the court ruling.</w:t>
            </w:r>
          </w:p>
        </w:tc>
      </w:tr>
      <w:tr w:rsidR="00BE60E9" w:rsidRPr="00B01372" w14:paraId="5F3F355B" w14:textId="4FE8F1F8" w:rsidTr="00095252">
        <w:tc>
          <w:tcPr>
            <w:tcW w:w="4606" w:type="dxa"/>
          </w:tcPr>
          <w:p w14:paraId="2F9ACFF2" w14:textId="2B4BDB98" w:rsidR="00BE60E9" w:rsidRPr="00B01372" w:rsidRDefault="00AD5A2B" w:rsidP="00F707A7">
            <w:pPr>
              <w:pStyle w:val="Heading3"/>
              <w:outlineLvl w:val="2"/>
              <w:rPr>
                <w:b w:val="0"/>
              </w:rPr>
            </w:pPr>
            <w:r w:rsidRPr="00B01372">
              <w:rPr>
                <w:b w:val="0"/>
              </w:rPr>
              <w:lastRenderedPageBreak/>
              <w:t>Histogram of values</w:t>
            </w:r>
            <w:r w:rsidR="00F707A7" w:rsidRPr="00B01372">
              <w:rPr>
                <w:b w:val="0"/>
              </w:rPr>
              <w:t xml:space="preserve"> of procedures</w:t>
            </w:r>
            <w:r w:rsidRPr="00B01372">
              <w:rPr>
                <w:b w:val="0"/>
              </w:rPr>
              <w:t xml:space="preserve">, </w:t>
            </w:r>
            <w:r w:rsidR="006D4823" w:rsidRPr="00B01372">
              <w:rPr>
                <w:b w:val="0"/>
              </w:rPr>
              <w:t xml:space="preserve">covering </w:t>
            </w:r>
            <w:r w:rsidR="00933EC9" w:rsidRPr="00B01372">
              <w:rPr>
                <w:b w:val="0"/>
              </w:rPr>
              <w:t xml:space="preserve">also procedures below </w:t>
            </w:r>
            <w:r w:rsidR="000A0653" w:rsidRPr="00B01372">
              <w:rPr>
                <w:b w:val="0"/>
              </w:rPr>
              <w:t>the thresholds</w:t>
            </w:r>
          </w:p>
        </w:tc>
        <w:tc>
          <w:tcPr>
            <w:tcW w:w="9509" w:type="dxa"/>
          </w:tcPr>
          <w:p w14:paraId="64F2BA04" w14:textId="0F8839BB" w:rsidR="00832674" w:rsidRPr="00B01372" w:rsidRDefault="00173A5E" w:rsidP="00BE60E9">
            <w:pPr>
              <w:jc w:val="both"/>
            </w:pPr>
            <w:r w:rsidRPr="00B01372">
              <w:t>Please include histogram</w:t>
            </w:r>
            <w:r w:rsidR="006D4823" w:rsidRPr="00B01372">
              <w:t>s</w:t>
            </w:r>
            <w:r w:rsidRPr="00B01372">
              <w:t xml:space="preserve"> of</w:t>
            </w:r>
            <w:r w:rsidR="00F707A7" w:rsidRPr="00B01372">
              <w:t xml:space="preserve"> values of</w:t>
            </w:r>
            <w:r w:rsidRPr="00B01372">
              <w:t xml:space="preserve"> </w:t>
            </w:r>
            <w:r w:rsidR="00832674" w:rsidRPr="00B01372">
              <w:t>procedure</w:t>
            </w:r>
            <w:r w:rsidR="00F707A7" w:rsidRPr="00B01372">
              <w:t>s</w:t>
            </w:r>
            <w:r w:rsidR="00832674" w:rsidRPr="00B01372">
              <w:t xml:space="preserve"> (i.e. call</w:t>
            </w:r>
            <w:r w:rsidR="0000330E" w:rsidRPr="00B01372">
              <w:t>s</w:t>
            </w:r>
            <w:r w:rsidR="00832674" w:rsidRPr="00B01372">
              <w:t xml:space="preserve"> for competition). These should be split at least to one for</w:t>
            </w:r>
            <w:r w:rsidR="006D4823" w:rsidRPr="00B01372">
              <w:t xml:space="preserve"> works and </w:t>
            </w:r>
            <w:r w:rsidR="00832674" w:rsidRPr="00B01372">
              <w:t xml:space="preserve">one </w:t>
            </w:r>
            <w:r w:rsidR="006D4823" w:rsidRPr="00B01372">
              <w:t xml:space="preserve">for </w:t>
            </w:r>
            <w:r w:rsidR="00832674" w:rsidRPr="00B01372">
              <w:t xml:space="preserve">supplies and services, ideally also further by types of EU threshold. </w:t>
            </w:r>
            <w:r w:rsidR="006D4823" w:rsidRPr="00B01372">
              <w:t xml:space="preserve"> </w:t>
            </w:r>
          </w:p>
          <w:p w14:paraId="2F98BEDE" w14:textId="781B7BE5" w:rsidR="00832674" w:rsidRPr="00B01372" w:rsidRDefault="00832674" w:rsidP="00BE60E9">
            <w:pPr>
              <w:jc w:val="both"/>
            </w:pPr>
          </w:p>
          <w:p w14:paraId="7E628951" w14:textId="41E05B98" w:rsidR="00832674" w:rsidRPr="00B01372" w:rsidRDefault="00832674" w:rsidP="00BE60E9">
            <w:pPr>
              <w:jc w:val="both"/>
            </w:pPr>
            <w:r w:rsidRPr="00B01372">
              <w:t xml:space="preserve">The aim is to find </w:t>
            </w:r>
            <w:r w:rsidR="00173A5E" w:rsidRPr="00B01372">
              <w:t>"spike</w:t>
            </w:r>
            <w:r w:rsidRPr="00B01372">
              <w:t>s</w:t>
            </w:r>
            <w:r w:rsidR="00173A5E" w:rsidRPr="00B01372">
              <w:t>" in the distribution</w:t>
            </w:r>
            <w:r w:rsidRPr="00B01372">
              <w:t xml:space="preserve"> of values, indicating a bunching of procedures below the EU threshold</w:t>
            </w:r>
            <w:r w:rsidR="00173A5E" w:rsidRPr="00B01372">
              <w:t>.</w:t>
            </w:r>
            <w:r w:rsidR="00AE3F8C" w:rsidRPr="00B01372">
              <w:t xml:space="preserve"> </w:t>
            </w:r>
          </w:p>
          <w:p w14:paraId="34E75F5B" w14:textId="5726B3E1" w:rsidR="00832674" w:rsidRPr="00B01372" w:rsidRDefault="00832674" w:rsidP="00BE60E9">
            <w:pPr>
              <w:jc w:val="both"/>
            </w:pPr>
          </w:p>
          <w:p w14:paraId="011EC6B0" w14:textId="7480C517" w:rsidR="00BE60E9" w:rsidRPr="00B01372" w:rsidRDefault="00F57C68" w:rsidP="00BE60E9">
            <w:pPr>
              <w:jc w:val="both"/>
            </w:pPr>
            <w:r w:rsidRPr="00B01372">
              <w:t>T</w:t>
            </w:r>
            <w:r w:rsidR="00173A5E" w:rsidRPr="00B01372">
              <w:t xml:space="preserve">o </w:t>
            </w:r>
            <w:r w:rsidR="00832674" w:rsidRPr="00B01372">
              <w:t xml:space="preserve">improve </w:t>
            </w:r>
            <w:r w:rsidR="00173A5E" w:rsidRPr="00B01372">
              <w:t xml:space="preserve">comparability, </w:t>
            </w:r>
            <w:r w:rsidRPr="00B01372">
              <w:t xml:space="preserve">please use histogram bins with a breadth of </w:t>
            </w:r>
            <w:r w:rsidR="00173A5E" w:rsidRPr="00B01372">
              <w:t>EUR 10</w:t>
            </w:r>
            <w:r w:rsidR="006035A7" w:rsidRPr="00B01372">
              <w:t xml:space="preserve"> </w:t>
            </w:r>
            <w:r w:rsidR="00173A5E" w:rsidRPr="00B01372">
              <w:t>000 (or the national currency</w:t>
            </w:r>
            <w:r w:rsidR="008840C5" w:rsidRPr="00B01372">
              <w:t xml:space="preserve"> equivalent</w:t>
            </w:r>
            <w:r w:rsidR="00173A5E" w:rsidRPr="00B01372">
              <w:t>).</w:t>
            </w:r>
          </w:p>
          <w:p w14:paraId="14B8FD4C" w14:textId="0B15F2ED" w:rsidR="004F136D" w:rsidRPr="00B01372" w:rsidRDefault="004F136D" w:rsidP="00BE60E9">
            <w:pPr>
              <w:jc w:val="both"/>
            </w:pPr>
          </w:p>
          <w:p w14:paraId="612839D3" w14:textId="0F02FD9C" w:rsidR="00A666E1" w:rsidRPr="00B01372" w:rsidRDefault="004F136D" w:rsidP="004E45FE">
            <w:pPr>
              <w:rPr>
                <w:i/>
              </w:rPr>
            </w:pPr>
            <w:r w:rsidRPr="00B01372">
              <w:t xml:space="preserve">For more information on bunching analysis methodology, please see the Swedish Competition Authority’s report </w:t>
            </w:r>
            <w:hyperlink r:id="rId13" w:history="1">
              <w:r w:rsidR="00D82802" w:rsidRPr="00B01372">
                <w:rPr>
                  <w:rStyle w:val="Hyperlink"/>
                </w:rPr>
                <w:t>http://www.konkurrensverket.se/globalassets/publikationer/uppdragsforskning/forsk_rap_2015_3.pdf</w:t>
              </w:r>
            </w:hyperlink>
            <w:r w:rsidRPr="00B01372">
              <w:t>, in particular section 3.4.2.</w:t>
            </w:r>
            <w:r w:rsidR="00A666E1">
              <w:t xml:space="preserve">, or the recent article from the American Economic Association </w:t>
            </w:r>
            <w:r w:rsidR="004E45FE">
              <w:t xml:space="preserve">available at </w:t>
            </w:r>
            <w:hyperlink r:id="rId14" w:history="1">
              <w:r w:rsidR="00A666E1" w:rsidRPr="00431224">
                <w:rPr>
                  <w:rStyle w:val="Hyperlink"/>
                  <w:i/>
                </w:rPr>
                <w:t>https://www.aeaweb.org/articles?id=10.1257%2Fpol.20150511&amp;&amp;from=f</w:t>
              </w:r>
            </w:hyperlink>
            <w:r w:rsidR="004E45FE">
              <w:rPr>
                <w:i/>
              </w:rPr>
              <w:t xml:space="preserve">. </w:t>
            </w:r>
            <w:r w:rsidR="00A666E1">
              <w:rPr>
                <w:i/>
              </w:rPr>
              <w:t xml:space="preserve"> </w:t>
            </w:r>
          </w:p>
        </w:tc>
      </w:tr>
      <w:tr w:rsidR="00714345" w:rsidRPr="00B01372" w14:paraId="1727A3FB" w14:textId="77777777" w:rsidTr="00095252">
        <w:tc>
          <w:tcPr>
            <w:tcW w:w="4606" w:type="dxa"/>
          </w:tcPr>
          <w:p w14:paraId="7B0A8E81" w14:textId="77777777" w:rsidR="00714345" w:rsidRPr="00B01372" w:rsidRDefault="00714345" w:rsidP="00F707A7">
            <w:pPr>
              <w:pStyle w:val="Heading3"/>
              <w:outlineLvl w:val="2"/>
              <w:rPr>
                <w:b w:val="0"/>
              </w:rPr>
            </w:pPr>
          </w:p>
        </w:tc>
        <w:tc>
          <w:tcPr>
            <w:tcW w:w="9509" w:type="dxa"/>
          </w:tcPr>
          <w:p w14:paraId="66CA9F1C" w14:textId="77777777" w:rsidR="00714345" w:rsidRPr="00E13CE6" w:rsidRDefault="00714345" w:rsidP="00714345">
            <w:pPr>
              <w:rPr>
                <w:color w:val="FF0000"/>
              </w:rPr>
            </w:pPr>
            <w:r w:rsidRPr="00E13CE6">
              <w:rPr>
                <w:color w:val="FF0000"/>
              </w:rPr>
              <w:t>Values of procedures:</w:t>
            </w:r>
          </w:p>
          <w:p w14:paraId="0646E797" w14:textId="6C40D697" w:rsidR="00714345" w:rsidRPr="00E13CE6" w:rsidRDefault="00714345" w:rsidP="00714345">
            <w:pPr>
              <w:pStyle w:val="NoSpacing"/>
              <w:jc w:val="both"/>
              <w:rPr>
                <w:color w:val="FF0000"/>
              </w:rPr>
            </w:pPr>
            <w:r w:rsidRPr="00E13CE6">
              <w:rPr>
                <w:color w:val="FF0000"/>
              </w:rPr>
              <w:t xml:space="preserve">The total value of procurement procedures above the EU threshold: </w:t>
            </w:r>
            <w:r>
              <w:rPr>
                <w:color w:val="FF0000"/>
              </w:rPr>
              <w:t>20.195.793.841,79 HRK (</w:t>
            </w:r>
            <w:r>
              <w:rPr>
                <w:rFonts w:ascii="Calibri" w:hAnsi="Calibri" w:cs="Calibri"/>
                <w:color w:val="FF0000"/>
              </w:rPr>
              <w:t>2.730.186.874,</w:t>
            </w:r>
            <w:r w:rsidRPr="00A077E0">
              <w:rPr>
                <w:rFonts w:ascii="Calibri" w:hAnsi="Calibri" w:cs="Calibri"/>
                <w:color w:val="FF0000"/>
              </w:rPr>
              <w:t>20</w:t>
            </w:r>
            <w:r>
              <w:rPr>
                <w:rFonts w:ascii="Calibri" w:hAnsi="Calibri" w:cs="Calibri"/>
                <w:color w:val="FF0000"/>
              </w:rPr>
              <w:t xml:space="preserve"> EUR)</w:t>
            </w:r>
          </w:p>
          <w:p w14:paraId="692F4D57" w14:textId="16B81EBC" w:rsidR="00714345" w:rsidRPr="00E13CE6" w:rsidRDefault="00714345" w:rsidP="00E3206F">
            <w:pPr>
              <w:pStyle w:val="NoSpacing"/>
              <w:numPr>
                <w:ilvl w:val="0"/>
                <w:numId w:val="12"/>
              </w:numPr>
              <w:jc w:val="both"/>
              <w:rPr>
                <w:color w:val="FF0000"/>
              </w:rPr>
            </w:pPr>
            <w:r w:rsidRPr="00E13CE6">
              <w:rPr>
                <w:color w:val="FF0000"/>
              </w:rPr>
              <w:t xml:space="preserve">works: </w:t>
            </w:r>
            <w:r w:rsidRPr="0075354B">
              <w:rPr>
                <w:rFonts w:ascii="Calibri" w:hAnsi="Calibri" w:cs="Calibri"/>
                <w:color w:val="FF0000"/>
              </w:rPr>
              <w:t>4.208.052.181,40</w:t>
            </w:r>
            <w:r>
              <w:rPr>
                <w:rFonts w:ascii="Calibri" w:hAnsi="Calibri" w:cs="Calibri"/>
                <w:color w:val="FF0000"/>
              </w:rPr>
              <w:t xml:space="preserve"> HRK</w:t>
            </w:r>
          </w:p>
          <w:p w14:paraId="56B6F95E" w14:textId="57DC5704" w:rsidR="00714345" w:rsidRPr="00E13CE6" w:rsidRDefault="00714345" w:rsidP="00E3206F">
            <w:pPr>
              <w:pStyle w:val="NoSpacing"/>
              <w:numPr>
                <w:ilvl w:val="0"/>
                <w:numId w:val="12"/>
              </w:numPr>
              <w:jc w:val="both"/>
              <w:rPr>
                <w:color w:val="FF0000"/>
              </w:rPr>
            </w:pPr>
            <w:r w:rsidRPr="00E13CE6">
              <w:rPr>
                <w:color w:val="FF0000"/>
              </w:rPr>
              <w:t xml:space="preserve">supplies: </w:t>
            </w:r>
            <w:r w:rsidRPr="0075354B">
              <w:rPr>
                <w:rFonts w:ascii="Calibri" w:hAnsi="Calibri" w:cs="Calibri"/>
                <w:bCs/>
                <w:color w:val="FF0000"/>
              </w:rPr>
              <w:t>8.725.389.573,07</w:t>
            </w:r>
            <w:r>
              <w:rPr>
                <w:rFonts w:ascii="Calibri" w:hAnsi="Calibri" w:cs="Calibri"/>
                <w:bCs/>
                <w:color w:val="FF0000"/>
              </w:rPr>
              <w:t xml:space="preserve"> HRK</w:t>
            </w:r>
          </w:p>
          <w:p w14:paraId="4489612B" w14:textId="628B2896" w:rsidR="00714345" w:rsidRPr="00E13CE6" w:rsidRDefault="00714345" w:rsidP="00E3206F">
            <w:pPr>
              <w:pStyle w:val="NoSpacing"/>
              <w:numPr>
                <w:ilvl w:val="0"/>
                <w:numId w:val="12"/>
              </w:numPr>
              <w:jc w:val="both"/>
              <w:rPr>
                <w:color w:val="FF0000"/>
              </w:rPr>
            </w:pPr>
            <w:r w:rsidRPr="00E13CE6">
              <w:rPr>
                <w:color w:val="FF0000"/>
              </w:rPr>
              <w:t xml:space="preserve">services: </w:t>
            </w:r>
            <w:r w:rsidRPr="00400571">
              <w:rPr>
                <w:rFonts w:ascii="Calibri" w:hAnsi="Calibri" w:cs="Calibri"/>
                <w:color w:val="FF0000"/>
              </w:rPr>
              <w:t>7.262.352.087,32</w:t>
            </w:r>
            <w:r>
              <w:rPr>
                <w:rFonts w:ascii="Calibri" w:hAnsi="Calibri" w:cs="Calibri"/>
                <w:color w:val="FF0000"/>
              </w:rPr>
              <w:t xml:space="preserve"> HRK</w:t>
            </w:r>
          </w:p>
          <w:p w14:paraId="6561762D" w14:textId="77777777" w:rsidR="00714345" w:rsidRPr="00E13CE6" w:rsidRDefault="00714345" w:rsidP="00714345">
            <w:pPr>
              <w:pStyle w:val="NoSpacing"/>
              <w:ind w:left="720"/>
              <w:jc w:val="both"/>
              <w:rPr>
                <w:color w:val="FF0000"/>
              </w:rPr>
            </w:pPr>
          </w:p>
          <w:p w14:paraId="66FF8818" w14:textId="6FD729C3" w:rsidR="00714345" w:rsidRPr="00E13CE6" w:rsidRDefault="00714345" w:rsidP="00714345">
            <w:pPr>
              <w:pStyle w:val="NoSpacing"/>
              <w:jc w:val="both"/>
              <w:rPr>
                <w:color w:val="FF0000"/>
              </w:rPr>
            </w:pPr>
            <w:r w:rsidRPr="00E13CE6">
              <w:rPr>
                <w:color w:val="FF0000"/>
              </w:rPr>
              <w:t>The total value of procurement procedures below the EU threshold (</w:t>
            </w:r>
            <w:r w:rsidR="00241D69">
              <w:rPr>
                <w:color w:val="FF0000"/>
              </w:rPr>
              <w:t>above</w:t>
            </w:r>
            <w:r w:rsidRPr="00E13CE6">
              <w:rPr>
                <w:color w:val="FF0000"/>
              </w:rPr>
              <w:t xml:space="preserve"> </w:t>
            </w:r>
            <w:r>
              <w:rPr>
                <w:color w:val="FF0000"/>
              </w:rPr>
              <w:t>national threshold</w:t>
            </w:r>
            <w:r w:rsidRPr="00E13CE6">
              <w:rPr>
                <w:color w:val="FF0000"/>
              </w:rPr>
              <w:t xml:space="preserve">): </w:t>
            </w:r>
            <w:r w:rsidRPr="00A541C5">
              <w:rPr>
                <w:rFonts w:ascii="Calibri" w:hAnsi="Calibri" w:cs="Calibri"/>
                <w:color w:val="FF0000"/>
              </w:rPr>
              <w:t>9.868.313.844,10</w:t>
            </w:r>
            <w:r>
              <w:rPr>
                <w:rFonts w:ascii="Calibri" w:hAnsi="Calibri" w:cs="Calibri"/>
                <w:color w:val="FF0000"/>
              </w:rPr>
              <w:t xml:space="preserve"> HRK (</w:t>
            </w:r>
            <w:r>
              <w:rPr>
                <w:rStyle w:val="dflfde"/>
                <w:color w:val="FF0000"/>
              </w:rPr>
              <w:t>1.334.057.038,</w:t>
            </w:r>
            <w:r w:rsidRPr="00F52C6D">
              <w:rPr>
                <w:rStyle w:val="dflfde"/>
                <w:color w:val="FF0000"/>
              </w:rPr>
              <w:t>74</w:t>
            </w:r>
            <w:r>
              <w:rPr>
                <w:rStyle w:val="dflfde"/>
                <w:color w:val="FF0000"/>
              </w:rPr>
              <w:t xml:space="preserve"> EUR)</w:t>
            </w:r>
          </w:p>
          <w:p w14:paraId="7414E233" w14:textId="4A0AB73F" w:rsidR="00714345" w:rsidRPr="00E13CE6" w:rsidRDefault="00714345" w:rsidP="00E3206F">
            <w:pPr>
              <w:pStyle w:val="NoSpacing"/>
              <w:numPr>
                <w:ilvl w:val="0"/>
                <w:numId w:val="12"/>
              </w:numPr>
              <w:jc w:val="both"/>
              <w:rPr>
                <w:color w:val="FF0000"/>
              </w:rPr>
            </w:pPr>
            <w:r w:rsidRPr="00E13CE6">
              <w:rPr>
                <w:color w:val="FF0000"/>
              </w:rPr>
              <w:t xml:space="preserve">works: </w:t>
            </w:r>
            <w:r w:rsidRPr="00400571">
              <w:rPr>
                <w:rFonts w:ascii="Calibri" w:hAnsi="Calibri" w:cs="Calibri"/>
                <w:color w:val="FF0000"/>
              </w:rPr>
              <w:t>5.536.463.851,89</w:t>
            </w:r>
            <w:r>
              <w:rPr>
                <w:rFonts w:ascii="Calibri" w:hAnsi="Calibri" w:cs="Calibri"/>
                <w:color w:val="FF0000"/>
              </w:rPr>
              <w:t xml:space="preserve"> HRK</w:t>
            </w:r>
          </w:p>
          <w:p w14:paraId="6036A46E" w14:textId="20636BC8" w:rsidR="00714345" w:rsidRPr="00E13CE6" w:rsidRDefault="00714345" w:rsidP="00E3206F">
            <w:pPr>
              <w:pStyle w:val="NoSpacing"/>
              <w:numPr>
                <w:ilvl w:val="0"/>
                <w:numId w:val="12"/>
              </w:numPr>
              <w:jc w:val="both"/>
              <w:rPr>
                <w:color w:val="FF0000"/>
              </w:rPr>
            </w:pPr>
            <w:r w:rsidRPr="00E13CE6">
              <w:rPr>
                <w:color w:val="FF0000"/>
              </w:rPr>
              <w:t xml:space="preserve">supplies: </w:t>
            </w:r>
            <w:r w:rsidRPr="00400571">
              <w:rPr>
                <w:rFonts w:ascii="Calibri" w:hAnsi="Calibri" w:cs="Calibri"/>
                <w:color w:val="FF0000"/>
              </w:rPr>
              <w:t>2.432.889.784,63</w:t>
            </w:r>
            <w:r>
              <w:rPr>
                <w:rFonts w:ascii="Calibri" w:hAnsi="Calibri" w:cs="Calibri"/>
                <w:color w:val="FF0000"/>
              </w:rPr>
              <w:t xml:space="preserve"> HRK</w:t>
            </w:r>
          </w:p>
          <w:p w14:paraId="2B4EEB00" w14:textId="4CAAD8E1" w:rsidR="00714345" w:rsidRPr="00E13CE6" w:rsidRDefault="00714345" w:rsidP="00E3206F">
            <w:pPr>
              <w:pStyle w:val="NoSpacing"/>
              <w:numPr>
                <w:ilvl w:val="0"/>
                <w:numId w:val="12"/>
              </w:numPr>
              <w:jc w:val="both"/>
              <w:rPr>
                <w:color w:val="FF0000"/>
              </w:rPr>
            </w:pPr>
            <w:r w:rsidRPr="00E13CE6">
              <w:rPr>
                <w:color w:val="FF0000"/>
              </w:rPr>
              <w:t xml:space="preserve">services: </w:t>
            </w:r>
            <w:r w:rsidRPr="00400571">
              <w:rPr>
                <w:rFonts w:ascii="Calibri" w:hAnsi="Calibri" w:cs="Calibri"/>
                <w:color w:val="FF0000"/>
              </w:rPr>
              <w:t>1.898.960.207,58</w:t>
            </w:r>
            <w:r>
              <w:rPr>
                <w:rFonts w:ascii="Calibri" w:hAnsi="Calibri" w:cs="Calibri"/>
                <w:color w:val="FF0000"/>
              </w:rPr>
              <w:t xml:space="preserve"> HRK</w:t>
            </w:r>
          </w:p>
          <w:p w14:paraId="0D9A2D14" w14:textId="77777777" w:rsidR="00714345" w:rsidRPr="00E13CE6" w:rsidRDefault="00714345" w:rsidP="00714345">
            <w:pPr>
              <w:pStyle w:val="NoSpacing"/>
              <w:jc w:val="both"/>
              <w:rPr>
                <w:color w:val="FF0000"/>
              </w:rPr>
            </w:pPr>
          </w:p>
          <w:p w14:paraId="6EC01614" w14:textId="7E5FDA1E" w:rsidR="00714345" w:rsidRPr="00E13CE6" w:rsidRDefault="00714345" w:rsidP="00714345">
            <w:pPr>
              <w:pStyle w:val="NoSpacing"/>
              <w:jc w:val="both"/>
              <w:rPr>
                <w:color w:val="FF0000"/>
              </w:rPr>
            </w:pPr>
            <w:r w:rsidRPr="00E13CE6">
              <w:rPr>
                <w:color w:val="FF0000"/>
              </w:rPr>
              <w:t xml:space="preserve">The total value of procurement procedures below </w:t>
            </w:r>
            <w:r>
              <w:rPr>
                <w:color w:val="FF0000"/>
              </w:rPr>
              <w:t>national threshold</w:t>
            </w:r>
            <w:r w:rsidRPr="00E13CE6">
              <w:rPr>
                <w:color w:val="FF0000"/>
              </w:rPr>
              <w:t xml:space="preserve">: </w:t>
            </w:r>
            <w:r w:rsidRPr="00A077E0">
              <w:rPr>
                <w:rFonts w:cstheme="minorHAnsi"/>
                <w:color w:val="FF0000"/>
              </w:rPr>
              <w:t xml:space="preserve">9.411.012.494 </w:t>
            </w:r>
            <w:r>
              <w:rPr>
                <w:rFonts w:cstheme="minorHAnsi"/>
                <w:color w:val="FF0000"/>
              </w:rPr>
              <w:t>HRK (</w:t>
            </w:r>
            <w:r>
              <w:rPr>
                <w:rStyle w:val="dflfde"/>
                <w:color w:val="FF0000"/>
              </w:rPr>
              <w:t>1.272.622.807,</w:t>
            </w:r>
            <w:r w:rsidRPr="00F52C6D">
              <w:rPr>
                <w:rStyle w:val="dflfde"/>
                <w:color w:val="FF0000"/>
              </w:rPr>
              <w:t>01</w:t>
            </w:r>
            <w:r>
              <w:rPr>
                <w:rStyle w:val="dflfde"/>
                <w:color w:val="FF0000"/>
              </w:rPr>
              <w:t xml:space="preserve"> EUR)</w:t>
            </w:r>
          </w:p>
          <w:p w14:paraId="5A1BF7D9" w14:textId="01D6FAA6" w:rsidR="00714345" w:rsidRPr="00E13CE6" w:rsidRDefault="00714345" w:rsidP="00E3206F">
            <w:pPr>
              <w:pStyle w:val="NoSpacing"/>
              <w:numPr>
                <w:ilvl w:val="0"/>
                <w:numId w:val="12"/>
              </w:numPr>
              <w:jc w:val="both"/>
              <w:rPr>
                <w:color w:val="FF0000"/>
              </w:rPr>
            </w:pPr>
            <w:r w:rsidRPr="00E13CE6">
              <w:rPr>
                <w:color w:val="FF0000"/>
              </w:rPr>
              <w:t xml:space="preserve">works: </w:t>
            </w:r>
            <w:r w:rsidR="004E5F59" w:rsidRPr="004E5F59">
              <w:rPr>
                <w:color w:val="FF0000"/>
              </w:rPr>
              <w:t>1.833.736.547</w:t>
            </w:r>
            <w:r w:rsidR="004E5F59">
              <w:rPr>
                <w:color w:val="FF0000"/>
              </w:rPr>
              <w:t xml:space="preserve"> HRK</w:t>
            </w:r>
          </w:p>
          <w:p w14:paraId="7E001FF6" w14:textId="2F5A615C" w:rsidR="00714345" w:rsidRPr="00E13CE6" w:rsidRDefault="00714345" w:rsidP="00E3206F">
            <w:pPr>
              <w:pStyle w:val="NoSpacing"/>
              <w:numPr>
                <w:ilvl w:val="0"/>
                <w:numId w:val="12"/>
              </w:numPr>
              <w:jc w:val="both"/>
              <w:rPr>
                <w:color w:val="FF0000"/>
              </w:rPr>
            </w:pPr>
            <w:r w:rsidRPr="00E13CE6">
              <w:rPr>
                <w:color w:val="FF0000"/>
              </w:rPr>
              <w:t xml:space="preserve">supplies: </w:t>
            </w:r>
            <w:r w:rsidR="004E5F59" w:rsidRPr="004E5F59">
              <w:rPr>
                <w:color w:val="FF0000"/>
              </w:rPr>
              <w:t>3.662.500.145</w:t>
            </w:r>
            <w:r w:rsidR="004E5F59">
              <w:rPr>
                <w:color w:val="FF0000"/>
              </w:rPr>
              <w:t xml:space="preserve"> HRK</w:t>
            </w:r>
          </w:p>
          <w:p w14:paraId="65D7224A" w14:textId="3955E2F6" w:rsidR="00714345" w:rsidRPr="00E13CE6" w:rsidRDefault="00714345" w:rsidP="00E3206F">
            <w:pPr>
              <w:pStyle w:val="NoSpacing"/>
              <w:numPr>
                <w:ilvl w:val="0"/>
                <w:numId w:val="12"/>
              </w:numPr>
              <w:jc w:val="both"/>
              <w:rPr>
                <w:color w:val="FF0000"/>
              </w:rPr>
            </w:pPr>
            <w:r w:rsidRPr="00E13CE6">
              <w:rPr>
                <w:color w:val="FF0000"/>
              </w:rPr>
              <w:t xml:space="preserve">services: </w:t>
            </w:r>
            <w:r w:rsidR="004E5F59" w:rsidRPr="004E5F59">
              <w:rPr>
                <w:color w:val="FF0000"/>
              </w:rPr>
              <w:t>3.914.775.802</w:t>
            </w:r>
            <w:r w:rsidR="004E5F59">
              <w:rPr>
                <w:color w:val="FF0000"/>
              </w:rPr>
              <w:t>HRK</w:t>
            </w:r>
          </w:p>
          <w:p w14:paraId="5F09D470" w14:textId="34200DD3" w:rsidR="00714345" w:rsidRPr="00B01372" w:rsidRDefault="00B955EB" w:rsidP="00BE60E9">
            <w:pPr>
              <w:jc w:val="both"/>
            </w:pPr>
            <w:r w:rsidRPr="00B955EB">
              <w:rPr>
                <w:color w:val="FF0000"/>
              </w:rPr>
              <w:t>See attachment 1</w:t>
            </w:r>
          </w:p>
        </w:tc>
      </w:tr>
    </w:tbl>
    <w:p w14:paraId="34AB7F0B" w14:textId="77777777" w:rsidR="000D5425" w:rsidRPr="00B01372" w:rsidRDefault="000D5425" w:rsidP="00BE433B">
      <w:pPr>
        <w:pStyle w:val="ListParagraph"/>
        <w:jc w:val="both"/>
      </w:pPr>
    </w:p>
    <w:p w14:paraId="34AB7F13" w14:textId="77777777" w:rsidR="004932A2" w:rsidRPr="00B01372" w:rsidRDefault="004932A2" w:rsidP="004932A2">
      <w:pPr>
        <w:pStyle w:val="NoSpacing"/>
      </w:pPr>
      <w:r w:rsidRPr="00B01372">
        <w:br w:type="page"/>
      </w:r>
    </w:p>
    <w:p w14:paraId="7EFAE71E" w14:textId="170EE2F8" w:rsidR="00082B68" w:rsidRPr="00B01372" w:rsidRDefault="00082B68" w:rsidP="004932A2">
      <w:pPr>
        <w:pStyle w:val="NoSpacing"/>
      </w:pPr>
    </w:p>
    <w:p w14:paraId="561FA522" w14:textId="77777777" w:rsidR="00082B68" w:rsidRPr="00B01372" w:rsidRDefault="00082B68" w:rsidP="004932A2">
      <w:pPr>
        <w:pStyle w:val="NoSpacing"/>
      </w:pPr>
    </w:p>
    <w:p w14:paraId="34AB7F14" w14:textId="77777777" w:rsidR="008A2313" w:rsidRPr="00B01372" w:rsidRDefault="008A2313" w:rsidP="008A2313">
      <w:pPr>
        <w:pStyle w:val="NoSpacing"/>
        <w:jc w:val="both"/>
      </w:pPr>
    </w:p>
    <w:p w14:paraId="34AB7F15" w14:textId="77777777" w:rsidR="00A051EB" w:rsidRPr="00B01372" w:rsidRDefault="00CF260D" w:rsidP="00F52C6D">
      <w:pPr>
        <w:pStyle w:val="Heading2"/>
      </w:pPr>
      <w:r w:rsidRPr="00B01372">
        <w:t>P</w:t>
      </w:r>
      <w:r w:rsidR="005F4733" w:rsidRPr="00B01372">
        <w:t>revention, detection and adequate reporting of cases of procurement fraud, corruption, conflict of interests and other serious irregularities</w:t>
      </w:r>
    </w:p>
    <w:p w14:paraId="34AB7F16" w14:textId="77777777" w:rsidR="005F4733" w:rsidRPr="00B01372" w:rsidRDefault="005F4733" w:rsidP="00D24317">
      <w:r w:rsidRPr="00B01372">
        <w:t xml:space="preserve"> </w:t>
      </w:r>
    </w:p>
    <w:tbl>
      <w:tblPr>
        <w:tblStyle w:val="TableGrid"/>
        <w:tblW w:w="5000" w:type="pct"/>
        <w:tblLook w:val="04A0" w:firstRow="1" w:lastRow="0" w:firstColumn="1" w:lastColumn="0" w:noHBand="0" w:noVBand="1"/>
      </w:tblPr>
      <w:tblGrid>
        <w:gridCol w:w="4687"/>
        <w:gridCol w:w="9533"/>
      </w:tblGrid>
      <w:tr w:rsidR="00253552" w:rsidRPr="00B01372" w14:paraId="732EAE05" w14:textId="77777777" w:rsidTr="00A47B20">
        <w:tc>
          <w:tcPr>
            <w:tcW w:w="1648" w:type="pct"/>
          </w:tcPr>
          <w:p w14:paraId="0DA192FE" w14:textId="3D616F19" w:rsidR="00253552" w:rsidRPr="00B01372" w:rsidRDefault="002B6572" w:rsidP="001D4DCD">
            <w:pPr>
              <w:pStyle w:val="Heading3"/>
              <w:outlineLvl w:val="2"/>
            </w:pPr>
            <w:r w:rsidRPr="00B01372">
              <w:t>III</w:t>
            </w:r>
            <w:r w:rsidR="00253552" w:rsidRPr="00B01372">
              <w:t xml:space="preserve">.1. Qualitative reporting </w:t>
            </w:r>
            <w:r w:rsidR="001D4DCD" w:rsidRPr="00B01372">
              <w:t>on</w:t>
            </w:r>
            <w:r w:rsidR="00253552" w:rsidRPr="00B01372">
              <w:t xml:space="preserve"> fraud, corruption, conflict of interests etc</w:t>
            </w:r>
            <w:r w:rsidR="00AC7614" w:rsidRPr="00B01372">
              <w:t>.</w:t>
            </w:r>
          </w:p>
        </w:tc>
        <w:tc>
          <w:tcPr>
            <w:tcW w:w="3352" w:type="pct"/>
          </w:tcPr>
          <w:p w14:paraId="0A90E1AF" w14:textId="77777777" w:rsidR="00253552" w:rsidRPr="00B01372" w:rsidRDefault="00253552" w:rsidP="005329C9">
            <w:pPr>
              <w:jc w:val="both"/>
            </w:pPr>
          </w:p>
        </w:tc>
      </w:tr>
      <w:tr w:rsidR="00253552" w:rsidRPr="00B01372" w14:paraId="7514108B" w14:textId="77777777" w:rsidTr="00A47B20">
        <w:tc>
          <w:tcPr>
            <w:tcW w:w="1648" w:type="pct"/>
          </w:tcPr>
          <w:p w14:paraId="60D6DF8A" w14:textId="43F6AA94" w:rsidR="00253552" w:rsidRPr="00241D69" w:rsidRDefault="00253552" w:rsidP="007217FF">
            <w:pPr>
              <w:jc w:val="both"/>
              <w:rPr>
                <w:highlight w:val="yellow"/>
              </w:rPr>
            </w:pPr>
            <w:r w:rsidRPr="001132ED">
              <w:t>Describe the actions undertaken and/or mechanisms put in place to ensure compliance with the new provisions on the prevention, detection and adequate reporting of public procurement irregularities</w:t>
            </w:r>
            <w:r w:rsidR="007217FF" w:rsidRPr="001132ED">
              <w:t xml:space="preserve"> including fraud and corruption</w:t>
            </w:r>
          </w:p>
        </w:tc>
        <w:tc>
          <w:tcPr>
            <w:tcW w:w="3352" w:type="pct"/>
          </w:tcPr>
          <w:p w14:paraId="2E4A965D" w14:textId="77777777" w:rsidR="00253552" w:rsidRPr="00B01372" w:rsidRDefault="00253552" w:rsidP="005329C9">
            <w:r w:rsidRPr="00B01372">
              <w:t>The information should focus on:</w:t>
            </w:r>
          </w:p>
          <w:p w14:paraId="7E773078" w14:textId="19C931A9" w:rsidR="00253552" w:rsidRPr="00B01372" w:rsidRDefault="00253552" w:rsidP="005329C9">
            <w:pPr>
              <w:jc w:val="both"/>
            </w:pPr>
            <w:r w:rsidRPr="00B01372">
              <w:t xml:space="preserve">- how these actions/mechanisms have been implemented </w:t>
            </w:r>
          </w:p>
          <w:p w14:paraId="3D8B5EC2" w14:textId="37F315A0" w:rsidR="00253552" w:rsidRPr="00B01372" w:rsidRDefault="00253552" w:rsidP="005329C9">
            <w:pPr>
              <w:jc w:val="both"/>
            </w:pPr>
            <w:r w:rsidRPr="00B01372">
              <w:t>- the key measures that have been put in place</w:t>
            </w:r>
          </w:p>
          <w:p w14:paraId="26BF195C" w14:textId="77777777" w:rsidR="00253552" w:rsidRPr="00B01372" w:rsidRDefault="00253552" w:rsidP="005329C9">
            <w:pPr>
              <w:jc w:val="both"/>
              <w:rPr>
                <w:i/>
              </w:rPr>
            </w:pPr>
          </w:p>
          <w:p w14:paraId="0C3CB2F2" w14:textId="77777777" w:rsidR="00253552" w:rsidRPr="00B01372" w:rsidRDefault="00253552" w:rsidP="005329C9">
            <w:pPr>
              <w:jc w:val="both"/>
              <w:rPr>
                <w:i/>
              </w:rPr>
            </w:pPr>
            <w:r w:rsidRPr="00B01372">
              <w:rPr>
                <w:i/>
              </w:rPr>
              <w:t xml:space="preserve"> Possible elements for consideration may be as follows:</w:t>
            </w:r>
          </w:p>
          <w:p w14:paraId="0FA99D32" w14:textId="77777777" w:rsidR="00253552" w:rsidRPr="00B01372" w:rsidRDefault="00253552" w:rsidP="00E3206F">
            <w:pPr>
              <w:pStyle w:val="ListParagraph"/>
              <w:numPr>
                <w:ilvl w:val="0"/>
                <w:numId w:val="7"/>
              </w:numPr>
              <w:jc w:val="both"/>
              <w:rPr>
                <w:i/>
              </w:rPr>
            </w:pPr>
            <w:r w:rsidRPr="00B01372">
              <w:rPr>
                <w:i/>
              </w:rPr>
              <w:t>The main assumptions and objectives of the underlying actions</w:t>
            </w:r>
          </w:p>
          <w:p w14:paraId="7900523D" w14:textId="77777777" w:rsidR="00253552" w:rsidRPr="00B01372" w:rsidRDefault="00253552" w:rsidP="00E3206F">
            <w:pPr>
              <w:pStyle w:val="ListParagraph"/>
              <w:numPr>
                <w:ilvl w:val="0"/>
                <w:numId w:val="7"/>
              </w:numPr>
              <w:jc w:val="both"/>
              <w:rPr>
                <w:i/>
              </w:rPr>
            </w:pPr>
            <w:r w:rsidRPr="00B01372">
              <w:rPr>
                <w:i/>
              </w:rPr>
              <w:t>Institutional arrangements made</w:t>
            </w:r>
          </w:p>
          <w:p w14:paraId="274DF746" w14:textId="28268052" w:rsidR="00253552" w:rsidRPr="00B01372" w:rsidRDefault="00253552" w:rsidP="00E3206F">
            <w:pPr>
              <w:pStyle w:val="ListParagraph"/>
              <w:numPr>
                <w:ilvl w:val="0"/>
                <w:numId w:val="7"/>
              </w:numPr>
              <w:jc w:val="both"/>
            </w:pPr>
            <w:r w:rsidRPr="00B01372">
              <w:rPr>
                <w:i/>
              </w:rPr>
              <w:t>Existing links between the prevention, detection and remedial actions aspect</w:t>
            </w:r>
          </w:p>
        </w:tc>
      </w:tr>
      <w:tr w:rsidR="00D04A47" w:rsidRPr="00B01372" w14:paraId="23C8F283" w14:textId="77777777" w:rsidTr="00A47B20">
        <w:tc>
          <w:tcPr>
            <w:tcW w:w="1648" w:type="pct"/>
          </w:tcPr>
          <w:p w14:paraId="63EF3ADC" w14:textId="77777777" w:rsidR="00D04A47" w:rsidRPr="00241D69" w:rsidRDefault="00D04A47" w:rsidP="007217FF">
            <w:pPr>
              <w:jc w:val="both"/>
              <w:rPr>
                <w:highlight w:val="yellow"/>
              </w:rPr>
            </w:pPr>
          </w:p>
        </w:tc>
        <w:tc>
          <w:tcPr>
            <w:tcW w:w="3352" w:type="pct"/>
          </w:tcPr>
          <w:p w14:paraId="79C62B77" w14:textId="32168329" w:rsidR="00D04A47" w:rsidRPr="00B94D1A" w:rsidRDefault="00D04A47" w:rsidP="00D04A47">
            <w:pPr>
              <w:jc w:val="both"/>
              <w:rPr>
                <w:color w:val="FF0000"/>
              </w:rPr>
            </w:pPr>
            <w:r w:rsidRPr="00B94D1A">
              <w:rPr>
                <w:color w:val="FF0000"/>
              </w:rPr>
              <w:t xml:space="preserve">The AFCOS Network is established in order to achieve full </w:t>
            </w:r>
            <w:r w:rsidR="00F35775">
              <w:rPr>
                <w:color w:val="FF0000"/>
              </w:rPr>
              <w:t>operability</w:t>
            </w:r>
            <w:r w:rsidRPr="00B94D1A">
              <w:rPr>
                <w:color w:val="FF0000"/>
              </w:rPr>
              <w:t xml:space="preserve"> of the AFCOS system within the framework of which the coordination of legislative, administrative and operational activities, for the purposes of protecting financial interests of the European Union in the Republic of Croatia, and direct cooperation with the European Anti-Fraud Office (OLAF) shall be carried out. The AFCOS Network has been established by Decision 151/2013 of the Government of the Republic of Croatia, establishing also the bodies in the AFCOS Network and defining the tasks of the bodies in the AFCOS Network. </w:t>
            </w:r>
          </w:p>
          <w:p w14:paraId="427E6778" w14:textId="77777777" w:rsidR="00D04A47" w:rsidRPr="00B94D1A" w:rsidRDefault="00D04A47" w:rsidP="00D04A47">
            <w:pPr>
              <w:jc w:val="both"/>
              <w:rPr>
                <w:color w:val="FF0000"/>
              </w:rPr>
            </w:pPr>
          </w:p>
          <w:p w14:paraId="06544E60" w14:textId="77777777" w:rsidR="00D04A47" w:rsidRPr="00B94D1A" w:rsidRDefault="00D04A47" w:rsidP="00D04A47">
            <w:pPr>
              <w:jc w:val="both"/>
              <w:rPr>
                <w:color w:val="FF0000"/>
              </w:rPr>
            </w:pPr>
            <w:r w:rsidRPr="00B94D1A">
              <w:rPr>
                <w:color w:val="FF0000"/>
              </w:rPr>
              <w:t xml:space="preserve">The AFCOS Network comprises the representatives of: </w:t>
            </w:r>
          </w:p>
          <w:p w14:paraId="6B4F5BF0" w14:textId="77777777" w:rsidR="00D04A47" w:rsidRPr="00B94D1A" w:rsidRDefault="00D04A47" w:rsidP="00D04A47">
            <w:pPr>
              <w:jc w:val="both"/>
              <w:rPr>
                <w:color w:val="FF0000"/>
              </w:rPr>
            </w:pPr>
            <w:r w:rsidRPr="00B94D1A">
              <w:rPr>
                <w:color w:val="FF0000"/>
              </w:rPr>
              <w:t>1. Ministry of Justice,</w:t>
            </w:r>
          </w:p>
          <w:p w14:paraId="5E8706B0" w14:textId="77777777" w:rsidR="00D04A47" w:rsidRPr="00B94D1A" w:rsidRDefault="00D04A47" w:rsidP="00D04A47">
            <w:pPr>
              <w:jc w:val="both"/>
              <w:rPr>
                <w:color w:val="FF0000"/>
              </w:rPr>
            </w:pPr>
            <w:r w:rsidRPr="00B94D1A">
              <w:rPr>
                <w:color w:val="FF0000"/>
              </w:rPr>
              <w:t>2. Ministry of the Interior,</w:t>
            </w:r>
          </w:p>
          <w:p w14:paraId="7D187B8E" w14:textId="77777777" w:rsidR="00D04A47" w:rsidRPr="00B94D1A" w:rsidRDefault="00D04A47" w:rsidP="00D04A47">
            <w:pPr>
              <w:jc w:val="both"/>
              <w:rPr>
                <w:color w:val="FF0000"/>
              </w:rPr>
            </w:pPr>
            <w:r w:rsidRPr="00B94D1A">
              <w:rPr>
                <w:color w:val="FF0000"/>
              </w:rPr>
              <w:t xml:space="preserve">3. Ministry of Finance - Tax Administration, Customs Administration, Sector for Harmonization of Internal Audit and Financial Control, Anti-Money Laundering Office, Sector for Financial and Budget Supervision, </w:t>
            </w:r>
          </w:p>
          <w:p w14:paraId="2F48ECD3" w14:textId="43DE8C44" w:rsidR="00D04A47" w:rsidRPr="00B94D1A" w:rsidRDefault="00D04A47" w:rsidP="00D04A47">
            <w:pPr>
              <w:jc w:val="both"/>
              <w:rPr>
                <w:color w:val="FF0000"/>
              </w:rPr>
            </w:pPr>
            <w:r w:rsidRPr="00B94D1A">
              <w:rPr>
                <w:color w:val="FF0000"/>
              </w:rPr>
              <w:t>4. Ministry of Economy</w:t>
            </w:r>
            <w:r w:rsidR="00F35775">
              <w:rPr>
                <w:color w:val="FF0000"/>
              </w:rPr>
              <w:t>, Entrepreneurship and Crafts</w:t>
            </w:r>
            <w:r w:rsidRPr="00B94D1A">
              <w:rPr>
                <w:color w:val="FF0000"/>
              </w:rPr>
              <w:t xml:space="preserve"> - Directorate for Public Procurement </w:t>
            </w:r>
            <w:r w:rsidR="00F35775">
              <w:rPr>
                <w:color w:val="FF0000"/>
              </w:rPr>
              <w:t>Policy</w:t>
            </w:r>
            <w:r w:rsidRPr="00B94D1A">
              <w:rPr>
                <w:color w:val="FF0000"/>
              </w:rPr>
              <w:t xml:space="preserve">, </w:t>
            </w:r>
          </w:p>
          <w:p w14:paraId="1BB22642" w14:textId="77777777" w:rsidR="00D04A47" w:rsidRPr="00B94D1A" w:rsidRDefault="00D04A47" w:rsidP="00D04A47">
            <w:pPr>
              <w:jc w:val="both"/>
              <w:rPr>
                <w:color w:val="FF0000"/>
              </w:rPr>
            </w:pPr>
            <w:r w:rsidRPr="00B94D1A">
              <w:rPr>
                <w:color w:val="FF0000"/>
              </w:rPr>
              <w:t xml:space="preserve">5. State Attorney's Office of the Republic of Croatia, and </w:t>
            </w:r>
          </w:p>
          <w:p w14:paraId="6BB1EC73" w14:textId="1C727005" w:rsidR="00D04A47" w:rsidRPr="00B01372" w:rsidRDefault="00D04A47" w:rsidP="00D04A47">
            <w:r w:rsidRPr="00B94D1A">
              <w:rPr>
                <w:color w:val="FF0000"/>
              </w:rPr>
              <w:t>6. Agency for the Audit of European Union Programmes Implementation System.</w:t>
            </w:r>
          </w:p>
        </w:tc>
      </w:tr>
      <w:tr w:rsidR="007217FF" w:rsidRPr="00B01372" w14:paraId="21F995DE" w14:textId="77777777" w:rsidTr="00A47B20">
        <w:tc>
          <w:tcPr>
            <w:tcW w:w="1648" w:type="pct"/>
          </w:tcPr>
          <w:p w14:paraId="7C193813" w14:textId="15B5A0CF" w:rsidR="007217FF" w:rsidRPr="00241D69" w:rsidRDefault="007217FF" w:rsidP="007217FF">
            <w:pPr>
              <w:jc w:val="both"/>
              <w:rPr>
                <w:highlight w:val="yellow"/>
              </w:rPr>
            </w:pPr>
            <w:r w:rsidRPr="001132ED">
              <w:t xml:space="preserve">Describe the actions undertaken and/or </w:t>
            </w:r>
            <w:r w:rsidRPr="001132ED">
              <w:lastRenderedPageBreak/>
              <w:t>mechanisms put in place to ensure compliance with the new provisions on the prevention, detection and adequate reporting of conflicts of interests</w:t>
            </w:r>
          </w:p>
        </w:tc>
        <w:tc>
          <w:tcPr>
            <w:tcW w:w="3352" w:type="pct"/>
          </w:tcPr>
          <w:p w14:paraId="717F788E" w14:textId="77777777" w:rsidR="007217FF" w:rsidRPr="00B01372" w:rsidRDefault="007217FF" w:rsidP="007217FF">
            <w:r w:rsidRPr="00B01372">
              <w:lastRenderedPageBreak/>
              <w:t>The information should focus on:</w:t>
            </w:r>
          </w:p>
          <w:p w14:paraId="4240CA82" w14:textId="5AF184D1" w:rsidR="007217FF" w:rsidRPr="00B01372" w:rsidRDefault="007217FF" w:rsidP="007217FF">
            <w:pPr>
              <w:jc w:val="both"/>
            </w:pPr>
            <w:r w:rsidRPr="00B01372">
              <w:lastRenderedPageBreak/>
              <w:t xml:space="preserve">- how these actions/mechanisms have been implemented </w:t>
            </w:r>
          </w:p>
          <w:p w14:paraId="4AA5BEDC" w14:textId="4A9F134B" w:rsidR="007217FF" w:rsidRPr="00B01372" w:rsidRDefault="007217FF" w:rsidP="007217FF">
            <w:pPr>
              <w:jc w:val="both"/>
            </w:pPr>
            <w:r w:rsidRPr="00B01372">
              <w:t>- the key measures that have been put in place</w:t>
            </w:r>
          </w:p>
          <w:p w14:paraId="3341F201" w14:textId="01C2FB8C" w:rsidR="007217FF" w:rsidRPr="00B01372" w:rsidRDefault="007217FF" w:rsidP="007217FF">
            <w:pPr>
              <w:jc w:val="both"/>
            </w:pPr>
            <w:r w:rsidRPr="00B01372">
              <w:t xml:space="preserve">- </w:t>
            </w:r>
            <w:r w:rsidR="00AC7614" w:rsidRPr="00B01372">
              <w:t>presenting</w:t>
            </w:r>
            <w:r w:rsidRPr="00B01372">
              <w:t xml:space="preserve"> the definition of Conflict of interest, if it differs from the definition in the Directives</w:t>
            </w:r>
          </w:p>
          <w:p w14:paraId="5C359F57" w14:textId="720D5D04" w:rsidR="007217FF" w:rsidRPr="00B01372" w:rsidRDefault="007217FF" w:rsidP="007217FF">
            <w:pPr>
              <w:jc w:val="both"/>
            </w:pPr>
            <w:r w:rsidRPr="00B01372">
              <w:t xml:space="preserve">- </w:t>
            </w:r>
            <w:r w:rsidR="00AC7614" w:rsidRPr="00B01372">
              <w:t>explaining</w:t>
            </w:r>
            <w:r w:rsidRPr="00B01372">
              <w:t xml:space="preserve"> </w:t>
            </w:r>
            <w:r w:rsidR="00FF42D2">
              <w:t xml:space="preserve"> the reasons for choosing the elements that have been added to the definition </w:t>
            </w:r>
            <w:r w:rsidR="00FF42D2" w:rsidRPr="00B01372">
              <w:t xml:space="preserve">of Conflict of interest </w:t>
            </w:r>
            <w:r w:rsidR="00FF42D2">
              <w:t>set out in the Directives</w:t>
            </w:r>
            <w:r w:rsidR="00FF42D2" w:rsidRPr="00B01372" w:rsidDel="00CB736C">
              <w:t xml:space="preserve"> </w:t>
            </w:r>
          </w:p>
          <w:p w14:paraId="1FD22DB3" w14:textId="5A37378F" w:rsidR="007217FF" w:rsidRPr="00B01372" w:rsidRDefault="007217FF" w:rsidP="007217FF">
            <w:pPr>
              <w:jc w:val="both"/>
            </w:pPr>
            <w:r w:rsidRPr="00B01372">
              <w:t xml:space="preserve">- how the Directive requirement of effectiveness of the measures </w:t>
            </w:r>
            <w:r w:rsidR="00AC7614" w:rsidRPr="00B01372">
              <w:t xml:space="preserve">is </w:t>
            </w:r>
            <w:r w:rsidRPr="00B01372">
              <w:t>fulfilled in practice</w:t>
            </w:r>
          </w:p>
          <w:p w14:paraId="5397CB66" w14:textId="77777777" w:rsidR="007217FF" w:rsidRPr="00B01372" w:rsidRDefault="007217FF" w:rsidP="007217FF">
            <w:pPr>
              <w:jc w:val="both"/>
              <w:rPr>
                <w:i/>
              </w:rPr>
            </w:pPr>
          </w:p>
          <w:p w14:paraId="0162DADB" w14:textId="77777777" w:rsidR="007217FF" w:rsidRPr="00B01372" w:rsidRDefault="007217FF" w:rsidP="007217FF">
            <w:pPr>
              <w:jc w:val="both"/>
              <w:rPr>
                <w:i/>
              </w:rPr>
            </w:pPr>
            <w:r w:rsidRPr="00B01372">
              <w:rPr>
                <w:i/>
              </w:rPr>
              <w:t xml:space="preserve"> Possible elements for consideration may be as follows:</w:t>
            </w:r>
          </w:p>
          <w:p w14:paraId="4872AC05" w14:textId="77777777" w:rsidR="007217FF" w:rsidRPr="00B01372" w:rsidRDefault="007217FF" w:rsidP="00E3206F">
            <w:pPr>
              <w:pStyle w:val="ListParagraph"/>
              <w:numPr>
                <w:ilvl w:val="0"/>
                <w:numId w:val="7"/>
              </w:numPr>
              <w:jc w:val="both"/>
              <w:rPr>
                <w:i/>
              </w:rPr>
            </w:pPr>
            <w:r w:rsidRPr="00B01372">
              <w:rPr>
                <w:i/>
              </w:rPr>
              <w:t>The main assumptions and objectives of the underlying actions</w:t>
            </w:r>
          </w:p>
          <w:p w14:paraId="723E18F3" w14:textId="77777777" w:rsidR="007217FF" w:rsidRPr="00B01372" w:rsidRDefault="007217FF" w:rsidP="00E3206F">
            <w:pPr>
              <w:pStyle w:val="ListParagraph"/>
              <w:numPr>
                <w:ilvl w:val="0"/>
                <w:numId w:val="7"/>
              </w:numPr>
              <w:jc w:val="both"/>
              <w:rPr>
                <w:i/>
              </w:rPr>
            </w:pPr>
            <w:r w:rsidRPr="00B01372">
              <w:rPr>
                <w:i/>
              </w:rPr>
              <w:t>Institutional arrangements made</w:t>
            </w:r>
          </w:p>
          <w:p w14:paraId="5DF60B8C" w14:textId="4325E515" w:rsidR="007217FF" w:rsidRPr="00B01372" w:rsidRDefault="007217FF" w:rsidP="00E3206F">
            <w:pPr>
              <w:pStyle w:val="ListParagraph"/>
              <w:numPr>
                <w:ilvl w:val="0"/>
                <w:numId w:val="7"/>
              </w:numPr>
              <w:jc w:val="both"/>
              <w:rPr>
                <w:i/>
              </w:rPr>
            </w:pPr>
            <w:r w:rsidRPr="00B01372">
              <w:rPr>
                <w:i/>
              </w:rPr>
              <w:t>Legislative framework</w:t>
            </w:r>
          </w:p>
          <w:p w14:paraId="6E893D17" w14:textId="013D2BF9" w:rsidR="007217FF" w:rsidRPr="00B01372" w:rsidRDefault="007217FF" w:rsidP="00E3206F">
            <w:pPr>
              <w:pStyle w:val="ListParagraph"/>
              <w:numPr>
                <w:ilvl w:val="0"/>
                <w:numId w:val="7"/>
              </w:numPr>
              <w:jc w:val="both"/>
            </w:pPr>
            <w:r w:rsidRPr="00B01372">
              <w:rPr>
                <w:i/>
              </w:rPr>
              <w:t>Existing links between the prevention, detection and remedial actions aspect</w:t>
            </w:r>
          </w:p>
        </w:tc>
      </w:tr>
      <w:tr w:rsidR="00D04A47" w:rsidRPr="00B01372" w14:paraId="27D30392" w14:textId="77777777" w:rsidTr="00A47B20">
        <w:tc>
          <w:tcPr>
            <w:tcW w:w="1648" w:type="pct"/>
          </w:tcPr>
          <w:p w14:paraId="7B46D50D" w14:textId="77777777" w:rsidR="00D04A47" w:rsidRPr="00241D69" w:rsidRDefault="00D04A47" w:rsidP="007217FF">
            <w:pPr>
              <w:jc w:val="both"/>
              <w:rPr>
                <w:highlight w:val="yellow"/>
              </w:rPr>
            </w:pPr>
          </w:p>
        </w:tc>
        <w:tc>
          <w:tcPr>
            <w:tcW w:w="3352" w:type="pct"/>
          </w:tcPr>
          <w:p w14:paraId="2ECAD300" w14:textId="77777777" w:rsidR="00D04A47" w:rsidRPr="00B94D1A" w:rsidRDefault="00D04A47" w:rsidP="00D04A47">
            <w:pPr>
              <w:jc w:val="both"/>
              <w:rPr>
                <w:color w:val="FF0000"/>
              </w:rPr>
            </w:pPr>
            <w:r w:rsidRPr="00B94D1A">
              <w:rPr>
                <w:color w:val="FF0000"/>
              </w:rPr>
              <w:t xml:space="preserve">The tasks of the AFCOS Network are following: </w:t>
            </w:r>
          </w:p>
          <w:p w14:paraId="360D83E9" w14:textId="73BC5A8D" w:rsidR="00D04A47" w:rsidRPr="00B94D1A" w:rsidRDefault="00D04A47" w:rsidP="00D04A47">
            <w:pPr>
              <w:jc w:val="both"/>
              <w:rPr>
                <w:color w:val="FF0000"/>
              </w:rPr>
            </w:pPr>
            <w:r w:rsidRPr="00B94D1A">
              <w:rPr>
                <w:color w:val="FF0000"/>
              </w:rPr>
              <w:t xml:space="preserve">- cooperation with OLAF regarding the issues of the protection of financial interests of the European Union, </w:t>
            </w:r>
          </w:p>
          <w:p w14:paraId="3F8A647A" w14:textId="77777777" w:rsidR="00D04A47" w:rsidRPr="00B94D1A" w:rsidRDefault="00D04A47" w:rsidP="00D04A47">
            <w:pPr>
              <w:jc w:val="both"/>
              <w:rPr>
                <w:color w:val="FF0000"/>
              </w:rPr>
            </w:pPr>
            <w:r w:rsidRPr="00B94D1A">
              <w:rPr>
                <w:color w:val="FF0000"/>
              </w:rPr>
              <w:t xml:space="preserve">- proposing legislative and other measures with the purpose of efficient protection of financial interests of the European Union, and </w:t>
            </w:r>
          </w:p>
          <w:p w14:paraId="67685007" w14:textId="3B3D6633" w:rsidR="00D04A47" w:rsidRPr="00B01372" w:rsidRDefault="00D04A47" w:rsidP="00D04A47">
            <w:r w:rsidRPr="00B94D1A">
              <w:rPr>
                <w:color w:val="FF0000"/>
              </w:rPr>
              <w:t>- strengthening inter-institutional cooperation, communication and exchange of data with the bodies of the AFCOS system</w:t>
            </w:r>
          </w:p>
        </w:tc>
      </w:tr>
      <w:tr w:rsidR="00253552" w:rsidRPr="00B01372" w14:paraId="4CDE2A28" w14:textId="77777777" w:rsidTr="00A47B20">
        <w:tc>
          <w:tcPr>
            <w:tcW w:w="1648" w:type="pct"/>
          </w:tcPr>
          <w:p w14:paraId="1DCB95B7" w14:textId="123EA8CA" w:rsidR="00253552" w:rsidRPr="00B01372" w:rsidRDefault="00524104" w:rsidP="005329C9">
            <w:pPr>
              <w:pStyle w:val="Heading3"/>
              <w:outlineLvl w:val="2"/>
            </w:pPr>
            <w:r w:rsidRPr="00B01372">
              <w:t>III</w:t>
            </w:r>
            <w:r w:rsidR="00253552" w:rsidRPr="00B01372">
              <w:t xml:space="preserve">.2. </w:t>
            </w:r>
            <w:r w:rsidR="0037143F" w:rsidRPr="0037143F">
              <w:t>Supporting documents</w:t>
            </w:r>
          </w:p>
        </w:tc>
        <w:tc>
          <w:tcPr>
            <w:tcW w:w="3352" w:type="pct"/>
          </w:tcPr>
          <w:p w14:paraId="263B52A4" w14:textId="77777777" w:rsidR="00253552" w:rsidRPr="00B01372" w:rsidRDefault="00253552" w:rsidP="005329C9">
            <w:pPr>
              <w:rPr>
                <w:i/>
              </w:rPr>
            </w:pPr>
          </w:p>
        </w:tc>
      </w:tr>
      <w:tr w:rsidR="00253552" w:rsidRPr="00B01372" w14:paraId="02400CED" w14:textId="77777777" w:rsidTr="00A47B20">
        <w:tc>
          <w:tcPr>
            <w:tcW w:w="1648" w:type="pct"/>
          </w:tcPr>
          <w:p w14:paraId="02040C70" w14:textId="08DE06DB" w:rsidR="00253552" w:rsidRPr="00B01372" w:rsidRDefault="00253552" w:rsidP="0037143F">
            <w:pPr>
              <w:pStyle w:val="Heading3"/>
              <w:outlineLvl w:val="2"/>
              <w:rPr>
                <w:b w:val="0"/>
              </w:rPr>
            </w:pPr>
            <w:r w:rsidRPr="00B01372">
              <w:rPr>
                <w:b w:val="0"/>
              </w:rPr>
              <w:t xml:space="preserve">Please provide any available </w:t>
            </w:r>
            <w:r w:rsidR="0037143F">
              <w:rPr>
                <w:b w:val="0"/>
              </w:rPr>
              <w:t>evidence</w:t>
            </w:r>
            <w:r w:rsidRPr="00B01372">
              <w:rPr>
                <w:b w:val="0"/>
              </w:rPr>
              <w:t xml:space="preserve"> on the actions/mechanisms and measures described under section </w:t>
            </w:r>
            <w:r w:rsidR="00046AD1" w:rsidRPr="00B01372">
              <w:rPr>
                <w:b w:val="0"/>
              </w:rPr>
              <w:t>III</w:t>
            </w:r>
            <w:r w:rsidRPr="00B01372">
              <w:rPr>
                <w:b w:val="0"/>
              </w:rPr>
              <w:t xml:space="preserve">.1. </w:t>
            </w:r>
            <w:proofErr w:type="gramStart"/>
            <w:r w:rsidRPr="00B01372">
              <w:rPr>
                <w:b w:val="0"/>
              </w:rPr>
              <w:t>above</w:t>
            </w:r>
            <w:proofErr w:type="gramEnd"/>
            <w:r w:rsidRPr="00B01372">
              <w:rPr>
                <w:b w:val="0"/>
              </w:rPr>
              <w:t xml:space="preserve"> </w:t>
            </w:r>
            <w:r w:rsidR="00B72720" w:rsidRPr="00B01372">
              <w:rPr>
                <w:b w:val="0"/>
              </w:rPr>
              <w:t>demonstrating</w:t>
            </w:r>
            <w:r w:rsidRPr="00B01372">
              <w:rPr>
                <w:b w:val="0"/>
              </w:rPr>
              <w:t xml:space="preserve"> compliance with the new provisions on the prevention, detection and adequate reporting of public procurement irregularities and conflicts of interests  </w:t>
            </w:r>
          </w:p>
        </w:tc>
        <w:tc>
          <w:tcPr>
            <w:tcW w:w="3352" w:type="pct"/>
          </w:tcPr>
          <w:p w14:paraId="705DD83C" w14:textId="5723307E" w:rsidR="00253552" w:rsidRPr="00B01372" w:rsidRDefault="00253552" w:rsidP="005329C9">
            <w:pPr>
              <w:jc w:val="both"/>
              <w:rPr>
                <w:i/>
              </w:rPr>
            </w:pPr>
            <w:r w:rsidRPr="00B01372">
              <w:rPr>
                <w:i/>
              </w:rPr>
              <w:t>Possible relevant (non-exhaustive) documents for consideration may be as follows</w:t>
            </w:r>
            <w:r w:rsidR="00CB736C">
              <w:rPr>
                <w:i/>
              </w:rPr>
              <w:t xml:space="preserve"> (please provide a link to the document, and if possible, a summary of the document in English, if the document is in another language)</w:t>
            </w:r>
            <w:r w:rsidRPr="00B01372">
              <w:rPr>
                <w:i/>
              </w:rPr>
              <w:t>:</w:t>
            </w:r>
          </w:p>
          <w:p w14:paraId="5B3D74CD" w14:textId="77777777" w:rsidR="00253552" w:rsidRPr="00B01372" w:rsidRDefault="00253552" w:rsidP="00E3206F">
            <w:pPr>
              <w:pStyle w:val="ListParagraph"/>
              <w:numPr>
                <w:ilvl w:val="0"/>
                <w:numId w:val="8"/>
              </w:numPr>
              <w:jc w:val="both"/>
              <w:rPr>
                <w:i/>
              </w:rPr>
            </w:pPr>
            <w:r w:rsidRPr="00B01372">
              <w:rPr>
                <w:i/>
              </w:rPr>
              <w:t>Policy or other administrative documents discussing issues in relation to the implementation of the actions/mechanisms</w:t>
            </w:r>
          </w:p>
          <w:p w14:paraId="5FB6C8BE" w14:textId="77777777" w:rsidR="00253552" w:rsidRPr="00B01372" w:rsidRDefault="00253552" w:rsidP="005329C9">
            <w:pPr>
              <w:rPr>
                <w:i/>
              </w:rPr>
            </w:pPr>
          </w:p>
        </w:tc>
      </w:tr>
      <w:tr w:rsidR="00D04A47" w:rsidRPr="00B01372" w14:paraId="53D3A9C2" w14:textId="77777777" w:rsidTr="00A47B20">
        <w:tc>
          <w:tcPr>
            <w:tcW w:w="1648" w:type="pct"/>
          </w:tcPr>
          <w:p w14:paraId="13FCD737" w14:textId="77777777" w:rsidR="00D04A47" w:rsidRPr="00B01372" w:rsidRDefault="00D04A47" w:rsidP="0037143F">
            <w:pPr>
              <w:pStyle w:val="Heading3"/>
              <w:outlineLvl w:val="2"/>
              <w:rPr>
                <w:b w:val="0"/>
              </w:rPr>
            </w:pPr>
          </w:p>
        </w:tc>
        <w:tc>
          <w:tcPr>
            <w:tcW w:w="3352" w:type="pct"/>
          </w:tcPr>
          <w:p w14:paraId="6535D66A" w14:textId="77777777" w:rsidR="00D04A47" w:rsidRPr="00411255" w:rsidRDefault="00D04A47" w:rsidP="00D04A47">
            <w:pPr>
              <w:rPr>
                <w:color w:val="FF0000"/>
              </w:rPr>
            </w:pPr>
            <w:r w:rsidRPr="00411255">
              <w:rPr>
                <w:color w:val="FF0000"/>
              </w:rPr>
              <w:t>Article 24 of the Directive 2014/24/EU under the chapter “Conflicts of interest” defines that Member States shall ensure that contracting authorities take appropriate measures to effectively prevent, identify and remedy conflicts of interest arising in the conduct of procurement procedures so as to avoid any distortion of competition and to ensure equal treatment of all economic operators.</w:t>
            </w:r>
          </w:p>
          <w:p w14:paraId="5D6F7DB8" w14:textId="77777777" w:rsidR="00D04A47" w:rsidRDefault="00D04A47" w:rsidP="00D04A47">
            <w:pPr>
              <w:rPr>
                <w:color w:val="FF0000"/>
              </w:rPr>
            </w:pPr>
          </w:p>
          <w:p w14:paraId="1936D430" w14:textId="1A537335" w:rsidR="00D04A47" w:rsidRPr="006D1558" w:rsidRDefault="00D04A47" w:rsidP="00D04A47">
            <w:pPr>
              <w:rPr>
                <w:color w:val="FF0000"/>
              </w:rPr>
            </w:pPr>
            <w:r w:rsidRPr="00411255">
              <w:rPr>
                <w:color w:val="FF0000"/>
              </w:rPr>
              <w:t>In Croatian legislation</w:t>
            </w:r>
            <w:r w:rsidR="00BB3BB6">
              <w:rPr>
                <w:color w:val="FF0000"/>
              </w:rPr>
              <w:t>,</w:t>
            </w:r>
            <w:r w:rsidRPr="00411255">
              <w:rPr>
                <w:color w:val="FF0000"/>
              </w:rPr>
              <w:t xml:space="preserve"> in PPA</w:t>
            </w:r>
            <w:r w:rsidR="00BB3BB6">
              <w:rPr>
                <w:color w:val="FF0000"/>
              </w:rPr>
              <w:t>, the</w:t>
            </w:r>
            <w:r w:rsidRPr="00411255">
              <w:rPr>
                <w:color w:val="FF0000"/>
              </w:rPr>
              <w:t xml:space="preserve"> conflict of interest is defined in Articles 75 to 83 and is even more </w:t>
            </w:r>
            <w:r>
              <w:rPr>
                <w:color w:val="FF0000"/>
              </w:rPr>
              <w:lastRenderedPageBreak/>
              <w:t>detailed</w:t>
            </w:r>
            <w:r w:rsidRPr="00411255">
              <w:rPr>
                <w:color w:val="FF0000"/>
              </w:rPr>
              <w:t xml:space="preserve"> compared to the above mentioned Article 24 of the Directive 2014/24/EU. </w:t>
            </w:r>
            <w:r>
              <w:rPr>
                <w:color w:val="FF0000"/>
              </w:rPr>
              <w:t>For instance t</w:t>
            </w:r>
            <w:r w:rsidRPr="006D1558">
              <w:rPr>
                <w:color w:val="FF0000"/>
              </w:rPr>
              <w:t>he representatives of the contracting authority are obliged to sign a statement on the existence or non-existence of conflicts of interest and to update them without delay if changes occur.</w:t>
            </w:r>
            <w:r>
              <w:t xml:space="preserve"> </w:t>
            </w:r>
            <w:r w:rsidRPr="006D1558">
              <w:rPr>
                <w:color w:val="FF0000"/>
              </w:rPr>
              <w:t>The contracting authority shall be obliged, on the basis of a statement from its representatives:</w:t>
            </w:r>
          </w:p>
          <w:p w14:paraId="6776EED5" w14:textId="2D522F44" w:rsidR="00D04A47" w:rsidRPr="006D1558" w:rsidRDefault="00D04A47" w:rsidP="00D04A47">
            <w:pPr>
              <w:rPr>
                <w:color w:val="FF0000"/>
              </w:rPr>
            </w:pPr>
            <w:r w:rsidRPr="006D1558">
              <w:rPr>
                <w:color w:val="FF0000"/>
              </w:rPr>
              <w:t xml:space="preserve">1. </w:t>
            </w:r>
            <w:proofErr w:type="gramStart"/>
            <w:r w:rsidR="00BB3BB6">
              <w:rPr>
                <w:color w:val="FF0000"/>
              </w:rPr>
              <w:t>to</w:t>
            </w:r>
            <w:proofErr w:type="gramEnd"/>
            <w:r w:rsidR="00BB3BB6">
              <w:rPr>
                <w:color w:val="FF0000"/>
              </w:rPr>
              <w:t xml:space="preserve"> </w:t>
            </w:r>
            <w:r w:rsidRPr="006D1558">
              <w:rPr>
                <w:color w:val="FF0000"/>
              </w:rPr>
              <w:t xml:space="preserve">publish on its website a list of economic entities with which the representative of the contracting authority or its affiliated persons </w:t>
            </w:r>
            <w:r w:rsidR="00BB3BB6">
              <w:rPr>
                <w:color w:val="FF0000"/>
              </w:rPr>
              <w:t xml:space="preserve">is </w:t>
            </w:r>
            <w:r w:rsidRPr="006D1558">
              <w:rPr>
                <w:color w:val="FF0000"/>
              </w:rPr>
              <w:t>in conflict of interest</w:t>
            </w:r>
            <w:r w:rsidR="00BB3BB6">
              <w:rPr>
                <w:color w:val="FF0000"/>
              </w:rPr>
              <w:t>,</w:t>
            </w:r>
            <w:r w:rsidRPr="006D1558">
              <w:rPr>
                <w:color w:val="FF0000"/>
              </w:rPr>
              <w:t xml:space="preserve"> or </w:t>
            </w:r>
            <w:r w:rsidR="00BB3BB6">
              <w:rPr>
                <w:color w:val="FF0000"/>
              </w:rPr>
              <w:t xml:space="preserve">a </w:t>
            </w:r>
            <w:r w:rsidRPr="006D1558">
              <w:rPr>
                <w:color w:val="FF0000"/>
              </w:rPr>
              <w:t>notice that such entities do not exist</w:t>
            </w:r>
            <w:r w:rsidR="00BB3BB6">
              <w:rPr>
                <w:color w:val="FF0000"/>
              </w:rPr>
              <w:t>.</w:t>
            </w:r>
            <w:r w:rsidRPr="006D1558">
              <w:rPr>
                <w:color w:val="FF0000"/>
              </w:rPr>
              <w:t xml:space="preserve"> </w:t>
            </w:r>
            <w:r w:rsidR="00BB3BB6">
              <w:rPr>
                <w:color w:val="FF0000"/>
              </w:rPr>
              <w:t>The information has to be updated</w:t>
            </w:r>
            <w:r w:rsidRPr="006D1558">
              <w:rPr>
                <w:color w:val="FF0000"/>
              </w:rPr>
              <w:t xml:space="preserve"> without delay if changes occur</w:t>
            </w:r>
            <w:r w:rsidR="001E1B99">
              <w:rPr>
                <w:color w:val="FF0000"/>
              </w:rPr>
              <w:t>.</w:t>
            </w:r>
          </w:p>
          <w:p w14:paraId="58B54076" w14:textId="6D4A70E2" w:rsidR="00D04A47" w:rsidRDefault="00D04A47" w:rsidP="00D04A47">
            <w:pPr>
              <w:rPr>
                <w:color w:val="FF0000"/>
              </w:rPr>
            </w:pPr>
            <w:r w:rsidRPr="006D1558">
              <w:rPr>
                <w:color w:val="FF0000"/>
              </w:rPr>
              <w:t>2. In the procurement documentation for a particular public procurement procedure,</w:t>
            </w:r>
            <w:r w:rsidR="001E1B99">
              <w:rPr>
                <w:color w:val="FF0000"/>
              </w:rPr>
              <w:t xml:space="preserve"> to</w:t>
            </w:r>
            <w:r w:rsidRPr="006D1558">
              <w:rPr>
                <w:color w:val="FF0000"/>
              </w:rPr>
              <w:t xml:space="preserve"> provide a list of economic entities with which the representative of the contracting authority is in conflict of interests</w:t>
            </w:r>
            <w:r w:rsidR="001E1B99">
              <w:rPr>
                <w:color w:val="FF0000"/>
              </w:rPr>
              <w:t>,</w:t>
            </w:r>
            <w:r w:rsidRPr="006D1558">
              <w:rPr>
                <w:color w:val="FF0000"/>
              </w:rPr>
              <w:t xml:space="preserve"> or</w:t>
            </w:r>
            <w:r w:rsidR="001E1B99">
              <w:rPr>
                <w:color w:val="FF0000"/>
              </w:rPr>
              <w:t xml:space="preserve"> to</w:t>
            </w:r>
            <w:r w:rsidRPr="006D1558">
              <w:rPr>
                <w:color w:val="FF0000"/>
              </w:rPr>
              <w:t xml:space="preserve"> indicate that such entities do not exist.</w:t>
            </w:r>
            <w:r>
              <w:t xml:space="preserve"> </w:t>
            </w:r>
            <w:r w:rsidRPr="006D1558">
              <w:rPr>
                <w:color w:val="FF0000"/>
              </w:rPr>
              <w:t xml:space="preserve">If the contracting authority does not have its own Internet site, it is obliged to publish the list on the bulletin board, in the </w:t>
            </w:r>
            <w:r w:rsidR="001E1B99">
              <w:rPr>
                <w:color w:val="FF0000"/>
              </w:rPr>
              <w:t>O</w:t>
            </w:r>
            <w:r w:rsidRPr="006D1558">
              <w:rPr>
                <w:color w:val="FF0000"/>
              </w:rPr>
              <w:t xml:space="preserve">fficial </w:t>
            </w:r>
            <w:r w:rsidR="001E1B99">
              <w:rPr>
                <w:color w:val="FF0000"/>
              </w:rPr>
              <w:t>G</w:t>
            </w:r>
            <w:r w:rsidRPr="006D1558">
              <w:rPr>
                <w:color w:val="FF0000"/>
              </w:rPr>
              <w:t>azette or otherwise make it permanently available to the interested public.</w:t>
            </w:r>
          </w:p>
          <w:p w14:paraId="3C76DBF7" w14:textId="77777777" w:rsidR="00D04A47" w:rsidRDefault="00D04A47" w:rsidP="00D04A47">
            <w:pPr>
              <w:rPr>
                <w:i/>
                <w:color w:val="FF0000"/>
              </w:rPr>
            </w:pPr>
          </w:p>
          <w:p w14:paraId="36E15831" w14:textId="77777777" w:rsidR="00D04A47" w:rsidRDefault="00D04A47" w:rsidP="00D04A47">
            <w:pPr>
              <w:rPr>
                <w:color w:val="FF0000"/>
              </w:rPr>
            </w:pPr>
            <w:r w:rsidRPr="00DE710C">
              <w:rPr>
                <w:color w:val="FF0000"/>
              </w:rPr>
              <w:t>The public procurement contract concluded contrary to the provisions of the chapter “Conflicts of interest” is legally null and void.</w:t>
            </w:r>
          </w:p>
          <w:p w14:paraId="65D913A6" w14:textId="77777777" w:rsidR="00D04A47" w:rsidRPr="00B01372" w:rsidRDefault="00D04A47" w:rsidP="005329C9">
            <w:pPr>
              <w:jc w:val="both"/>
              <w:rPr>
                <w:i/>
              </w:rPr>
            </w:pPr>
          </w:p>
        </w:tc>
      </w:tr>
      <w:tr w:rsidR="009C6F87" w:rsidRPr="00B01372" w14:paraId="2F7CD515" w14:textId="77777777" w:rsidTr="00A47B20">
        <w:tc>
          <w:tcPr>
            <w:tcW w:w="1648" w:type="pct"/>
          </w:tcPr>
          <w:p w14:paraId="7F372948" w14:textId="1887E523" w:rsidR="009C6F87" w:rsidRPr="00B01372" w:rsidRDefault="00A0326A" w:rsidP="00253552">
            <w:pPr>
              <w:pStyle w:val="Heading3"/>
              <w:outlineLvl w:val="2"/>
            </w:pPr>
            <w:r w:rsidRPr="00B01372">
              <w:lastRenderedPageBreak/>
              <w:t>III</w:t>
            </w:r>
            <w:r w:rsidR="009C6F87" w:rsidRPr="00B01372">
              <w:t>.3. Quantitative indicators</w:t>
            </w:r>
          </w:p>
        </w:tc>
        <w:tc>
          <w:tcPr>
            <w:tcW w:w="3352" w:type="pct"/>
          </w:tcPr>
          <w:p w14:paraId="0237BDE6" w14:textId="7B05F8A0" w:rsidR="009C6F87" w:rsidRPr="00B01372" w:rsidRDefault="00740821" w:rsidP="0086391B">
            <w:pPr>
              <w:jc w:val="both"/>
              <w:rPr>
                <w:i/>
              </w:rPr>
            </w:pPr>
            <w:r w:rsidRPr="00B01372">
              <w:rPr>
                <w:i/>
              </w:rPr>
              <w:t xml:space="preserve">This section contains examples of quantitative </w:t>
            </w:r>
            <w:r w:rsidR="00D50216" w:rsidRPr="00B01372">
              <w:rPr>
                <w:i/>
              </w:rPr>
              <w:t xml:space="preserve">indicators related to section </w:t>
            </w:r>
            <w:r w:rsidR="00247E16" w:rsidRPr="00B01372">
              <w:rPr>
                <w:i/>
              </w:rPr>
              <w:t>III</w:t>
            </w:r>
            <w:r w:rsidR="00D50216" w:rsidRPr="00B01372">
              <w:rPr>
                <w:i/>
              </w:rPr>
              <w:t xml:space="preserve">.1. </w:t>
            </w:r>
            <w:r w:rsidR="00752CC8" w:rsidRPr="00B01372">
              <w:rPr>
                <w:i/>
              </w:rPr>
              <w:t xml:space="preserve"> Other indicators can also be included in the report.</w:t>
            </w:r>
          </w:p>
        </w:tc>
      </w:tr>
      <w:tr w:rsidR="009C6F87" w:rsidRPr="00B01372" w14:paraId="7E1C9B21" w14:textId="77777777" w:rsidTr="00A47B20">
        <w:tc>
          <w:tcPr>
            <w:tcW w:w="1648" w:type="pct"/>
          </w:tcPr>
          <w:p w14:paraId="0F2DF75B" w14:textId="68701BF9" w:rsidR="009C6F87" w:rsidRPr="00B01372" w:rsidRDefault="00567DA6" w:rsidP="003236CE">
            <w:pPr>
              <w:pStyle w:val="Heading3"/>
              <w:outlineLvl w:val="2"/>
              <w:rPr>
                <w:b w:val="0"/>
              </w:rPr>
            </w:pPr>
            <w:r w:rsidRPr="00B01372">
              <w:rPr>
                <w:b w:val="0"/>
              </w:rPr>
              <w:t>Statistical d</w:t>
            </w:r>
            <w:r w:rsidR="00D50216" w:rsidRPr="00B01372">
              <w:rPr>
                <w:b w:val="0"/>
              </w:rPr>
              <w:t xml:space="preserve">istribution of </w:t>
            </w:r>
            <w:r w:rsidR="00AA74C1" w:rsidRPr="00B01372">
              <w:rPr>
                <w:b w:val="0"/>
              </w:rPr>
              <w:t xml:space="preserve">buyers by frequency of </w:t>
            </w:r>
            <w:r w:rsidR="00477293" w:rsidRPr="00B01372">
              <w:rPr>
                <w:b w:val="0"/>
              </w:rPr>
              <w:t>actual</w:t>
            </w:r>
            <w:r w:rsidR="00AA74C1" w:rsidRPr="00B01372">
              <w:rPr>
                <w:b w:val="0"/>
              </w:rPr>
              <w:t xml:space="preserve"> </w:t>
            </w:r>
            <w:r w:rsidR="00D50216" w:rsidRPr="00B01372">
              <w:rPr>
                <w:b w:val="0"/>
              </w:rPr>
              <w:t xml:space="preserve">competition </w:t>
            </w:r>
          </w:p>
        </w:tc>
        <w:tc>
          <w:tcPr>
            <w:tcW w:w="3352" w:type="pct"/>
          </w:tcPr>
          <w:p w14:paraId="65367D71" w14:textId="06EE8B36" w:rsidR="00035954" w:rsidRPr="00B01372" w:rsidRDefault="00035954" w:rsidP="005329C9">
            <w:pPr>
              <w:jc w:val="both"/>
            </w:pPr>
            <w:r w:rsidRPr="00B01372">
              <w:t>For each contracting authority or entity:</w:t>
            </w:r>
          </w:p>
          <w:p w14:paraId="2646D407" w14:textId="5B4C6C59" w:rsidR="00035954" w:rsidRPr="00B01372" w:rsidRDefault="00035954" w:rsidP="005329C9">
            <w:pPr>
              <w:jc w:val="both"/>
            </w:pPr>
            <w:r w:rsidRPr="00B01372">
              <w:t xml:space="preserve">1) Calculate the total number of contract awards. </w:t>
            </w:r>
          </w:p>
          <w:p w14:paraId="1DE58C05" w14:textId="06A9934E" w:rsidR="00035954" w:rsidRPr="00B01372" w:rsidRDefault="00035954" w:rsidP="005329C9">
            <w:pPr>
              <w:jc w:val="both"/>
            </w:pPr>
            <w:r w:rsidRPr="00B01372">
              <w:t xml:space="preserve">2) Calculate the number of contract awards which received only one bid. </w:t>
            </w:r>
          </w:p>
          <w:p w14:paraId="176D5A31" w14:textId="16BBA97A" w:rsidR="00035954" w:rsidRPr="00B01372" w:rsidRDefault="00035954" w:rsidP="005329C9">
            <w:pPr>
              <w:jc w:val="both"/>
            </w:pPr>
            <w:r w:rsidRPr="00B01372">
              <w:t>3) Divide the second number by the first number.</w:t>
            </w:r>
          </w:p>
          <w:p w14:paraId="69948D2B" w14:textId="77777777" w:rsidR="00035954" w:rsidRPr="00B01372" w:rsidRDefault="00035954" w:rsidP="005329C9">
            <w:pPr>
              <w:jc w:val="both"/>
            </w:pPr>
          </w:p>
          <w:p w14:paraId="02F89D6A" w14:textId="592A6A22" w:rsidR="00035954" w:rsidRPr="00B01372" w:rsidRDefault="00035954" w:rsidP="005329C9">
            <w:pPr>
              <w:jc w:val="both"/>
            </w:pPr>
            <w:r w:rsidRPr="00B01372">
              <w:t>In the report,</w:t>
            </w:r>
            <w:r w:rsidR="00FA03AE" w:rsidRPr="00B01372">
              <w:t xml:space="preserve"> in a table,</w:t>
            </w:r>
            <w:r w:rsidRPr="00B01372">
              <w:t xml:space="preserve"> please include the number of contracting authorities or entities whose result from 3) above falls within each of the following intervals: &lt;0%</w:t>
            </w:r>
            <w:r w:rsidR="00247E16" w:rsidRPr="00B01372">
              <w:t>, 10</w:t>
            </w:r>
            <w:r w:rsidRPr="00B01372">
              <w:t xml:space="preserve">%&gt;, (10%, 20%&gt;, (20%, 30%&gt;, </w:t>
            </w:r>
            <w:proofErr w:type="gramStart"/>
            <w:r w:rsidRPr="00B01372">
              <w:t>… ,</w:t>
            </w:r>
            <w:proofErr w:type="gramEnd"/>
            <w:r w:rsidRPr="00B01372">
              <w:t xml:space="preserve"> (90%,100%&gt;</w:t>
            </w:r>
            <w:r w:rsidR="00043EE0" w:rsidRPr="00B01372">
              <w:rPr>
                <w:rStyle w:val="FootnoteReference"/>
              </w:rPr>
              <w:footnoteReference w:id="2"/>
            </w:r>
            <w:r w:rsidRPr="00B01372">
              <w:t>.</w:t>
            </w:r>
          </w:p>
          <w:p w14:paraId="7E33DF68" w14:textId="77777777" w:rsidR="00035954" w:rsidRPr="00B01372" w:rsidRDefault="00035954" w:rsidP="005329C9">
            <w:pPr>
              <w:jc w:val="both"/>
            </w:pPr>
          </w:p>
          <w:p w14:paraId="10E2F4D4" w14:textId="47231E3C" w:rsidR="00740CFA" w:rsidRPr="00B01372" w:rsidRDefault="00D50216" w:rsidP="005329C9">
            <w:pPr>
              <w:jc w:val="both"/>
            </w:pPr>
            <w:r w:rsidRPr="00B01372">
              <w:t xml:space="preserve">Please include only buyers with at least three </w:t>
            </w:r>
            <w:r w:rsidR="00035954" w:rsidRPr="00B01372">
              <w:t xml:space="preserve">contract awards over the </w:t>
            </w:r>
            <w:r w:rsidR="00065290" w:rsidRPr="00B01372">
              <w:t>reporting</w:t>
            </w:r>
            <w:r w:rsidR="00035954" w:rsidRPr="00B01372">
              <w:t xml:space="preserve"> period</w:t>
            </w:r>
            <w:r w:rsidR="00065290" w:rsidRPr="00B01372">
              <w:t xml:space="preserve"> and </w:t>
            </w:r>
            <w:r w:rsidR="00035954" w:rsidRPr="00B01372">
              <w:t xml:space="preserve">exclude </w:t>
            </w:r>
            <w:r w:rsidR="00EC4642" w:rsidRPr="00B01372">
              <w:t xml:space="preserve">all </w:t>
            </w:r>
            <w:r w:rsidR="00035954" w:rsidRPr="00B01372">
              <w:t>framework agreements</w:t>
            </w:r>
            <w:r w:rsidR="007C6247">
              <w:t xml:space="preserve"> as well as contracts based on framework agreements</w:t>
            </w:r>
            <w:r w:rsidR="00035954" w:rsidRPr="00B01372">
              <w:t>,</w:t>
            </w:r>
            <w:r w:rsidR="00065290" w:rsidRPr="00B01372">
              <w:t xml:space="preserve"> </w:t>
            </w:r>
            <w:r w:rsidR="00035954" w:rsidRPr="00B01372">
              <w:t>as the</w:t>
            </w:r>
            <w:r w:rsidR="004523C7" w:rsidRPr="00B01372">
              <w:t>ir</w:t>
            </w:r>
            <w:r w:rsidR="00035954" w:rsidRPr="00B01372">
              <w:t xml:space="preserve"> number of </w:t>
            </w:r>
            <w:r w:rsidR="00035954" w:rsidRPr="00B01372">
              <w:lastRenderedPageBreak/>
              <w:t>bidders may be misleading</w:t>
            </w:r>
            <w:r w:rsidR="00F27B85" w:rsidRPr="00B01372">
              <w:t xml:space="preserve"> (e.g. </w:t>
            </w:r>
            <w:r w:rsidR="00931618">
              <w:t xml:space="preserve">when </w:t>
            </w:r>
            <w:r w:rsidR="00F27B85" w:rsidRPr="00B01372">
              <w:t xml:space="preserve">multiple contract awards </w:t>
            </w:r>
            <w:r w:rsidR="00931618">
              <w:t xml:space="preserve">are </w:t>
            </w:r>
            <w:r w:rsidR="00F27B85" w:rsidRPr="00B01372">
              <w:t>based on the same framework agreement</w:t>
            </w:r>
            <w:r w:rsidR="007C6247">
              <w:t xml:space="preserve"> or </w:t>
            </w:r>
            <w:r w:rsidR="00931618">
              <w:t xml:space="preserve">for </w:t>
            </w:r>
            <w:r w:rsidR="007C6247">
              <w:t>framework agreements with reopening of competition</w:t>
            </w:r>
            <w:r w:rsidR="00F27B85" w:rsidRPr="00B01372">
              <w:t>)</w:t>
            </w:r>
            <w:r w:rsidR="00035954" w:rsidRPr="00B01372">
              <w:t>.</w:t>
            </w:r>
          </w:p>
          <w:p w14:paraId="35ECC26C" w14:textId="77777777" w:rsidR="0036283F" w:rsidRPr="00B01372" w:rsidRDefault="0036283F" w:rsidP="005329C9">
            <w:pPr>
              <w:jc w:val="both"/>
            </w:pPr>
          </w:p>
          <w:p w14:paraId="7177058B" w14:textId="21AEDCFE" w:rsidR="00035954" w:rsidRPr="00B01372" w:rsidRDefault="00035954" w:rsidP="00035954">
            <w:pPr>
              <w:jc w:val="both"/>
            </w:pPr>
            <w:r w:rsidRPr="00B01372">
              <w:t xml:space="preserve">For more information about this indicator please see the following article from the European Journal on Criminal Policy and Research: </w:t>
            </w:r>
            <w:hyperlink r:id="rId15" w:history="1">
              <w:r w:rsidRPr="00B01372">
                <w:rPr>
                  <w:rStyle w:val="Hyperlink"/>
                </w:rPr>
                <w:t>http://link.springer.com/article/10.1007%2Fs10610-016-9308-z</w:t>
              </w:r>
            </w:hyperlink>
            <w:r w:rsidRPr="00B01372">
              <w:t>.</w:t>
            </w:r>
          </w:p>
        </w:tc>
      </w:tr>
      <w:tr w:rsidR="001A5C1C" w:rsidRPr="00B01372" w14:paraId="1419FA03" w14:textId="77777777" w:rsidTr="00A47B20">
        <w:tc>
          <w:tcPr>
            <w:tcW w:w="1648" w:type="pct"/>
          </w:tcPr>
          <w:p w14:paraId="3D5F6B0C" w14:textId="77777777" w:rsidR="001A5C1C" w:rsidRPr="00B01372" w:rsidRDefault="001A5C1C" w:rsidP="003236CE">
            <w:pPr>
              <w:pStyle w:val="Heading3"/>
              <w:outlineLvl w:val="2"/>
              <w:rPr>
                <w:b w:val="0"/>
              </w:rPr>
            </w:pPr>
          </w:p>
        </w:tc>
        <w:tc>
          <w:tcPr>
            <w:tcW w:w="3352" w:type="pct"/>
          </w:tcPr>
          <w:p w14:paraId="7EAD57BB" w14:textId="2D689989" w:rsidR="001A5C1C" w:rsidRDefault="001A5C1C" w:rsidP="005329C9">
            <w:pPr>
              <w:jc w:val="both"/>
              <w:rPr>
                <w:color w:val="FF0000"/>
              </w:rPr>
            </w:pPr>
            <w:r w:rsidRPr="00430FF9">
              <w:rPr>
                <w:color w:val="FF0000"/>
              </w:rPr>
              <w:t>Table 1: Percentage</w:t>
            </w:r>
            <w:r w:rsidRPr="00E13CE6">
              <w:rPr>
                <w:color w:val="FF0000"/>
              </w:rPr>
              <w:t xml:space="preserve"> of the number of contract awards which received only one bid comparing to the total number of contract awards including only buyers who </w:t>
            </w:r>
            <w:r w:rsidR="00241D69">
              <w:rPr>
                <w:color w:val="FF0000"/>
              </w:rPr>
              <w:t>conducted</w:t>
            </w:r>
            <w:r w:rsidRPr="00E13CE6">
              <w:rPr>
                <w:color w:val="FF0000"/>
              </w:rPr>
              <w:t xml:space="preserve"> at least three procurement procedures over the reporting period above EU threshold</w:t>
            </w:r>
          </w:p>
          <w:tbl>
            <w:tblPr>
              <w:tblW w:w="8612" w:type="dxa"/>
              <w:tblLook w:val="04A0" w:firstRow="1" w:lastRow="0" w:firstColumn="1" w:lastColumn="0" w:noHBand="0" w:noVBand="1"/>
            </w:tblPr>
            <w:tblGrid>
              <w:gridCol w:w="684"/>
              <w:gridCol w:w="774"/>
              <w:gridCol w:w="774"/>
              <w:gridCol w:w="774"/>
              <w:gridCol w:w="774"/>
              <w:gridCol w:w="774"/>
              <w:gridCol w:w="774"/>
              <w:gridCol w:w="774"/>
              <w:gridCol w:w="774"/>
              <w:gridCol w:w="776"/>
              <w:gridCol w:w="960"/>
            </w:tblGrid>
            <w:tr w:rsidR="001A5C1C" w14:paraId="2C02906D" w14:textId="77777777" w:rsidTr="001A5C1C">
              <w:trPr>
                <w:trHeight w:val="300"/>
              </w:trPr>
              <w:tc>
                <w:tcPr>
                  <w:tcW w:w="8612" w:type="dxa"/>
                  <w:gridSpan w:val="11"/>
                  <w:tcBorders>
                    <w:top w:val="nil"/>
                    <w:left w:val="nil"/>
                    <w:bottom w:val="single" w:sz="4" w:space="0" w:color="auto"/>
                    <w:right w:val="nil"/>
                  </w:tcBorders>
                  <w:shd w:val="clear" w:color="auto" w:fill="auto"/>
                  <w:noWrap/>
                  <w:vAlign w:val="bottom"/>
                  <w:hideMark/>
                </w:tcPr>
                <w:p w14:paraId="53FD0055" w14:textId="5B787405" w:rsidR="001A5C1C" w:rsidRDefault="001A5C1C" w:rsidP="001A5C1C">
                  <w:pPr>
                    <w:rPr>
                      <w:sz w:val="20"/>
                      <w:szCs w:val="20"/>
                    </w:rPr>
                  </w:pPr>
                </w:p>
              </w:tc>
            </w:tr>
            <w:tr w:rsidR="001A5C1C" w14:paraId="41A88D8D" w14:textId="77777777" w:rsidTr="001A5C1C">
              <w:trPr>
                <w:trHeight w:val="30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B6D60" w14:textId="5FD85601" w:rsidR="001A5C1C" w:rsidRDefault="009D331A" w:rsidP="001A5C1C">
                  <w:pPr>
                    <w:rPr>
                      <w:rFonts w:ascii="Calibri" w:hAnsi="Calibri" w:cs="Calibri"/>
                      <w:color w:val="000000"/>
                    </w:rPr>
                  </w:pPr>
                  <w:r>
                    <w:rPr>
                      <w:rFonts w:ascii="Calibri" w:hAnsi="Calibri" w:cs="Calibri"/>
                      <w:color w:val="000000"/>
                    </w:rPr>
                    <w:t>(</w:t>
                  </w:r>
                  <w:r w:rsidR="001A5C1C">
                    <w:rPr>
                      <w:rFonts w:ascii="Calibri" w:hAnsi="Calibri" w:cs="Calibri"/>
                      <w:color w:val="000000"/>
                    </w:rPr>
                    <w:t>0%-10%)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FFC87" w14:textId="31540950" w:rsidR="001A5C1C" w:rsidRDefault="001A5C1C" w:rsidP="001A5C1C">
                  <w:pPr>
                    <w:rPr>
                      <w:rFonts w:ascii="Calibri" w:hAnsi="Calibri" w:cs="Calibri"/>
                      <w:color w:val="000000"/>
                    </w:rPr>
                  </w:pPr>
                  <w:r>
                    <w:rPr>
                      <w:rFonts w:ascii="Calibri" w:hAnsi="Calibri" w:cs="Calibri"/>
                      <w:color w:val="000000"/>
                    </w:rPr>
                    <w:t>&lt;10%-20%)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79C3C" w14:textId="4BBEC624" w:rsidR="001A5C1C" w:rsidRDefault="001A5C1C" w:rsidP="001A5C1C">
                  <w:pPr>
                    <w:rPr>
                      <w:rFonts w:ascii="Calibri" w:hAnsi="Calibri" w:cs="Calibri"/>
                      <w:color w:val="000000"/>
                    </w:rPr>
                  </w:pPr>
                  <w:r>
                    <w:rPr>
                      <w:rFonts w:ascii="Calibri" w:hAnsi="Calibri" w:cs="Calibri"/>
                      <w:color w:val="000000"/>
                    </w:rPr>
                    <w:t>&lt;20%-30%)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197CA" w14:textId="02DE68F1" w:rsidR="001A5C1C" w:rsidRDefault="001A5C1C" w:rsidP="001A5C1C">
                  <w:pPr>
                    <w:rPr>
                      <w:rFonts w:ascii="Calibri" w:hAnsi="Calibri" w:cs="Calibri"/>
                      <w:color w:val="000000"/>
                    </w:rPr>
                  </w:pPr>
                  <w:r>
                    <w:rPr>
                      <w:rFonts w:ascii="Calibri" w:hAnsi="Calibri" w:cs="Calibri"/>
                      <w:color w:val="000000"/>
                    </w:rPr>
                    <w:t>&lt;30%-40%)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91319" w14:textId="3E7A5A95" w:rsidR="001A5C1C" w:rsidRDefault="001A5C1C" w:rsidP="001A5C1C">
                  <w:pPr>
                    <w:rPr>
                      <w:rFonts w:ascii="Calibri" w:hAnsi="Calibri" w:cs="Calibri"/>
                      <w:color w:val="000000"/>
                    </w:rPr>
                  </w:pPr>
                  <w:r>
                    <w:rPr>
                      <w:rFonts w:ascii="Calibri" w:hAnsi="Calibri" w:cs="Calibri"/>
                      <w:color w:val="000000"/>
                    </w:rPr>
                    <w:t>&lt;40%-50%)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E8372" w14:textId="4C4986DD" w:rsidR="001A5C1C" w:rsidRDefault="001A5C1C" w:rsidP="001A5C1C">
                  <w:pPr>
                    <w:rPr>
                      <w:rFonts w:ascii="Calibri" w:hAnsi="Calibri" w:cs="Calibri"/>
                      <w:color w:val="000000"/>
                    </w:rPr>
                  </w:pPr>
                  <w:r>
                    <w:rPr>
                      <w:rFonts w:ascii="Calibri" w:hAnsi="Calibri" w:cs="Calibri"/>
                      <w:color w:val="000000"/>
                    </w:rPr>
                    <w:t>&lt;50%-60%)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56C53" w14:textId="6887AFCB" w:rsidR="001A5C1C" w:rsidRDefault="001A5C1C" w:rsidP="001A5C1C">
                  <w:pPr>
                    <w:rPr>
                      <w:rFonts w:ascii="Calibri" w:hAnsi="Calibri" w:cs="Calibri"/>
                      <w:color w:val="000000"/>
                    </w:rPr>
                  </w:pPr>
                  <w:r>
                    <w:rPr>
                      <w:rFonts w:ascii="Calibri" w:hAnsi="Calibri" w:cs="Calibri"/>
                      <w:color w:val="000000"/>
                    </w:rPr>
                    <w:t>&lt;60%-70%)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9AA08" w14:textId="5FC46696" w:rsidR="001A5C1C" w:rsidRDefault="001A5C1C" w:rsidP="001A5C1C">
                  <w:pPr>
                    <w:rPr>
                      <w:rFonts w:ascii="Calibri" w:hAnsi="Calibri" w:cs="Calibri"/>
                      <w:color w:val="000000"/>
                    </w:rPr>
                  </w:pPr>
                  <w:r>
                    <w:rPr>
                      <w:rFonts w:ascii="Calibri" w:hAnsi="Calibri" w:cs="Calibri"/>
                      <w:color w:val="000000"/>
                    </w:rPr>
                    <w:t>&lt;70%-80%)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CD4BD" w14:textId="10A9AB45" w:rsidR="001A5C1C" w:rsidRDefault="001A5C1C" w:rsidP="001A5C1C">
                  <w:pPr>
                    <w:rPr>
                      <w:rFonts w:ascii="Calibri" w:hAnsi="Calibri" w:cs="Calibri"/>
                      <w:color w:val="000000"/>
                    </w:rPr>
                  </w:pPr>
                  <w:r>
                    <w:rPr>
                      <w:rFonts w:ascii="Calibri" w:hAnsi="Calibri" w:cs="Calibri"/>
                      <w:color w:val="000000"/>
                    </w:rPr>
                    <w:t>&lt;80%-90%)</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A3CB6" w14:textId="02A9202A" w:rsidR="001A5C1C" w:rsidRDefault="001A5C1C" w:rsidP="001A5C1C">
                  <w:pPr>
                    <w:rPr>
                      <w:rFonts w:ascii="Calibri" w:hAnsi="Calibri" w:cs="Calibri"/>
                      <w:color w:val="000000"/>
                    </w:rPr>
                  </w:pPr>
                  <w:r>
                    <w:rPr>
                      <w:rFonts w:ascii="Calibri" w:hAnsi="Calibri" w:cs="Calibri"/>
                      <w:color w:val="000000"/>
                    </w:rPr>
                    <w:t>&lt;90%-100%)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7FB18" w14:textId="3EA12B85" w:rsidR="001A5C1C" w:rsidRDefault="001A5C1C" w:rsidP="001A5C1C">
                  <w:pPr>
                    <w:rPr>
                      <w:rFonts w:ascii="Calibri" w:hAnsi="Calibri" w:cs="Calibri"/>
                      <w:color w:val="000000"/>
                    </w:rPr>
                  </w:pPr>
                  <w:r>
                    <w:rPr>
                      <w:rFonts w:ascii="Calibri" w:hAnsi="Calibri" w:cs="Calibri"/>
                      <w:color w:val="000000"/>
                    </w:rPr>
                    <w:t>total</w:t>
                  </w:r>
                </w:p>
              </w:tc>
            </w:tr>
            <w:tr w:rsidR="001A5C1C" w14:paraId="512D8C9E" w14:textId="77777777" w:rsidTr="001A5C1C">
              <w:trPr>
                <w:trHeight w:val="30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B3F26" w14:textId="77777777" w:rsidR="001A5C1C" w:rsidRDefault="001A5C1C" w:rsidP="001A5C1C">
                  <w:pPr>
                    <w:jc w:val="right"/>
                    <w:rPr>
                      <w:rFonts w:ascii="Calibri" w:hAnsi="Calibri" w:cs="Calibri"/>
                      <w:color w:val="000000"/>
                    </w:rPr>
                  </w:pPr>
                  <w:r>
                    <w:rPr>
                      <w:rFonts w:ascii="Calibri" w:hAnsi="Calibri" w:cs="Calibri"/>
                      <w:color w:val="000000"/>
                    </w:rPr>
                    <w:t>6</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28858" w14:textId="77777777" w:rsidR="001A5C1C" w:rsidRDefault="001A5C1C" w:rsidP="001A5C1C">
                  <w:pPr>
                    <w:jc w:val="right"/>
                    <w:rPr>
                      <w:rFonts w:ascii="Calibri" w:hAnsi="Calibri" w:cs="Calibri"/>
                      <w:color w:val="000000"/>
                    </w:rPr>
                  </w:pPr>
                  <w:r>
                    <w:rPr>
                      <w:rFonts w:ascii="Calibri" w:hAnsi="Calibri" w:cs="Calibri"/>
                      <w:color w:val="000000"/>
                    </w:rPr>
                    <w:t>4</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57541" w14:textId="77777777" w:rsidR="001A5C1C" w:rsidRDefault="001A5C1C" w:rsidP="001A5C1C">
                  <w:pPr>
                    <w:jc w:val="right"/>
                    <w:rPr>
                      <w:rFonts w:ascii="Calibri" w:hAnsi="Calibri" w:cs="Calibri"/>
                      <w:color w:val="000000"/>
                    </w:rPr>
                  </w:pPr>
                  <w:r>
                    <w:rPr>
                      <w:rFonts w:ascii="Calibri" w:hAnsi="Calibri" w:cs="Calibri"/>
                      <w:color w:val="000000"/>
                    </w:rPr>
                    <w:t>8</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01DED" w14:textId="77777777" w:rsidR="001A5C1C" w:rsidRDefault="001A5C1C" w:rsidP="001A5C1C">
                  <w:pPr>
                    <w:jc w:val="right"/>
                    <w:rPr>
                      <w:rFonts w:ascii="Calibri" w:hAnsi="Calibri" w:cs="Calibri"/>
                      <w:color w:val="000000"/>
                    </w:rPr>
                  </w:pPr>
                  <w:r>
                    <w:rPr>
                      <w:rFonts w:ascii="Calibri" w:hAnsi="Calibri" w:cs="Calibri"/>
                      <w:color w:val="000000"/>
                    </w:rPr>
                    <w:t>6</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8C260" w14:textId="77777777" w:rsidR="001A5C1C" w:rsidRDefault="001A5C1C" w:rsidP="001A5C1C">
                  <w:pPr>
                    <w:jc w:val="right"/>
                    <w:rPr>
                      <w:rFonts w:ascii="Calibri" w:hAnsi="Calibri" w:cs="Calibri"/>
                      <w:color w:val="000000"/>
                    </w:rPr>
                  </w:pPr>
                  <w:r>
                    <w:rPr>
                      <w:rFonts w:ascii="Calibri" w:hAnsi="Calibri" w:cs="Calibri"/>
                      <w:color w:val="000000"/>
                    </w:rPr>
                    <w:t>15</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595F9" w14:textId="77777777" w:rsidR="001A5C1C" w:rsidRDefault="001A5C1C" w:rsidP="001A5C1C">
                  <w:pPr>
                    <w:jc w:val="right"/>
                    <w:rPr>
                      <w:rFonts w:ascii="Calibri" w:hAnsi="Calibri" w:cs="Calibri"/>
                      <w:color w:val="000000"/>
                    </w:rPr>
                  </w:pPr>
                  <w:r>
                    <w:rPr>
                      <w:rFonts w:ascii="Calibri" w:hAnsi="Calibri" w:cs="Calibri"/>
                      <w:color w:val="000000"/>
                    </w:rPr>
                    <w:t>13</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734AB" w14:textId="77777777" w:rsidR="001A5C1C" w:rsidRDefault="001A5C1C" w:rsidP="001A5C1C">
                  <w:pPr>
                    <w:jc w:val="right"/>
                    <w:rPr>
                      <w:rFonts w:ascii="Calibri" w:hAnsi="Calibri" w:cs="Calibri"/>
                      <w:color w:val="000000"/>
                    </w:rPr>
                  </w:pPr>
                  <w:r>
                    <w:rPr>
                      <w:rFonts w:ascii="Calibri" w:hAnsi="Calibri" w:cs="Calibri"/>
                      <w:color w:val="000000"/>
                    </w:rPr>
                    <w:t>20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C5B57" w14:textId="77777777" w:rsidR="001A5C1C" w:rsidRDefault="001A5C1C" w:rsidP="001A5C1C">
                  <w:pPr>
                    <w:jc w:val="right"/>
                    <w:rPr>
                      <w:rFonts w:ascii="Calibri" w:hAnsi="Calibri" w:cs="Calibri"/>
                      <w:color w:val="000000"/>
                    </w:rPr>
                  </w:pPr>
                  <w:r>
                    <w:rPr>
                      <w:rFonts w:ascii="Calibri" w:hAnsi="Calibri" w:cs="Calibri"/>
                      <w:color w:val="000000"/>
                    </w:rPr>
                    <w:t>18</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8DC90" w14:textId="77777777" w:rsidR="001A5C1C" w:rsidRDefault="001A5C1C" w:rsidP="001A5C1C">
                  <w:pPr>
                    <w:jc w:val="right"/>
                    <w:rPr>
                      <w:rFonts w:ascii="Calibri" w:hAnsi="Calibri" w:cs="Calibri"/>
                      <w:color w:val="000000"/>
                    </w:rPr>
                  </w:pPr>
                  <w:r>
                    <w:rPr>
                      <w:rFonts w:ascii="Calibri" w:hAnsi="Calibri" w:cs="Calibri"/>
                      <w:color w:val="000000"/>
                    </w:rPr>
                    <w:t>10</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276DA" w14:textId="77777777" w:rsidR="001A5C1C" w:rsidRDefault="001A5C1C" w:rsidP="001A5C1C">
                  <w:pPr>
                    <w:jc w:val="right"/>
                    <w:rPr>
                      <w:rFonts w:ascii="Calibri" w:hAnsi="Calibri" w:cs="Calibri"/>
                      <w:color w:val="000000"/>
                    </w:rPr>
                  </w:pPr>
                  <w:r>
                    <w:rPr>
                      <w:rFonts w:ascii="Calibri" w:hAnsi="Calibri" w:cs="Calibri"/>
                      <w:color w:val="000000"/>
                    </w:rPr>
                    <w:t>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64A4E" w14:textId="77777777" w:rsidR="001A5C1C" w:rsidRDefault="001A5C1C" w:rsidP="001A5C1C">
                  <w:pPr>
                    <w:jc w:val="right"/>
                    <w:rPr>
                      <w:rFonts w:ascii="Calibri" w:hAnsi="Calibri" w:cs="Calibri"/>
                      <w:color w:val="000000"/>
                    </w:rPr>
                  </w:pPr>
                  <w:r>
                    <w:rPr>
                      <w:rFonts w:ascii="Calibri" w:hAnsi="Calibri" w:cs="Calibri"/>
                      <w:color w:val="000000"/>
                    </w:rPr>
                    <w:t>114</w:t>
                  </w:r>
                </w:p>
              </w:tc>
            </w:tr>
          </w:tbl>
          <w:p w14:paraId="3707CFDD" w14:textId="77777777" w:rsidR="001A5C1C" w:rsidRDefault="001A5C1C" w:rsidP="005329C9">
            <w:pPr>
              <w:jc w:val="both"/>
            </w:pPr>
          </w:p>
          <w:p w14:paraId="36E5AA32" w14:textId="2813899B" w:rsidR="009D331A" w:rsidRDefault="001A5C1C" w:rsidP="009D331A">
            <w:pPr>
              <w:jc w:val="both"/>
              <w:rPr>
                <w:color w:val="FF0000"/>
              </w:rPr>
            </w:pPr>
            <w:r w:rsidRPr="006677D7">
              <w:rPr>
                <w:color w:val="FF0000"/>
              </w:rPr>
              <w:t>Table 2:</w:t>
            </w:r>
            <w:r w:rsidRPr="00E13CE6">
              <w:rPr>
                <w:color w:val="FF0000"/>
              </w:rPr>
              <w:t xml:space="preserve"> Percentage of the number of contract awards which received only one bid comparing to the total number of contract awards including only buyers who </w:t>
            </w:r>
            <w:r w:rsidR="00241D69">
              <w:rPr>
                <w:color w:val="FF0000"/>
              </w:rPr>
              <w:t>conducted</w:t>
            </w:r>
            <w:r w:rsidRPr="00E13CE6">
              <w:rPr>
                <w:color w:val="FF0000"/>
              </w:rPr>
              <w:t xml:space="preserve"> at least three procurement procedures over the reporting period below EU threshold (</w:t>
            </w:r>
            <w:r w:rsidR="00241D69">
              <w:rPr>
                <w:color w:val="FF0000"/>
              </w:rPr>
              <w:t>above</w:t>
            </w:r>
            <w:r w:rsidRPr="00E13CE6">
              <w:rPr>
                <w:color w:val="FF0000"/>
              </w:rPr>
              <w:t xml:space="preserve"> </w:t>
            </w:r>
            <w:r w:rsidR="009D331A">
              <w:rPr>
                <w:color w:val="FF0000"/>
              </w:rPr>
              <w:t>national threshold</w:t>
            </w:r>
            <w:r w:rsidRPr="00E13CE6">
              <w:rPr>
                <w:color w:val="FF0000"/>
              </w:rPr>
              <w:t>)</w:t>
            </w:r>
          </w:p>
          <w:tbl>
            <w:tblPr>
              <w:tblW w:w="8608" w:type="dxa"/>
              <w:tblLook w:val="04A0" w:firstRow="1" w:lastRow="0" w:firstColumn="1" w:lastColumn="0" w:noHBand="0" w:noVBand="1"/>
            </w:tblPr>
            <w:tblGrid>
              <w:gridCol w:w="730"/>
              <w:gridCol w:w="774"/>
              <w:gridCol w:w="774"/>
              <w:gridCol w:w="774"/>
              <w:gridCol w:w="774"/>
              <w:gridCol w:w="774"/>
              <w:gridCol w:w="778"/>
              <w:gridCol w:w="774"/>
              <w:gridCol w:w="778"/>
              <w:gridCol w:w="854"/>
              <w:gridCol w:w="895"/>
            </w:tblGrid>
            <w:tr w:rsidR="009D331A" w:rsidRPr="007C580E" w14:paraId="48265939" w14:textId="77777777" w:rsidTr="00B565F2">
              <w:trPr>
                <w:trHeight w:val="300"/>
              </w:trPr>
              <w:tc>
                <w:tcPr>
                  <w:tcW w:w="8608" w:type="dxa"/>
                  <w:gridSpan w:val="11"/>
                  <w:tcBorders>
                    <w:bottom w:val="single" w:sz="4" w:space="0" w:color="auto"/>
                  </w:tcBorders>
                  <w:shd w:val="clear" w:color="auto" w:fill="auto"/>
                  <w:noWrap/>
                  <w:vAlign w:val="bottom"/>
                  <w:hideMark/>
                </w:tcPr>
                <w:p w14:paraId="4DD38F1E" w14:textId="37C83204" w:rsidR="009D331A" w:rsidRPr="007C580E" w:rsidRDefault="009D331A" w:rsidP="00B565F2">
                  <w:pPr>
                    <w:rPr>
                      <w:sz w:val="20"/>
                      <w:szCs w:val="20"/>
                    </w:rPr>
                  </w:pPr>
                </w:p>
              </w:tc>
            </w:tr>
            <w:tr w:rsidR="009D331A" w:rsidRPr="007C580E" w14:paraId="06757C4B" w14:textId="77777777" w:rsidTr="00B565F2">
              <w:trPr>
                <w:trHeight w:val="300"/>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9CC0F" w14:textId="463B16A8" w:rsidR="009D331A" w:rsidRPr="007C580E" w:rsidRDefault="009D331A" w:rsidP="00B565F2">
                  <w:pPr>
                    <w:rPr>
                      <w:rFonts w:ascii="Calibri" w:hAnsi="Calibri" w:cs="Calibri"/>
                      <w:color w:val="000000"/>
                    </w:rPr>
                  </w:pPr>
                  <w:r>
                    <w:rPr>
                      <w:rFonts w:ascii="Calibri" w:hAnsi="Calibri" w:cs="Calibri"/>
                      <w:color w:val="000000"/>
                    </w:rPr>
                    <w:t>[0%-10%)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60196" w14:textId="387848D5" w:rsidR="009D331A" w:rsidRPr="007C580E" w:rsidRDefault="009D331A" w:rsidP="00B565F2">
                  <w:pPr>
                    <w:rPr>
                      <w:rFonts w:ascii="Calibri" w:hAnsi="Calibri" w:cs="Calibri"/>
                      <w:color w:val="000000"/>
                    </w:rPr>
                  </w:pPr>
                  <w:r>
                    <w:rPr>
                      <w:rFonts w:ascii="Calibri" w:hAnsi="Calibri" w:cs="Calibri"/>
                      <w:color w:val="000000"/>
                    </w:rPr>
                    <w:t>&lt;10%-20%)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7C2CB" w14:textId="72EEF63D" w:rsidR="009D331A" w:rsidRPr="007C580E" w:rsidRDefault="009D331A" w:rsidP="00B565F2">
                  <w:pPr>
                    <w:rPr>
                      <w:rFonts w:ascii="Calibri" w:hAnsi="Calibri" w:cs="Calibri"/>
                      <w:color w:val="000000"/>
                    </w:rPr>
                  </w:pPr>
                  <w:r>
                    <w:rPr>
                      <w:rFonts w:ascii="Calibri" w:hAnsi="Calibri" w:cs="Calibri"/>
                      <w:color w:val="000000"/>
                    </w:rPr>
                    <w:t>&lt;20%-30%)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8B459" w14:textId="36340F12" w:rsidR="009D331A" w:rsidRPr="007C580E" w:rsidRDefault="009D331A" w:rsidP="00B565F2">
                  <w:pPr>
                    <w:rPr>
                      <w:rFonts w:ascii="Calibri" w:hAnsi="Calibri" w:cs="Calibri"/>
                      <w:color w:val="000000"/>
                    </w:rPr>
                  </w:pPr>
                  <w:r>
                    <w:rPr>
                      <w:rFonts w:ascii="Calibri" w:hAnsi="Calibri" w:cs="Calibri"/>
                      <w:color w:val="000000"/>
                    </w:rPr>
                    <w:t>&lt;30%-40%)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B8291" w14:textId="0C1F7790" w:rsidR="009D331A" w:rsidRPr="007C580E" w:rsidRDefault="009D331A" w:rsidP="00B565F2">
                  <w:pPr>
                    <w:rPr>
                      <w:rFonts w:ascii="Calibri" w:hAnsi="Calibri" w:cs="Calibri"/>
                      <w:color w:val="000000"/>
                    </w:rPr>
                  </w:pPr>
                  <w:r>
                    <w:rPr>
                      <w:rFonts w:ascii="Calibri" w:hAnsi="Calibri" w:cs="Calibri"/>
                      <w:color w:val="000000"/>
                    </w:rPr>
                    <w:t>&lt;40%-50%)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CAC0D" w14:textId="6F0830F7" w:rsidR="009D331A" w:rsidRPr="007C580E" w:rsidRDefault="009D331A" w:rsidP="00B565F2">
                  <w:pPr>
                    <w:rPr>
                      <w:rFonts w:ascii="Calibri" w:hAnsi="Calibri" w:cs="Calibri"/>
                      <w:color w:val="000000"/>
                    </w:rPr>
                  </w:pPr>
                  <w:r>
                    <w:rPr>
                      <w:rFonts w:ascii="Calibri" w:hAnsi="Calibri" w:cs="Calibri"/>
                      <w:color w:val="000000"/>
                    </w:rPr>
                    <w:t>&lt;50%-60%)</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12B1D" w14:textId="10F590FC" w:rsidR="009D331A" w:rsidRPr="007C580E" w:rsidRDefault="009D331A" w:rsidP="00B565F2">
                  <w:pPr>
                    <w:rPr>
                      <w:rFonts w:ascii="Calibri" w:hAnsi="Calibri" w:cs="Calibri"/>
                      <w:color w:val="000000"/>
                    </w:rPr>
                  </w:pPr>
                  <w:r w:rsidRPr="007C580E">
                    <w:rPr>
                      <w:rFonts w:ascii="Calibri" w:hAnsi="Calibri" w:cs="Calibri"/>
                      <w:color w:val="000000"/>
                    </w:rPr>
                    <w:t>&lt;</w:t>
                  </w:r>
                  <w:r>
                    <w:rPr>
                      <w:rFonts w:ascii="Calibri" w:hAnsi="Calibri" w:cs="Calibri"/>
                      <w:color w:val="000000"/>
                    </w:rPr>
                    <w:t>60%-70%)</w:t>
                  </w:r>
                </w:p>
              </w:tc>
              <w:tc>
                <w:tcPr>
                  <w:tcW w:w="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FE0CF" w14:textId="135BD5D0" w:rsidR="009D331A" w:rsidRPr="007C580E" w:rsidRDefault="009D331A" w:rsidP="00B565F2">
                  <w:pPr>
                    <w:rPr>
                      <w:rFonts w:ascii="Calibri" w:hAnsi="Calibri" w:cs="Calibri"/>
                      <w:color w:val="000000"/>
                    </w:rPr>
                  </w:pPr>
                  <w:r>
                    <w:rPr>
                      <w:rFonts w:ascii="Calibri" w:hAnsi="Calibri" w:cs="Calibri"/>
                      <w:color w:val="000000"/>
                    </w:rPr>
                    <w:t>&lt;70%-80%)</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046FC" w14:textId="3F7145C9" w:rsidR="009D331A" w:rsidRPr="007C580E" w:rsidRDefault="009D331A" w:rsidP="00B565F2">
                  <w:pPr>
                    <w:rPr>
                      <w:rFonts w:ascii="Calibri" w:hAnsi="Calibri" w:cs="Calibri"/>
                      <w:color w:val="000000"/>
                    </w:rPr>
                  </w:pPr>
                  <w:r>
                    <w:rPr>
                      <w:rFonts w:ascii="Calibri" w:hAnsi="Calibri" w:cs="Calibri"/>
                      <w:color w:val="000000"/>
                    </w:rPr>
                    <w:t>&lt;80%-90%)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FE699" w14:textId="12A48CCA" w:rsidR="009D331A" w:rsidRPr="007C580E" w:rsidRDefault="009D331A" w:rsidP="00B565F2">
                  <w:pPr>
                    <w:rPr>
                      <w:rFonts w:ascii="Calibri" w:hAnsi="Calibri" w:cs="Calibri"/>
                      <w:color w:val="000000"/>
                    </w:rPr>
                  </w:pPr>
                  <w:r>
                    <w:rPr>
                      <w:rFonts w:ascii="Calibri" w:hAnsi="Calibri" w:cs="Calibri"/>
                      <w:color w:val="000000"/>
                    </w:rPr>
                    <w:t>&lt;90%-100%)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E4623" w14:textId="6D2AAD76" w:rsidR="009D331A" w:rsidRPr="007C580E" w:rsidRDefault="009D331A" w:rsidP="00B565F2">
                  <w:pPr>
                    <w:rPr>
                      <w:rFonts w:ascii="Calibri" w:hAnsi="Calibri" w:cs="Calibri"/>
                      <w:color w:val="000000"/>
                    </w:rPr>
                  </w:pPr>
                  <w:r>
                    <w:rPr>
                      <w:rFonts w:ascii="Calibri" w:hAnsi="Calibri" w:cs="Calibri"/>
                      <w:color w:val="000000"/>
                    </w:rPr>
                    <w:t>total</w:t>
                  </w:r>
                </w:p>
              </w:tc>
            </w:tr>
            <w:tr w:rsidR="009D331A" w:rsidRPr="007C580E" w14:paraId="595F4ADF" w14:textId="77777777" w:rsidTr="00B565F2">
              <w:trPr>
                <w:trHeight w:val="300"/>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DF8F9" w14:textId="77777777" w:rsidR="009D331A" w:rsidRPr="007C580E" w:rsidRDefault="009D331A" w:rsidP="00B565F2">
                  <w:pPr>
                    <w:jc w:val="right"/>
                    <w:rPr>
                      <w:rFonts w:ascii="Calibri" w:hAnsi="Calibri" w:cs="Calibri"/>
                      <w:color w:val="000000"/>
                    </w:rPr>
                  </w:pPr>
                  <w:r w:rsidRPr="007C580E">
                    <w:rPr>
                      <w:rFonts w:ascii="Calibri" w:hAnsi="Calibri" w:cs="Calibri"/>
                      <w:color w:val="000000"/>
                    </w:rPr>
                    <w:t>47</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55D58" w14:textId="77777777" w:rsidR="009D331A" w:rsidRPr="007C580E" w:rsidRDefault="009D331A" w:rsidP="00B565F2">
                  <w:pPr>
                    <w:jc w:val="right"/>
                    <w:rPr>
                      <w:rFonts w:ascii="Calibri" w:hAnsi="Calibri" w:cs="Calibri"/>
                      <w:color w:val="000000"/>
                    </w:rPr>
                  </w:pPr>
                  <w:r w:rsidRPr="007C580E">
                    <w:rPr>
                      <w:rFonts w:ascii="Calibri" w:hAnsi="Calibri" w:cs="Calibri"/>
                      <w:color w:val="000000"/>
                    </w:rPr>
                    <w:t>24</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AE099" w14:textId="77777777" w:rsidR="009D331A" w:rsidRPr="007C580E" w:rsidRDefault="009D331A" w:rsidP="00B565F2">
                  <w:pPr>
                    <w:jc w:val="right"/>
                    <w:rPr>
                      <w:rFonts w:ascii="Calibri" w:hAnsi="Calibri" w:cs="Calibri"/>
                      <w:color w:val="000000"/>
                    </w:rPr>
                  </w:pPr>
                  <w:r w:rsidRPr="007C580E">
                    <w:rPr>
                      <w:rFonts w:ascii="Calibri" w:hAnsi="Calibri" w:cs="Calibri"/>
                      <w:color w:val="000000"/>
                    </w:rPr>
                    <w:t>41</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70914" w14:textId="77777777" w:rsidR="009D331A" w:rsidRPr="007C580E" w:rsidRDefault="009D331A" w:rsidP="00B565F2">
                  <w:pPr>
                    <w:jc w:val="right"/>
                    <w:rPr>
                      <w:rFonts w:ascii="Calibri" w:hAnsi="Calibri" w:cs="Calibri"/>
                      <w:color w:val="000000"/>
                    </w:rPr>
                  </w:pPr>
                  <w:r w:rsidRPr="007C580E">
                    <w:rPr>
                      <w:rFonts w:ascii="Calibri" w:hAnsi="Calibri" w:cs="Calibri"/>
                      <w:color w:val="000000"/>
                    </w:rPr>
                    <w:t>63</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40048" w14:textId="77777777" w:rsidR="009D331A" w:rsidRPr="007C580E" w:rsidRDefault="009D331A" w:rsidP="00B565F2">
                  <w:pPr>
                    <w:jc w:val="right"/>
                    <w:rPr>
                      <w:rFonts w:ascii="Calibri" w:hAnsi="Calibri" w:cs="Calibri"/>
                      <w:color w:val="000000"/>
                    </w:rPr>
                  </w:pPr>
                  <w:r w:rsidRPr="007C580E">
                    <w:rPr>
                      <w:rFonts w:ascii="Calibri" w:hAnsi="Calibri" w:cs="Calibri"/>
                      <w:color w:val="000000"/>
                    </w:rPr>
                    <w:t>61</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BB6F3" w14:textId="77777777" w:rsidR="009D331A" w:rsidRPr="007C580E" w:rsidRDefault="009D331A" w:rsidP="00B565F2">
                  <w:pPr>
                    <w:jc w:val="right"/>
                    <w:rPr>
                      <w:rFonts w:ascii="Calibri" w:hAnsi="Calibri" w:cs="Calibri"/>
                      <w:color w:val="000000"/>
                    </w:rPr>
                  </w:pPr>
                  <w:r w:rsidRPr="007C580E">
                    <w:rPr>
                      <w:rFonts w:ascii="Calibri" w:hAnsi="Calibri" w:cs="Calibri"/>
                      <w:color w:val="000000"/>
                    </w:rPr>
                    <w:t>56</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67E96" w14:textId="77777777" w:rsidR="009D331A" w:rsidRPr="007C580E" w:rsidRDefault="009D331A" w:rsidP="00B565F2">
                  <w:pPr>
                    <w:jc w:val="right"/>
                    <w:rPr>
                      <w:rFonts w:ascii="Calibri" w:hAnsi="Calibri" w:cs="Calibri"/>
                      <w:color w:val="000000"/>
                    </w:rPr>
                  </w:pPr>
                  <w:r w:rsidRPr="007C580E">
                    <w:rPr>
                      <w:rFonts w:ascii="Calibri" w:hAnsi="Calibri" w:cs="Calibri"/>
                      <w:color w:val="000000"/>
                    </w:rPr>
                    <w:t>54</w:t>
                  </w:r>
                </w:p>
              </w:tc>
              <w:tc>
                <w:tcPr>
                  <w:tcW w:w="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33981" w14:textId="77777777" w:rsidR="009D331A" w:rsidRPr="007C580E" w:rsidRDefault="009D331A" w:rsidP="00B565F2">
                  <w:pPr>
                    <w:jc w:val="right"/>
                    <w:rPr>
                      <w:rFonts w:ascii="Calibri" w:hAnsi="Calibri" w:cs="Calibri"/>
                      <w:color w:val="000000"/>
                    </w:rPr>
                  </w:pPr>
                  <w:r w:rsidRPr="007C580E">
                    <w:rPr>
                      <w:rFonts w:ascii="Calibri" w:hAnsi="Calibri" w:cs="Calibri"/>
                      <w:color w:val="000000"/>
                    </w:rPr>
                    <w:t>47</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1CAD4" w14:textId="77777777" w:rsidR="009D331A" w:rsidRPr="007C580E" w:rsidRDefault="009D331A" w:rsidP="00B565F2">
                  <w:pPr>
                    <w:jc w:val="right"/>
                    <w:rPr>
                      <w:rFonts w:ascii="Calibri" w:hAnsi="Calibri" w:cs="Calibri"/>
                      <w:color w:val="000000"/>
                    </w:rPr>
                  </w:pPr>
                  <w:r w:rsidRPr="007C580E">
                    <w:rPr>
                      <w:rFonts w:ascii="Calibri" w:hAnsi="Calibri" w:cs="Calibri"/>
                      <w:color w:val="000000"/>
                    </w:rPr>
                    <w:t>27</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EECFF" w14:textId="77777777" w:rsidR="009D331A" w:rsidRPr="007C580E" w:rsidRDefault="009D331A" w:rsidP="00B565F2">
                  <w:pPr>
                    <w:jc w:val="right"/>
                    <w:rPr>
                      <w:rFonts w:ascii="Calibri" w:hAnsi="Calibri" w:cs="Calibri"/>
                      <w:color w:val="000000"/>
                    </w:rPr>
                  </w:pPr>
                  <w:r w:rsidRPr="007C580E">
                    <w:rPr>
                      <w:rFonts w:ascii="Calibri" w:hAnsi="Calibri" w:cs="Calibri"/>
                      <w:color w:val="000000"/>
                    </w:rPr>
                    <w:t>44</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6E581" w14:textId="77777777" w:rsidR="009D331A" w:rsidRPr="007C580E" w:rsidRDefault="009D331A" w:rsidP="00B565F2">
                  <w:pPr>
                    <w:jc w:val="right"/>
                    <w:rPr>
                      <w:rFonts w:ascii="Calibri" w:hAnsi="Calibri" w:cs="Calibri"/>
                      <w:color w:val="000000"/>
                    </w:rPr>
                  </w:pPr>
                  <w:r w:rsidRPr="007C580E">
                    <w:rPr>
                      <w:rFonts w:ascii="Calibri" w:hAnsi="Calibri" w:cs="Calibri"/>
                      <w:color w:val="000000"/>
                    </w:rPr>
                    <w:t>464</w:t>
                  </w:r>
                </w:p>
              </w:tc>
            </w:tr>
          </w:tbl>
          <w:p w14:paraId="109A8CD8" w14:textId="031DD4EA" w:rsidR="009D331A" w:rsidRPr="00B01372" w:rsidRDefault="009D331A" w:rsidP="009D331A">
            <w:pPr>
              <w:jc w:val="both"/>
            </w:pPr>
          </w:p>
        </w:tc>
      </w:tr>
      <w:tr w:rsidR="00D50216" w:rsidRPr="00B01372" w14:paraId="656FB1F8" w14:textId="77777777" w:rsidTr="00A47B20">
        <w:tc>
          <w:tcPr>
            <w:tcW w:w="1648" w:type="pct"/>
          </w:tcPr>
          <w:p w14:paraId="6A4A1A16" w14:textId="6CBF2D9E" w:rsidR="00D50216" w:rsidRPr="00B01372" w:rsidRDefault="007C1F4F" w:rsidP="003236CE">
            <w:pPr>
              <w:pStyle w:val="Heading3"/>
              <w:outlineLvl w:val="2"/>
              <w:rPr>
                <w:b w:val="0"/>
              </w:rPr>
            </w:pPr>
            <w:r w:rsidRPr="00B01372">
              <w:rPr>
                <w:b w:val="0"/>
              </w:rPr>
              <w:t>Statistical distribution of buyers by frequency of using a negotiated procedure without the prior publication of a call of competition</w:t>
            </w:r>
          </w:p>
        </w:tc>
        <w:tc>
          <w:tcPr>
            <w:tcW w:w="3352" w:type="pct"/>
          </w:tcPr>
          <w:p w14:paraId="55C56820" w14:textId="77777777" w:rsidR="008A2537" w:rsidRPr="00B01372" w:rsidRDefault="008A2537" w:rsidP="008A2537">
            <w:pPr>
              <w:jc w:val="both"/>
            </w:pPr>
            <w:r w:rsidRPr="00B01372">
              <w:t>For each contracting authority or entity:</w:t>
            </w:r>
          </w:p>
          <w:p w14:paraId="11388691" w14:textId="4D25A34F" w:rsidR="008A2537" w:rsidRPr="00B01372" w:rsidRDefault="008A2537" w:rsidP="008A2537">
            <w:pPr>
              <w:jc w:val="both"/>
            </w:pPr>
            <w:r w:rsidRPr="00B01372">
              <w:t xml:space="preserve">1) Calculate the total number of </w:t>
            </w:r>
            <w:r w:rsidR="00CF35E6" w:rsidRPr="00B01372">
              <w:t>procedures</w:t>
            </w:r>
            <w:r w:rsidRPr="00B01372">
              <w:t xml:space="preserve">. </w:t>
            </w:r>
          </w:p>
          <w:p w14:paraId="408F3494" w14:textId="233A88F3" w:rsidR="008A2537" w:rsidRPr="00B01372" w:rsidRDefault="008A2537" w:rsidP="009C644B">
            <w:r w:rsidRPr="00B01372">
              <w:t>2)</w:t>
            </w:r>
            <w:r w:rsidR="005B4DE8" w:rsidRPr="00B01372">
              <w:t xml:space="preserve"> </w:t>
            </w:r>
            <w:r w:rsidRPr="00B01372">
              <w:t xml:space="preserve">Calculate the number of </w:t>
            </w:r>
            <w:r w:rsidR="00CF35E6" w:rsidRPr="00B01372">
              <w:t xml:space="preserve">negotiated procedures without the prior publication of a call for competition. </w:t>
            </w:r>
          </w:p>
          <w:p w14:paraId="50E0EBAE" w14:textId="77777777" w:rsidR="008A2537" w:rsidRPr="00B01372" w:rsidRDefault="008A2537" w:rsidP="008A2537">
            <w:pPr>
              <w:jc w:val="both"/>
            </w:pPr>
            <w:r w:rsidRPr="00B01372">
              <w:t>3) Divide the second number by the first number.</w:t>
            </w:r>
          </w:p>
          <w:p w14:paraId="5FBE4AD9" w14:textId="77777777" w:rsidR="008A2537" w:rsidRPr="00B01372" w:rsidRDefault="008A2537" w:rsidP="008A2537">
            <w:pPr>
              <w:jc w:val="both"/>
            </w:pPr>
          </w:p>
          <w:p w14:paraId="224A6277" w14:textId="17BE7A79" w:rsidR="008A2537" w:rsidRPr="00B01372" w:rsidRDefault="008A2537" w:rsidP="008A2537">
            <w:pPr>
              <w:jc w:val="both"/>
            </w:pPr>
            <w:r w:rsidRPr="00B01372">
              <w:t xml:space="preserve">In the report, </w:t>
            </w:r>
            <w:r w:rsidR="00FA03AE" w:rsidRPr="00B01372">
              <w:t xml:space="preserve">in a table, </w:t>
            </w:r>
            <w:r w:rsidRPr="00B01372">
              <w:t>please include the number of contracting authorities or entities whose result from 3) above falls within each of the following intervals: &lt;0%</w:t>
            </w:r>
            <w:proofErr w:type="gramStart"/>
            <w:r w:rsidRPr="00B01372">
              <w:t>,10</w:t>
            </w:r>
            <w:proofErr w:type="gramEnd"/>
            <w:r w:rsidRPr="00B01372">
              <w:t>%&gt;, (10%, 20%&gt;, (20%, 30%&gt;, … , (90%,100%&gt;.</w:t>
            </w:r>
          </w:p>
          <w:p w14:paraId="2A6D6367" w14:textId="77777777" w:rsidR="0038013D" w:rsidRPr="00B01372" w:rsidRDefault="0038013D" w:rsidP="008A2537">
            <w:pPr>
              <w:jc w:val="both"/>
            </w:pPr>
          </w:p>
          <w:p w14:paraId="140ACE39" w14:textId="038C61B8" w:rsidR="0038013D" w:rsidRPr="00B01372" w:rsidRDefault="00340038" w:rsidP="0038013D">
            <w:pPr>
              <w:jc w:val="both"/>
            </w:pPr>
            <w:r w:rsidRPr="00B01372">
              <w:t xml:space="preserve">Please include only procurement procedures which resulted in at least one contract award and </w:t>
            </w:r>
            <w:r w:rsidR="0038013D" w:rsidRPr="00B01372">
              <w:t xml:space="preserve">include only buyers </w:t>
            </w:r>
            <w:r w:rsidR="00DD59B6">
              <w:t xml:space="preserve">who ran </w:t>
            </w:r>
            <w:r w:rsidR="0038013D" w:rsidRPr="00B01372">
              <w:t xml:space="preserve">at least three </w:t>
            </w:r>
            <w:r w:rsidR="00DD59B6">
              <w:t xml:space="preserve">procurement procedures </w:t>
            </w:r>
            <w:r w:rsidR="0038013D" w:rsidRPr="00B01372">
              <w:t>over the reporting period</w:t>
            </w:r>
            <w:r w:rsidRPr="00B01372">
              <w:t>.</w:t>
            </w:r>
          </w:p>
          <w:p w14:paraId="7D962377" w14:textId="77777777" w:rsidR="0038013D" w:rsidRPr="00B01372" w:rsidRDefault="0038013D" w:rsidP="0038013D">
            <w:pPr>
              <w:jc w:val="both"/>
            </w:pPr>
          </w:p>
          <w:p w14:paraId="37D79B5B" w14:textId="36185AED" w:rsidR="008A2537" w:rsidRPr="00B01372" w:rsidRDefault="0038013D" w:rsidP="005329C9">
            <w:pPr>
              <w:jc w:val="both"/>
            </w:pPr>
            <w:r w:rsidRPr="00B01372">
              <w:t xml:space="preserve">For more information about this indicator please see the following article from the European Journal on Criminal Policy and Research: </w:t>
            </w:r>
            <w:hyperlink r:id="rId16" w:history="1">
              <w:r w:rsidRPr="00B01372">
                <w:rPr>
                  <w:rStyle w:val="Hyperlink"/>
                </w:rPr>
                <w:t>http://link.springer.com/article/10.1007%2Fs10610-016-9308-z</w:t>
              </w:r>
            </w:hyperlink>
            <w:r w:rsidRPr="00B01372">
              <w:t>.</w:t>
            </w:r>
          </w:p>
        </w:tc>
      </w:tr>
      <w:tr w:rsidR="009D331A" w:rsidRPr="00B01372" w14:paraId="07EE3461" w14:textId="77777777" w:rsidTr="00A47B20">
        <w:tc>
          <w:tcPr>
            <w:tcW w:w="1648" w:type="pct"/>
          </w:tcPr>
          <w:p w14:paraId="1CA5D796" w14:textId="77777777" w:rsidR="009D331A" w:rsidRPr="00B01372" w:rsidRDefault="009D331A" w:rsidP="003236CE">
            <w:pPr>
              <w:pStyle w:val="Heading3"/>
              <w:outlineLvl w:val="2"/>
              <w:rPr>
                <w:b w:val="0"/>
              </w:rPr>
            </w:pPr>
          </w:p>
        </w:tc>
        <w:tc>
          <w:tcPr>
            <w:tcW w:w="3352" w:type="pct"/>
          </w:tcPr>
          <w:p w14:paraId="70BBC613" w14:textId="4477620C" w:rsidR="009D331A" w:rsidRDefault="009D331A" w:rsidP="008A2537">
            <w:pPr>
              <w:jc w:val="both"/>
              <w:rPr>
                <w:color w:val="FF0000"/>
              </w:rPr>
            </w:pPr>
            <w:r w:rsidRPr="006677D7">
              <w:rPr>
                <w:color w:val="FF0000"/>
              </w:rPr>
              <w:t>Table 3:</w:t>
            </w:r>
            <w:r w:rsidRPr="009E00FA">
              <w:rPr>
                <w:color w:val="FF0000"/>
              </w:rPr>
              <w:t xml:space="preserve"> Percentage of the number of negotiated procedures without the prior publication of a call for competition comparing to the total number of contract awards including only procurement procedures which resulted in at least one contract award and including only buyers who </w:t>
            </w:r>
            <w:r w:rsidR="00241D69">
              <w:rPr>
                <w:color w:val="FF0000"/>
              </w:rPr>
              <w:t>conducted</w:t>
            </w:r>
            <w:r w:rsidRPr="009E00FA">
              <w:rPr>
                <w:color w:val="FF0000"/>
              </w:rPr>
              <w:t xml:space="preserve"> at least three procurement procedures over the reporting period above EU threshold</w:t>
            </w:r>
          </w:p>
          <w:tbl>
            <w:tblPr>
              <w:tblW w:w="8612" w:type="dxa"/>
              <w:tblLook w:val="04A0" w:firstRow="1" w:lastRow="0" w:firstColumn="1" w:lastColumn="0" w:noHBand="0" w:noVBand="1"/>
            </w:tblPr>
            <w:tblGrid>
              <w:gridCol w:w="684"/>
              <w:gridCol w:w="774"/>
              <w:gridCol w:w="774"/>
              <w:gridCol w:w="774"/>
              <w:gridCol w:w="774"/>
              <w:gridCol w:w="774"/>
              <w:gridCol w:w="774"/>
              <w:gridCol w:w="774"/>
              <w:gridCol w:w="774"/>
              <w:gridCol w:w="776"/>
              <w:gridCol w:w="960"/>
            </w:tblGrid>
            <w:tr w:rsidR="009D331A" w14:paraId="1F57E9C4" w14:textId="77777777" w:rsidTr="00B565F2">
              <w:trPr>
                <w:trHeight w:val="300"/>
              </w:trPr>
              <w:tc>
                <w:tcPr>
                  <w:tcW w:w="8612" w:type="dxa"/>
                  <w:gridSpan w:val="11"/>
                  <w:tcBorders>
                    <w:top w:val="nil"/>
                    <w:left w:val="nil"/>
                    <w:bottom w:val="single" w:sz="4" w:space="0" w:color="auto"/>
                    <w:right w:val="nil"/>
                  </w:tcBorders>
                  <w:shd w:val="clear" w:color="auto" w:fill="auto"/>
                  <w:noWrap/>
                  <w:vAlign w:val="bottom"/>
                  <w:hideMark/>
                </w:tcPr>
                <w:p w14:paraId="58325E49" w14:textId="3D298FED" w:rsidR="009D331A" w:rsidRDefault="009D331A" w:rsidP="00B565F2">
                  <w:pPr>
                    <w:rPr>
                      <w:sz w:val="20"/>
                      <w:szCs w:val="20"/>
                    </w:rPr>
                  </w:pPr>
                </w:p>
              </w:tc>
            </w:tr>
            <w:tr w:rsidR="009D331A" w14:paraId="07CB63E6" w14:textId="77777777" w:rsidTr="00B565F2">
              <w:trPr>
                <w:trHeight w:val="30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FD67A" w14:textId="1028371F" w:rsidR="009D331A" w:rsidRDefault="009D331A" w:rsidP="00B565F2">
                  <w:pPr>
                    <w:rPr>
                      <w:rFonts w:ascii="Calibri" w:hAnsi="Calibri" w:cs="Calibri"/>
                      <w:color w:val="000000"/>
                    </w:rPr>
                  </w:pPr>
                  <w:r>
                    <w:rPr>
                      <w:rFonts w:ascii="Calibri" w:hAnsi="Calibri" w:cs="Calibri"/>
                      <w:color w:val="000000"/>
                    </w:rPr>
                    <w:t>(0%-10%)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3CABC" w14:textId="42085795" w:rsidR="009D331A" w:rsidRDefault="009D331A" w:rsidP="00B565F2">
                  <w:pPr>
                    <w:rPr>
                      <w:rFonts w:ascii="Calibri" w:hAnsi="Calibri" w:cs="Calibri"/>
                      <w:color w:val="000000"/>
                    </w:rPr>
                  </w:pPr>
                  <w:r>
                    <w:rPr>
                      <w:rFonts w:ascii="Calibri" w:hAnsi="Calibri" w:cs="Calibri"/>
                      <w:color w:val="000000"/>
                    </w:rPr>
                    <w:t>&lt;10%-20%)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53B8D" w14:textId="6DB54800" w:rsidR="009D331A" w:rsidRDefault="009D331A" w:rsidP="00B565F2">
                  <w:pPr>
                    <w:rPr>
                      <w:rFonts w:ascii="Calibri" w:hAnsi="Calibri" w:cs="Calibri"/>
                      <w:color w:val="000000"/>
                    </w:rPr>
                  </w:pPr>
                  <w:r>
                    <w:rPr>
                      <w:rFonts w:ascii="Calibri" w:hAnsi="Calibri" w:cs="Calibri"/>
                      <w:color w:val="000000"/>
                    </w:rPr>
                    <w:t>&lt;20%-30%)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A8556" w14:textId="7017D6AE" w:rsidR="009D331A" w:rsidRDefault="009D331A" w:rsidP="00B565F2">
                  <w:pPr>
                    <w:rPr>
                      <w:rFonts w:ascii="Calibri" w:hAnsi="Calibri" w:cs="Calibri"/>
                      <w:color w:val="000000"/>
                    </w:rPr>
                  </w:pPr>
                  <w:r>
                    <w:rPr>
                      <w:rFonts w:ascii="Calibri" w:hAnsi="Calibri" w:cs="Calibri"/>
                      <w:color w:val="000000"/>
                    </w:rPr>
                    <w:t>&lt;30%-40%)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A0A7C" w14:textId="76606ED5" w:rsidR="009D331A" w:rsidRDefault="009D331A" w:rsidP="00B565F2">
                  <w:pPr>
                    <w:rPr>
                      <w:rFonts w:ascii="Calibri" w:hAnsi="Calibri" w:cs="Calibri"/>
                      <w:color w:val="000000"/>
                    </w:rPr>
                  </w:pPr>
                  <w:r>
                    <w:rPr>
                      <w:rFonts w:ascii="Calibri" w:hAnsi="Calibri" w:cs="Calibri"/>
                      <w:color w:val="000000"/>
                    </w:rPr>
                    <w:t>&lt;40%-50%)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11383" w14:textId="10A8AA25" w:rsidR="009D331A" w:rsidRDefault="009D331A" w:rsidP="00B565F2">
                  <w:pPr>
                    <w:rPr>
                      <w:rFonts w:ascii="Calibri" w:hAnsi="Calibri" w:cs="Calibri"/>
                      <w:color w:val="000000"/>
                    </w:rPr>
                  </w:pPr>
                  <w:r>
                    <w:rPr>
                      <w:rFonts w:ascii="Calibri" w:hAnsi="Calibri" w:cs="Calibri"/>
                      <w:color w:val="000000"/>
                    </w:rPr>
                    <w:t>&lt;50%-60%)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6419D" w14:textId="42834EE5" w:rsidR="009D331A" w:rsidRDefault="009D331A" w:rsidP="00B565F2">
                  <w:pPr>
                    <w:rPr>
                      <w:rFonts w:ascii="Calibri" w:hAnsi="Calibri" w:cs="Calibri"/>
                      <w:color w:val="000000"/>
                    </w:rPr>
                  </w:pPr>
                  <w:r>
                    <w:rPr>
                      <w:rFonts w:ascii="Calibri" w:hAnsi="Calibri" w:cs="Calibri"/>
                      <w:color w:val="000000"/>
                    </w:rPr>
                    <w:t>&lt;60%-70%)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FE047" w14:textId="0A75EBB2" w:rsidR="009D331A" w:rsidRDefault="009D331A" w:rsidP="00B565F2">
                  <w:pPr>
                    <w:rPr>
                      <w:rFonts w:ascii="Calibri" w:hAnsi="Calibri" w:cs="Calibri"/>
                      <w:color w:val="000000"/>
                    </w:rPr>
                  </w:pPr>
                  <w:r>
                    <w:rPr>
                      <w:rFonts w:ascii="Calibri" w:hAnsi="Calibri" w:cs="Calibri"/>
                      <w:color w:val="000000"/>
                    </w:rPr>
                    <w:t>&lt;70%-80%)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BDF21" w14:textId="64CD14BE" w:rsidR="009D331A" w:rsidRDefault="009D331A" w:rsidP="00B565F2">
                  <w:pPr>
                    <w:rPr>
                      <w:rFonts w:ascii="Calibri" w:hAnsi="Calibri" w:cs="Calibri"/>
                      <w:color w:val="000000"/>
                    </w:rPr>
                  </w:pPr>
                  <w:r>
                    <w:rPr>
                      <w:rFonts w:ascii="Calibri" w:hAnsi="Calibri" w:cs="Calibri"/>
                      <w:color w:val="000000"/>
                    </w:rPr>
                    <w:t>&lt;80%-90%)</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BDEEF" w14:textId="6496FF68" w:rsidR="009D331A" w:rsidRDefault="009D331A" w:rsidP="00B565F2">
                  <w:pPr>
                    <w:rPr>
                      <w:rFonts w:ascii="Calibri" w:hAnsi="Calibri" w:cs="Calibri"/>
                      <w:color w:val="000000"/>
                    </w:rPr>
                  </w:pPr>
                  <w:r>
                    <w:rPr>
                      <w:rFonts w:ascii="Calibri" w:hAnsi="Calibri" w:cs="Calibri"/>
                      <w:color w:val="000000"/>
                    </w:rPr>
                    <w:t>&lt;90%-100%)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470E1" w14:textId="655671D1" w:rsidR="009D331A" w:rsidRDefault="009D331A" w:rsidP="00B565F2">
                  <w:pPr>
                    <w:rPr>
                      <w:rFonts w:ascii="Calibri" w:hAnsi="Calibri" w:cs="Calibri"/>
                      <w:color w:val="000000"/>
                    </w:rPr>
                  </w:pPr>
                  <w:r>
                    <w:rPr>
                      <w:rFonts w:ascii="Calibri" w:hAnsi="Calibri" w:cs="Calibri"/>
                      <w:color w:val="000000"/>
                    </w:rPr>
                    <w:t>total</w:t>
                  </w:r>
                </w:p>
              </w:tc>
            </w:tr>
            <w:tr w:rsidR="009D331A" w14:paraId="6790E838" w14:textId="77777777" w:rsidTr="00B565F2">
              <w:trPr>
                <w:trHeight w:val="30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42135" w14:textId="77777777" w:rsidR="009D331A" w:rsidRDefault="009D331A" w:rsidP="00B565F2">
                  <w:pPr>
                    <w:jc w:val="right"/>
                    <w:rPr>
                      <w:rFonts w:ascii="Calibri" w:hAnsi="Calibri" w:cs="Calibri"/>
                      <w:color w:val="000000"/>
                    </w:rPr>
                  </w:pPr>
                  <w:r>
                    <w:rPr>
                      <w:rFonts w:ascii="Calibri" w:hAnsi="Calibri" w:cs="Calibri"/>
                      <w:color w:val="000000"/>
                    </w:rPr>
                    <w:t>120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AC001" w14:textId="77777777" w:rsidR="009D331A" w:rsidRDefault="009D331A" w:rsidP="00B565F2">
                  <w:pPr>
                    <w:jc w:val="right"/>
                    <w:rPr>
                      <w:rFonts w:ascii="Calibri" w:hAnsi="Calibri" w:cs="Calibri"/>
                      <w:color w:val="000000"/>
                    </w:rPr>
                  </w:pPr>
                  <w:r>
                    <w:rPr>
                      <w:rFonts w:ascii="Calibri" w:hAnsi="Calibri" w:cs="Calibri"/>
                      <w:color w:val="000000"/>
                    </w:rPr>
                    <w:t>23</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4A05C" w14:textId="77777777" w:rsidR="009D331A" w:rsidRDefault="009D331A" w:rsidP="00B565F2">
                  <w:pPr>
                    <w:jc w:val="right"/>
                    <w:rPr>
                      <w:rFonts w:ascii="Calibri" w:hAnsi="Calibri" w:cs="Calibri"/>
                      <w:color w:val="000000"/>
                    </w:rPr>
                  </w:pPr>
                  <w:r>
                    <w:rPr>
                      <w:rFonts w:ascii="Calibri" w:hAnsi="Calibri" w:cs="Calibri"/>
                      <w:color w:val="000000"/>
                    </w:rPr>
                    <w:t>20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8B386" w14:textId="77777777" w:rsidR="009D331A" w:rsidRDefault="009D331A" w:rsidP="00B565F2">
                  <w:pPr>
                    <w:jc w:val="right"/>
                    <w:rPr>
                      <w:rFonts w:ascii="Calibri" w:hAnsi="Calibri" w:cs="Calibri"/>
                      <w:color w:val="000000"/>
                    </w:rPr>
                  </w:pPr>
                  <w:r>
                    <w:rPr>
                      <w:rFonts w:ascii="Calibri" w:hAnsi="Calibri" w:cs="Calibri"/>
                      <w:color w:val="000000"/>
                    </w:rPr>
                    <w:t>10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C0E2D" w14:textId="77777777" w:rsidR="009D331A" w:rsidRDefault="009D331A" w:rsidP="00B565F2">
                  <w:pPr>
                    <w:jc w:val="right"/>
                    <w:rPr>
                      <w:rFonts w:ascii="Calibri" w:hAnsi="Calibri" w:cs="Calibri"/>
                      <w:color w:val="000000"/>
                    </w:rPr>
                  </w:pPr>
                  <w:r>
                    <w:rPr>
                      <w:rFonts w:ascii="Calibri" w:hAnsi="Calibri" w:cs="Calibri"/>
                      <w:color w:val="000000"/>
                    </w:rPr>
                    <w:t>2</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87671" w14:textId="77777777" w:rsidR="009D331A" w:rsidRDefault="009D331A" w:rsidP="00B565F2">
                  <w:pPr>
                    <w:jc w:val="right"/>
                    <w:rPr>
                      <w:rFonts w:ascii="Calibri" w:hAnsi="Calibri" w:cs="Calibri"/>
                      <w:color w:val="000000"/>
                    </w:rPr>
                  </w:pPr>
                  <w:r>
                    <w:rPr>
                      <w:rFonts w:ascii="Calibri" w:hAnsi="Calibri" w:cs="Calibri"/>
                      <w:color w:val="000000"/>
                    </w:rPr>
                    <w:t>1</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49953" w14:textId="77777777" w:rsidR="009D331A" w:rsidRDefault="009D331A" w:rsidP="00B565F2">
                  <w:pPr>
                    <w:jc w:val="right"/>
                    <w:rPr>
                      <w:rFonts w:ascii="Calibri" w:hAnsi="Calibri" w:cs="Calibri"/>
                      <w:color w:val="000000"/>
                    </w:rPr>
                  </w:pPr>
                  <w:r>
                    <w:rPr>
                      <w:rFonts w:ascii="Calibri" w:hAnsi="Calibri" w:cs="Calibri"/>
                      <w:color w:val="000000"/>
                    </w:rPr>
                    <w:t>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B01E9" w14:textId="77777777" w:rsidR="009D331A" w:rsidRDefault="009D331A" w:rsidP="00B565F2">
                  <w:pPr>
                    <w:jc w:val="right"/>
                    <w:rPr>
                      <w:rFonts w:ascii="Calibri" w:hAnsi="Calibri" w:cs="Calibri"/>
                      <w:color w:val="000000"/>
                    </w:rPr>
                  </w:pPr>
                  <w:r>
                    <w:rPr>
                      <w:rFonts w:ascii="Calibri" w:hAnsi="Calibri" w:cs="Calibri"/>
                      <w:color w:val="000000"/>
                    </w:rPr>
                    <w:t>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50BC1" w14:textId="77777777" w:rsidR="009D331A" w:rsidRDefault="009D331A" w:rsidP="00B565F2">
                  <w:pPr>
                    <w:jc w:val="right"/>
                    <w:rPr>
                      <w:rFonts w:ascii="Calibri" w:hAnsi="Calibri" w:cs="Calibri"/>
                      <w:color w:val="000000"/>
                    </w:rPr>
                  </w:pPr>
                  <w:r>
                    <w:rPr>
                      <w:rFonts w:ascii="Calibri" w:hAnsi="Calibri" w:cs="Calibri"/>
                      <w:color w:val="000000"/>
                    </w:rPr>
                    <w:t>0</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0C939" w14:textId="77777777" w:rsidR="009D331A" w:rsidRDefault="009D331A" w:rsidP="00B565F2">
                  <w:pPr>
                    <w:jc w:val="right"/>
                    <w:rPr>
                      <w:rFonts w:ascii="Calibri" w:hAnsi="Calibri" w:cs="Calibri"/>
                      <w:color w:val="000000"/>
                    </w:rPr>
                  </w:pPr>
                  <w:r>
                    <w:rPr>
                      <w:rFonts w:ascii="Calibri" w:hAnsi="Calibri" w:cs="Calibri"/>
                      <w:color w:val="00000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46EF1" w14:textId="77777777" w:rsidR="009D331A" w:rsidRDefault="009D331A" w:rsidP="00B565F2">
                  <w:pPr>
                    <w:jc w:val="right"/>
                    <w:rPr>
                      <w:rFonts w:ascii="Calibri" w:hAnsi="Calibri" w:cs="Calibri"/>
                      <w:color w:val="000000"/>
                    </w:rPr>
                  </w:pPr>
                  <w:r>
                    <w:rPr>
                      <w:rFonts w:ascii="Calibri" w:hAnsi="Calibri" w:cs="Calibri"/>
                      <w:color w:val="000000"/>
                    </w:rPr>
                    <w:t>176</w:t>
                  </w:r>
                </w:p>
              </w:tc>
            </w:tr>
          </w:tbl>
          <w:p w14:paraId="405947AD" w14:textId="77777777" w:rsidR="009D331A" w:rsidRDefault="009D331A" w:rsidP="008A2537">
            <w:pPr>
              <w:jc w:val="both"/>
            </w:pPr>
          </w:p>
          <w:p w14:paraId="16677976" w14:textId="6EFA556C" w:rsidR="009D331A" w:rsidRDefault="009D331A" w:rsidP="008A2537">
            <w:pPr>
              <w:jc w:val="both"/>
              <w:rPr>
                <w:color w:val="FF0000"/>
              </w:rPr>
            </w:pPr>
            <w:r w:rsidRPr="006677D7">
              <w:rPr>
                <w:color w:val="FF0000"/>
              </w:rPr>
              <w:t>Table 4:</w:t>
            </w:r>
            <w:r w:rsidRPr="009E00FA">
              <w:rPr>
                <w:color w:val="FF0000"/>
              </w:rPr>
              <w:t xml:space="preserve"> Percentage of the number of negotiated procedures without the prior publication of a call for competition comparing to the total number of contract awards including only procurement procedures which resulted in at least one contract award and including only buyers who </w:t>
            </w:r>
            <w:r w:rsidR="00241D69">
              <w:rPr>
                <w:color w:val="FF0000"/>
              </w:rPr>
              <w:t>conducted</w:t>
            </w:r>
            <w:r w:rsidRPr="009E00FA">
              <w:rPr>
                <w:color w:val="FF0000"/>
              </w:rPr>
              <w:t xml:space="preserve"> at least three procurement procedures over the reporting period below EU threshold (</w:t>
            </w:r>
            <w:r w:rsidR="00241D69">
              <w:rPr>
                <w:color w:val="FF0000"/>
              </w:rPr>
              <w:t>above</w:t>
            </w:r>
            <w:r w:rsidRPr="009E00FA">
              <w:rPr>
                <w:color w:val="FF0000"/>
              </w:rPr>
              <w:t xml:space="preserve"> </w:t>
            </w:r>
            <w:r>
              <w:rPr>
                <w:color w:val="FF0000"/>
              </w:rPr>
              <w:t>national threshold</w:t>
            </w:r>
            <w:r w:rsidRPr="009E00FA">
              <w:rPr>
                <w:color w:val="FF0000"/>
              </w:rPr>
              <w:t>)</w:t>
            </w:r>
          </w:p>
          <w:tbl>
            <w:tblPr>
              <w:tblW w:w="8679" w:type="dxa"/>
              <w:tblLook w:val="04A0" w:firstRow="1" w:lastRow="0" w:firstColumn="1" w:lastColumn="0" w:noHBand="0" w:noVBand="1"/>
            </w:tblPr>
            <w:tblGrid>
              <w:gridCol w:w="730"/>
              <w:gridCol w:w="774"/>
              <w:gridCol w:w="774"/>
              <w:gridCol w:w="774"/>
              <w:gridCol w:w="774"/>
              <w:gridCol w:w="774"/>
              <w:gridCol w:w="778"/>
              <w:gridCol w:w="774"/>
              <w:gridCol w:w="778"/>
              <w:gridCol w:w="854"/>
              <w:gridCol w:w="895"/>
            </w:tblGrid>
            <w:tr w:rsidR="009D331A" w:rsidRPr="007C580E" w14:paraId="6BB65E78" w14:textId="77777777" w:rsidTr="00B565F2">
              <w:trPr>
                <w:trHeight w:val="300"/>
              </w:trPr>
              <w:tc>
                <w:tcPr>
                  <w:tcW w:w="8679" w:type="dxa"/>
                  <w:gridSpan w:val="11"/>
                  <w:tcBorders>
                    <w:bottom w:val="single" w:sz="4" w:space="0" w:color="auto"/>
                  </w:tcBorders>
                  <w:shd w:val="clear" w:color="auto" w:fill="auto"/>
                  <w:noWrap/>
                  <w:vAlign w:val="bottom"/>
                  <w:hideMark/>
                </w:tcPr>
                <w:p w14:paraId="40F0A9FE" w14:textId="5778409D" w:rsidR="009D331A" w:rsidRPr="007C580E" w:rsidRDefault="009D331A" w:rsidP="00B565F2">
                  <w:pPr>
                    <w:rPr>
                      <w:sz w:val="20"/>
                      <w:szCs w:val="20"/>
                    </w:rPr>
                  </w:pPr>
                </w:p>
              </w:tc>
            </w:tr>
            <w:tr w:rsidR="009D331A" w:rsidRPr="007C580E" w14:paraId="16632ADB" w14:textId="77777777" w:rsidTr="00B565F2">
              <w:trPr>
                <w:trHeight w:val="300"/>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322B2" w14:textId="3BAB3ED2" w:rsidR="009D331A" w:rsidRPr="007C580E" w:rsidRDefault="00F2573B" w:rsidP="00B565F2">
                  <w:pPr>
                    <w:rPr>
                      <w:rFonts w:ascii="Calibri" w:hAnsi="Calibri" w:cs="Calibri"/>
                      <w:color w:val="000000"/>
                    </w:rPr>
                  </w:pPr>
                  <w:r>
                    <w:rPr>
                      <w:rFonts w:ascii="Calibri" w:hAnsi="Calibri" w:cs="Calibri"/>
                      <w:color w:val="000000"/>
                    </w:rPr>
                    <w:t>(0%-10%)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6DF4D" w14:textId="39B3E3FE" w:rsidR="009D331A" w:rsidRPr="007C580E" w:rsidRDefault="00F2573B" w:rsidP="00B565F2">
                  <w:pPr>
                    <w:rPr>
                      <w:rFonts w:ascii="Calibri" w:hAnsi="Calibri" w:cs="Calibri"/>
                      <w:color w:val="000000"/>
                    </w:rPr>
                  </w:pPr>
                  <w:r>
                    <w:rPr>
                      <w:rFonts w:ascii="Calibri" w:hAnsi="Calibri" w:cs="Calibri"/>
                      <w:color w:val="000000"/>
                    </w:rPr>
                    <w:t>&lt;10%-20%)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1889B" w14:textId="7A2BD9B1" w:rsidR="009D331A" w:rsidRPr="007C580E" w:rsidRDefault="00F2573B" w:rsidP="00B565F2">
                  <w:pPr>
                    <w:rPr>
                      <w:rFonts w:ascii="Calibri" w:hAnsi="Calibri" w:cs="Calibri"/>
                      <w:color w:val="000000"/>
                    </w:rPr>
                  </w:pPr>
                  <w:r>
                    <w:rPr>
                      <w:rFonts w:ascii="Calibri" w:hAnsi="Calibri" w:cs="Calibri"/>
                      <w:color w:val="000000"/>
                    </w:rPr>
                    <w:t>&lt;20%-30%)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270E8" w14:textId="627FD148" w:rsidR="009D331A" w:rsidRPr="007C580E" w:rsidRDefault="00F2573B" w:rsidP="00B565F2">
                  <w:pPr>
                    <w:rPr>
                      <w:rFonts w:ascii="Calibri" w:hAnsi="Calibri" w:cs="Calibri"/>
                      <w:color w:val="000000"/>
                    </w:rPr>
                  </w:pPr>
                  <w:r>
                    <w:rPr>
                      <w:rFonts w:ascii="Calibri" w:hAnsi="Calibri" w:cs="Calibri"/>
                      <w:color w:val="000000"/>
                    </w:rPr>
                    <w:t>&lt;30%-40%)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262E1" w14:textId="153E26D7" w:rsidR="009D331A" w:rsidRPr="007C580E" w:rsidRDefault="00F2573B" w:rsidP="00B565F2">
                  <w:pPr>
                    <w:rPr>
                      <w:rFonts w:ascii="Calibri" w:hAnsi="Calibri" w:cs="Calibri"/>
                      <w:color w:val="000000"/>
                    </w:rPr>
                  </w:pPr>
                  <w:r>
                    <w:rPr>
                      <w:rFonts w:ascii="Calibri" w:hAnsi="Calibri" w:cs="Calibri"/>
                      <w:color w:val="000000"/>
                    </w:rPr>
                    <w:t>&lt;40%-50%)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8091D" w14:textId="19B3487E" w:rsidR="009D331A" w:rsidRPr="007C580E" w:rsidRDefault="00F2573B" w:rsidP="00B565F2">
                  <w:pPr>
                    <w:rPr>
                      <w:rFonts w:ascii="Calibri" w:hAnsi="Calibri" w:cs="Calibri"/>
                      <w:color w:val="000000"/>
                    </w:rPr>
                  </w:pPr>
                  <w:r>
                    <w:rPr>
                      <w:rFonts w:ascii="Calibri" w:hAnsi="Calibri" w:cs="Calibri"/>
                      <w:color w:val="000000"/>
                    </w:rPr>
                    <w:t>&lt;50%-60%)</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259EE" w14:textId="30B65E38" w:rsidR="009D331A" w:rsidRPr="007C580E" w:rsidRDefault="00F2573B" w:rsidP="00B565F2">
                  <w:pPr>
                    <w:rPr>
                      <w:rFonts w:ascii="Calibri" w:hAnsi="Calibri" w:cs="Calibri"/>
                      <w:color w:val="000000"/>
                    </w:rPr>
                  </w:pPr>
                  <w:r>
                    <w:rPr>
                      <w:rFonts w:ascii="Calibri" w:hAnsi="Calibri" w:cs="Calibri"/>
                      <w:color w:val="000000"/>
                    </w:rPr>
                    <w:t>&lt;60%-70%)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0C260" w14:textId="081061E4" w:rsidR="009D331A" w:rsidRPr="007C580E" w:rsidRDefault="00F2573B" w:rsidP="00B565F2">
                  <w:pPr>
                    <w:rPr>
                      <w:rFonts w:ascii="Calibri" w:hAnsi="Calibri" w:cs="Calibri"/>
                      <w:color w:val="000000"/>
                    </w:rPr>
                  </w:pPr>
                  <w:r>
                    <w:rPr>
                      <w:rFonts w:ascii="Calibri" w:hAnsi="Calibri" w:cs="Calibri"/>
                      <w:color w:val="000000"/>
                    </w:rPr>
                    <w:t>&lt;70%-80%)</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D9838" w14:textId="2A9FF3C5" w:rsidR="009D331A" w:rsidRPr="007C580E" w:rsidRDefault="00F2573B" w:rsidP="00B565F2">
                  <w:pPr>
                    <w:rPr>
                      <w:rFonts w:ascii="Calibri" w:hAnsi="Calibri" w:cs="Calibri"/>
                      <w:color w:val="000000"/>
                    </w:rPr>
                  </w:pPr>
                  <w:r>
                    <w:rPr>
                      <w:rFonts w:ascii="Calibri" w:hAnsi="Calibri" w:cs="Calibri"/>
                      <w:color w:val="000000"/>
                    </w:rPr>
                    <w:t>&lt;80%-90%)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570CA" w14:textId="07EC3A35" w:rsidR="009D331A" w:rsidRPr="007C580E" w:rsidRDefault="00F2573B" w:rsidP="00B565F2">
                  <w:pPr>
                    <w:rPr>
                      <w:rFonts w:ascii="Calibri" w:hAnsi="Calibri" w:cs="Calibri"/>
                      <w:color w:val="000000"/>
                    </w:rPr>
                  </w:pPr>
                  <w:r>
                    <w:rPr>
                      <w:rFonts w:ascii="Calibri" w:hAnsi="Calibri" w:cs="Calibri"/>
                      <w:color w:val="000000"/>
                    </w:rPr>
                    <w:t>&lt;90%-100%)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4D1D8" w14:textId="7AB7DF00" w:rsidR="009D331A" w:rsidRPr="007C580E" w:rsidRDefault="00B565F2" w:rsidP="00B565F2">
                  <w:pPr>
                    <w:rPr>
                      <w:rFonts w:ascii="Calibri" w:hAnsi="Calibri" w:cs="Calibri"/>
                      <w:color w:val="000000"/>
                    </w:rPr>
                  </w:pPr>
                  <w:r>
                    <w:rPr>
                      <w:rFonts w:ascii="Calibri" w:hAnsi="Calibri" w:cs="Calibri"/>
                      <w:color w:val="000000"/>
                    </w:rPr>
                    <w:t>total</w:t>
                  </w:r>
                </w:p>
              </w:tc>
            </w:tr>
            <w:tr w:rsidR="009D331A" w:rsidRPr="007C580E" w14:paraId="526DC054" w14:textId="77777777" w:rsidTr="00B565F2">
              <w:trPr>
                <w:trHeight w:val="300"/>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FCFCC" w14:textId="77777777" w:rsidR="009D331A" w:rsidRDefault="009D331A" w:rsidP="00B565F2">
                  <w:pPr>
                    <w:jc w:val="right"/>
                    <w:rPr>
                      <w:rFonts w:ascii="Calibri" w:hAnsi="Calibri" w:cs="Calibri"/>
                      <w:color w:val="000000"/>
                    </w:rPr>
                  </w:pPr>
                  <w:r>
                    <w:rPr>
                      <w:rFonts w:ascii="Calibri" w:hAnsi="Calibri" w:cs="Calibri"/>
                      <w:color w:val="000000"/>
                    </w:rPr>
                    <w:t>350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3C6CF" w14:textId="77777777" w:rsidR="009D331A" w:rsidRDefault="009D331A" w:rsidP="00B565F2">
                  <w:pPr>
                    <w:jc w:val="right"/>
                    <w:rPr>
                      <w:rFonts w:ascii="Calibri" w:hAnsi="Calibri" w:cs="Calibri"/>
                      <w:color w:val="000000"/>
                    </w:rPr>
                  </w:pPr>
                  <w:r>
                    <w:rPr>
                      <w:rFonts w:ascii="Calibri" w:hAnsi="Calibri" w:cs="Calibri"/>
                      <w:color w:val="000000"/>
                    </w:rPr>
                    <w:t>47</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EDD3A" w14:textId="77777777" w:rsidR="009D331A" w:rsidRDefault="009D331A" w:rsidP="00B565F2">
                  <w:pPr>
                    <w:jc w:val="right"/>
                    <w:rPr>
                      <w:rFonts w:ascii="Calibri" w:hAnsi="Calibri" w:cs="Calibri"/>
                      <w:color w:val="000000"/>
                    </w:rPr>
                  </w:pPr>
                  <w:r>
                    <w:rPr>
                      <w:rFonts w:ascii="Calibri" w:hAnsi="Calibri" w:cs="Calibri"/>
                      <w:color w:val="000000"/>
                    </w:rPr>
                    <w:t>27</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9AE5E" w14:textId="77777777" w:rsidR="009D331A" w:rsidRDefault="009D331A" w:rsidP="00B565F2">
                  <w:pPr>
                    <w:jc w:val="right"/>
                    <w:rPr>
                      <w:rFonts w:ascii="Calibri" w:hAnsi="Calibri" w:cs="Calibri"/>
                      <w:color w:val="000000"/>
                    </w:rPr>
                  </w:pPr>
                  <w:r>
                    <w:rPr>
                      <w:rFonts w:ascii="Calibri" w:hAnsi="Calibri" w:cs="Calibri"/>
                      <w:color w:val="000000"/>
                    </w:rPr>
                    <w:t>25</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3441C" w14:textId="77777777" w:rsidR="009D331A" w:rsidRDefault="009D331A" w:rsidP="00B565F2">
                  <w:pPr>
                    <w:jc w:val="right"/>
                    <w:rPr>
                      <w:rFonts w:ascii="Calibri" w:hAnsi="Calibri" w:cs="Calibri"/>
                      <w:color w:val="000000"/>
                    </w:rPr>
                  </w:pPr>
                  <w:r>
                    <w:rPr>
                      <w:rFonts w:ascii="Calibri" w:hAnsi="Calibri" w:cs="Calibri"/>
                      <w:color w:val="000000"/>
                    </w:rPr>
                    <w:t>4</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8B8AB" w14:textId="77777777" w:rsidR="009D331A" w:rsidRDefault="009D331A" w:rsidP="00B565F2">
                  <w:pPr>
                    <w:jc w:val="right"/>
                    <w:rPr>
                      <w:rFonts w:ascii="Calibri" w:hAnsi="Calibri" w:cs="Calibri"/>
                      <w:color w:val="000000"/>
                    </w:rPr>
                  </w:pPr>
                  <w:r>
                    <w:rPr>
                      <w:rFonts w:ascii="Calibri" w:hAnsi="Calibri" w:cs="Calibri"/>
                      <w:color w:val="000000"/>
                    </w:rPr>
                    <w:t>1</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1516F" w14:textId="77777777" w:rsidR="009D331A" w:rsidRDefault="009D331A" w:rsidP="00B565F2">
                  <w:pPr>
                    <w:jc w:val="right"/>
                    <w:rPr>
                      <w:rFonts w:ascii="Calibri" w:hAnsi="Calibri" w:cs="Calibri"/>
                      <w:color w:val="000000"/>
                    </w:rPr>
                  </w:pPr>
                  <w:r>
                    <w:rPr>
                      <w:rFonts w:ascii="Calibri" w:hAnsi="Calibri" w:cs="Calibri"/>
                      <w:color w:val="000000"/>
                    </w:rPr>
                    <w:t>1</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DFCF1" w14:textId="77777777" w:rsidR="009D331A" w:rsidRDefault="009D331A" w:rsidP="00B565F2">
                  <w:pPr>
                    <w:jc w:val="right"/>
                    <w:rPr>
                      <w:rFonts w:ascii="Calibri" w:hAnsi="Calibri" w:cs="Calibri"/>
                      <w:color w:val="000000"/>
                    </w:rPr>
                  </w:pPr>
                  <w:r>
                    <w:rPr>
                      <w:rFonts w:ascii="Calibri" w:hAnsi="Calibri" w:cs="Calibri"/>
                      <w:color w:val="000000"/>
                    </w:rPr>
                    <w:t>2</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D9FCB" w14:textId="77777777" w:rsidR="009D331A" w:rsidRDefault="009D331A" w:rsidP="00B565F2">
                  <w:pPr>
                    <w:jc w:val="right"/>
                    <w:rPr>
                      <w:rFonts w:ascii="Calibri" w:hAnsi="Calibri" w:cs="Calibri"/>
                      <w:color w:val="000000"/>
                    </w:rPr>
                  </w:pPr>
                  <w:r>
                    <w:rPr>
                      <w:rFonts w:ascii="Calibri" w:hAnsi="Calibri" w:cs="Calibri"/>
                      <w:color w:val="000000"/>
                    </w:rPr>
                    <w:t>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7D3FC" w14:textId="77777777" w:rsidR="009D331A" w:rsidRDefault="009D331A" w:rsidP="00B565F2">
                  <w:pPr>
                    <w:jc w:val="right"/>
                    <w:rPr>
                      <w:rFonts w:ascii="Calibri" w:hAnsi="Calibri" w:cs="Calibri"/>
                      <w:color w:val="000000"/>
                    </w:rPr>
                  </w:pPr>
                  <w:r>
                    <w:rPr>
                      <w:rFonts w:ascii="Calibri" w:hAnsi="Calibri" w:cs="Calibri"/>
                      <w:color w:val="000000"/>
                    </w:rPr>
                    <w:t>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C4EF5" w14:textId="77777777" w:rsidR="009D331A" w:rsidRDefault="009D331A" w:rsidP="00B565F2">
                  <w:pPr>
                    <w:jc w:val="right"/>
                    <w:rPr>
                      <w:rFonts w:ascii="Calibri" w:hAnsi="Calibri" w:cs="Calibri"/>
                      <w:color w:val="000000"/>
                    </w:rPr>
                  </w:pPr>
                  <w:r>
                    <w:rPr>
                      <w:rFonts w:ascii="Calibri" w:hAnsi="Calibri" w:cs="Calibri"/>
                      <w:color w:val="000000"/>
                    </w:rPr>
                    <w:t>458</w:t>
                  </w:r>
                </w:p>
              </w:tc>
            </w:tr>
          </w:tbl>
          <w:p w14:paraId="214C51E3" w14:textId="4D9E321F" w:rsidR="009D331A" w:rsidRPr="00B01372" w:rsidRDefault="009D331A" w:rsidP="008A2537">
            <w:pPr>
              <w:jc w:val="both"/>
            </w:pPr>
          </w:p>
        </w:tc>
      </w:tr>
      <w:tr w:rsidR="00D50216" w:rsidRPr="00B01372" w14:paraId="01D829E3" w14:textId="77777777" w:rsidTr="00A47B20">
        <w:tc>
          <w:tcPr>
            <w:tcW w:w="1648" w:type="pct"/>
          </w:tcPr>
          <w:p w14:paraId="01B6334F" w14:textId="11E88604" w:rsidR="00D50216" w:rsidRPr="00241D69" w:rsidRDefault="00517206" w:rsidP="00253552">
            <w:pPr>
              <w:pStyle w:val="Heading3"/>
              <w:outlineLvl w:val="2"/>
              <w:rPr>
                <w:b w:val="0"/>
                <w:highlight w:val="yellow"/>
              </w:rPr>
            </w:pPr>
            <w:r w:rsidRPr="008D12B5">
              <w:rPr>
                <w:b w:val="0"/>
              </w:rPr>
              <w:t>Quantitative assessment of collusion risks</w:t>
            </w:r>
          </w:p>
        </w:tc>
        <w:tc>
          <w:tcPr>
            <w:tcW w:w="3352" w:type="pct"/>
          </w:tcPr>
          <w:p w14:paraId="2E550249" w14:textId="00D74EEA" w:rsidR="00757D90" w:rsidRPr="00B01372" w:rsidRDefault="0046353C" w:rsidP="00BB0CD0">
            <w:pPr>
              <w:jc w:val="both"/>
            </w:pPr>
            <w:r w:rsidRPr="00B01372">
              <w:t>This analysis should be based on a country</w:t>
            </w:r>
            <w:r w:rsidR="00BB0CD0" w:rsidRPr="00B01372">
              <w:t xml:space="preserve">-specific methodology </w:t>
            </w:r>
            <w:r w:rsidR="00DC4450" w:rsidRPr="00B01372">
              <w:t xml:space="preserve">reflecting </w:t>
            </w:r>
            <w:r w:rsidR="00BB0CD0" w:rsidRPr="00B01372">
              <w:t>the business environment, data available from e-procurement and other platforms, etc. National competition authorities may have information relevant for this analysis.</w:t>
            </w:r>
          </w:p>
          <w:p w14:paraId="3553E060" w14:textId="77777777" w:rsidR="00517206" w:rsidRPr="00B01372" w:rsidRDefault="00517206" w:rsidP="00517206">
            <w:pPr>
              <w:jc w:val="both"/>
            </w:pPr>
          </w:p>
          <w:p w14:paraId="45DB1C44" w14:textId="142D3A43" w:rsidR="00D1227F" w:rsidRPr="00B01372" w:rsidRDefault="00D50216" w:rsidP="009804B7">
            <w:pPr>
              <w:jc w:val="both"/>
              <w:rPr>
                <w:color w:val="0000FF" w:themeColor="hyperlink"/>
                <w:u w:val="single"/>
              </w:rPr>
            </w:pPr>
            <w:r w:rsidRPr="00B01372">
              <w:t xml:space="preserve">For an example of </w:t>
            </w:r>
            <w:r w:rsidR="00E52788" w:rsidRPr="00B01372">
              <w:t xml:space="preserve">a </w:t>
            </w:r>
            <w:r w:rsidRPr="00B01372">
              <w:t xml:space="preserve">collusion analysis methodology, see </w:t>
            </w:r>
            <w:r w:rsidR="009804B7" w:rsidRPr="00B01372">
              <w:t xml:space="preserve">the following toolkit from the Government Transparency Institute: </w:t>
            </w:r>
            <w:hyperlink r:id="rId17" w:history="1">
              <w:r w:rsidR="004F051A" w:rsidRPr="00B01372">
                <w:rPr>
                  <w:rStyle w:val="Hyperlink"/>
                </w:rPr>
                <w:t>http://www.govtransparency.eu/index.php/2015/11/13/toolkit-for-detecting-</w:t>
              </w:r>
              <w:r w:rsidR="004F051A" w:rsidRPr="00B01372">
                <w:rPr>
                  <w:rStyle w:val="Hyperlink"/>
                </w:rPr>
                <w:lastRenderedPageBreak/>
                <w:t>collusive-bidding-in-public-procurement/</w:t>
              </w:r>
            </w:hyperlink>
            <w:r w:rsidR="009B4998" w:rsidRPr="00B01372">
              <w:t>.</w:t>
            </w:r>
          </w:p>
        </w:tc>
      </w:tr>
      <w:tr w:rsidR="008D12B5" w:rsidRPr="00B01372" w14:paraId="7BDF1318" w14:textId="77777777" w:rsidTr="00A47B20">
        <w:tc>
          <w:tcPr>
            <w:tcW w:w="1648" w:type="pct"/>
          </w:tcPr>
          <w:p w14:paraId="6B816BD8" w14:textId="77777777" w:rsidR="008D12B5" w:rsidRPr="00241D69" w:rsidRDefault="008D12B5" w:rsidP="00253552">
            <w:pPr>
              <w:pStyle w:val="Heading3"/>
              <w:outlineLvl w:val="2"/>
              <w:rPr>
                <w:b w:val="0"/>
                <w:highlight w:val="yellow"/>
              </w:rPr>
            </w:pPr>
          </w:p>
        </w:tc>
        <w:tc>
          <w:tcPr>
            <w:tcW w:w="3352" w:type="pct"/>
          </w:tcPr>
          <w:p w14:paraId="5F1320D2" w14:textId="3D2FF517" w:rsidR="008D12B5" w:rsidRPr="00B01372" w:rsidRDefault="008D12B5" w:rsidP="008D12B5">
            <w:pPr>
              <w:tabs>
                <w:tab w:val="left" w:pos="2076"/>
              </w:tabs>
              <w:jc w:val="both"/>
            </w:pPr>
            <w:r w:rsidRPr="008D12B5">
              <w:rPr>
                <w:color w:val="FF0000"/>
              </w:rPr>
              <w:t>No data available</w:t>
            </w:r>
            <w:r>
              <w:rPr>
                <w:color w:val="FF0000"/>
              </w:rPr>
              <w:tab/>
            </w:r>
          </w:p>
        </w:tc>
      </w:tr>
      <w:tr w:rsidR="00BD57A1" w:rsidRPr="00B01372" w14:paraId="1B9F93D1" w14:textId="77777777" w:rsidTr="00A47B20">
        <w:tc>
          <w:tcPr>
            <w:tcW w:w="1648" w:type="pct"/>
          </w:tcPr>
          <w:p w14:paraId="0D055B74" w14:textId="77777777" w:rsidR="009114CB" w:rsidRPr="008D12B5" w:rsidRDefault="009114CB" w:rsidP="009114CB">
            <w:r w:rsidRPr="008D12B5">
              <w:t xml:space="preserve">Risk of undiscovered conflict of interest </w:t>
            </w:r>
          </w:p>
          <w:p w14:paraId="01D24DB3" w14:textId="77777777" w:rsidR="009114CB" w:rsidRPr="00241D69" w:rsidRDefault="009114CB" w:rsidP="009114CB">
            <w:pPr>
              <w:rPr>
                <w:highlight w:val="yellow"/>
              </w:rPr>
            </w:pPr>
          </w:p>
          <w:p w14:paraId="5601A529" w14:textId="77777777" w:rsidR="00BD57A1" w:rsidRPr="00241D69" w:rsidRDefault="00BD57A1" w:rsidP="006373E7">
            <w:pPr>
              <w:rPr>
                <w:highlight w:val="yellow"/>
              </w:rPr>
            </w:pPr>
          </w:p>
        </w:tc>
        <w:tc>
          <w:tcPr>
            <w:tcW w:w="3352" w:type="pct"/>
          </w:tcPr>
          <w:p w14:paraId="08A90F41" w14:textId="2E99A8E6" w:rsidR="00BD57A1" w:rsidRDefault="009114CB" w:rsidP="009114CB">
            <w:pPr>
              <w:jc w:val="both"/>
            </w:pPr>
            <w:r w:rsidRPr="00B01372">
              <w:t xml:space="preserve">Percent of contracts awarded to companies with concealed ownership structure (i.e. whose ultimate beneficiary owner </w:t>
            </w:r>
            <w:r w:rsidR="00956FDA" w:rsidRPr="00B01372">
              <w:t>can</w:t>
            </w:r>
            <w:r w:rsidRPr="00B01372">
              <w:t xml:space="preserve">not </w:t>
            </w:r>
            <w:r w:rsidR="00956FDA" w:rsidRPr="00B01372">
              <w:t>be verified</w:t>
            </w:r>
            <w:r w:rsidRPr="00B01372">
              <w:t xml:space="preserve">). </w:t>
            </w:r>
          </w:p>
          <w:p w14:paraId="486EC5E8" w14:textId="4423C94A" w:rsidR="00D63EAA" w:rsidRDefault="00D63EAA" w:rsidP="009114CB">
            <w:pPr>
              <w:jc w:val="both"/>
            </w:pPr>
          </w:p>
          <w:p w14:paraId="2FB815A9" w14:textId="30990EBB" w:rsidR="00D63EAA" w:rsidRPr="00B01372" w:rsidRDefault="00D63EAA" w:rsidP="009114CB">
            <w:pPr>
              <w:jc w:val="both"/>
            </w:pPr>
            <w:r>
              <w:t xml:space="preserve">Information for this indicator </w:t>
            </w:r>
            <w:r w:rsidR="002754A5">
              <w:t>should</w:t>
            </w:r>
            <w:r>
              <w:t xml:space="preserve"> be available</w:t>
            </w:r>
            <w:r w:rsidR="002754A5">
              <w:t xml:space="preserve"> in central registers of beneficial ownership, which are to be established by all Member States under the 4</w:t>
            </w:r>
            <w:r w:rsidR="002754A5" w:rsidRPr="002754A5">
              <w:rPr>
                <w:vertAlign w:val="superscript"/>
              </w:rPr>
              <w:t>th</w:t>
            </w:r>
            <w:r w:rsidR="002754A5">
              <w:t xml:space="preserve"> Anti-Money Laundering Directive (2015/84</w:t>
            </w:r>
            <w:r w:rsidR="004772FC">
              <w:t>9</w:t>
            </w:r>
            <w:r w:rsidR="002754A5">
              <w:t xml:space="preserve"> Art. 30) by June 2017. </w:t>
            </w:r>
          </w:p>
          <w:p w14:paraId="58BAD4BA" w14:textId="77777777" w:rsidR="009114CB" w:rsidRPr="00B01372" w:rsidRDefault="009114CB" w:rsidP="009114CB">
            <w:pPr>
              <w:jc w:val="both"/>
            </w:pPr>
          </w:p>
          <w:p w14:paraId="1829EE16" w14:textId="0A63ACCC" w:rsidR="004229F7" w:rsidRPr="00B01372" w:rsidRDefault="009114CB" w:rsidP="003675EB">
            <w:pPr>
              <w:jc w:val="both"/>
            </w:pPr>
            <w:r w:rsidRPr="00B01372">
              <w:t xml:space="preserve">For more </w:t>
            </w:r>
            <w:r w:rsidR="003675EB" w:rsidRPr="00B01372">
              <w:t xml:space="preserve">context for this indicator, please see the Commission's Anticorruption Report available at </w:t>
            </w:r>
            <w:hyperlink r:id="rId18" w:history="1">
              <w:r w:rsidR="003675EB" w:rsidRPr="00B01372">
                <w:rPr>
                  <w:rStyle w:val="Hyperlink"/>
                </w:rPr>
                <w:t>http://ec.europa.eu/dgs/home-affairs/what-we-do/policies/organized-crime-and-human-trafficking/corruption/anti-corruption-report/index_en.htm</w:t>
              </w:r>
            </w:hyperlink>
            <w:r w:rsidR="003675EB" w:rsidRPr="00B01372">
              <w:t xml:space="preserve"> </w:t>
            </w:r>
          </w:p>
        </w:tc>
      </w:tr>
      <w:tr w:rsidR="008D12B5" w:rsidRPr="00B01372" w14:paraId="1964702C" w14:textId="77777777" w:rsidTr="00A47B20">
        <w:tc>
          <w:tcPr>
            <w:tcW w:w="1648" w:type="pct"/>
          </w:tcPr>
          <w:p w14:paraId="226240C8" w14:textId="77777777" w:rsidR="008D12B5" w:rsidRPr="00241D69" w:rsidRDefault="008D12B5" w:rsidP="009114CB">
            <w:pPr>
              <w:rPr>
                <w:highlight w:val="yellow"/>
              </w:rPr>
            </w:pPr>
          </w:p>
        </w:tc>
        <w:tc>
          <w:tcPr>
            <w:tcW w:w="3352" w:type="pct"/>
          </w:tcPr>
          <w:p w14:paraId="2E5BF8CC" w14:textId="690591AB" w:rsidR="008D12B5" w:rsidRPr="00B01372" w:rsidRDefault="008D12B5" w:rsidP="009114CB">
            <w:pPr>
              <w:jc w:val="both"/>
            </w:pPr>
            <w:r w:rsidRPr="008D12B5">
              <w:rPr>
                <w:color w:val="FF0000"/>
              </w:rPr>
              <w:t>No data available</w:t>
            </w:r>
            <w:r>
              <w:rPr>
                <w:color w:val="FF0000"/>
              </w:rPr>
              <w:tab/>
            </w:r>
          </w:p>
        </w:tc>
      </w:tr>
    </w:tbl>
    <w:p w14:paraId="34AB7F2A" w14:textId="27106431" w:rsidR="0010153A" w:rsidRPr="00B01372" w:rsidRDefault="00A06B66" w:rsidP="006373E7">
      <w:pPr>
        <w:spacing w:line="240" w:lineRule="auto"/>
        <w:jc w:val="both"/>
      </w:pPr>
      <w:r w:rsidRPr="00B01372">
        <w:br/>
      </w:r>
      <w:r w:rsidR="0010153A" w:rsidRPr="00B01372">
        <w:t xml:space="preserve"> </w:t>
      </w:r>
    </w:p>
    <w:p w14:paraId="34AB7F30" w14:textId="787BA493" w:rsidR="004932A2" w:rsidRPr="00B01372" w:rsidRDefault="004932A2">
      <w:r w:rsidRPr="00B01372">
        <w:br w:type="page"/>
      </w:r>
    </w:p>
    <w:p w14:paraId="5A337C43" w14:textId="77777777" w:rsidR="008F3F2E" w:rsidRPr="00B01372" w:rsidRDefault="008F3F2E"/>
    <w:p w14:paraId="34AB7F31" w14:textId="77777777" w:rsidR="00D24317" w:rsidRPr="00B01372" w:rsidRDefault="00D24317" w:rsidP="00797030">
      <w:pPr>
        <w:pStyle w:val="NoSpacing"/>
        <w:ind w:left="1135"/>
      </w:pPr>
    </w:p>
    <w:p w14:paraId="34AB7F32" w14:textId="23B0DD75" w:rsidR="002222BD" w:rsidRDefault="00C25098" w:rsidP="00F52C6D">
      <w:pPr>
        <w:pStyle w:val="Heading2"/>
      </w:pPr>
      <w:r w:rsidRPr="00B01372">
        <w:t>L</w:t>
      </w:r>
      <w:r w:rsidR="00FB6E7C" w:rsidRPr="00B01372">
        <w:t>evel of SME</w:t>
      </w:r>
      <w:r w:rsidR="00B46F31" w:rsidRPr="00B01372">
        <w:t>s</w:t>
      </w:r>
      <w:r w:rsidR="00B66F46">
        <w:t>'</w:t>
      </w:r>
      <w:r w:rsidR="00FB6E7C" w:rsidRPr="00B01372">
        <w:t xml:space="preserve"> participation in public procurement</w:t>
      </w:r>
    </w:p>
    <w:p w14:paraId="4F435E74" w14:textId="77777777" w:rsidR="009F3F80" w:rsidRDefault="009F3F80" w:rsidP="009F3F80">
      <w:pPr>
        <w:pStyle w:val="NoSpacing"/>
      </w:pPr>
    </w:p>
    <w:p w14:paraId="5C968063" w14:textId="561C8E27" w:rsidR="00924198" w:rsidRPr="006B14AA" w:rsidRDefault="009F3F80" w:rsidP="00924198">
      <w:pPr>
        <w:pStyle w:val="NoSpacing"/>
      </w:pPr>
      <w:r w:rsidRPr="006B14AA">
        <w:rPr>
          <w:rFonts w:ascii="Arial" w:hAnsi="Arial" w:cs="Arial"/>
          <w:sz w:val="18"/>
          <w:szCs w:val="18"/>
          <w:shd w:val="clear" w:color="auto" w:fill="FFFFFF"/>
        </w:rPr>
        <w:t>SMEs are</w:t>
      </w:r>
      <w:r w:rsidR="006B14AA">
        <w:rPr>
          <w:rStyle w:val="apple-converted-space"/>
          <w:rFonts w:ascii="Arial" w:hAnsi="Arial" w:cs="Arial"/>
          <w:sz w:val="18"/>
          <w:szCs w:val="18"/>
          <w:shd w:val="clear" w:color="auto" w:fill="FFFFFF"/>
        </w:rPr>
        <w:t xml:space="preserve"> </w:t>
      </w:r>
      <w:r w:rsidRPr="006B14AA">
        <w:rPr>
          <w:rStyle w:val="Strong"/>
          <w:rFonts w:ascii="Arial" w:hAnsi="Arial" w:cs="Arial"/>
          <w:b w:val="0"/>
          <w:sz w:val="18"/>
          <w:szCs w:val="18"/>
          <w:shd w:val="clear" w:color="auto" w:fill="FFFFFF"/>
        </w:rPr>
        <w:t xml:space="preserve">defined </w:t>
      </w:r>
      <w:r w:rsidR="00924198" w:rsidRPr="006B14AA">
        <w:rPr>
          <w:rStyle w:val="Strong"/>
          <w:rFonts w:ascii="Arial" w:hAnsi="Arial" w:cs="Arial"/>
          <w:b w:val="0"/>
          <w:sz w:val="18"/>
          <w:szCs w:val="18"/>
          <w:shd w:val="clear" w:color="auto" w:fill="FFFFFF"/>
        </w:rPr>
        <w:t xml:space="preserve">in the </w:t>
      </w:r>
      <w:r w:rsidR="00924198" w:rsidRPr="006B14AA">
        <w:t xml:space="preserve">Commission Recommendation (2003/361/EC) as having less than 250 persons employed and an </w:t>
      </w:r>
      <w:r w:rsidR="006B14AA">
        <w:t xml:space="preserve">annual turnover of up to EUR 50 </w:t>
      </w:r>
      <w:r w:rsidR="00924198" w:rsidRPr="006B14AA">
        <w:t xml:space="preserve">million or a balance </w:t>
      </w:r>
      <w:r w:rsidR="006B14AA">
        <w:t xml:space="preserve">sheet total of no more than EUR 43 </w:t>
      </w:r>
      <w:r w:rsidR="00924198" w:rsidRPr="006B14AA">
        <w:t>million. Further information is available at</w:t>
      </w:r>
    </w:p>
    <w:p w14:paraId="14C84DA1" w14:textId="788DD729" w:rsidR="00924198" w:rsidRDefault="00766DA5" w:rsidP="00924198">
      <w:pPr>
        <w:spacing w:after="0"/>
        <w:rPr>
          <w:color w:val="1F497D"/>
        </w:rPr>
      </w:pPr>
      <w:hyperlink r:id="rId19" w:history="1">
        <w:r w:rsidR="00924198">
          <w:rPr>
            <w:rStyle w:val="Hyperlink"/>
          </w:rPr>
          <w:t>http://ec.europa.eu/growth/smes/business-friendly-environment/sme-definition_en</w:t>
        </w:r>
      </w:hyperlink>
      <w:r w:rsidR="00924198">
        <w:rPr>
          <w:color w:val="1F497D"/>
        </w:rPr>
        <w:t>.</w:t>
      </w:r>
    </w:p>
    <w:p w14:paraId="269D9606" w14:textId="77777777" w:rsidR="000D31E8" w:rsidRDefault="000D31E8" w:rsidP="00924198">
      <w:pPr>
        <w:spacing w:after="0"/>
        <w:rPr>
          <w:color w:val="1F497D"/>
        </w:rPr>
      </w:pPr>
    </w:p>
    <w:tbl>
      <w:tblPr>
        <w:tblStyle w:val="TableGrid"/>
        <w:tblW w:w="5000" w:type="pct"/>
        <w:tblLook w:val="04A0" w:firstRow="1" w:lastRow="0" w:firstColumn="1" w:lastColumn="0" w:noHBand="0" w:noVBand="1"/>
      </w:tblPr>
      <w:tblGrid>
        <w:gridCol w:w="4687"/>
        <w:gridCol w:w="9533"/>
      </w:tblGrid>
      <w:tr w:rsidR="00B54D84" w:rsidRPr="00B01372" w14:paraId="48222DAF" w14:textId="77777777" w:rsidTr="00B54D84">
        <w:tc>
          <w:tcPr>
            <w:tcW w:w="1648" w:type="pct"/>
          </w:tcPr>
          <w:p w14:paraId="5A956443" w14:textId="18F76D96" w:rsidR="00B54D84" w:rsidRPr="00B01372" w:rsidRDefault="00A0723C" w:rsidP="001D4DCD">
            <w:r w:rsidRPr="00B01372">
              <w:rPr>
                <w:b/>
              </w:rPr>
              <w:t>IV</w:t>
            </w:r>
            <w:r w:rsidR="00B54D84" w:rsidRPr="00B01372">
              <w:rPr>
                <w:b/>
              </w:rPr>
              <w:t>.1</w:t>
            </w:r>
            <w:r w:rsidR="00B72720" w:rsidRPr="00B01372">
              <w:rPr>
                <w:b/>
              </w:rPr>
              <w:t>.</w:t>
            </w:r>
            <w:r w:rsidR="00B54D84" w:rsidRPr="00B01372">
              <w:rPr>
                <w:b/>
              </w:rPr>
              <w:t xml:space="preserve"> </w:t>
            </w:r>
            <w:r w:rsidR="001D4DCD" w:rsidRPr="00B01372">
              <w:rPr>
                <w:b/>
              </w:rPr>
              <w:t>Qualitative reporting on SME participation</w:t>
            </w:r>
          </w:p>
        </w:tc>
        <w:tc>
          <w:tcPr>
            <w:tcW w:w="3352" w:type="pct"/>
          </w:tcPr>
          <w:p w14:paraId="511FB2FB" w14:textId="2C532248" w:rsidR="00B54D84" w:rsidRPr="00B01372" w:rsidRDefault="00B54D84" w:rsidP="00B54D84">
            <w:pPr>
              <w:jc w:val="both"/>
            </w:pPr>
          </w:p>
        </w:tc>
      </w:tr>
      <w:tr w:rsidR="001D4DCD" w:rsidRPr="00B01372" w14:paraId="6AE7F73F" w14:textId="77777777" w:rsidTr="00B54D84">
        <w:tc>
          <w:tcPr>
            <w:tcW w:w="1648" w:type="pct"/>
          </w:tcPr>
          <w:p w14:paraId="4118229E" w14:textId="69A1F7D5" w:rsidR="001D4DCD" w:rsidRPr="00F35775" w:rsidRDefault="001D4DCD" w:rsidP="001D4DCD">
            <w:r w:rsidRPr="00F35775">
              <w:t>Key challenges encountered</w:t>
            </w:r>
          </w:p>
          <w:p w14:paraId="180C718F" w14:textId="77777777" w:rsidR="001D4DCD" w:rsidRPr="005273AB" w:rsidRDefault="001D4DCD" w:rsidP="00B54D84">
            <w:pPr>
              <w:rPr>
                <w:b/>
                <w:highlight w:val="green"/>
              </w:rPr>
            </w:pPr>
          </w:p>
        </w:tc>
        <w:tc>
          <w:tcPr>
            <w:tcW w:w="3352" w:type="pct"/>
          </w:tcPr>
          <w:p w14:paraId="54112E08" w14:textId="77777777" w:rsidR="001D4DCD" w:rsidRPr="00B01372" w:rsidRDefault="001D4DCD" w:rsidP="001D4DCD">
            <w:r w:rsidRPr="00B01372">
              <w:t>The information should focus on:</w:t>
            </w:r>
          </w:p>
          <w:p w14:paraId="321FC033" w14:textId="77777777" w:rsidR="001D4DCD" w:rsidRPr="00B01372" w:rsidRDefault="001D4DCD" w:rsidP="001D4DCD">
            <w:pPr>
              <w:jc w:val="both"/>
            </w:pPr>
            <w:r w:rsidRPr="00B01372">
              <w:t>- key challenges encountered in facilitating the participation of SMEs in public procurement, if any</w:t>
            </w:r>
          </w:p>
          <w:p w14:paraId="071D2F76" w14:textId="77777777" w:rsidR="001D4DCD" w:rsidRPr="00B01372" w:rsidRDefault="001D4DCD" w:rsidP="001D4DCD">
            <w:pPr>
              <w:jc w:val="both"/>
            </w:pPr>
            <w:r w:rsidRPr="00B01372">
              <w:t xml:space="preserve">- measures taken to overcome them </w:t>
            </w:r>
          </w:p>
          <w:p w14:paraId="0B949F09" w14:textId="77777777" w:rsidR="001D4DCD" w:rsidRDefault="001D4DCD" w:rsidP="0064577E">
            <w:pPr>
              <w:jc w:val="both"/>
            </w:pPr>
            <w:r w:rsidRPr="00B01372">
              <w:t xml:space="preserve">- difficulties still </w:t>
            </w:r>
            <w:r w:rsidR="0064577E">
              <w:t>existing in the Member State</w:t>
            </w:r>
          </w:p>
          <w:p w14:paraId="5FA5CFBE" w14:textId="77777777" w:rsidR="00C567A3" w:rsidRDefault="00C567A3" w:rsidP="0064577E">
            <w:pPr>
              <w:jc w:val="both"/>
            </w:pPr>
          </w:p>
          <w:p w14:paraId="397C89A8" w14:textId="77777777" w:rsidR="00C567A3" w:rsidRDefault="00C567A3" w:rsidP="00C567A3">
            <w:pPr>
              <w:jc w:val="both"/>
            </w:pPr>
            <w:r>
              <w:t>Key challenges encountered in facilitating the participation of SMEs in public procurement are:</w:t>
            </w:r>
          </w:p>
          <w:p w14:paraId="79B9D010" w14:textId="77777777" w:rsidR="00C567A3" w:rsidRDefault="00C567A3" w:rsidP="00C567A3">
            <w:pPr>
              <w:jc w:val="both"/>
            </w:pPr>
            <w:r>
              <w:t>-</w:t>
            </w:r>
            <w:r>
              <w:tab/>
              <w:t>Quality and understanding of the information provided;</w:t>
            </w:r>
          </w:p>
          <w:p w14:paraId="686FF470" w14:textId="77777777" w:rsidR="00C567A3" w:rsidRDefault="00C567A3" w:rsidP="00C567A3">
            <w:pPr>
              <w:jc w:val="both"/>
            </w:pPr>
            <w:r>
              <w:t>-</w:t>
            </w:r>
            <w:r>
              <w:tab/>
              <w:t>Administrative burden too high;</w:t>
            </w:r>
          </w:p>
          <w:p w14:paraId="2A016BFE" w14:textId="77777777" w:rsidR="00C567A3" w:rsidRDefault="00C567A3" w:rsidP="00C567A3">
            <w:pPr>
              <w:jc w:val="both"/>
            </w:pPr>
            <w:r>
              <w:t>-</w:t>
            </w:r>
            <w:r>
              <w:tab/>
              <w:t>Difficulties relating to the size of contracts;</w:t>
            </w:r>
          </w:p>
          <w:p w14:paraId="1398BA0E" w14:textId="77777777" w:rsidR="00C567A3" w:rsidRDefault="00C567A3" w:rsidP="00C567A3">
            <w:pPr>
              <w:jc w:val="both"/>
            </w:pPr>
            <w:r>
              <w:t>-</w:t>
            </w:r>
            <w:r>
              <w:tab/>
              <w:t>Difficulties relating to proportionality of qualification levels and financial requirements;</w:t>
            </w:r>
          </w:p>
          <w:p w14:paraId="65266933" w14:textId="77777777" w:rsidR="00C567A3" w:rsidRDefault="00C567A3" w:rsidP="00C567A3">
            <w:pPr>
              <w:jc w:val="both"/>
            </w:pPr>
            <w:r>
              <w:t>-</w:t>
            </w:r>
            <w:r>
              <w:tab/>
              <w:t>Emphasis on price only rather than value for money;</w:t>
            </w:r>
          </w:p>
          <w:p w14:paraId="0D9EB9A0" w14:textId="77777777" w:rsidR="00C567A3" w:rsidRDefault="00C567A3" w:rsidP="00C567A3">
            <w:pPr>
              <w:jc w:val="both"/>
            </w:pPr>
            <w:r>
              <w:t>-</w:t>
            </w:r>
            <w:r>
              <w:tab/>
              <w:t>Too short time to draw up tenders.</w:t>
            </w:r>
          </w:p>
          <w:p w14:paraId="1D43D86A" w14:textId="77777777" w:rsidR="00C567A3" w:rsidRDefault="00C567A3" w:rsidP="00C567A3">
            <w:pPr>
              <w:jc w:val="both"/>
            </w:pPr>
          </w:p>
          <w:p w14:paraId="4ED21134" w14:textId="2581858D" w:rsidR="00C567A3" w:rsidRPr="00C567A3" w:rsidRDefault="00C567A3" w:rsidP="00C567A3">
            <w:pPr>
              <w:jc w:val="both"/>
              <w:rPr>
                <w:color w:val="FF0000"/>
              </w:rPr>
            </w:pPr>
            <w:r>
              <w:rPr>
                <w:color w:val="FF0000"/>
              </w:rPr>
              <w:t>PPL 2016</w:t>
            </w:r>
            <w:r w:rsidRPr="00C567A3">
              <w:rPr>
                <w:color w:val="FF0000"/>
              </w:rPr>
              <w:t xml:space="preserve"> contains several measures to improve the access of SMEs to public procurements:</w:t>
            </w:r>
          </w:p>
          <w:p w14:paraId="6BEAE8A8" w14:textId="4A202844" w:rsidR="00C567A3" w:rsidRPr="00C567A3" w:rsidRDefault="00C567A3" w:rsidP="00C567A3">
            <w:pPr>
              <w:jc w:val="both"/>
              <w:rPr>
                <w:color w:val="FF0000"/>
              </w:rPr>
            </w:pPr>
            <w:r>
              <w:rPr>
                <w:color w:val="FF0000"/>
              </w:rPr>
              <w:t xml:space="preserve">- </w:t>
            </w:r>
            <w:r w:rsidRPr="00C567A3">
              <w:rPr>
                <w:color w:val="FF0000"/>
              </w:rPr>
              <w:t>Low national thresholds for publication of contract notices on the national procurement platform;</w:t>
            </w:r>
          </w:p>
          <w:p w14:paraId="5FB9DA3D" w14:textId="7E73A37E" w:rsidR="00C567A3" w:rsidRPr="00C567A3" w:rsidRDefault="00C567A3" w:rsidP="00C567A3">
            <w:pPr>
              <w:jc w:val="both"/>
              <w:rPr>
                <w:color w:val="FF0000"/>
              </w:rPr>
            </w:pPr>
            <w:r>
              <w:rPr>
                <w:color w:val="FF0000"/>
              </w:rPr>
              <w:t xml:space="preserve">- </w:t>
            </w:r>
            <w:r w:rsidRPr="00C567A3">
              <w:rPr>
                <w:color w:val="FF0000"/>
              </w:rPr>
              <w:t>European Sin</w:t>
            </w:r>
            <w:r>
              <w:rPr>
                <w:color w:val="FF0000"/>
              </w:rPr>
              <w:t>gle Procurement Document (ESPD)</w:t>
            </w:r>
            <w:r w:rsidRPr="00C567A3">
              <w:rPr>
                <w:color w:val="FF0000"/>
              </w:rPr>
              <w:t xml:space="preserve"> must be used</w:t>
            </w:r>
            <w:r>
              <w:rPr>
                <w:color w:val="FF0000"/>
              </w:rPr>
              <w:t xml:space="preserve"> in all public procurement procedures</w:t>
            </w:r>
            <w:r w:rsidRPr="00C567A3">
              <w:rPr>
                <w:color w:val="FF0000"/>
              </w:rPr>
              <w:t>;</w:t>
            </w:r>
          </w:p>
          <w:p w14:paraId="3E8D3447" w14:textId="710F61B8" w:rsidR="00C567A3" w:rsidRDefault="00C567A3" w:rsidP="00C567A3">
            <w:pPr>
              <w:jc w:val="both"/>
              <w:rPr>
                <w:color w:val="FF0000"/>
              </w:rPr>
            </w:pPr>
            <w:r>
              <w:rPr>
                <w:color w:val="FF0000"/>
              </w:rPr>
              <w:t xml:space="preserve">- </w:t>
            </w:r>
            <w:r w:rsidRPr="00C567A3">
              <w:rPr>
                <w:color w:val="FF0000"/>
              </w:rPr>
              <w:t>Economic operators shall not be required to submit supporting documents or other documentary evidence as far as the contracting authority has the possibility of obtaining the relevant information directly by accessing them in a database</w:t>
            </w:r>
            <w:r>
              <w:rPr>
                <w:color w:val="FF0000"/>
              </w:rPr>
              <w:t xml:space="preserve"> (court register, criminal records, tax administration records)</w:t>
            </w:r>
            <w:r w:rsidRPr="00C567A3">
              <w:rPr>
                <w:color w:val="FF0000"/>
              </w:rPr>
              <w:t xml:space="preserve">; </w:t>
            </w:r>
          </w:p>
          <w:p w14:paraId="6136A00A" w14:textId="4E7CCE1D" w:rsidR="00C567A3" w:rsidRDefault="00C567A3" w:rsidP="00C567A3">
            <w:pPr>
              <w:jc w:val="both"/>
              <w:rPr>
                <w:color w:val="FF0000"/>
              </w:rPr>
            </w:pPr>
            <w:r>
              <w:rPr>
                <w:color w:val="FF0000"/>
              </w:rPr>
              <w:t>- MEAT criteria (i</w:t>
            </w:r>
            <w:r w:rsidR="001E1B99">
              <w:rPr>
                <w:color w:val="FF0000"/>
              </w:rPr>
              <w:t>.</w:t>
            </w:r>
            <w:r>
              <w:rPr>
                <w:color w:val="FF0000"/>
              </w:rPr>
              <w:t>e</w:t>
            </w:r>
            <w:r w:rsidR="001E1B99">
              <w:rPr>
                <w:color w:val="FF0000"/>
              </w:rPr>
              <w:t>.</w:t>
            </w:r>
            <w:r>
              <w:rPr>
                <w:color w:val="FF0000"/>
              </w:rPr>
              <w:t xml:space="preserve"> best price quality ratio) is obligatory</w:t>
            </w:r>
          </w:p>
          <w:p w14:paraId="193AD816" w14:textId="01807F57" w:rsidR="00C567A3" w:rsidRDefault="00C567A3" w:rsidP="00C567A3">
            <w:pPr>
              <w:jc w:val="both"/>
              <w:rPr>
                <w:color w:val="FF0000"/>
              </w:rPr>
            </w:pPr>
            <w:r>
              <w:rPr>
                <w:color w:val="FF0000"/>
              </w:rPr>
              <w:t>- PPL 2016 has lowered tender security value to max 3% of the procurement value</w:t>
            </w:r>
          </w:p>
          <w:p w14:paraId="10E207E3" w14:textId="7BB245E9" w:rsidR="00C567A3" w:rsidRDefault="00C567A3" w:rsidP="00C567A3">
            <w:pPr>
              <w:jc w:val="both"/>
              <w:rPr>
                <w:color w:val="FF0000"/>
              </w:rPr>
            </w:pPr>
            <w:r>
              <w:rPr>
                <w:color w:val="FF0000"/>
              </w:rPr>
              <w:t xml:space="preserve">- PPL 2016 has lowered </w:t>
            </w:r>
            <w:r w:rsidR="00F549F1">
              <w:rPr>
                <w:color w:val="FF0000"/>
              </w:rPr>
              <w:t xml:space="preserve">the </w:t>
            </w:r>
            <w:r w:rsidR="001E1B99">
              <w:rPr>
                <w:color w:val="FF0000"/>
              </w:rPr>
              <w:t>amount of fee for initiating</w:t>
            </w:r>
            <w:r w:rsidR="00F549F1" w:rsidRPr="00F549F1">
              <w:rPr>
                <w:color w:val="FF0000"/>
              </w:rPr>
              <w:t xml:space="preserve"> the appellate procedure</w:t>
            </w:r>
          </w:p>
          <w:p w14:paraId="1AAA9E96" w14:textId="1E92B3BD" w:rsidR="00F549F1" w:rsidRPr="00C567A3" w:rsidRDefault="00F549F1" w:rsidP="00C567A3">
            <w:pPr>
              <w:jc w:val="both"/>
              <w:rPr>
                <w:color w:val="FF0000"/>
              </w:rPr>
            </w:pPr>
            <w:r>
              <w:rPr>
                <w:color w:val="FF0000"/>
              </w:rPr>
              <w:t>- there is no obligation to sign a bid with e-signature</w:t>
            </w:r>
          </w:p>
          <w:p w14:paraId="226F331C" w14:textId="15FA15CF" w:rsidR="00C567A3" w:rsidRDefault="00C567A3" w:rsidP="00C567A3">
            <w:pPr>
              <w:jc w:val="both"/>
              <w:rPr>
                <w:color w:val="FF0000"/>
              </w:rPr>
            </w:pPr>
            <w:r w:rsidRPr="00C567A3">
              <w:rPr>
                <w:color w:val="FF0000"/>
              </w:rPr>
              <w:lastRenderedPageBreak/>
              <w:t>-</w:t>
            </w:r>
            <w:r>
              <w:rPr>
                <w:color w:val="FF0000"/>
              </w:rPr>
              <w:t xml:space="preserve"> </w:t>
            </w:r>
            <w:r w:rsidRPr="00C567A3">
              <w:rPr>
                <w:color w:val="FF0000"/>
              </w:rPr>
              <w:t xml:space="preserve">Help-desk service, providing expert assistance on relevant procurement issues is </w:t>
            </w:r>
            <w:r w:rsidR="001E1B99">
              <w:rPr>
                <w:color w:val="FF0000"/>
              </w:rPr>
              <w:t>available for both the</w:t>
            </w:r>
            <w:r w:rsidRPr="00C567A3">
              <w:rPr>
                <w:color w:val="FF0000"/>
              </w:rPr>
              <w:t xml:space="preserve"> contracting authorities </w:t>
            </w:r>
            <w:r w:rsidR="001E1B99">
              <w:rPr>
                <w:color w:val="FF0000"/>
              </w:rPr>
              <w:t>and</w:t>
            </w:r>
            <w:r w:rsidRPr="00C567A3">
              <w:rPr>
                <w:color w:val="FF0000"/>
              </w:rPr>
              <w:t xml:space="preserve"> for economic operators </w:t>
            </w:r>
            <w:r w:rsidR="001E1B99">
              <w:rPr>
                <w:color w:val="FF0000"/>
              </w:rPr>
              <w:t>who participate or are interested in</w:t>
            </w:r>
            <w:r w:rsidRPr="00C567A3">
              <w:rPr>
                <w:color w:val="FF0000"/>
              </w:rPr>
              <w:t xml:space="preserve"> participating in public procurement procedures.</w:t>
            </w:r>
          </w:p>
          <w:p w14:paraId="202D519D" w14:textId="13C8EFC9" w:rsidR="00C567A3" w:rsidRDefault="00C567A3" w:rsidP="00C567A3">
            <w:pPr>
              <w:jc w:val="both"/>
              <w:rPr>
                <w:color w:val="FF0000"/>
              </w:rPr>
            </w:pPr>
            <w:r>
              <w:rPr>
                <w:color w:val="FF0000"/>
              </w:rPr>
              <w:t xml:space="preserve">- </w:t>
            </w:r>
            <w:r w:rsidRPr="00C567A3">
              <w:rPr>
                <w:color w:val="FF0000"/>
              </w:rPr>
              <w:t xml:space="preserve">Training and workshops (not carried out exclusively for SMEs) </w:t>
            </w:r>
            <w:r>
              <w:rPr>
                <w:color w:val="FF0000"/>
              </w:rPr>
              <w:t>are</w:t>
            </w:r>
            <w:r w:rsidRPr="00C567A3">
              <w:rPr>
                <w:color w:val="FF0000"/>
              </w:rPr>
              <w:t xml:space="preserve"> organised periodically by the Ministry of </w:t>
            </w:r>
            <w:r>
              <w:rPr>
                <w:color w:val="FF0000"/>
              </w:rPr>
              <w:t>the Economy, Entrepreneurship and Crafts in cooperation with</w:t>
            </w:r>
            <w:r w:rsidR="001E1B99">
              <w:rPr>
                <w:color w:val="FF0000"/>
              </w:rPr>
              <w:t xml:space="preserve"> the</w:t>
            </w:r>
            <w:r>
              <w:rPr>
                <w:color w:val="FF0000"/>
              </w:rPr>
              <w:t xml:space="preserve"> Croatian Chamber of </w:t>
            </w:r>
            <w:r w:rsidR="001E1B99">
              <w:rPr>
                <w:color w:val="FF0000"/>
              </w:rPr>
              <w:t>Commerce</w:t>
            </w:r>
            <w:r>
              <w:rPr>
                <w:color w:val="FF0000"/>
              </w:rPr>
              <w:t>.</w:t>
            </w:r>
          </w:p>
          <w:p w14:paraId="432557BE" w14:textId="77777777" w:rsidR="00F549F1" w:rsidRDefault="00F549F1" w:rsidP="00C567A3">
            <w:pPr>
              <w:jc w:val="both"/>
              <w:rPr>
                <w:color w:val="FF0000"/>
              </w:rPr>
            </w:pPr>
          </w:p>
          <w:p w14:paraId="0AA3FD73" w14:textId="08109F4D" w:rsidR="00F549F1" w:rsidRPr="00C567A3" w:rsidRDefault="00F549F1" w:rsidP="00C567A3">
            <w:pPr>
              <w:jc w:val="both"/>
              <w:rPr>
                <w:color w:val="FF0000"/>
              </w:rPr>
            </w:pPr>
            <w:r w:rsidRPr="00F549F1">
              <w:rPr>
                <w:color w:val="FF0000"/>
              </w:rPr>
              <w:t xml:space="preserve">The Ministry of the Economy, Entrepreneurship and Crafts provides guidance and interpretations for the application of the PPL 2016 in form of: written opinions/ responses to the received questions from contracting authorities and economic operators, telephone counselling to contracting authorities and economic operators, establishment of "help desk", preparation and publication of materials on the website of the Public Procurement Portal, conducting quick procurement documents control in EOJN,  and </w:t>
            </w:r>
            <w:r w:rsidR="001E1B99">
              <w:rPr>
                <w:color w:val="FF0000"/>
              </w:rPr>
              <w:t>through</w:t>
            </w:r>
            <w:r w:rsidRPr="00F549F1">
              <w:rPr>
                <w:color w:val="FF0000"/>
              </w:rPr>
              <w:t xml:space="preserve"> coordination meetings with different stakeholders.</w:t>
            </w:r>
          </w:p>
          <w:p w14:paraId="519D720E" w14:textId="77777777" w:rsidR="00C567A3" w:rsidRPr="00C567A3" w:rsidRDefault="00C567A3" w:rsidP="00C567A3">
            <w:pPr>
              <w:jc w:val="both"/>
              <w:rPr>
                <w:color w:val="FF0000"/>
              </w:rPr>
            </w:pPr>
          </w:p>
          <w:p w14:paraId="21F205D5" w14:textId="4190BE63" w:rsidR="00C567A3" w:rsidRPr="00C567A3" w:rsidRDefault="00F549F1" w:rsidP="00C567A3">
            <w:pPr>
              <w:jc w:val="both"/>
              <w:rPr>
                <w:color w:val="FF0000"/>
              </w:rPr>
            </w:pPr>
            <w:r>
              <w:rPr>
                <w:color w:val="FF0000"/>
              </w:rPr>
              <w:t>However, w</w:t>
            </w:r>
            <w:r w:rsidR="00C567A3" w:rsidRPr="00C567A3">
              <w:rPr>
                <w:color w:val="FF0000"/>
              </w:rPr>
              <w:t xml:space="preserve">e still observe </w:t>
            </w:r>
            <w:r>
              <w:rPr>
                <w:color w:val="FF0000"/>
              </w:rPr>
              <w:t xml:space="preserve">low </w:t>
            </w:r>
            <w:r w:rsidR="00C567A3" w:rsidRPr="00C567A3">
              <w:rPr>
                <w:color w:val="FF0000"/>
              </w:rPr>
              <w:t xml:space="preserve">participation </w:t>
            </w:r>
            <w:r>
              <w:rPr>
                <w:color w:val="FF0000"/>
              </w:rPr>
              <w:t xml:space="preserve">of </w:t>
            </w:r>
            <w:r w:rsidR="00C567A3" w:rsidRPr="00C567A3">
              <w:rPr>
                <w:color w:val="FF0000"/>
              </w:rPr>
              <w:t>SMEs</w:t>
            </w:r>
            <w:r>
              <w:rPr>
                <w:color w:val="FF0000"/>
              </w:rPr>
              <w:t xml:space="preserve"> </w:t>
            </w:r>
            <w:r w:rsidRPr="00C567A3">
              <w:rPr>
                <w:color w:val="FF0000"/>
              </w:rPr>
              <w:t>in</w:t>
            </w:r>
            <w:r>
              <w:rPr>
                <w:color w:val="FF0000"/>
              </w:rPr>
              <w:t xml:space="preserve"> public procurement contracts.</w:t>
            </w:r>
          </w:p>
          <w:p w14:paraId="306D4475" w14:textId="68E4BCFF" w:rsidR="00C567A3" w:rsidRPr="00B01372" w:rsidRDefault="00C567A3" w:rsidP="00C567A3">
            <w:pPr>
              <w:jc w:val="both"/>
            </w:pPr>
          </w:p>
        </w:tc>
      </w:tr>
      <w:tr w:rsidR="00B54D84" w:rsidRPr="00B01372" w14:paraId="15F782FD" w14:textId="77777777" w:rsidTr="00B54D84">
        <w:tc>
          <w:tcPr>
            <w:tcW w:w="1648" w:type="pct"/>
          </w:tcPr>
          <w:p w14:paraId="623F7EFE" w14:textId="4A555B5E" w:rsidR="00B54D84" w:rsidRPr="00F35775" w:rsidRDefault="00092C5B" w:rsidP="00E04DAF">
            <w:pPr>
              <w:pStyle w:val="Heading3"/>
              <w:outlineLvl w:val="2"/>
            </w:pPr>
            <w:r w:rsidRPr="00F35775">
              <w:lastRenderedPageBreak/>
              <w:t>IV</w:t>
            </w:r>
            <w:r w:rsidR="00E04DAF" w:rsidRPr="00F35775">
              <w:t xml:space="preserve">.2. </w:t>
            </w:r>
            <w:r w:rsidR="0037143F" w:rsidRPr="00F35775">
              <w:t>Supporting documents</w:t>
            </w:r>
          </w:p>
        </w:tc>
        <w:tc>
          <w:tcPr>
            <w:tcW w:w="3352" w:type="pct"/>
          </w:tcPr>
          <w:p w14:paraId="38F7D01C" w14:textId="77777777" w:rsidR="00B54D84" w:rsidRPr="00B01372" w:rsidRDefault="00B54D84" w:rsidP="00B54D84">
            <w:pPr>
              <w:rPr>
                <w:i/>
              </w:rPr>
            </w:pPr>
          </w:p>
        </w:tc>
      </w:tr>
      <w:tr w:rsidR="00B54D84" w:rsidRPr="00B01372" w14:paraId="161AD0D2" w14:textId="77777777" w:rsidTr="00B54D84">
        <w:tc>
          <w:tcPr>
            <w:tcW w:w="1648" w:type="pct"/>
          </w:tcPr>
          <w:p w14:paraId="5368DBF5" w14:textId="5DAB0D7A" w:rsidR="00B54D84" w:rsidRPr="00F35775" w:rsidRDefault="00E04DAF" w:rsidP="0037143F">
            <w:pPr>
              <w:pStyle w:val="Heading3"/>
              <w:outlineLvl w:val="2"/>
              <w:rPr>
                <w:b w:val="0"/>
              </w:rPr>
            </w:pPr>
            <w:r w:rsidRPr="00F35775">
              <w:rPr>
                <w:b w:val="0"/>
              </w:rPr>
              <w:t xml:space="preserve">Please report any available evidence or supporting document </w:t>
            </w:r>
            <w:r w:rsidR="00B72720" w:rsidRPr="00F35775">
              <w:rPr>
                <w:b w:val="0"/>
              </w:rPr>
              <w:t xml:space="preserve">for point </w:t>
            </w:r>
            <w:r w:rsidR="00426F49" w:rsidRPr="00F35775">
              <w:rPr>
                <w:b w:val="0"/>
              </w:rPr>
              <w:t>IV</w:t>
            </w:r>
            <w:r w:rsidR="00B72720" w:rsidRPr="00F35775">
              <w:rPr>
                <w:b w:val="0"/>
              </w:rPr>
              <w:t xml:space="preserve">.1, </w:t>
            </w:r>
            <w:r w:rsidRPr="00F35775">
              <w:rPr>
                <w:b w:val="0"/>
              </w:rPr>
              <w:t>illustrating the measures, achievements or challenges faced, relating to the facilitation of the participatio</w:t>
            </w:r>
            <w:r w:rsidR="006753EC" w:rsidRPr="00F35775">
              <w:rPr>
                <w:b w:val="0"/>
              </w:rPr>
              <w:t>n of SMEs in public procurement</w:t>
            </w:r>
          </w:p>
        </w:tc>
        <w:tc>
          <w:tcPr>
            <w:tcW w:w="3352" w:type="pct"/>
          </w:tcPr>
          <w:p w14:paraId="78CB1ABF" w14:textId="107D61F8" w:rsidR="00B54D84" w:rsidRPr="00B01372" w:rsidRDefault="00B54D84" w:rsidP="00B54D84">
            <w:pPr>
              <w:jc w:val="both"/>
              <w:rPr>
                <w:i/>
              </w:rPr>
            </w:pPr>
            <w:r w:rsidRPr="00B01372">
              <w:rPr>
                <w:i/>
              </w:rPr>
              <w:t>Possible relevant (non-exhaustive) documents for consideration may be as follows</w:t>
            </w:r>
            <w:r w:rsidR="00CB736C">
              <w:rPr>
                <w:i/>
              </w:rPr>
              <w:t xml:space="preserve"> (please provide a link to the document, and if possible, a summary of the document in English, if the document is in another language)</w:t>
            </w:r>
            <w:r w:rsidRPr="00B01372">
              <w:rPr>
                <w:i/>
              </w:rPr>
              <w:t>:</w:t>
            </w:r>
          </w:p>
          <w:p w14:paraId="0400C187" w14:textId="496D07D8" w:rsidR="00E04DAF" w:rsidRPr="00B01372" w:rsidRDefault="00E04DAF" w:rsidP="00E3206F">
            <w:pPr>
              <w:pStyle w:val="Heading4"/>
              <w:numPr>
                <w:ilvl w:val="0"/>
                <w:numId w:val="6"/>
              </w:numPr>
              <w:jc w:val="both"/>
              <w:outlineLvl w:val="3"/>
              <w:rPr>
                <w:b w:val="0"/>
                <w:i/>
              </w:rPr>
            </w:pPr>
            <w:r w:rsidRPr="00B01372">
              <w:rPr>
                <w:b w:val="0"/>
                <w:i/>
              </w:rPr>
              <w:t xml:space="preserve">List and provide a brief description of the policy and legislative initiatives launched to support SMEs participation in public procurement, including the results of their evaluations, where available </w:t>
            </w:r>
          </w:p>
          <w:p w14:paraId="2C0D1AA8" w14:textId="32005F0A" w:rsidR="00E04DAF" w:rsidRPr="00B01372" w:rsidRDefault="00E04DAF" w:rsidP="00E3206F">
            <w:pPr>
              <w:pStyle w:val="Heading4"/>
              <w:numPr>
                <w:ilvl w:val="0"/>
                <w:numId w:val="6"/>
              </w:numPr>
              <w:jc w:val="both"/>
              <w:outlineLvl w:val="3"/>
              <w:rPr>
                <w:b w:val="0"/>
                <w:i/>
              </w:rPr>
            </w:pPr>
            <w:r w:rsidRPr="00B01372">
              <w:rPr>
                <w:b w:val="0"/>
                <w:i/>
              </w:rPr>
              <w:t>Specific measures targeting SME participation in different techniques for aggregated procurement (framework agreements, dynamic purchasing systems, and centralised procurement activities)</w:t>
            </w:r>
          </w:p>
          <w:p w14:paraId="0DC464DE" w14:textId="3CBDF894" w:rsidR="00E04DAF" w:rsidRPr="00B01372" w:rsidRDefault="00E04DAF" w:rsidP="00E3206F">
            <w:pPr>
              <w:pStyle w:val="Heading4"/>
              <w:numPr>
                <w:ilvl w:val="0"/>
                <w:numId w:val="6"/>
              </w:numPr>
              <w:jc w:val="both"/>
              <w:outlineLvl w:val="3"/>
              <w:rPr>
                <w:b w:val="0"/>
                <w:i/>
              </w:rPr>
            </w:pPr>
            <w:r w:rsidRPr="00B01372">
              <w:rPr>
                <w:b w:val="0"/>
                <w:i/>
              </w:rPr>
              <w:t xml:space="preserve">Specific measures targeting the participation of start-ups </w:t>
            </w:r>
            <w:r w:rsidR="00123685" w:rsidRPr="00B01372">
              <w:rPr>
                <w:b w:val="0"/>
                <w:i/>
              </w:rPr>
              <w:t xml:space="preserve">and scale-ups </w:t>
            </w:r>
            <w:r w:rsidRPr="00B01372">
              <w:rPr>
                <w:b w:val="0"/>
                <w:i/>
              </w:rPr>
              <w:t>in public procurement</w:t>
            </w:r>
            <w:r w:rsidR="00FF42D2">
              <w:rPr>
                <w:b w:val="0"/>
                <w:i/>
              </w:rPr>
              <w:t xml:space="preserve"> </w:t>
            </w:r>
          </w:p>
          <w:p w14:paraId="425E5737" w14:textId="112CDF51" w:rsidR="00E04DAF" w:rsidRPr="00B01372" w:rsidRDefault="00E04DAF" w:rsidP="00E3206F">
            <w:pPr>
              <w:pStyle w:val="Heading4"/>
              <w:numPr>
                <w:ilvl w:val="0"/>
                <w:numId w:val="6"/>
              </w:numPr>
              <w:jc w:val="both"/>
              <w:outlineLvl w:val="3"/>
              <w:rPr>
                <w:b w:val="0"/>
                <w:i/>
              </w:rPr>
            </w:pPr>
            <w:r w:rsidRPr="00B01372">
              <w:rPr>
                <w:b w:val="0"/>
                <w:i/>
              </w:rPr>
              <w:t xml:space="preserve">Specific measures ensuring that payment for public contracts are made on time, especially in the case of SMEs </w:t>
            </w:r>
          </w:p>
          <w:p w14:paraId="3844A628" w14:textId="51A8F3C6" w:rsidR="00E04DAF" w:rsidRPr="00B01372" w:rsidRDefault="00E04DAF" w:rsidP="00E3206F">
            <w:pPr>
              <w:pStyle w:val="Heading4"/>
              <w:numPr>
                <w:ilvl w:val="0"/>
                <w:numId w:val="6"/>
              </w:numPr>
              <w:jc w:val="both"/>
              <w:outlineLvl w:val="3"/>
              <w:rPr>
                <w:b w:val="0"/>
                <w:i/>
              </w:rPr>
            </w:pPr>
            <w:r w:rsidRPr="00B01372">
              <w:rPr>
                <w:b w:val="0"/>
                <w:i/>
              </w:rPr>
              <w:t>Specific measures addressing the payments to subcontractors</w:t>
            </w:r>
          </w:p>
          <w:p w14:paraId="3CA729D1" w14:textId="4EFD2B7C" w:rsidR="00E04DAF" w:rsidRPr="00B01372" w:rsidRDefault="00E04DAF" w:rsidP="00E3206F">
            <w:pPr>
              <w:pStyle w:val="Heading4"/>
              <w:numPr>
                <w:ilvl w:val="0"/>
                <w:numId w:val="6"/>
              </w:numPr>
              <w:jc w:val="both"/>
              <w:outlineLvl w:val="3"/>
              <w:rPr>
                <w:b w:val="0"/>
                <w:i/>
              </w:rPr>
            </w:pPr>
            <w:r w:rsidRPr="00B01372">
              <w:rPr>
                <w:b w:val="0"/>
                <w:i/>
              </w:rPr>
              <w:t>Existing guidelines or instructions for contracting authorities on how to treat grouping</w:t>
            </w:r>
            <w:r w:rsidR="00BF28FF">
              <w:rPr>
                <w:b w:val="0"/>
                <w:i/>
              </w:rPr>
              <w:t xml:space="preserve"> (e.g. </w:t>
            </w:r>
            <w:r w:rsidR="00297002">
              <w:rPr>
                <w:b w:val="0"/>
                <w:i/>
              </w:rPr>
              <w:t>consortia</w:t>
            </w:r>
            <w:r w:rsidR="00BF28FF">
              <w:rPr>
                <w:b w:val="0"/>
                <w:i/>
              </w:rPr>
              <w:t>)</w:t>
            </w:r>
            <w:r w:rsidRPr="00B01372">
              <w:rPr>
                <w:b w:val="0"/>
                <w:i/>
              </w:rPr>
              <w:t xml:space="preserve"> of SMEs</w:t>
            </w:r>
          </w:p>
          <w:p w14:paraId="73FC163B" w14:textId="21B91E24" w:rsidR="00E04DAF" w:rsidRPr="00B01372" w:rsidRDefault="00E04DAF" w:rsidP="00E3206F">
            <w:pPr>
              <w:pStyle w:val="Heading4"/>
              <w:numPr>
                <w:ilvl w:val="0"/>
                <w:numId w:val="6"/>
              </w:numPr>
              <w:jc w:val="both"/>
              <w:outlineLvl w:val="3"/>
              <w:rPr>
                <w:b w:val="0"/>
                <w:i/>
              </w:rPr>
            </w:pPr>
            <w:r w:rsidRPr="00B01372">
              <w:rPr>
                <w:b w:val="0"/>
                <w:i/>
              </w:rPr>
              <w:t>Existing guidelines for contracting authorities on the application of 'divide or explain' principle</w:t>
            </w:r>
            <w:r w:rsidRPr="00B01372">
              <w:rPr>
                <w:i/>
              </w:rPr>
              <w:t xml:space="preserve"> </w:t>
            </w:r>
          </w:p>
          <w:p w14:paraId="17F0E9CB" w14:textId="77777777" w:rsidR="00B54D84" w:rsidRDefault="00E04DAF" w:rsidP="00E3206F">
            <w:pPr>
              <w:pStyle w:val="Heading4"/>
              <w:numPr>
                <w:ilvl w:val="0"/>
                <w:numId w:val="6"/>
              </w:numPr>
              <w:jc w:val="both"/>
              <w:outlineLvl w:val="3"/>
              <w:rPr>
                <w:b w:val="0"/>
                <w:i/>
              </w:rPr>
            </w:pPr>
            <w:r w:rsidRPr="00B01372">
              <w:rPr>
                <w:b w:val="0"/>
                <w:i/>
              </w:rPr>
              <w:lastRenderedPageBreak/>
              <w:t>Existing targets for SME participation in public procurement</w:t>
            </w:r>
          </w:p>
          <w:p w14:paraId="1045CE44" w14:textId="77777777" w:rsidR="00C567A3" w:rsidRDefault="00C567A3" w:rsidP="00C567A3"/>
          <w:p w14:paraId="0472690D" w14:textId="37A37E06" w:rsidR="00C567A3" w:rsidRPr="00C567A3" w:rsidRDefault="00F549F1" w:rsidP="00C567A3">
            <w:pPr>
              <w:rPr>
                <w:color w:val="FF0000"/>
              </w:rPr>
            </w:pPr>
            <w:r>
              <w:rPr>
                <w:color w:val="FF0000"/>
              </w:rPr>
              <w:t>Croatian</w:t>
            </w:r>
            <w:r w:rsidR="00C567A3" w:rsidRPr="00C567A3">
              <w:rPr>
                <w:color w:val="FF0000"/>
              </w:rPr>
              <w:t xml:space="preserve"> public procurement legislation is in coherence with </w:t>
            </w:r>
            <w:r w:rsidR="001340F2">
              <w:rPr>
                <w:color w:val="FF0000"/>
              </w:rPr>
              <w:t xml:space="preserve">the </w:t>
            </w:r>
            <w:r w:rsidR="00C567A3" w:rsidRPr="00C567A3">
              <w:rPr>
                <w:color w:val="FF0000"/>
              </w:rPr>
              <w:t xml:space="preserve">EU acquis, thus all measures to support SMEs </w:t>
            </w:r>
            <w:r w:rsidR="001340F2">
              <w:rPr>
                <w:color w:val="FF0000"/>
              </w:rPr>
              <w:t>introduced in such a way as</w:t>
            </w:r>
            <w:r w:rsidR="00C567A3" w:rsidRPr="00C567A3">
              <w:rPr>
                <w:color w:val="FF0000"/>
              </w:rPr>
              <w:t xml:space="preserve"> not to jeopardise fundamental public procurement principles and rules. SMEs </w:t>
            </w:r>
            <w:r w:rsidR="001340F2">
              <w:rPr>
                <w:color w:val="FF0000"/>
              </w:rPr>
              <w:t>a</w:t>
            </w:r>
            <w:r w:rsidR="00C567A3" w:rsidRPr="00C567A3">
              <w:rPr>
                <w:color w:val="FF0000"/>
              </w:rPr>
              <w:t>ssociation</w:t>
            </w:r>
            <w:r w:rsidR="001340F2">
              <w:rPr>
                <w:color w:val="FF0000"/>
              </w:rPr>
              <w:t>s</w:t>
            </w:r>
            <w:r w:rsidR="00C567A3" w:rsidRPr="00C567A3">
              <w:rPr>
                <w:color w:val="FF0000"/>
              </w:rPr>
              <w:t xml:space="preserve"> usually actively collaborate in preparation of individual legal document with proposals on how to improve the SMEs position and access to public procurement. In order to ensure comprehensive assessment of impacts</w:t>
            </w:r>
            <w:r w:rsidR="001340F2">
              <w:rPr>
                <w:color w:val="FF0000"/>
              </w:rPr>
              <w:t xml:space="preserve"> of legal acts</w:t>
            </w:r>
            <w:r w:rsidR="00C567A3" w:rsidRPr="00C567A3">
              <w:rPr>
                <w:color w:val="FF0000"/>
              </w:rPr>
              <w:t xml:space="preserve"> on economy the use of SME test is mandatory</w:t>
            </w:r>
            <w:r w:rsidR="001340F2">
              <w:rPr>
                <w:color w:val="FF0000"/>
              </w:rPr>
              <w:t xml:space="preserve"> for all legislative proposals</w:t>
            </w:r>
            <w:r w:rsidR="00C567A3" w:rsidRPr="00C567A3">
              <w:rPr>
                <w:color w:val="FF0000"/>
              </w:rPr>
              <w:t>.</w:t>
            </w:r>
          </w:p>
          <w:p w14:paraId="3434D28B" w14:textId="77777777" w:rsidR="00C567A3" w:rsidRPr="00C567A3" w:rsidRDefault="00C567A3" w:rsidP="00C567A3">
            <w:pPr>
              <w:rPr>
                <w:color w:val="FF0000"/>
              </w:rPr>
            </w:pPr>
          </w:p>
          <w:p w14:paraId="1E4E4834" w14:textId="028AF85E" w:rsidR="00C567A3" w:rsidRDefault="00C567A3" w:rsidP="00C567A3">
            <w:pPr>
              <w:rPr>
                <w:color w:val="FF0000"/>
              </w:rPr>
            </w:pPr>
            <w:r w:rsidRPr="00C567A3">
              <w:rPr>
                <w:color w:val="FF0000"/>
              </w:rPr>
              <w:t>As regards the preparation of Public Procurement legislation (particularly PP</w:t>
            </w:r>
            <w:r w:rsidR="00F549F1">
              <w:rPr>
                <w:color w:val="FF0000"/>
              </w:rPr>
              <w:t>L</w:t>
            </w:r>
            <w:r w:rsidRPr="00C567A3">
              <w:rPr>
                <w:color w:val="FF0000"/>
              </w:rPr>
              <w:t xml:space="preserve">) in drafting phase panel discussion with SME </w:t>
            </w:r>
            <w:r w:rsidR="001340F2">
              <w:rPr>
                <w:color w:val="FF0000"/>
              </w:rPr>
              <w:t>a</w:t>
            </w:r>
            <w:r w:rsidRPr="00C567A3">
              <w:rPr>
                <w:color w:val="FF0000"/>
              </w:rPr>
              <w:t>ssociations was organised</w:t>
            </w:r>
            <w:r w:rsidR="00F549F1">
              <w:rPr>
                <w:color w:val="FF0000"/>
              </w:rPr>
              <w:t xml:space="preserve"> – Croatian Chamber of </w:t>
            </w:r>
            <w:r w:rsidR="001340F2">
              <w:rPr>
                <w:color w:val="FF0000"/>
              </w:rPr>
              <w:t>Commerce</w:t>
            </w:r>
            <w:r w:rsidR="00F549F1">
              <w:rPr>
                <w:color w:val="FF0000"/>
              </w:rPr>
              <w:t>, Croatian Employers Association, American Chamber of Commerce – and they</w:t>
            </w:r>
            <w:r w:rsidRPr="00C567A3">
              <w:rPr>
                <w:color w:val="FF0000"/>
              </w:rPr>
              <w:t xml:space="preserve"> were actively involved even through public debate </w:t>
            </w:r>
            <w:r w:rsidR="001340F2">
              <w:rPr>
                <w:color w:val="FF0000"/>
              </w:rPr>
              <w:t>on the</w:t>
            </w:r>
            <w:r w:rsidRPr="00C567A3">
              <w:rPr>
                <w:color w:val="FF0000"/>
              </w:rPr>
              <w:t xml:space="preserve"> legislative proposal. </w:t>
            </w:r>
          </w:p>
          <w:p w14:paraId="3543614D" w14:textId="77777777" w:rsidR="00F549F1" w:rsidRPr="00C567A3" w:rsidRDefault="00F549F1" w:rsidP="00C567A3">
            <w:pPr>
              <w:rPr>
                <w:color w:val="FF0000"/>
              </w:rPr>
            </w:pPr>
          </w:p>
          <w:p w14:paraId="3C34BF78" w14:textId="49C3683A" w:rsidR="00C567A3" w:rsidRPr="00C567A3" w:rsidRDefault="00F549F1" w:rsidP="00C567A3">
            <w:pPr>
              <w:rPr>
                <w:color w:val="FF0000"/>
              </w:rPr>
            </w:pPr>
            <w:r>
              <w:rPr>
                <w:color w:val="FF0000"/>
              </w:rPr>
              <w:t xml:space="preserve">Beside PPL a guideline how to use MEAT criteria in practice </w:t>
            </w:r>
            <w:r w:rsidR="00C567A3" w:rsidRPr="00C567A3">
              <w:rPr>
                <w:color w:val="FF0000"/>
              </w:rPr>
              <w:t>w</w:t>
            </w:r>
            <w:r>
              <w:rPr>
                <w:color w:val="FF0000"/>
              </w:rPr>
              <w:t>as published on</w:t>
            </w:r>
            <w:r w:rsidR="001340F2">
              <w:rPr>
                <w:color w:val="FF0000"/>
              </w:rPr>
              <w:t xml:space="preserve"> the</w:t>
            </w:r>
            <w:r>
              <w:rPr>
                <w:color w:val="FF0000"/>
              </w:rPr>
              <w:t xml:space="preserve"> Public Procurement Portal </w:t>
            </w:r>
            <w:r w:rsidR="001340F2">
              <w:rPr>
                <w:color w:val="FF0000"/>
              </w:rPr>
              <w:t>(</w:t>
            </w:r>
            <w:r w:rsidRPr="00F549F1">
              <w:rPr>
                <w:color w:val="FF0000"/>
              </w:rPr>
              <w:t xml:space="preserve">http://www.javnanabava.hr/default.aspx?id=6156 </w:t>
            </w:r>
            <w:r>
              <w:rPr>
                <w:color w:val="FF0000"/>
              </w:rPr>
              <w:t xml:space="preserve">(in Croatian </w:t>
            </w:r>
            <w:r w:rsidR="00C567A3" w:rsidRPr="00C567A3">
              <w:rPr>
                <w:color w:val="FF0000"/>
              </w:rPr>
              <w:t>only)</w:t>
            </w:r>
            <w:r w:rsidR="001340F2">
              <w:rPr>
                <w:color w:val="FF0000"/>
              </w:rPr>
              <w:t>)</w:t>
            </w:r>
            <w:r w:rsidR="00C567A3" w:rsidRPr="00C567A3">
              <w:rPr>
                <w:color w:val="FF0000"/>
              </w:rPr>
              <w:t>.</w:t>
            </w:r>
          </w:p>
          <w:p w14:paraId="4EA22A7F" w14:textId="77777777" w:rsidR="00C567A3" w:rsidRPr="00C567A3" w:rsidRDefault="00C567A3" w:rsidP="00C567A3">
            <w:pPr>
              <w:rPr>
                <w:color w:val="FF0000"/>
              </w:rPr>
            </w:pPr>
          </w:p>
          <w:p w14:paraId="011110A4" w14:textId="78ED500F" w:rsidR="00F549F1" w:rsidRPr="00C567A3" w:rsidRDefault="00C567A3" w:rsidP="00C567A3">
            <w:pPr>
              <w:rPr>
                <w:color w:val="FF0000"/>
              </w:rPr>
            </w:pPr>
            <w:r w:rsidRPr="00C567A3">
              <w:rPr>
                <w:color w:val="FF0000"/>
              </w:rPr>
              <w:t>At the same time, greater openness of the public procurement market for SME’s is related with low national thresholds for publication of contract notices on the national procurement platform.</w:t>
            </w:r>
            <w:r w:rsidR="00F549F1">
              <w:rPr>
                <w:color w:val="FF0000"/>
              </w:rPr>
              <w:t xml:space="preserve"> Also the use </w:t>
            </w:r>
            <w:r w:rsidRPr="00C567A3">
              <w:rPr>
                <w:color w:val="FF0000"/>
              </w:rPr>
              <w:t>of e-procurement</w:t>
            </w:r>
            <w:r w:rsidR="00F549F1">
              <w:rPr>
                <w:color w:val="FF0000"/>
              </w:rPr>
              <w:t xml:space="preserve"> and e-Submission of bids is mandatory.</w:t>
            </w:r>
            <w:r w:rsidRPr="00C567A3">
              <w:rPr>
                <w:color w:val="FF0000"/>
              </w:rPr>
              <w:t xml:space="preserve"> </w:t>
            </w:r>
            <w:r w:rsidR="00F549F1">
              <w:rPr>
                <w:color w:val="FF0000"/>
              </w:rPr>
              <w:t>Also there is an obligation for direct payment to a</w:t>
            </w:r>
            <w:r w:rsidRPr="00C567A3">
              <w:rPr>
                <w:color w:val="FF0000"/>
              </w:rPr>
              <w:t>ny subcontractor (SMEs and non-SMEs)</w:t>
            </w:r>
            <w:r w:rsidR="00F549F1">
              <w:rPr>
                <w:color w:val="FF0000"/>
              </w:rPr>
              <w:t>.</w:t>
            </w:r>
          </w:p>
          <w:p w14:paraId="0A130105" w14:textId="38CF93EA" w:rsidR="00C567A3" w:rsidRPr="00C567A3" w:rsidRDefault="00C567A3" w:rsidP="00C567A3"/>
        </w:tc>
      </w:tr>
      <w:tr w:rsidR="00B54D84" w:rsidRPr="00B01372" w14:paraId="0055167D" w14:textId="77777777" w:rsidTr="00B54D84">
        <w:tc>
          <w:tcPr>
            <w:tcW w:w="1648" w:type="pct"/>
          </w:tcPr>
          <w:p w14:paraId="3451850A" w14:textId="336824B6" w:rsidR="00E04DAF" w:rsidRPr="00B01372" w:rsidRDefault="000A2192" w:rsidP="00E04DAF">
            <w:pPr>
              <w:pStyle w:val="Heading3"/>
              <w:outlineLvl w:val="2"/>
            </w:pPr>
            <w:r w:rsidRPr="00B01372">
              <w:lastRenderedPageBreak/>
              <w:t>IV</w:t>
            </w:r>
            <w:r w:rsidR="00E04DAF" w:rsidRPr="00B01372">
              <w:t xml:space="preserve">.3. Quantitative indicators </w:t>
            </w:r>
          </w:p>
          <w:p w14:paraId="1DC9BE04" w14:textId="24719443" w:rsidR="00B54D84" w:rsidRPr="00B01372" w:rsidRDefault="00B54D84" w:rsidP="00B54D84">
            <w:pPr>
              <w:pStyle w:val="Heading3"/>
              <w:outlineLvl w:val="2"/>
              <w:rPr>
                <w:b w:val="0"/>
              </w:rPr>
            </w:pPr>
          </w:p>
        </w:tc>
        <w:tc>
          <w:tcPr>
            <w:tcW w:w="3352" w:type="pct"/>
          </w:tcPr>
          <w:p w14:paraId="5F8B5BFE" w14:textId="06692BDD" w:rsidR="00B54D84" w:rsidRPr="00B01372" w:rsidRDefault="00B54D84" w:rsidP="00247E16">
            <w:pPr>
              <w:jc w:val="both"/>
              <w:rPr>
                <w:i/>
              </w:rPr>
            </w:pPr>
            <w:r w:rsidRPr="00B01372">
              <w:rPr>
                <w:i/>
              </w:rPr>
              <w:t xml:space="preserve">This section contains examples of quantitative indicators related to section </w:t>
            </w:r>
            <w:r w:rsidR="00247E16" w:rsidRPr="00B01372">
              <w:rPr>
                <w:i/>
              </w:rPr>
              <w:t>IV</w:t>
            </w:r>
            <w:r w:rsidRPr="00B01372">
              <w:rPr>
                <w:i/>
              </w:rPr>
              <w:t>.1.  Other indicators can also be included in the report.</w:t>
            </w:r>
          </w:p>
        </w:tc>
      </w:tr>
      <w:tr w:rsidR="00B54D84" w:rsidRPr="00B01372" w14:paraId="379D2F6D" w14:textId="77777777" w:rsidTr="00B54D84">
        <w:tc>
          <w:tcPr>
            <w:tcW w:w="1648" w:type="pct"/>
          </w:tcPr>
          <w:p w14:paraId="1DEBB2CA" w14:textId="03321ED0" w:rsidR="00B54D84" w:rsidRPr="00B01372" w:rsidRDefault="00E04DAF" w:rsidP="00C96DD0">
            <w:pPr>
              <w:jc w:val="both"/>
              <w:rPr>
                <w:b/>
              </w:rPr>
            </w:pPr>
            <w:r w:rsidRPr="005273AB">
              <w:t>Please provide, when available, any quantitative data (statistics, etc.) illustrating the achievements and challenges ident</w:t>
            </w:r>
            <w:r w:rsidR="006753EC" w:rsidRPr="005273AB">
              <w:t xml:space="preserve">ified under section </w:t>
            </w:r>
            <w:r w:rsidR="00426F49" w:rsidRPr="005273AB">
              <w:t>IV</w:t>
            </w:r>
            <w:r w:rsidR="006753EC" w:rsidRPr="005273AB">
              <w:t>.1. above</w:t>
            </w:r>
          </w:p>
        </w:tc>
        <w:tc>
          <w:tcPr>
            <w:tcW w:w="3352" w:type="pct"/>
          </w:tcPr>
          <w:p w14:paraId="76369F09" w14:textId="77777777" w:rsidR="00B54D84" w:rsidRPr="00B01372" w:rsidRDefault="00B54D84" w:rsidP="00B54D84">
            <w:pPr>
              <w:jc w:val="both"/>
              <w:rPr>
                <w:i/>
              </w:rPr>
            </w:pPr>
            <w:r w:rsidRPr="00B01372">
              <w:rPr>
                <w:i/>
              </w:rPr>
              <w:t>Possible relevant (non-exhaustive) documents for consideration may be as follows:</w:t>
            </w:r>
          </w:p>
          <w:p w14:paraId="60E4AEBF" w14:textId="441EF510" w:rsidR="00123685" w:rsidRPr="00F35775" w:rsidRDefault="00123685" w:rsidP="00E3206F">
            <w:pPr>
              <w:pStyle w:val="NoSpacing"/>
              <w:numPr>
                <w:ilvl w:val="0"/>
                <w:numId w:val="8"/>
              </w:numPr>
              <w:rPr>
                <w:i/>
              </w:rPr>
            </w:pPr>
            <w:r w:rsidRPr="00F35775">
              <w:rPr>
                <w:i/>
              </w:rPr>
              <w:t>Participation of SMEs in call for tenders above threshold</w:t>
            </w:r>
            <w:r w:rsidR="009D331A" w:rsidRPr="00F35775">
              <w:rPr>
                <w:i/>
              </w:rPr>
              <w:t xml:space="preserve">: </w:t>
            </w:r>
            <w:r w:rsidR="009D331A" w:rsidRPr="00F35775">
              <w:rPr>
                <w:color w:val="FF0000"/>
              </w:rPr>
              <w:t xml:space="preserve">3.130 </w:t>
            </w:r>
            <w:r w:rsidRPr="00F35775">
              <w:rPr>
                <w:i/>
                <w:color w:val="FF0000"/>
              </w:rPr>
              <w:t xml:space="preserve"> </w:t>
            </w:r>
          </w:p>
          <w:p w14:paraId="4010BC1D" w14:textId="093CAC37" w:rsidR="00123685" w:rsidRPr="00F35775" w:rsidRDefault="003236CE" w:rsidP="00E3206F">
            <w:pPr>
              <w:pStyle w:val="NoSpacing"/>
              <w:numPr>
                <w:ilvl w:val="0"/>
                <w:numId w:val="8"/>
              </w:numPr>
              <w:rPr>
                <w:i/>
              </w:rPr>
            </w:pPr>
            <w:r w:rsidRPr="00F35775">
              <w:rPr>
                <w:i/>
              </w:rPr>
              <w:t>N</w:t>
            </w:r>
            <w:r w:rsidR="00123685" w:rsidRPr="00F35775">
              <w:rPr>
                <w:i/>
              </w:rPr>
              <w:t>umber of above-threshol</w:t>
            </w:r>
            <w:r w:rsidR="009D331A" w:rsidRPr="00F35775">
              <w:rPr>
                <w:i/>
              </w:rPr>
              <w:t xml:space="preserve">d contracts awarded to SMEs: </w:t>
            </w:r>
            <w:r w:rsidR="009D331A" w:rsidRPr="00F35775">
              <w:rPr>
                <w:color w:val="FF0000"/>
              </w:rPr>
              <w:t>24</w:t>
            </w:r>
          </w:p>
          <w:p w14:paraId="5D0D7F7F" w14:textId="2DE9DF2C" w:rsidR="00123685" w:rsidRPr="00F35775" w:rsidRDefault="00123685" w:rsidP="00E3206F">
            <w:pPr>
              <w:pStyle w:val="NoSpacing"/>
              <w:numPr>
                <w:ilvl w:val="0"/>
                <w:numId w:val="8"/>
              </w:numPr>
              <w:rPr>
                <w:i/>
              </w:rPr>
            </w:pPr>
            <w:r w:rsidRPr="00F35775">
              <w:rPr>
                <w:i/>
              </w:rPr>
              <w:t xml:space="preserve"> </w:t>
            </w:r>
            <w:r w:rsidR="003236CE" w:rsidRPr="00F35775">
              <w:rPr>
                <w:i/>
              </w:rPr>
              <w:t>Total value</w:t>
            </w:r>
            <w:r w:rsidRPr="00F35775">
              <w:rPr>
                <w:i/>
              </w:rPr>
              <w:t xml:space="preserve"> of contracts above threshold won by SMEs</w:t>
            </w:r>
            <w:r w:rsidR="009D331A" w:rsidRPr="00F35775">
              <w:rPr>
                <w:i/>
              </w:rPr>
              <w:t xml:space="preserve">: </w:t>
            </w:r>
            <w:r w:rsidR="000774FF" w:rsidRPr="00F35775">
              <w:rPr>
                <w:rFonts w:ascii="Calibri" w:hAnsi="Calibri" w:cs="Calibri"/>
                <w:color w:val="FF0000"/>
              </w:rPr>
              <w:t>17.167.850,00 HRK (998.532,00 EUR)</w:t>
            </w:r>
          </w:p>
          <w:p w14:paraId="498487A9" w14:textId="00235715" w:rsidR="00123685" w:rsidRPr="00B01372" w:rsidRDefault="00123685" w:rsidP="00E3206F">
            <w:pPr>
              <w:numPr>
                <w:ilvl w:val="0"/>
                <w:numId w:val="8"/>
              </w:numPr>
              <w:jc w:val="both"/>
              <w:rPr>
                <w:i/>
              </w:rPr>
            </w:pPr>
            <w:r w:rsidRPr="00B01372">
              <w:rPr>
                <w:i/>
              </w:rPr>
              <w:t>If additional data is collected in your MS, please report it in order to deepen our understanding about SME participation in public procurement. This might include the number and value of public procurement below threshold won by SMEs</w:t>
            </w:r>
            <w:r w:rsidR="000774FF">
              <w:rPr>
                <w:i/>
              </w:rPr>
              <w:t xml:space="preserve"> </w:t>
            </w:r>
            <w:r w:rsidR="000774FF" w:rsidRPr="000774FF">
              <w:rPr>
                <w:i/>
                <w:color w:val="FF0000"/>
              </w:rPr>
              <w:t>-</w:t>
            </w:r>
          </w:p>
          <w:p w14:paraId="5313BF42" w14:textId="66D067AA" w:rsidR="00B54D84" w:rsidRPr="00B01372" w:rsidRDefault="00E04DAF" w:rsidP="00E3206F">
            <w:pPr>
              <w:numPr>
                <w:ilvl w:val="0"/>
                <w:numId w:val="8"/>
              </w:numPr>
              <w:jc w:val="both"/>
              <w:rPr>
                <w:i/>
              </w:rPr>
            </w:pPr>
            <w:r w:rsidRPr="00B01372">
              <w:rPr>
                <w:i/>
              </w:rPr>
              <w:t>If applicable, current attainment rate of the target set for SMEs participation</w:t>
            </w:r>
            <w:r w:rsidR="000774FF">
              <w:rPr>
                <w:i/>
              </w:rPr>
              <w:t xml:space="preserve"> </w:t>
            </w:r>
            <w:r w:rsidR="000774FF" w:rsidRPr="000774FF">
              <w:rPr>
                <w:i/>
                <w:color w:val="FF0000"/>
              </w:rPr>
              <w:t>-</w:t>
            </w:r>
          </w:p>
        </w:tc>
      </w:tr>
    </w:tbl>
    <w:p w14:paraId="34AB7F43" w14:textId="77777777" w:rsidR="001C5F45" w:rsidRPr="00B01372" w:rsidRDefault="001C5F45" w:rsidP="001C5F45"/>
    <w:p w14:paraId="34AB7F4A" w14:textId="41FC6B2C" w:rsidR="00C9307F" w:rsidRPr="00B01372" w:rsidRDefault="00C554EC" w:rsidP="00F52C6D">
      <w:pPr>
        <w:pStyle w:val="Heading2"/>
      </w:pPr>
      <w:r w:rsidRPr="00B01372">
        <w:lastRenderedPageBreak/>
        <w:t>Information on the practical implementation of national strategic procurement</w:t>
      </w:r>
    </w:p>
    <w:p w14:paraId="34AB7F4C" w14:textId="03BA04F0" w:rsidR="00123723" w:rsidRPr="00B01372" w:rsidRDefault="00123723" w:rsidP="00D24317">
      <w:pPr>
        <w:spacing w:line="240" w:lineRule="auto"/>
      </w:pPr>
    </w:p>
    <w:tbl>
      <w:tblPr>
        <w:tblStyle w:val="TableGrid"/>
        <w:tblpPr w:leftFromText="180" w:rightFromText="180" w:vertAnchor="text" w:tblpY="1"/>
        <w:tblOverlap w:val="never"/>
        <w:tblW w:w="5000" w:type="pct"/>
        <w:tblLook w:val="04A0" w:firstRow="1" w:lastRow="0" w:firstColumn="1" w:lastColumn="0" w:noHBand="0" w:noVBand="1"/>
      </w:tblPr>
      <w:tblGrid>
        <w:gridCol w:w="4687"/>
        <w:gridCol w:w="9533"/>
      </w:tblGrid>
      <w:tr w:rsidR="00994F58" w:rsidRPr="00B01372" w14:paraId="5B6BBFBA" w14:textId="77777777" w:rsidTr="00A25DEB">
        <w:tc>
          <w:tcPr>
            <w:tcW w:w="1648" w:type="pct"/>
          </w:tcPr>
          <w:p w14:paraId="5C6C3770" w14:textId="7B220A08" w:rsidR="00994F58" w:rsidRPr="00B01372" w:rsidRDefault="00994F58" w:rsidP="00A25DEB">
            <w:pPr>
              <w:pStyle w:val="Heading3"/>
              <w:outlineLvl w:val="2"/>
            </w:pPr>
            <w:r w:rsidRPr="00B01372">
              <w:t>V.1 Green procurement ('GPP')</w:t>
            </w:r>
          </w:p>
        </w:tc>
        <w:tc>
          <w:tcPr>
            <w:tcW w:w="3352" w:type="pct"/>
          </w:tcPr>
          <w:p w14:paraId="3E97AA44" w14:textId="129E1845" w:rsidR="00994F58" w:rsidRPr="00B01372" w:rsidRDefault="00994F58" w:rsidP="00A25DEB">
            <w:pPr>
              <w:jc w:val="both"/>
            </w:pPr>
            <w:r w:rsidRPr="00B01372">
              <w:t>Green Public Procurement ('GPP') is defined as "a process whereby public authorities seek to procure goods, services and works with a reduced environmental impact throughout their life cycle when compared to goods, services and works with the same primary function that would otherwise be procured."</w:t>
            </w:r>
            <w:r w:rsidRPr="00B01372">
              <w:rPr>
                <w:rStyle w:val="FootnoteReference"/>
              </w:rPr>
              <w:footnoteReference w:id="3"/>
            </w:r>
            <w:r w:rsidRPr="00B01372">
              <w:t xml:space="preserve"> A voluntary target of 50 % GPP per Member State in number and value of relevant procedures was proposed by the Commission and welcomed by the Council in 2008.</w:t>
            </w:r>
          </w:p>
        </w:tc>
      </w:tr>
      <w:tr w:rsidR="005F0ADF" w:rsidRPr="00B01372" w14:paraId="19FBB54C" w14:textId="77777777" w:rsidTr="00A25DEB">
        <w:trPr>
          <w:trHeight w:val="324"/>
        </w:trPr>
        <w:tc>
          <w:tcPr>
            <w:tcW w:w="1648" w:type="pct"/>
          </w:tcPr>
          <w:p w14:paraId="3DF76B1B" w14:textId="2DD2EA66" w:rsidR="005F0ADF" w:rsidRPr="00B01372" w:rsidRDefault="00F13DA8" w:rsidP="00A25DEB">
            <w:pPr>
              <w:pStyle w:val="Heading3"/>
              <w:outlineLvl w:val="2"/>
            </w:pPr>
            <w:r w:rsidRPr="00B01372">
              <w:t>V</w:t>
            </w:r>
            <w:r w:rsidR="005F0ADF" w:rsidRPr="00B01372">
              <w:t>.1.</w:t>
            </w:r>
            <w:r w:rsidR="00994F58" w:rsidRPr="00B01372">
              <w:t>1</w:t>
            </w:r>
            <w:r w:rsidR="005F0ADF" w:rsidRPr="00B01372">
              <w:t xml:space="preserve"> </w:t>
            </w:r>
            <w:r w:rsidR="00C96DD0" w:rsidRPr="00B01372">
              <w:t>Qualitative reporting</w:t>
            </w:r>
            <w:r w:rsidR="00C96DD0" w:rsidRPr="00B01372">
              <w:rPr>
                <w:b w:val="0"/>
              </w:rPr>
              <w:t xml:space="preserve"> </w:t>
            </w:r>
          </w:p>
        </w:tc>
        <w:tc>
          <w:tcPr>
            <w:tcW w:w="3352" w:type="pct"/>
          </w:tcPr>
          <w:p w14:paraId="57D4CE50" w14:textId="77777777" w:rsidR="005F0ADF" w:rsidRPr="00B01372" w:rsidRDefault="005F0ADF" w:rsidP="00A25DEB">
            <w:pPr>
              <w:jc w:val="both"/>
            </w:pPr>
          </w:p>
        </w:tc>
      </w:tr>
      <w:tr w:rsidR="005F0ADF" w:rsidRPr="00B01372" w14:paraId="05B5832A" w14:textId="77777777" w:rsidTr="00A25DEB">
        <w:tc>
          <w:tcPr>
            <w:tcW w:w="1648" w:type="pct"/>
          </w:tcPr>
          <w:p w14:paraId="6866DD1A" w14:textId="7E7A9B98" w:rsidR="005F0ADF" w:rsidRPr="00B01372" w:rsidRDefault="005F0ADF" w:rsidP="00A25DEB">
            <w:r w:rsidRPr="00B01372">
              <w:t>Key challenges encountered</w:t>
            </w:r>
          </w:p>
        </w:tc>
        <w:tc>
          <w:tcPr>
            <w:tcW w:w="3352" w:type="pct"/>
          </w:tcPr>
          <w:p w14:paraId="4D3D2D00" w14:textId="77777777" w:rsidR="005F0ADF" w:rsidRPr="00B01372" w:rsidRDefault="005F0ADF" w:rsidP="00CA2770">
            <w:r w:rsidRPr="00B01372">
              <w:t>The information should focus on:</w:t>
            </w:r>
          </w:p>
          <w:p w14:paraId="3EF42AD2" w14:textId="1100A402" w:rsidR="005F0ADF" w:rsidRDefault="005F0ADF" w:rsidP="00CA2770">
            <w:pPr>
              <w:jc w:val="both"/>
            </w:pPr>
            <w:r w:rsidRPr="00B01372">
              <w:t>- key challenges encountered</w:t>
            </w:r>
            <w:r w:rsidR="009467AE" w:rsidRPr="00B01372">
              <w:t xml:space="preserve"> in promoting green public procurement</w:t>
            </w:r>
            <w:r w:rsidRPr="00B01372">
              <w:t>, if any</w:t>
            </w:r>
          </w:p>
          <w:p w14:paraId="79F3F3F2" w14:textId="595D7599" w:rsidR="00CA2770" w:rsidRPr="00CA2770" w:rsidRDefault="00CA2770" w:rsidP="00CA2770">
            <w:pPr>
              <w:ind w:left="720"/>
              <w:jc w:val="both"/>
              <w:rPr>
                <w:rFonts w:ascii="Calibri" w:eastAsia="Calibri" w:hAnsi="Calibri" w:cs="Times New Roman"/>
                <w:color w:val="FF0000"/>
              </w:rPr>
            </w:pPr>
            <w:r w:rsidRPr="00CA2770">
              <w:rPr>
                <w:rFonts w:ascii="Calibri" w:eastAsia="Calibri" w:hAnsi="Calibri" w:cs="Times New Roman"/>
                <w:color w:val="FF0000"/>
              </w:rPr>
              <w:t>- lack of initiative to change patterns of behaviour</w:t>
            </w:r>
          </w:p>
          <w:p w14:paraId="1EE28F17" w14:textId="77777777" w:rsidR="00CA2770" w:rsidRPr="00CA2770" w:rsidRDefault="00CA2770" w:rsidP="00CA2770">
            <w:pPr>
              <w:ind w:left="720"/>
              <w:jc w:val="both"/>
              <w:rPr>
                <w:rFonts w:ascii="Calibri" w:eastAsia="Calibri" w:hAnsi="Calibri" w:cs="Times New Roman"/>
                <w:color w:val="FF0000"/>
              </w:rPr>
            </w:pPr>
            <w:r w:rsidRPr="00CA2770">
              <w:rPr>
                <w:rFonts w:ascii="Calibri" w:eastAsia="Calibri" w:hAnsi="Calibri" w:cs="Times New Roman"/>
                <w:color w:val="FF0000"/>
              </w:rPr>
              <w:t>- lack of information on GPP and examples of good practice</w:t>
            </w:r>
          </w:p>
          <w:p w14:paraId="749828B7" w14:textId="77777777" w:rsidR="00CA2770" w:rsidRPr="00CA2770" w:rsidRDefault="00CA2770" w:rsidP="00CA2770">
            <w:pPr>
              <w:ind w:left="720"/>
              <w:jc w:val="both"/>
              <w:rPr>
                <w:rFonts w:ascii="Calibri" w:eastAsia="Calibri" w:hAnsi="Calibri" w:cs="Times New Roman"/>
                <w:color w:val="FF0000"/>
              </w:rPr>
            </w:pPr>
            <w:r w:rsidRPr="00CA2770">
              <w:rPr>
                <w:rFonts w:ascii="Calibri" w:eastAsia="Calibri" w:hAnsi="Calibri" w:cs="Times New Roman"/>
                <w:color w:val="FF0000"/>
              </w:rPr>
              <w:t>- lack of green products and services on Croatian market and among Croatian producers</w:t>
            </w:r>
          </w:p>
          <w:p w14:paraId="44DFEDA7" w14:textId="3F730534" w:rsidR="00CA2770" w:rsidRPr="00CA2770" w:rsidRDefault="00CA2770" w:rsidP="00CA2770">
            <w:pPr>
              <w:ind w:left="720"/>
              <w:jc w:val="both"/>
              <w:rPr>
                <w:rFonts w:ascii="Calibri" w:eastAsia="Calibri" w:hAnsi="Calibri" w:cs="Times New Roman"/>
                <w:color w:val="FF0000"/>
              </w:rPr>
            </w:pPr>
            <w:r w:rsidRPr="00CA2770">
              <w:rPr>
                <w:rFonts w:ascii="Calibri" w:eastAsia="Calibri" w:hAnsi="Calibri" w:cs="Times New Roman"/>
                <w:color w:val="FF0000"/>
              </w:rPr>
              <w:t>- lack of legal framework for stronger use of GPP</w:t>
            </w:r>
          </w:p>
          <w:p w14:paraId="0394C84F" w14:textId="15BE9AE6" w:rsidR="005F0ADF" w:rsidRDefault="005F0ADF" w:rsidP="00CA2770">
            <w:pPr>
              <w:jc w:val="both"/>
            </w:pPr>
            <w:r w:rsidRPr="00B01372">
              <w:t xml:space="preserve">- measures taken to overcome them </w:t>
            </w:r>
          </w:p>
          <w:p w14:paraId="65605B85" w14:textId="149EFD73" w:rsidR="00CA2770" w:rsidRPr="00CA2770" w:rsidRDefault="00CA2770" w:rsidP="00CA2770">
            <w:pPr>
              <w:jc w:val="both"/>
              <w:rPr>
                <w:rFonts w:ascii="Calibri" w:eastAsia="Calibri" w:hAnsi="Calibri" w:cs="Times New Roman"/>
                <w:color w:val="FF0000"/>
              </w:rPr>
            </w:pPr>
            <w:r w:rsidRPr="00CA2770">
              <w:rPr>
                <w:rFonts w:ascii="Calibri" w:eastAsia="Calibri" w:hAnsi="Calibri" w:cs="Times New Roman"/>
                <w:color w:val="FF0000"/>
              </w:rPr>
              <w:t xml:space="preserve">In order to overcome key challenges in the implementation of GPP, in 2017, a series of activities and measures from First National </w:t>
            </w:r>
            <w:r w:rsidR="001340F2">
              <w:rPr>
                <w:rFonts w:ascii="Calibri" w:eastAsia="Calibri" w:hAnsi="Calibri" w:cs="Times New Roman"/>
                <w:color w:val="FF0000"/>
              </w:rPr>
              <w:t>A</w:t>
            </w:r>
            <w:r w:rsidRPr="00CA2770">
              <w:rPr>
                <w:rFonts w:ascii="Calibri" w:eastAsia="Calibri" w:hAnsi="Calibri" w:cs="Times New Roman"/>
                <w:color w:val="FF0000"/>
              </w:rPr>
              <w:t xml:space="preserve">ction </w:t>
            </w:r>
            <w:r w:rsidR="001340F2">
              <w:rPr>
                <w:rFonts w:ascii="Calibri" w:eastAsia="Calibri" w:hAnsi="Calibri" w:cs="Times New Roman"/>
                <w:color w:val="FF0000"/>
              </w:rPr>
              <w:t>P</w:t>
            </w:r>
            <w:r w:rsidRPr="00CA2770">
              <w:rPr>
                <w:rFonts w:ascii="Calibri" w:eastAsia="Calibri" w:hAnsi="Calibri" w:cs="Times New Roman"/>
                <w:color w:val="FF0000"/>
              </w:rPr>
              <w:t xml:space="preserve">lan for </w:t>
            </w:r>
            <w:r w:rsidR="001340F2">
              <w:rPr>
                <w:rFonts w:ascii="Calibri" w:eastAsia="Calibri" w:hAnsi="Calibri" w:cs="Times New Roman"/>
                <w:color w:val="FF0000"/>
              </w:rPr>
              <w:t>G</w:t>
            </w:r>
            <w:r w:rsidRPr="00CA2770">
              <w:rPr>
                <w:rFonts w:ascii="Calibri" w:eastAsia="Calibri" w:hAnsi="Calibri" w:cs="Times New Roman"/>
                <w:color w:val="FF0000"/>
              </w:rPr>
              <w:t xml:space="preserve">reen </w:t>
            </w:r>
            <w:r w:rsidR="001340F2">
              <w:rPr>
                <w:rFonts w:ascii="Calibri" w:eastAsia="Calibri" w:hAnsi="Calibri" w:cs="Times New Roman"/>
                <w:color w:val="FF0000"/>
              </w:rPr>
              <w:t>P</w:t>
            </w:r>
            <w:r w:rsidRPr="00CA2770">
              <w:rPr>
                <w:rFonts w:ascii="Calibri" w:eastAsia="Calibri" w:hAnsi="Calibri" w:cs="Times New Roman"/>
                <w:color w:val="FF0000"/>
              </w:rPr>
              <w:t xml:space="preserve">ublic </w:t>
            </w:r>
            <w:r w:rsidR="001340F2">
              <w:rPr>
                <w:rFonts w:ascii="Calibri" w:eastAsia="Calibri" w:hAnsi="Calibri" w:cs="Times New Roman"/>
                <w:color w:val="FF0000"/>
              </w:rPr>
              <w:t>P</w:t>
            </w:r>
            <w:r w:rsidRPr="00CA2770">
              <w:rPr>
                <w:rFonts w:ascii="Calibri" w:eastAsia="Calibri" w:hAnsi="Calibri" w:cs="Times New Roman"/>
                <w:color w:val="FF0000"/>
              </w:rPr>
              <w:t>rocurement (2015 – 2017) were undertaken in the following areas:</w:t>
            </w:r>
          </w:p>
          <w:p w14:paraId="3CA3E4CB" w14:textId="77777777" w:rsidR="00CA2770" w:rsidRPr="00CA2770" w:rsidRDefault="00CA2770" w:rsidP="00CA2770">
            <w:pPr>
              <w:jc w:val="both"/>
              <w:rPr>
                <w:rFonts w:ascii="Calibri" w:eastAsia="Calibri" w:hAnsi="Calibri" w:cs="Times New Roman"/>
                <w:color w:val="FF0000"/>
                <w:u w:val="single"/>
              </w:rPr>
            </w:pPr>
            <w:r w:rsidRPr="00CA2770">
              <w:rPr>
                <w:rFonts w:ascii="Calibri" w:eastAsia="Calibri" w:hAnsi="Calibri" w:cs="Times New Roman"/>
                <w:color w:val="FF0000"/>
                <w:u w:val="single"/>
              </w:rPr>
              <w:t>Education</w:t>
            </w:r>
          </w:p>
          <w:p w14:paraId="768D13AA" w14:textId="404F8AF4" w:rsidR="00CA2770" w:rsidRPr="00CA2770" w:rsidRDefault="00CA2770" w:rsidP="00CA2770">
            <w:pPr>
              <w:jc w:val="both"/>
              <w:rPr>
                <w:rFonts w:ascii="Calibri" w:eastAsia="Calibri" w:hAnsi="Calibri" w:cs="Times New Roman"/>
                <w:color w:val="FF0000"/>
              </w:rPr>
            </w:pPr>
            <w:r w:rsidRPr="00CA2770">
              <w:rPr>
                <w:rFonts w:ascii="Calibri" w:eastAsia="Calibri" w:hAnsi="Calibri" w:cs="Times New Roman"/>
                <w:color w:val="FF0000"/>
              </w:rPr>
              <w:t>- four workshops were organized on the theme of GPP for procurers in four largest  Croatian cities</w:t>
            </w:r>
            <w:r w:rsidR="001340F2">
              <w:rPr>
                <w:rFonts w:ascii="Calibri" w:eastAsia="Calibri" w:hAnsi="Calibri" w:cs="Times New Roman"/>
                <w:color w:val="FF0000"/>
              </w:rPr>
              <w:t>,</w:t>
            </w:r>
            <w:r w:rsidR="001340F2" w:rsidRPr="00CA2770">
              <w:rPr>
                <w:rFonts w:ascii="Calibri" w:eastAsia="Calibri" w:hAnsi="Calibri" w:cs="Times New Roman"/>
                <w:color w:val="FF0000"/>
              </w:rPr>
              <w:t xml:space="preserve"> </w:t>
            </w:r>
            <w:r w:rsidR="001340F2" w:rsidRPr="00CA2770">
              <w:rPr>
                <w:rFonts w:ascii="Calibri" w:eastAsia="Calibri" w:hAnsi="Calibri" w:cs="Times New Roman"/>
                <w:color w:val="FF0000"/>
              </w:rPr>
              <w:t>free of charge</w:t>
            </w:r>
          </w:p>
          <w:p w14:paraId="1D384B62" w14:textId="17C1E643" w:rsidR="00CA2770" w:rsidRPr="00CA2770" w:rsidRDefault="00CA2770" w:rsidP="00CA2770">
            <w:pPr>
              <w:jc w:val="both"/>
              <w:rPr>
                <w:rFonts w:ascii="Calibri" w:eastAsia="Calibri" w:hAnsi="Calibri" w:cs="Times New Roman"/>
                <w:color w:val="FF0000"/>
              </w:rPr>
            </w:pPr>
            <w:r w:rsidRPr="00CA2770">
              <w:rPr>
                <w:rFonts w:ascii="Calibri" w:eastAsia="Calibri" w:hAnsi="Calibri" w:cs="Times New Roman"/>
                <w:color w:val="FF0000"/>
              </w:rPr>
              <w:t>- four workshops were organized on the theme of GPP for trainers in the field of public procurement in four largest Croatian cities</w:t>
            </w:r>
            <w:r w:rsidR="001340F2">
              <w:rPr>
                <w:rFonts w:ascii="Calibri" w:eastAsia="Calibri" w:hAnsi="Calibri" w:cs="Times New Roman"/>
                <w:color w:val="FF0000"/>
              </w:rPr>
              <w:t>,</w:t>
            </w:r>
            <w:r w:rsidR="001340F2" w:rsidRPr="00CA2770">
              <w:rPr>
                <w:rFonts w:ascii="Calibri" w:eastAsia="Calibri" w:hAnsi="Calibri" w:cs="Times New Roman"/>
                <w:color w:val="FF0000"/>
              </w:rPr>
              <w:t xml:space="preserve"> </w:t>
            </w:r>
            <w:r w:rsidR="001340F2" w:rsidRPr="00CA2770">
              <w:rPr>
                <w:rFonts w:ascii="Calibri" w:eastAsia="Calibri" w:hAnsi="Calibri" w:cs="Times New Roman"/>
                <w:color w:val="FF0000"/>
              </w:rPr>
              <w:t>free of charge</w:t>
            </w:r>
          </w:p>
          <w:p w14:paraId="13B0B45D" w14:textId="77777777" w:rsidR="00CA2770" w:rsidRPr="00CA2770" w:rsidRDefault="00CA2770" w:rsidP="00CA2770">
            <w:pPr>
              <w:jc w:val="both"/>
              <w:rPr>
                <w:rFonts w:ascii="Calibri" w:eastAsia="Calibri" w:hAnsi="Calibri" w:cs="Times New Roman"/>
                <w:color w:val="FF0000"/>
              </w:rPr>
            </w:pPr>
            <w:r w:rsidRPr="00CA2770">
              <w:rPr>
                <w:rFonts w:ascii="Calibri" w:eastAsia="Calibri" w:hAnsi="Calibri" w:cs="Times New Roman"/>
                <w:color w:val="FF0000"/>
              </w:rPr>
              <w:t>- GPP is included in the framework of regular public procurement education</w:t>
            </w:r>
          </w:p>
          <w:p w14:paraId="7D040B61" w14:textId="77777777" w:rsidR="00CA2770" w:rsidRPr="00CA2770" w:rsidRDefault="00CA2770" w:rsidP="00CA2770">
            <w:pPr>
              <w:jc w:val="both"/>
              <w:rPr>
                <w:rFonts w:ascii="Calibri" w:eastAsia="Calibri" w:hAnsi="Calibri" w:cs="Times New Roman"/>
                <w:color w:val="FF0000"/>
                <w:u w:val="single"/>
              </w:rPr>
            </w:pPr>
            <w:r w:rsidRPr="00CA2770">
              <w:rPr>
                <w:rFonts w:ascii="Calibri" w:eastAsia="Calibri" w:hAnsi="Calibri" w:cs="Times New Roman"/>
                <w:color w:val="FF0000"/>
                <w:u w:val="single"/>
              </w:rPr>
              <w:t>Promotion</w:t>
            </w:r>
          </w:p>
          <w:p w14:paraId="1F357FE7" w14:textId="3D822054" w:rsidR="00CA2770" w:rsidRPr="00CA2770" w:rsidRDefault="00CA2770" w:rsidP="00CA2770">
            <w:pPr>
              <w:jc w:val="both"/>
              <w:rPr>
                <w:rFonts w:ascii="Calibri" w:eastAsia="Calibri" w:hAnsi="Calibri" w:cs="Times New Roman"/>
                <w:color w:val="FF0000"/>
              </w:rPr>
            </w:pPr>
            <w:r w:rsidRPr="00CA2770">
              <w:rPr>
                <w:rFonts w:ascii="Calibri" w:eastAsia="Calibri" w:hAnsi="Calibri" w:cs="Times New Roman"/>
                <w:color w:val="FF0000"/>
              </w:rPr>
              <w:t xml:space="preserve">- </w:t>
            </w:r>
            <w:proofErr w:type="gramStart"/>
            <w:r w:rsidRPr="00CA2770">
              <w:rPr>
                <w:rFonts w:ascii="Calibri" w:eastAsia="Calibri" w:hAnsi="Calibri" w:cs="Times New Roman"/>
                <w:color w:val="FF0000"/>
              </w:rPr>
              <w:t>in</w:t>
            </w:r>
            <w:proofErr w:type="gramEnd"/>
            <w:r w:rsidRPr="00CA2770">
              <w:rPr>
                <w:rFonts w:ascii="Calibri" w:eastAsia="Calibri" w:hAnsi="Calibri" w:cs="Times New Roman"/>
                <w:color w:val="FF0000"/>
              </w:rPr>
              <w:t xml:space="preserve"> 2017 national GPP portal was created (</w:t>
            </w:r>
            <w:hyperlink r:id="rId20" w:history="1">
              <w:r w:rsidRPr="00CA2770">
                <w:rPr>
                  <w:rStyle w:val="Hyperlink"/>
                  <w:rFonts w:ascii="Calibri" w:eastAsia="Calibri" w:hAnsi="Calibri" w:cs="Times New Roman"/>
                  <w:color w:val="FF0000"/>
                </w:rPr>
                <w:t>www.zelenanabava.hr</w:t>
              </w:r>
            </w:hyperlink>
            <w:r w:rsidRPr="00CA2770">
              <w:rPr>
                <w:rFonts w:ascii="Calibri" w:eastAsia="Calibri" w:hAnsi="Calibri" w:cs="Times New Roman"/>
                <w:color w:val="FF0000"/>
              </w:rPr>
              <w:t xml:space="preserve">). It serves as a unique </w:t>
            </w:r>
            <w:r w:rsidR="001340F2">
              <w:rPr>
                <w:rFonts w:ascii="Calibri" w:eastAsia="Calibri" w:hAnsi="Calibri" w:cs="Times New Roman"/>
                <w:color w:val="FF0000"/>
              </w:rPr>
              <w:t>platform</w:t>
            </w:r>
            <w:r w:rsidRPr="00CA2770">
              <w:rPr>
                <w:rFonts w:ascii="Calibri" w:eastAsia="Calibri" w:hAnsi="Calibri" w:cs="Times New Roman"/>
                <w:color w:val="FF0000"/>
              </w:rPr>
              <w:t xml:space="preserve"> in the Croatian language for the publication of all information relevant for the GPP (examples of good practice, training materials, e-learning materials, webinars, e-courses, photos and multimedia content, lifecycle cost calculators and other)</w:t>
            </w:r>
          </w:p>
          <w:p w14:paraId="6278778A" w14:textId="77777777" w:rsidR="00CA2770" w:rsidRPr="00CA2770" w:rsidRDefault="00CA2770" w:rsidP="00CA2770">
            <w:pPr>
              <w:jc w:val="both"/>
              <w:rPr>
                <w:rFonts w:ascii="Calibri" w:eastAsia="Calibri" w:hAnsi="Calibri" w:cs="Times New Roman"/>
                <w:color w:val="FF0000"/>
              </w:rPr>
            </w:pPr>
            <w:r w:rsidRPr="00CA2770">
              <w:rPr>
                <w:rFonts w:ascii="Calibri" w:eastAsia="Calibri" w:hAnsi="Calibri" w:cs="Times New Roman"/>
                <w:color w:val="FF0000"/>
              </w:rPr>
              <w:lastRenderedPageBreak/>
              <w:t>- GPP logo and banner was created and an advertising campaign was conducted</w:t>
            </w:r>
          </w:p>
          <w:p w14:paraId="428ED2EF" w14:textId="77777777" w:rsidR="00CA2770" w:rsidRPr="00CA2770" w:rsidRDefault="00CA2770" w:rsidP="00CA2770">
            <w:pPr>
              <w:jc w:val="both"/>
              <w:rPr>
                <w:rFonts w:ascii="Calibri" w:eastAsia="Calibri" w:hAnsi="Calibri" w:cs="Times New Roman"/>
                <w:color w:val="FF0000"/>
                <w:u w:val="single"/>
              </w:rPr>
            </w:pPr>
            <w:r w:rsidRPr="00CA2770">
              <w:rPr>
                <w:rFonts w:ascii="Calibri" w:eastAsia="Calibri" w:hAnsi="Calibri" w:cs="Times New Roman"/>
                <w:color w:val="FF0000"/>
                <w:u w:val="single"/>
              </w:rPr>
              <w:t xml:space="preserve">Inclusion of GPP criteria in public procurement procedures </w:t>
            </w:r>
          </w:p>
          <w:p w14:paraId="7C3EE094" w14:textId="7403046A" w:rsidR="00CA2770" w:rsidRPr="00CA2770" w:rsidRDefault="00CA2770" w:rsidP="00CA2770">
            <w:pPr>
              <w:jc w:val="both"/>
              <w:rPr>
                <w:rFonts w:ascii="Calibri" w:eastAsia="Calibri" w:hAnsi="Calibri" w:cs="Times New Roman"/>
                <w:color w:val="FF0000"/>
              </w:rPr>
            </w:pPr>
            <w:r w:rsidRPr="00CA2770">
              <w:rPr>
                <w:rFonts w:ascii="Calibri" w:eastAsia="Calibri" w:hAnsi="Calibri" w:cs="Times New Roman"/>
                <w:color w:val="FF0000"/>
              </w:rPr>
              <w:t xml:space="preserve">- through the work of the national GPP Committee  and in other ways, all public procurement stakeholders </w:t>
            </w:r>
            <w:r w:rsidR="001340F2">
              <w:rPr>
                <w:rFonts w:ascii="Calibri" w:eastAsia="Calibri" w:hAnsi="Calibri" w:cs="Times New Roman"/>
                <w:color w:val="FF0000"/>
              </w:rPr>
              <w:t xml:space="preserve">are encouraged </w:t>
            </w:r>
            <w:r w:rsidRPr="00CA2770">
              <w:rPr>
                <w:rFonts w:ascii="Calibri" w:eastAsia="Calibri" w:hAnsi="Calibri" w:cs="Times New Roman"/>
                <w:color w:val="FF0000"/>
              </w:rPr>
              <w:t>to include GPP criteria in public procurement procedures</w:t>
            </w:r>
          </w:p>
          <w:p w14:paraId="133A9218" w14:textId="77777777" w:rsidR="00CA2770" w:rsidRPr="00CA2770" w:rsidRDefault="00CA2770" w:rsidP="00CA2770">
            <w:pPr>
              <w:jc w:val="both"/>
              <w:rPr>
                <w:rFonts w:ascii="Calibri" w:eastAsia="Calibri" w:hAnsi="Calibri" w:cs="Times New Roman"/>
                <w:color w:val="FF0000"/>
                <w:u w:val="single"/>
              </w:rPr>
            </w:pPr>
            <w:r w:rsidRPr="00CA2770">
              <w:rPr>
                <w:rFonts w:ascii="Calibri" w:eastAsia="Calibri" w:hAnsi="Calibri" w:cs="Times New Roman"/>
                <w:color w:val="FF0000"/>
                <w:u w:val="single"/>
              </w:rPr>
              <w:t xml:space="preserve">Monitoring </w:t>
            </w:r>
          </w:p>
          <w:p w14:paraId="49034DCD" w14:textId="2D1CE52D" w:rsidR="00CA2770" w:rsidRPr="00CA2770" w:rsidRDefault="00CA2770" w:rsidP="00CA2770">
            <w:pPr>
              <w:jc w:val="both"/>
              <w:rPr>
                <w:rFonts w:ascii="Calibri" w:eastAsia="Calibri" w:hAnsi="Calibri" w:cs="Times New Roman"/>
                <w:color w:val="FF0000"/>
              </w:rPr>
            </w:pPr>
            <w:r w:rsidRPr="00CA2770">
              <w:rPr>
                <w:rFonts w:ascii="Calibri" w:eastAsia="Calibri" w:hAnsi="Calibri" w:cs="Times New Roman"/>
                <w:color w:val="FF0000"/>
              </w:rPr>
              <w:t xml:space="preserve">Every legal body in Croatia that is obligated to follow the procedures of public procurements according to the Croatian Public Procurement Act is monitored through </w:t>
            </w:r>
            <w:r w:rsidR="001340F2">
              <w:rPr>
                <w:rFonts w:ascii="Calibri" w:eastAsia="Calibri" w:hAnsi="Calibri" w:cs="Times New Roman"/>
                <w:color w:val="FF0000"/>
              </w:rPr>
              <w:t>in two ways:</w:t>
            </w:r>
          </w:p>
          <w:p w14:paraId="1ECC9C53" w14:textId="44AC6994" w:rsidR="00CA2770" w:rsidRPr="00CA2770" w:rsidRDefault="00CA2770" w:rsidP="00E3206F">
            <w:pPr>
              <w:numPr>
                <w:ilvl w:val="0"/>
                <w:numId w:val="16"/>
              </w:numPr>
              <w:contextualSpacing/>
              <w:rPr>
                <w:rFonts w:ascii="Calibri" w:eastAsia="Times New Roman" w:hAnsi="Calibri" w:cs="Times New Roman"/>
                <w:color w:val="FF0000"/>
                <w:lang w:eastAsia="de-AT"/>
              </w:rPr>
            </w:pPr>
            <w:proofErr w:type="gramStart"/>
            <w:r w:rsidRPr="00CA2770">
              <w:rPr>
                <w:rFonts w:ascii="Calibri" w:eastAsia="Times New Roman" w:hAnsi="Calibri" w:cs="Times New Roman"/>
                <w:color w:val="FF0000"/>
                <w:lang w:eastAsia="de-AT"/>
              </w:rPr>
              <w:t>through</w:t>
            </w:r>
            <w:proofErr w:type="gramEnd"/>
            <w:r w:rsidRPr="00CA2770">
              <w:rPr>
                <w:rFonts w:ascii="Calibri" w:eastAsia="Times New Roman" w:hAnsi="Calibri" w:cs="Times New Roman"/>
                <w:color w:val="FF0000"/>
                <w:lang w:eastAsia="de-AT"/>
              </w:rPr>
              <w:t xml:space="preserve"> official Electronic Public Procurement </w:t>
            </w:r>
            <w:r w:rsidR="00C92EB5">
              <w:rPr>
                <w:rFonts w:ascii="Calibri" w:eastAsia="Times New Roman" w:hAnsi="Calibri" w:cs="Times New Roman"/>
                <w:color w:val="FF0000"/>
                <w:lang w:eastAsia="de-AT"/>
              </w:rPr>
              <w:t>Classifieds</w:t>
            </w:r>
            <w:r w:rsidRPr="00CA2770">
              <w:rPr>
                <w:rFonts w:ascii="Calibri" w:eastAsia="Times New Roman" w:hAnsi="Calibri" w:cs="Times New Roman"/>
                <w:color w:val="FF0000"/>
                <w:lang w:eastAsia="de-AT"/>
              </w:rPr>
              <w:t xml:space="preserve"> (EOJN; since 2015 on annual basis). EOJN gives simple information about the use of environmental criteria in public procurement when the contract is concluded.</w:t>
            </w:r>
          </w:p>
          <w:p w14:paraId="2A95D061" w14:textId="77777777" w:rsidR="00CA2770" w:rsidRPr="00CA2770" w:rsidRDefault="00CA2770" w:rsidP="00E3206F">
            <w:pPr>
              <w:numPr>
                <w:ilvl w:val="0"/>
                <w:numId w:val="16"/>
              </w:numPr>
              <w:contextualSpacing/>
              <w:rPr>
                <w:rFonts w:ascii="Calibri" w:eastAsia="Times New Roman" w:hAnsi="Calibri" w:cs="Times New Roman"/>
                <w:color w:val="FF0000"/>
                <w:lang w:eastAsia="de-AT"/>
              </w:rPr>
            </w:pPr>
            <w:proofErr w:type="gramStart"/>
            <w:r w:rsidRPr="00CA2770">
              <w:rPr>
                <w:rFonts w:ascii="Calibri" w:eastAsia="Times New Roman" w:hAnsi="Calibri" w:cs="Times New Roman"/>
                <w:color w:val="FF0000"/>
                <w:lang w:eastAsia="de-AT"/>
              </w:rPr>
              <w:t>through</w:t>
            </w:r>
            <w:proofErr w:type="gramEnd"/>
            <w:r w:rsidRPr="00CA2770">
              <w:rPr>
                <w:rFonts w:ascii="Calibri" w:eastAsia="Times New Roman" w:hAnsi="Calibri" w:cs="Times New Roman"/>
                <w:color w:val="FF0000"/>
                <w:lang w:eastAsia="de-AT"/>
              </w:rPr>
              <w:t xml:space="preserve"> on-line forms survey (since 2016 on annual basis). The on-line form survey was taken to get more detailed information and will be used to monitor progress of the use of GPP criteria.</w:t>
            </w:r>
          </w:p>
          <w:p w14:paraId="3A9B7A4D" w14:textId="77777777" w:rsidR="00CA2770" w:rsidRPr="00B01372" w:rsidRDefault="00CA2770" w:rsidP="00CA2770">
            <w:pPr>
              <w:jc w:val="both"/>
            </w:pPr>
          </w:p>
          <w:p w14:paraId="7B83FBA8" w14:textId="77777777" w:rsidR="005F0ADF" w:rsidRDefault="005F0ADF" w:rsidP="00CA2770">
            <w:pPr>
              <w:jc w:val="both"/>
              <w:rPr>
                <w:i/>
              </w:rPr>
            </w:pPr>
            <w:r w:rsidRPr="00B01372">
              <w:t xml:space="preserve">- </w:t>
            </w:r>
            <w:r w:rsidR="0064577E" w:rsidRPr="00B01372">
              <w:t xml:space="preserve">difficulties still </w:t>
            </w:r>
            <w:r w:rsidR="0064577E">
              <w:t>existing in the Member State</w:t>
            </w:r>
          </w:p>
          <w:p w14:paraId="1B636531" w14:textId="77777777" w:rsidR="00CA2770" w:rsidRPr="00CA2770" w:rsidRDefault="00CA2770" w:rsidP="00CA2770">
            <w:pPr>
              <w:jc w:val="both"/>
              <w:rPr>
                <w:rFonts w:ascii="Calibri" w:eastAsia="Calibri" w:hAnsi="Calibri" w:cs="Times New Roman"/>
                <w:color w:val="FF0000"/>
              </w:rPr>
            </w:pPr>
            <w:r w:rsidRPr="00CA2770">
              <w:rPr>
                <w:rFonts w:ascii="Calibri" w:eastAsia="Calibri" w:hAnsi="Calibri" w:cs="Times New Roman"/>
                <w:color w:val="FF0000"/>
              </w:rPr>
              <w:t>For better implementation of the GPP, it is necessary to continue with the development of supporting infrastructure (helpdesk, portal etc.) as well as with education that needs to be directed to decision-makers, especially ones at local and regional level. It is also necessary to improve the public procurement monitoring system through the EOJN.</w:t>
            </w:r>
          </w:p>
          <w:p w14:paraId="4F2DD1B5" w14:textId="77777777" w:rsidR="00CA2770" w:rsidRPr="00CA2770" w:rsidRDefault="00CA2770" w:rsidP="00CA2770">
            <w:pPr>
              <w:jc w:val="both"/>
              <w:rPr>
                <w:rFonts w:ascii="Calibri" w:eastAsia="Calibri" w:hAnsi="Calibri" w:cs="Times New Roman"/>
                <w:color w:val="FF0000"/>
                <w:highlight w:val="yellow"/>
              </w:rPr>
            </w:pPr>
            <w:r w:rsidRPr="00CA2770">
              <w:rPr>
                <w:rFonts w:ascii="Calibri" w:eastAsia="Calibri" w:hAnsi="Calibri" w:cs="Times New Roman"/>
                <w:color w:val="FF0000"/>
              </w:rPr>
              <w:t>The change of behaviour patterns must start from the level of the decision-makers who must give their clear political support to change and set the GPP commitments at a strategic level.</w:t>
            </w:r>
          </w:p>
          <w:p w14:paraId="5A9E4B24" w14:textId="1E7B4E9F" w:rsidR="00CA2770" w:rsidRPr="00B01372" w:rsidRDefault="00CA2770" w:rsidP="00CA2770">
            <w:pPr>
              <w:jc w:val="both"/>
            </w:pPr>
          </w:p>
        </w:tc>
      </w:tr>
      <w:tr w:rsidR="005F0ADF" w:rsidRPr="00B01372" w14:paraId="70A73762" w14:textId="77777777" w:rsidTr="00A25DEB">
        <w:tc>
          <w:tcPr>
            <w:tcW w:w="1648" w:type="pct"/>
          </w:tcPr>
          <w:p w14:paraId="1F75A8FE" w14:textId="756A27F1" w:rsidR="005F0ADF" w:rsidRPr="00B01372" w:rsidRDefault="00D5004D" w:rsidP="00A25DEB">
            <w:pPr>
              <w:pStyle w:val="Heading3"/>
              <w:outlineLvl w:val="2"/>
            </w:pPr>
            <w:r w:rsidRPr="00B01372">
              <w:lastRenderedPageBreak/>
              <w:t>V</w:t>
            </w:r>
            <w:r w:rsidR="005F0ADF" w:rsidRPr="00B01372">
              <w:t xml:space="preserve">.1.2. </w:t>
            </w:r>
            <w:r w:rsidR="0037143F" w:rsidRPr="0037143F">
              <w:t>Supporting documents</w:t>
            </w:r>
          </w:p>
        </w:tc>
        <w:tc>
          <w:tcPr>
            <w:tcW w:w="3352" w:type="pct"/>
          </w:tcPr>
          <w:p w14:paraId="7FE0DDBA" w14:textId="77777777" w:rsidR="005F0ADF" w:rsidRPr="00B01372" w:rsidRDefault="005F0ADF" w:rsidP="00A25DEB">
            <w:pPr>
              <w:rPr>
                <w:i/>
              </w:rPr>
            </w:pPr>
          </w:p>
        </w:tc>
      </w:tr>
      <w:tr w:rsidR="005F0ADF" w:rsidRPr="00B01372" w14:paraId="0FD36345" w14:textId="77777777" w:rsidTr="00A25DEB">
        <w:tc>
          <w:tcPr>
            <w:tcW w:w="1648" w:type="pct"/>
          </w:tcPr>
          <w:p w14:paraId="5A048C62" w14:textId="048B32BA" w:rsidR="005F0ADF" w:rsidRPr="00B01372" w:rsidRDefault="005F0ADF" w:rsidP="00A25DEB">
            <w:pPr>
              <w:pStyle w:val="Heading3"/>
              <w:outlineLvl w:val="2"/>
              <w:rPr>
                <w:b w:val="0"/>
              </w:rPr>
            </w:pPr>
            <w:r w:rsidRPr="00B01372">
              <w:rPr>
                <w:b w:val="0"/>
              </w:rPr>
              <w:t xml:space="preserve">Please report any available evidence or supporting document </w:t>
            </w:r>
            <w:r w:rsidR="006753EC" w:rsidRPr="00B01372">
              <w:rPr>
                <w:b w:val="0"/>
              </w:rPr>
              <w:t xml:space="preserve">for point </w:t>
            </w:r>
            <w:r w:rsidR="00426F49" w:rsidRPr="00B01372">
              <w:rPr>
                <w:b w:val="0"/>
              </w:rPr>
              <w:t>V</w:t>
            </w:r>
            <w:r w:rsidR="006753EC" w:rsidRPr="00B01372">
              <w:rPr>
                <w:b w:val="0"/>
              </w:rPr>
              <w:t xml:space="preserve">.1, </w:t>
            </w:r>
            <w:r w:rsidRPr="00B01372">
              <w:rPr>
                <w:b w:val="0"/>
              </w:rPr>
              <w:t xml:space="preserve">illustrating the measures, achievements or challenges faced, relating to the </w:t>
            </w:r>
            <w:r w:rsidR="00C96DD0" w:rsidRPr="00B01372">
              <w:rPr>
                <w:b w:val="0"/>
              </w:rPr>
              <w:t>promotion</w:t>
            </w:r>
            <w:r w:rsidRPr="00B01372">
              <w:rPr>
                <w:b w:val="0"/>
              </w:rPr>
              <w:t xml:space="preserve"> of </w:t>
            </w:r>
            <w:r w:rsidR="003236CE" w:rsidRPr="00B01372">
              <w:rPr>
                <w:b w:val="0"/>
              </w:rPr>
              <w:t>green public</w:t>
            </w:r>
            <w:r w:rsidRPr="00B01372">
              <w:rPr>
                <w:b w:val="0"/>
              </w:rPr>
              <w:t xml:space="preserve"> procurement. </w:t>
            </w:r>
          </w:p>
        </w:tc>
        <w:tc>
          <w:tcPr>
            <w:tcW w:w="3352" w:type="pct"/>
          </w:tcPr>
          <w:p w14:paraId="7B8A6716" w14:textId="4DCCD886" w:rsidR="005F0ADF" w:rsidRPr="00B01372" w:rsidRDefault="005F0ADF" w:rsidP="00A25DEB">
            <w:pPr>
              <w:jc w:val="both"/>
              <w:rPr>
                <w:i/>
              </w:rPr>
            </w:pPr>
            <w:r w:rsidRPr="00B01372">
              <w:rPr>
                <w:i/>
              </w:rPr>
              <w:t>Possible relevant (non-exhaustive) documents for consideration may be as follows</w:t>
            </w:r>
            <w:r w:rsidR="00CB736C">
              <w:rPr>
                <w:i/>
              </w:rPr>
              <w:t xml:space="preserve"> (please provide a link to the document, and if possible, a summary of the document in English, if the document is in another language)</w:t>
            </w:r>
            <w:r w:rsidRPr="00B01372">
              <w:rPr>
                <w:i/>
              </w:rPr>
              <w:t>:</w:t>
            </w:r>
          </w:p>
          <w:p w14:paraId="3E505241" w14:textId="77777777" w:rsidR="003236CE" w:rsidRPr="00B01372" w:rsidRDefault="003236CE" w:rsidP="00E3206F">
            <w:pPr>
              <w:pStyle w:val="ListParagraph"/>
              <w:numPr>
                <w:ilvl w:val="0"/>
                <w:numId w:val="8"/>
              </w:numPr>
              <w:jc w:val="both"/>
              <w:rPr>
                <w:i/>
              </w:rPr>
            </w:pPr>
            <w:r w:rsidRPr="00B01372">
              <w:rPr>
                <w:i/>
              </w:rPr>
              <w:t>National definition of 'green' and 'green public procurement'</w:t>
            </w:r>
          </w:p>
          <w:p w14:paraId="7DDB306C" w14:textId="09E4101F" w:rsidR="005F0ADF" w:rsidRPr="00B01372" w:rsidRDefault="005F0ADF" w:rsidP="00E3206F">
            <w:pPr>
              <w:pStyle w:val="ListParagraph"/>
              <w:numPr>
                <w:ilvl w:val="0"/>
                <w:numId w:val="8"/>
              </w:numPr>
              <w:jc w:val="both"/>
              <w:rPr>
                <w:i/>
              </w:rPr>
            </w:pPr>
            <w:r w:rsidRPr="00B01372">
              <w:rPr>
                <w:i/>
              </w:rPr>
              <w:t>Information about National action plans or similar documents on GPP in your Member State and the stage of their implementation. Target for the uptake of GPP and the way it is defined i.e. for overall procurement, for specific product groups, by value, by number of contracts</w:t>
            </w:r>
          </w:p>
          <w:p w14:paraId="5CDD886F" w14:textId="355C37D2" w:rsidR="005F0ADF" w:rsidRPr="00B01372" w:rsidRDefault="005F0ADF" w:rsidP="00E3206F">
            <w:pPr>
              <w:pStyle w:val="ListParagraph"/>
              <w:numPr>
                <w:ilvl w:val="0"/>
                <w:numId w:val="8"/>
              </w:numPr>
              <w:jc w:val="both"/>
              <w:rPr>
                <w:i/>
              </w:rPr>
            </w:pPr>
            <w:r w:rsidRPr="00B01372">
              <w:rPr>
                <w:i/>
              </w:rPr>
              <w:t>Any obligations to include green requirements in the tender documents and the authorities for which they apply</w:t>
            </w:r>
          </w:p>
          <w:p w14:paraId="39C7E510" w14:textId="1BA192DC" w:rsidR="005F0ADF" w:rsidRPr="00B01372" w:rsidRDefault="005F0ADF" w:rsidP="00E3206F">
            <w:pPr>
              <w:pStyle w:val="ListParagraph"/>
              <w:numPr>
                <w:ilvl w:val="0"/>
                <w:numId w:val="8"/>
              </w:numPr>
              <w:jc w:val="both"/>
              <w:rPr>
                <w:i/>
              </w:rPr>
            </w:pPr>
            <w:r w:rsidRPr="00B01372">
              <w:rPr>
                <w:i/>
              </w:rPr>
              <w:t xml:space="preserve">Any recommendations concerning the use of specific selection criteria, technical specifications/award criteria/performance clauses which public authorities </w:t>
            </w:r>
            <w:r w:rsidR="00FF42D2">
              <w:rPr>
                <w:i/>
              </w:rPr>
              <w:t xml:space="preserve">or contracting </w:t>
            </w:r>
            <w:r w:rsidR="00FF42D2">
              <w:rPr>
                <w:i/>
              </w:rPr>
              <w:lastRenderedPageBreak/>
              <w:t>entities</w:t>
            </w:r>
            <w:r w:rsidR="00FF42D2" w:rsidRPr="00B01372">
              <w:rPr>
                <w:i/>
              </w:rPr>
              <w:t xml:space="preserve"> </w:t>
            </w:r>
            <w:r w:rsidRPr="00B01372">
              <w:rPr>
                <w:i/>
              </w:rPr>
              <w:t>wishing to procure green can include in their tender documentation. Categories of products for which these are relevant and the relevant website, if possible</w:t>
            </w:r>
          </w:p>
          <w:p w14:paraId="44AB6F61" w14:textId="77777777" w:rsidR="005F0ADF" w:rsidRPr="00B01372" w:rsidRDefault="005F0ADF" w:rsidP="00E3206F">
            <w:pPr>
              <w:pStyle w:val="ListParagraph"/>
              <w:numPr>
                <w:ilvl w:val="0"/>
                <w:numId w:val="8"/>
              </w:numPr>
              <w:jc w:val="both"/>
              <w:rPr>
                <w:i/>
              </w:rPr>
            </w:pPr>
            <w:r w:rsidRPr="00B01372">
              <w:rPr>
                <w:i/>
              </w:rPr>
              <w:t>Any information on environmental labels, environmental management systems or standards</w:t>
            </w:r>
          </w:p>
          <w:p w14:paraId="7FDCAA89" w14:textId="739D4A3A" w:rsidR="005F0ADF" w:rsidRPr="00B01372" w:rsidRDefault="005F0ADF" w:rsidP="00E3206F">
            <w:pPr>
              <w:pStyle w:val="ListParagraph"/>
              <w:numPr>
                <w:ilvl w:val="0"/>
                <w:numId w:val="8"/>
              </w:numPr>
              <w:jc w:val="both"/>
              <w:rPr>
                <w:i/>
              </w:rPr>
            </w:pPr>
            <w:r w:rsidRPr="00B01372">
              <w:rPr>
                <w:i/>
              </w:rPr>
              <w:t xml:space="preserve">Any recommendations to use the 'green procurement' criteria developed by the European Commission, respectively for which product groups. If different criteria are recommended, </w:t>
            </w:r>
            <w:r w:rsidR="003236CE" w:rsidRPr="00B01372">
              <w:rPr>
                <w:i/>
              </w:rPr>
              <w:t xml:space="preserve">please specify whether they </w:t>
            </w:r>
            <w:r w:rsidRPr="00B01372">
              <w:rPr>
                <w:i/>
              </w:rPr>
              <w:t>are similar</w:t>
            </w:r>
            <w:r w:rsidR="006753EC" w:rsidRPr="00B01372">
              <w:rPr>
                <w:i/>
              </w:rPr>
              <w:t xml:space="preserve"> to/inspired by the EU criteria</w:t>
            </w:r>
            <w:r w:rsidRPr="00B01372">
              <w:rPr>
                <w:i/>
              </w:rPr>
              <w:t xml:space="preserve">  </w:t>
            </w:r>
          </w:p>
          <w:p w14:paraId="60BEB930" w14:textId="17A488D4" w:rsidR="005F0ADF" w:rsidRPr="0008764B" w:rsidRDefault="005F0ADF" w:rsidP="00E3206F">
            <w:pPr>
              <w:pStyle w:val="ListParagraph"/>
              <w:numPr>
                <w:ilvl w:val="0"/>
                <w:numId w:val="8"/>
              </w:numPr>
              <w:jc w:val="both"/>
              <w:rPr>
                <w:i/>
              </w:rPr>
            </w:pPr>
            <w:r w:rsidRPr="00B01372">
              <w:rPr>
                <w:i/>
              </w:rPr>
              <w:t xml:space="preserve">Activities in the area of capacity-building </w:t>
            </w:r>
            <w:r w:rsidR="003236CE" w:rsidRPr="00B01372">
              <w:rPr>
                <w:i/>
              </w:rPr>
              <w:t>for</w:t>
            </w:r>
            <w:r w:rsidRPr="00B01372">
              <w:rPr>
                <w:i/>
              </w:rPr>
              <w:t xml:space="preserve"> procuring green (institutionalised or ad</w:t>
            </w:r>
            <w:r w:rsidR="006753EC" w:rsidRPr="00B01372">
              <w:rPr>
                <w:i/>
              </w:rPr>
              <w:t>-hoc training, helpdesks, etc.)</w:t>
            </w:r>
          </w:p>
        </w:tc>
      </w:tr>
      <w:tr w:rsidR="00CA2770" w:rsidRPr="00B01372" w14:paraId="73CAD7C1" w14:textId="77777777" w:rsidTr="00A25DEB">
        <w:tc>
          <w:tcPr>
            <w:tcW w:w="1648" w:type="pct"/>
          </w:tcPr>
          <w:p w14:paraId="2A1E9B0E" w14:textId="77777777" w:rsidR="00CA2770" w:rsidRPr="00B01372" w:rsidRDefault="00CA2770" w:rsidP="00A25DEB">
            <w:pPr>
              <w:pStyle w:val="Heading3"/>
              <w:outlineLvl w:val="2"/>
              <w:rPr>
                <w:b w:val="0"/>
              </w:rPr>
            </w:pPr>
          </w:p>
        </w:tc>
        <w:tc>
          <w:tcPr>
            <w:tcW w:w="3352" w:type="pct"/>
          </w:tcPr>
          <w:p w14:paraId="3053150D" w14:textId="366D3858" w:rsidR="00CA2770" w:rsidRPr="00CA2770" w:rsidRDefault="00CA2770" w:rsidP="00CA2770">
            <w:pPr>
              <w:rPr>
                <w:rFonts w:ascii="Calibri" w:eastAsia="Calibri" w:hAnsi="Calibri" w:cs="Times New Roman"/>
                <w:color w:val="FF0000"/>
              </w:rPr>
            </w:pPr>
            <w:r w:rsidRPr="00CA2770">
              <w:rPr>
                <w:rFonts w:ascii="Calibri" w:eastAsia="Calibri" w:hAnsi="Calibri" w:cs="Times New Roman"/>
                <w:color w:val="FF0000"/>
              </w:rPr>
              <w:t xml:space="preserve">First National </w:t>
            </w:r>
            <w:r w:rsidR="001340F2">
              <w:rPr>
                <w:rFonts w:ascii="Calibri" w:eastAsia="Calibri" w:hAnsi="Calibri" w:cs="Times New Roman"/>
                <w:color w:val="FF0000"/>
              </w:rPr>
              <w:t>A</w:t>
            </w:r>
            <w:r w:rsidRPr="00CA2770">
              <w:rPr>
                <w:rFonts w:ascii="Calibri" w:eastAsia="Calibri" w:hAnsi="Calibri" w:cs="Times New Roman"/>
                <w:color w:val="FF0000"/>
              </w:rPr>
              <w:t xml:space="preserve">ction </w:t>
            </w:r>
            <w:r w:rsidR="001340F2">
              <w:rPr>
                <w:rFonts w:ascii="Calibri" w:eastAsia="Calibri" w:hAnsi="Calibri" w:cs="Times New Roman"/>
                <w:color w:val="FF0000"/>
              </w:rPr>
              <w:t>P</w:t>
            </w:r>
            <w:r w:rsidRPr="00CA2770">
              <w:rPr>
                <w:rFonts w:ascii="Calibri" w:eastAsia="Calibri" w:hAnsi="Calibri" w:cs="Times New Roman"/>
                <w:color w:val="FF0000"/>
              </w:rPr>
              <w:t xml:space="preserve">lan for </w:t>
            </w:r>
            <w:r w:rsidR="001340F2">
              <w:rPr>
                <w:rFonts w:ascii="Calibri" w:eastAsia="Calibri" w:hAnsi="Calibri" w:cs="Times New Roman"/>
                <w:color w:val="FF0000"/>
              </w:rPr>
              <w:t>G</w:t>
            </w:r>
            <w:r w:rsidRPr="00CA2770">
              <w:rPr>
                <w:rFonts w:ascii="Calibri" w:eastAsia="Calibri" w:hAnsi="Calibri" w:cs="Times New Roman"/>
                <w:color w:val="FF0000"/>
              </w:rPr>
              <w:t xml:space="preserve">reen </w:t>
            </w:r>
            <w:r w:rsidR="001340F2">
              <w:rPr>
                <w:rFonts w:ascii="Calibri" w:eastAsia="Calibri" w:hAnsi="Calibri" w:cs="Times New Roman"/>
                <w:color w:val="FF0000"/>
              </w:rPr>
              <w:t>P</w:t>
            </w:r>
            <w:r w:rsidRPr="00CA2770">
              <w:rPr>
                <w:rFonts w:ascii="Calibri" w:eastAsia="Calibri" w:hAnsi="Calibri" w:cs="Times New Roman"/>
                <w:color w:val="FF0000"/>
              </w:rPr>
              <w:t xml:space="preserve">ublic </w:t>
            </w:r>
            <w:r w:rsidR="001340F2">
              <w:rPr>
                <w:rFonts w:ascii="Calibri" w:eastAsia="Calibri" w:hAnsi="Calibri" w:cs="Times New Roman"/>
                <w:color w:val="FF0000"/>
              </w:rPr>
              <w:t>P</w:t>
            </w:r>
            <w:r w:rsidRPr="00CA2770">
              <w:rPr>
                <w:rFonts w:ascii="Calibri" w:eastAsia="Calibri" w:hAnsi="Calibri" w:cs="Times New Roman"/>
                <w:color w:val="FF0000"/>
              </w:rPr>
              <w:t xml:space="preserve">rocurement for period 2015 – 2017 (I NAP) was adopted by Croatian government in August 2015 </w:t>
            </w:r>
            <w:hyperlink r:id="rId21" w:history="1">
              <w:r w:rsidRPr="00CA2770">
                <w:rPr>
                  <w:rStyle w:val="Hyperlink"/>
                  <w:rFonts w:ascii="Calibri" w:eastAsia="Times New Roman" w:hAnsi="Calibri" w:cs="Times New Roman"/>
                  <w:color w:val="FF0000"/>
                  <w:lang w:eastAsia="de-AT"/>
                </w:rPr>
                <w:t>http://www.mzoip.hr/doc/nacionalni_akcijski_plan_za_zelenu_javnu_nabavu.pdf</w:t>
              </w:r>
            </w:hyperlink>
            <w:r w:rsidRPr="00CA2770">
              <w:rPr>
                <w:rFonts w:ascii="Calibri" w:eastAsia="Calibri" w:hAnsi="Calibri" w:cs="Times New Roman"/>
                <w:color w:val="FF0000"/>
              </w:rPr>
              <w:t xml:space="preserve"> </w:t>
            </w:r>
          </w:p>
          <w:p w14:paraId="7E5B64A4" w14:textId="77777777" w:rsidR="00CA2770" w:rsidRPr="00CA2770" w:rsidRDefault="00CA2770" w:rsidP="00CA2770">
            <w:pPr>
              <w:rPr>
                <w:rFonts w:ascii="Calibri" w:eastAsia="Calibri" w:hAnsi="Calibri" w:cs="Times New Roman"/>
                <w:color w:val="FF0000"/>
              </w:rPr>
            </w:pPr>
          </w:p>
          <w:p w14:paraId="1330EE61" w14:textId="77777777" w:rsidR="00CA2770" w:rsidRPr="00CA2770" w:rsidRDefault="00CA2770" w:rsidP="00CA2770">
            <w:pPr>
              <w:rPr>
                <w:rFonts w:ascii="Calibri" w:eastAsia="Calibri" w:hAnsi="Calibri" w:cs="Times New Roman"/>
                <w:color w:val="FF0000"/>
              </w:rPr>
            </w:pPr>
            <w:r w:rsidRPr="00CA2770">
              <w:rPr>
                <w:rFonts w:ascii="Calibri" w:eastAsia="Calibri" w:hAnsi="Calibri" w:cs="Times New Roman"/>
                <w:color w:val="FF0000"/>
              </w:rPr>
              <w:t>The I NAP sets the overall objective of 50% off all public contracts to include environmental; GPP criteria by the year 2020. The objective is identical to the common goal at the European Union level. This objective is planned to be achieved through two national action plans, I and II NAP. I NAP sought to establish a framework for the implementation of measures and activities that will contribute to greater implementation of GPP in public procurement procedures and to achieve this goal.</w:t>
            </w:r>
          </w:p>
          <w:p w14:paraId="5735AA05" w14:textId="77777777" w:rsidR="00CA2770" w:rsidRPr="00CA2770" w:rsidRDefault="00CA2770" w:rsidP="00CA2770">
            <w:pPr>
              <w:jc w:val="both"/>
              <w:rPr>
                <w:rFonts w:ascii="Calibri" w:eastAsia="Calibri" w:hAnsi="Calibri" w:cs="Times New Roman"/>
                <w:color w:val="FF0000"/>
              </w:rPr>
            </w:pPr>
            <w:r w:rsidRPr="00CA2770">
              <w:rPr>
                <w:rFonts w:ascii="Calibri" w:eastAsia="Calibri" w:hAnsi="Calibri" w:cs="Times New Roman"/>
                <w:color w:val="FF0000"/>
              </w:rPr>
              <w:t>To achieve this goal, 17 activities were divided into four thematic areas (education, promotion, inclusion of GPP criteria in public procurement procedures, monitoring).</w:t>
            </w:r>
          </w:p>
          <w:p w14:paraId="40C87728" w14:textId="77777777" w:rsidR="00CA2770" w:rsidRPr="00CA2770" w:rsidRDefault="00CA2770" w:rsidP="00CA2770">
            <w:pPr>
              <w:jc w:val="both"/>
              <w:rPr>
                <w:rFonts w:ascii="Calibri" w:eastAsia="Calibri" w:hAnsi="Calibri" w:cs="Times New Roman"/>
                <w:color w:val="FF0000"/>
              </w:rPr>
            </w:pPr>
          </w:p>
          <w:p w14:paraId="658FFE3D" w14:textId="77777777" w:rsidR="00CA2770" w:rsidRPr="00CA2770" w:rsidRDefault="00CA2770" w:rsidP="00CA2770">
            <w:pPr>
              <w:jc w:val="both"/>
              <w:rPr>
                <w:rFonts w:ascii="Calibri" w:eastAsia="Calibri" w:hAnsi="Calibri" w:cs="Times New Roman"/>
                <w:color w:val="FF0000"/>
              </w:rPr>
            </w:pPr>
            <w:r w:rsidRPr="00CA2770">
              <w:rPr>
                <w:rFonts w:ascii="Calibri" w:eastAsia="Calibri" w:hAnsi="Calibri" w:cs="Times New Roman"/>
                <w:color w:val="FF0000"/>
              </w:rPr>
              <w:t xml:space="preserve">In I NAP, </w:t>
            </w:r>
            <w:proofErr w:type="gramStart"/>
            <w:r w:rsidRPr="00CA2770">
              <w:rPr>
                <w:rFonts w:ascii="Calibri" w:eastAsia="Calibri" w:hAnsi="Calibri" w:cs="Times New Roman"/>
                <w:color w:val="FF0000"/>
              </w:rPr>
              <w:t>GPP criteria for six priority products and services was</w:t>
            </w:r>
            <w:proofErr w:type="gramEnd"/>
            <w:r w:rsidRPr="00CA2770">
              <w:rPr>
                <w:rFonts w:ascii="Calibri" w:eastAsia="Calibri" w:hAnsi="Calibri" w:cs="Times New Roman"/>
                <w:color w:val="FF0000"/>
              </w:rPr>
              <w:t xml:space="preserve"> set up in a form that would simplify its inclusion in the procurement documentation. These criteria are identical to the EU GPP criteria:</w:t>
            </w:r>
          </w:p>
          <w:p w14:paraId="601959A7" w14:textId="77777777" w:rsidR="00CA2770" w:rsidRPr="00CA2770" w:rsidRDefault="00CA2770" w:rsidP="00CA2770">
            <w:pPr>
              <w:jc w:val="both"/>
              <w:rPr>
                <w:rFonts w:ascii="Calibri" w:eastAsia="Calibri" w:hAnsi="Calibri" w:cs="Times New Roman"/>
                <w:color w:val="FF0000"/>
              </w:rPr>
            </w:pPr>
            <w:r w:rsidRPr="00CA2770">
              <w:rPr>
                <w:rFonts w:ascii="Calibri" w:eastAsia="Calibri" w:hAnsi="Calibri" w:cs="Times New Roman"/>
                <w:color w:val="FF0000"/>
              </w:rPr>
              <w:t xml:space="preserve">- copying and graphic paper </w:t>
            </w:r>
          </w:p>
          <w:p w14:paraId="4791404C" w14:textId="77777777" w:rsidR="00CA2770" w:rsidRPr="00CA2770" w:rsidRDefault="00CA2770" w:rsidP="00CA2770">
            <w:pPr>
              <w:jc w:val="both"/>
              <w:rPr>
                <w:rFonts w:ascii="Calibri" w:eastAsia="Calibri" w:hAnsi="Calibri" w:cs="Times New Roman"/>
                <w:color w:val="FF0000"/>
              </w:rPr>
            </w:pPr>
            <w:r w:rsidRPr="00CA2770">
              <w:rPr>
                <w:rFonts w:ascii="Calibri" w:eastAsia="Calibri" w:hAnsi="Calibri" w:cs="Times New Roman"/>
                <w:color w:val="FF0000"/>
              </w:rPr>
              <w:t>- motor vehicles (trade)</w:t>
            </w:r>
          </w:p>
          <w:p w14:paraId="2A5C7B47" w14:textId="77777777" w:rsidR="00CA2770" w:rsidRPr="00CA2770" w:rsidRDefault="00CA2770" w:rsidP="00CA2770">
            <w:pPr>
              <w:jc w:val="both"/>
              <w:rPr>
                <w:rFonts w:ascii="Calibri" w:eastAsia="Calibri" w:hAnsi="Calibri" w:cs="Times New Roman"/>
                <w:color w:val="FF0000"/>
              </w:rPr>
            </w:pPr>
            <w:r w:rsidRPr="00CA2770">
              <w:rPr>
                <w:rFonts w:ascii="Calibri" w:eastAsia="Calibri" w:hAnsi="Calibri" w:cs="Times New Roman"/>
                <w:color w:val="FF0000"/>
              </w:rPr>
              <w:t>- electricity</w:t>
            </w:r>
          </w:p>
          <w:p w14:paraId="38F21A33" w14:textId="77777777" w:rsidR="00CA2770" w:rsidRPr="00CA2770" w:rsidRDefault="00CA2770" w:rsidP="00CA2770">
            <w:pPr>
              <w:jc w:val="both"/>
              <w:rPr>
                <w:rFonts w:ascii="Calibri" w:eastAsia="Calibri" w:hAnsi="Calibri" w:cs="Times New Roman"/>
                <w:color w:val="FF0000"/>
              </w:rPr>
            </w:pPr>
            <w:r w:rsidRPr="00CA2770">
              <w:rPr>
                <w:rFonts w:ascii="Calibri" w:eastAsia="Calibri" w:hAnsi="Calibri" w:cs="Times New Roman"/>
                <w:color w:val="FF0000"/>
              </w:rPr>
              <w:t>- cleaning services</w:t>
            </w:r>
          </w:p>
          <w:p w14:paraId="3AE3F457" w14:textId="77777777" w:rsidR="00CA2770" w:rsidRPr="00CA2770" w:rsidRDefault="00CA2770" w:rsidP="00CA2770">
            <w:pPr>
              <w:jc w:val="both"/>
              <w:rPr>
                <w:rFonts w:ascii="Calibri" w:eastAsia="Calibri" w:hAnsi="Calibri" w:cs="Times New Roman"/>
                <w:color w:val="FF0000"/>
              </w:rPr>
            </w:pPr>
            <w:r w:rsidRPr="00CA2770">
              <w:rPr>
                <w:rFonts w:ascii="Calibri" w:eastAsia="Calibri" w:hAnsi="Calibri" w:cs="Times New Roman"/>
                <w:color w:val="FF0000"/>
              </w:rPr>
              <w:t>- telecommunication services and mobile telephony services together with devices</w:t>
            </w:r>
          </w:p>
          <w:p w14:paraId="562170F7" w14:textId="77777777" w:rsidR="00CA2770" w:rsidRPr="00CA2770" w:rsidRDefault="00CA2770" w:rsidP="00CA2770">
            <w:pPr>
              <w:jc w:val="both"/>
              <w:rPr>
                <w:rFonts w:ascii="Calibri" w:eastAsia="Calibri" w:hAnsi="Calibri" w:cs="Times New Roman"/>
                <w:color w:val="FF0000"/>
              </w:rPr>
            </w:pPr>
            <w:r w:rsidRPr="00CA2770">
              <w:rPr>
                <w:rFonts w:ascii="Calibri" w:eastAsia="Calibri" w:hAnsi="Calibri" w:cs="Times New Roman"/>
                <w:color w:val="FF0000"/>
              </w:rPr>
              <w:t xml:space="preserve">- </w:t>
            </w:r>
            <w:proofErr w:type="gramStart"/>
            <w:r w:rsidRPr="00CA2770">
              <w:rPr>
                <w:rFonts w:ascii="Calibri" w:eastAsia="Calibri" w:hAnsi="Calibri" w:cs="Times New Roman"/>
                <w:color w:val="FF0000"/>
              </w:rPr>
              <w:t>office</w:t>
            </w:r>
            <w:proofErr w:type="gramEnd"/>
            <w:r w:rsidRPr="00CA2770">
              <w:rPr>
                <w:rFonts w:ascii="Calibri" w:eastAsia="Calibri" w:hAnsi="Calibri" w:cs="Times New Roman"/>
                <w:color w:val="FF0000"/>
              </w:rPr>
              <w:t xml:space="preserve"> and IT equipment (IT equipment).</w:t>
            </w:r>
          </w:p>
          <w:p w14:paraId="5BF798E2" w14:textId="77777777" w:rsidR="00CA2770" w:rsidRPr="00CA2770" w:rsidRDefault="00CA2770" w:rsidP="00CA2770">
            <w:pPr>
              <w:jc w:val="both"/>
              <w:rPr>
                <w:rFonts w:ascii="Calibri" w:eastAsia="Calibri" w:hAnsi="Calibri" w:cs="Times New Roman"/>
                <w:color w:val="FF0000"/>
              </w:rPr>
            </w:pPr>
          </w:p>
          <w:p w14:paraId="44B0F82F" w14:textId="77777777" w:rsidR="00CA2770" w:rsidRPr="00CA2770" w:rsidRDefault="00CA2770" w:rsidP="00CA2770">
            <w:pPr>
              <w:jc w:val="both"/>
              <w:rPr>
                <w:rFonts w:ascii="Calibri" w:eastAsia="Calibri" w:hAnsi="Calibri" w:cs="Times New Roman"/>
                <w:color w:val="FF0000"/>
              </w:rPr>
            </w:pPr>
            <w:r w:rsidRPr="00CA2770">
              <w:rPr>
                <w:rFonts w:ascii="Calibri" w:eastAsia="Calibri" w:hAnsi="Calibri" w:cs="Times New Roman"/>
                <w:color w:val="FF0000"/>
              </w:rPr>
              <w:t>Within the I NAP relevant EU eco-labels were presented.</w:t>
            </w:r>
          </w:p>
          <w:p w14:paraId="542DF3FF" w14:textId="77777777" w:rsidR="00CA2770" w:rsidRPr="00CA2770" w:rsidRDefault="00CA2770" w:rsidP="00CA2770">
            <w:pPr>
              <w:jc w:val="both"/>
              <w:rPr>
                <w:rFonts w:ascii="Calibri" w:eastAsia="Calibri" w:hAnsi="Calibri" w:cs="Times New Roman"/>
                <w:color w:val="FF0000"/>
              </w:rPr>
            </w:pPr>
          </w:p>
          <w:p w14:paraId="01F65E13" w14:textId="77777777" w:rsidR="00CA2770" w:rsidRPr="00CA2770" w:rsidRDefault="00CA2770" w:rsidP="00CA2770">
            <w:pPr>
              <w:jc w:val="both"/>
              <w:rPr>
                <w:rFonts w:ascii="Calibri" w:eastAsia="Calibri" w:hAnsi="Calibri" w:cs="Times New Roman"/>
                <w:color w:val="FF0000"/>
              </w:rPr>
            </w:pPr>
            <w:r w:rsidRPr="00CA2770">
              <w:rPr>
                <w:rFonts w:ascii="Calibri" w:eastAsia="Calibri" w:hAnsi="Calibri" w:cs="Times New Roman"/>
                <w:color w:val="FF0000"/>
              </w:rPr>
              <w:t>All data related to I. NAP, training materials, eco labels, handbook on GPP and other supporting materials related to GPP are available on the national GPP website (</w:t>
            </w:r>
            <w:hyperlink r:id="rId22" w:history="1">
              <w:r w:rsidRPr="00CA2770">
                <w:rPr>
                  <w:rStyle w:val="Hyperlink"/>
                  <w:rFonts w:ascii="Calibri" w:eastAsia="Calibri" w:hAnsi="Calibri" w:cs="Times New Roman"/>
                  <w:color w:val="FF0000"/>
                </w:rPr>
                <w:t>www.zelenanabava.hr</w:t>
              </w:r>
            </w:hyperlink>
            <w:r w:rsidRPr="00CA2770">
              <w:rPr>
                <w:rFonts w:ascii="Calibri" w:eastAsia="Calibri" w:hAnsi="Calibri" w:cs="Times New Roman"/>
                <w:color w:val="FF0000"/>
              </w:rPr>
              <w:t>).</w:t>
            </w:r>
          </w:p>
          <w:p w14:paraId="6383A99C" w14:textId="77777777" w:rsidR="00CA2770" w:rsidRPr="00CA2770" w:rsidRDefault="00CA2770" w:rsidP="00CA2770">
            <w:pPr>
              <w:jc w:val="both"/>
              <w:rPr>
                <w:rFonts w:ascii="Calibri" w:eastAsia="Times New Roman" w:hAnsi="Calibri" w:cs="Times New Roman"/>
                <w:color w:val="FF0000"/>
                <w:lang w:eastAsia="de-AT"/>
              </w:rPr>
            </w:pPr>
          </w:p>
          <w:p w14:paraId="4D0EB40B" w14:textId="77777777" w:rsidR="00CA2770" w:rsidRPr="00CA2770" w:rsidRDefault="00CA2770" w:rsidP="00CA2770">
            <w:pPr>
              <w:jc w:val="both"/>
              <w:rPr>
                <w:rFonts w:ascii="Calibri" w:eastAsia="Times New Roman" w:hAnsi="Calibri" w:cs="Times New Roman"/>
                <w:color w:val="FF0000"/>
                <w:u w:val="single"/>
                <w:lang w:eastAsia="de-AT"/>
              </w:rPr>
            </w:pPr>
            <w:r w:rsidRPr="00CA2770">
              <w:rPr>
                <w:rFonts w:ascii="Calibri" w:eastAsia="Times New Roman" w:hAnsi="Calibri" w:cs="Times New Roman"/>
                <w:color w:val="FF0000"/>
                <w:lang w:eastAsia="de-AT"/>
              </w:rPr>
              <w:t xml:space="preserve">GPP helpdesk mail is active since 2017 </w:t>
            </w:r>
            <w:hyperlink r:id="rId23" w:history="1">
              <w:r w:rsidRPr="00CA2770">
                <w:rPr>
                  <w:rStyle w:val="Hyperlink"/>
                  <w:rFonts w:ascii="Calibri" w:eastAsia="Times New Roman" w:hAnsi="Calibri" w:cs="Times New Roman"/>
                  <w:color w:val="FF0000"/>
                  <w:lang w:eastAsia="de-AT"/>
                </w:rPr>
                <w:t>zelena.nabava@mzoe.hr</w:t>
              </w:r>
            </w:hyperlink>
          </w:p>
          <w:p w14:paraId="481DE9D4" w14:textId="77777777" w:rsidR="00CA2770" w:rsidRPr="00CA2770" w:rsidRDefault="00CA2770" w:rsidP="00CA2770">
            <w:pPr>
              <w:jc w:val="both"/>
              <w:rPr>
                <w:rFonts w:ascii="Calibri" w:eastAsia="Times New Roman" w:hAnsi="Calibri" w:cs="Times New Roman"/>
                <w:color w:val="FF0000"/>
                <w:u w:val="single"/>
                <w:lang w:eastAsia="de-AT"/>
              </w:rPr>
            </w:pPr>
          </w:p>
          <w:p w14:paraId="3EA05012" w14:textId="77777777" w:rsidR="00CA2770" w:rsidRPr="00CA2770" w:rsidRDefault="00CA2770" w:rsidP="00CA2770">
            <w:pPr>
              <w:jc w:val="both"/>
              <w:rPr>
                <w:rFonts w:ascii="Calibri" w:eastAsia="Calibri" w:hAnsi="Calibri" w:cs="Times New Roman"/>
                <w:color w:val="FF0000"/>
              </w:rPr>
            </w:pPr>
            <w:r w:rsidRPr="00CA2770">
              <w:rPr>
                <w:rFonts w:ascii="Calibri" w:eastAsia="Calibri" w:hAnsi="Calibri" w:cs="Times New Roman"/>
                <w:color w:val="FF0000"/>
              </w:rPr>
              <w:t>Measures, achievements and challenges faced during the implementation of the I NAP are listed in the point V.1.1.</w:t>
            </w:r>
          </w:p>
          <w:p w14:paraId="732F2C7E" w14:textId="77777777" w:rsidR="00CA2770" w:rsidRPr="00CA2770" w:rsidRDefault="00CA2770" w:rsidP="00CA2770">
            <w:pPr>
              <w:jc w:val="both"/>
              <w:rPr>
                <w:i/>
                <w:color w:val="FF0000"/>
              </w:rPr>
            </w:pPr>
          </w:p>
        </w:tc>
      </w:tr>
      <w:tr w:rsidR="005F0ADF" w:rsidRPr="00B01372" w14:paraId="024043AF" w14:textId="77777777" w:rsidTr="00A25DEB">
        <w:tc>
          <w:tcPr>
            <w:tcW w:w="1648" w:type="pct"/>
          </w:tcPr>
          <w:p w14:paraId="3B941912" w14:textId="19CB1C99" w:rsidR="005F0ADF" w:rsidRPr="00B01372" w:rsidRDefault="007C7271" w:rsidP="00A25DEB">
            <w:pPr>
              <w:pStyle w:val="Heading3"/>
              <w:outlineLvl w:val="2"/>
              <w:rPr>
                <w:b w:val="0"/>
              </w:rPr>
            </w:pPr>
            <w:r w:rsidRPr="00B01372">
              <w:lastRenderedPageBreak/>
              <w:t>V</w:t>
            </w:r>
            <w:r w:rsidR="005F0ADF" w:rsidRPr="00B01372">
              <w:t>.1.3. Quantitative indicators</w:t>
            </w:r>
          </w:p>
        </w:tc>
        <w:tc>
          <w:tcPr>
            <w:tcW w:w="3352" w:type="pct"/>
          </w:tcPr>
          <w:p w14:paraId="3B929A8F" w14:textId="3239D973" w:rsidR="005F0ADF" w:rsidRPr="00B01372" w:rsidRDefault="005F0ADF" w:rsidP="00A25DEB">
            <w:pPr>
              <w:jc w:val="both"/>
              <w:rPr>
                <w:i/>
              </w:rPr>
            </w:pPr>
            <w:r w:rsidRPr="00B01372">
              <w:rPr>
                <w:i/>
              </w:rPr>
              <w:t>This section contains examples of quantitative</w:t>
            </w:r>
            <w:r w:rsidR="00247E16" w:rsidRPr="00B01372">
              <w:rPr>
                <w:i/>
              </w:rPr>
              <w:t xml:space="preserve"> indicators related to section V.</w:t>
            </w:r>
            <w:r w:rsidRPr="00B01372">
              <w:rPr>
                <w:i/>
              </w:rPr>
              <w:t>1.  Other indicators can also be included in the report.</w:t>
            </w:r>
          </w:p>
        </w:tc>
      </w:tr>
      <w:tr w:rsidR="005F0ADF" w:rsidRPr="00B01372" w14:paraId="24E93C97" w14:textId="77777777" w:rsidTr="00A25DEB">
        <w:tc>
          <w:tcPr>
            <w:tcW w:w="1648" w:type="pct"/>
          </w:tcPr>
          <w:p w14:paraId="76713AFB" w14:textId="0305C4A9" w:rsidR="005F0ADF" w:rsidRPr="00B01372" w:rsidRDefault="005F0ADF" w:rsidP="00A25DEB">
            <w:pPr>
              <w:jc w:val="both"/>
              <w:rPr>
                <w:b/>
              </w:rPr>
            </w:pPr>
            <w:r w:rsidRPr="00B01372">
              <w:t xml:space="preserve">Please provide, when available, any quantitative data (statistics, etc.) illustrating the achievements and challenges identified under section </w:t>
            </w:r>
            <w:r w:rsidR="00B34CD3" w:rsidRPr="00B01372">
              <w:t>V</w:t>
            </w:r>
            <w:r w:rsidRPr="00B01372">
              <w:t>.1.</w:t>
            </w:r>
            <w:r w:rsidR="002C131E" w:rsidRPr="00B01372">
              <w:t>1</w:t>
            </w:r>
            <w:r w:rsidRPr="00B01372">
              <w:t xml:space="preserve"> above. To the extent possible, these indicators should be further g</w:t>
            </w:r>
            <w:r w:rsidR="006753EC" w:rsidRPr="00B01372">
              <w:t>rouped by type of legal problem.</w:t>
            </w:r>
          </w:p>
        </w:tc>
        <w:tc>
          <w:tcPr>
            <w:tcW w:w="3352" w:type="pct"/>
          </w:tcPr>
          <w:p w14:paraId="471D1A06" w14:textId="77777777" w:rsidR="005F0ADF" w:rsidRPr="00B01372" w:rsidRDefault="005F0ADF" w:rsidP="00A25DEB">
            <w:pPr>
              <w:jc w:val="both"/>
              <w:rPr>
                <w:i/>
              </w:rPr>
            </w:pPr>
            <w:r w:rsidRPr="00B01372">
              <w:rPr>
                <w:i/>
              </w:rPr>
              <w:t>Possible relevant (non-exhaustive) documents for consideration may be as follows:</w:t>
            </w:r>
          </w:p>
          <w:p w14:paraId="6425D6F3" w14:textId="77777777" w:rsidR="005F0ADF" w:rsidRPr="000774FF" w:rsidRDefault="005F0ADF" w:rsidP="00E3206F">
            <w:pPr>
              <w:pStyle w:val="ListParagraph"/>
              <w:numPr>
                <w:ilvl w:val="0"/>
                <w:numId w:val="8"/>
              </w:numPr>
              <w:jc w:val="both"/>
            </w:pPr>
            <w:r w:rsidRPr="00B01372">
              <w:rPr>
                <w:i/>
              </w:rPr>
              <w:t xml:space="preserve">Percentage of public procurement procedures incorporating green criteria out of the whole volume of procurement at national level and if available, for the </w:t>
            </w:r>
            <w:r w:rsidR="00BA62E5" w:rsidRPr="00BA62E5">
              <w:rPr>
                <w:i/>
              </w:rPr>
              <w:t>GPP product groups</w:t>
            </w:r>
            <w:r w:rsidRPr="00B01372">
              <w:rPr>
                <w:i/>
              </w:rPr>
              <w:t xml:space="preserve"> </w:t>
            </w:r>
            <w:r w:rsidR="009E4DB2">
              <w:rPr>
                <w:i/>
              </w:rPr>
              <w:t xml:space="preserve">(e.g. </w:t>
            </w:r>
            <w:hyperlink r:id="rId24" w:history="1">
              <w:r w:rsidR="009E4DB2" w:rsidRPr="000E7341">
                <w:rPr>
                  <w:rStyle w:val="Hyperlink"/>
                  <w:i/>
                  <w:color w:val="000000"/>
                </w:rPr>
                <w:t>http://ec.europa.eu/environment/gpp/eu_gpp_criteria_en.htm</w:t>
              </w:r>
            </w:hyperlink>
            <w:r w:rsidR="009E4DB2">
              <w:rPr>
                <w:i/>
              </w:rPr>
              <w:t xml:space="preserve">) </w:t>
            </w:r>
            <w:r w:rsidRPr="00B01372">
              <w:rPr>
                <w:i/>
              </w:rPr>
              <w:t>for</w:t>
            </w:r>
            <w:r w:rsidR="009E4DB2">
              <w:rPr>
                <w:i/>
              </w:rPr>
              <w:t xml:space="preserve"> </w:t>
            </w:r>
            <w:r w:rsidRPr="00B01372">
              <w:rPr>
                <w:i/>
              </w:rPr>
              <w:t>which monitoring is being don</w:t>
            </w:r>
            <w:r w:rsidR="006753EC" w:rsidRPr="00B01372">
              <w:rPr>
                <w:i/>
              </w:rPr>
              <w:t>e, measured by number and value</w:t>
            </w:r>
          </w:p>
          <w:p w14:paraId="542C7AED" w14:textId="32D0835A" w:rsidR="00A25DEB" w:rsidRDefault="00A25DEB" w:rsidP="00A25DEB">
            <w:pPr>
              <w:jc w:val="both"/>
              <w:rPr>
                <w:color w:val="FF0000"/>
              </w:rPr>
            </w:pPr>
            <w:r w:rsidRPr="002221A2">
              <w:rPr>
                <w:color w:val="FF0000"/>
              </w:rPr>
              <w:t xml:space="preserve">Percentage of </w:t>
            </w:r>
            <w:r>
              <w:rPr>
                <w:color w:val="FF0000"/>
              </w:rPr>
              <w:t xml:space="preserve">green </w:t>
            </w:r>
            <w:r w:rsidRPr="002221A2">
              <w:rPr>
                <w:color w:val="FF0000"/>
              </w:rPr>
              <w:t>public procurement procedures</w:t>
            </w:r>
            <w:r w:rsidRPr="00B01372">
              <w:rPr>
                <w:i/>
              </w:rPr>
              <w:t xml:space="preserve"> </w:t>
            </w:r>
            <w:r w:rsidRPr="00A25DEB">
              <w:rPr>
                <w:color w:val="FF0000"/>
              </w:rPr>
              <w:t xml:space="preserve">at national level: </w:t>
            </w:r>
            <w:r>
              <w:rPr>
                <w:color w:val="FF0000"/>
              </w:rPr>
              <w:t>133 of 8783 (0,015 %)</w:t>
            </w:r>
          </w:p>
          <w:p w14:paraId="16C1BD18" w14:textId="2BA70B4D" w:rsidR="000774FF" w:rsidRDefault="000774FF" w:rsidP="00A25DEB">
            <w:pPr>
              <w:jc w:val="both"/>
              <w:rPr>
                <w:color w:val="FF0000"/>
              </w:rPr>
            </w:pPr>
            <w:r w:rsidRPr="002221A2">
              <w:rPr>
                <w:color w:val="FF0000"/>
              </w:rPr>
              <w:t xml:space="preserve">Percentage of </w:t>
            </w:r>
            <w:r>
              <w:rPr>
                <w:color w:val="FF0000"/>
              </w:rPr>
              <w:t xml:space="preserve">green </w:t>
            </w:r>
            <w:r w:rsidRPr="002221A2">
              <w:rPr>
                <w:color w:val="FF0000"/>
              </w:rPr>
              <w:t>public procurement procedures above the EU threshold</w:t>
            </w:r>
            <w:r>
              <w:rPr>
                <w:color w:val="FF0000"/>
              </w:rPr>
              <w:t>:</w:t>
            </w:r>
            <w:r w:rsidR="00A25DEB">
              <w:rPr>
                <w:color w:val="FF0000"/>
              </w:rPr>
              <w:t xml:space="preserve"> 28 of 1370 (0,020 %)</w:t>
            </w:r>
          </w:p>
          <w:p w14:paraId="229ABA49" w14:textId="5DEB71AD" w:rsidR="000774FF" w:rsidRPr="000774FF" w:rsidRDefault="000774FF" w:rsidP="00A25DEB">
            <w:pPr>
              <w:jc w:val="both"/>
              <w:rPr>
                <w:color w:val="FF0000"/>
              </w:rPr>
            </w:pPr>
            <w:r w:rsidRPr="002221A2">
              <w:rPr>
                <w:color w:val="FF0000"/>
              </w:rPr>
              <w:t xml:space="preserve">Percentage of </w:t>
            </w:r>
            <w:r>
              <w:rPr>
                <w:color w:val="FF0000"/>
              </w:rPr>
              <w:t xml:space="preserve">green </w:t>
            </w:r>
            <w:r w:rsidRPr="002221A2">
              <w:rPr>
                <w:color w:val="FF0000"/>
              </w:rPr>
              <w:t>public procurement procedures below the EU threshold</w:t>
            </w:r>
            <w:r>
              <w:rPr>
                <w:color w:val="FF0000"/>
              </w:rPr>
              <w:t xml:space="preserve"> </w:t>
            </w:r>
            <w:r w:rsidRPr="009E00FA">
              <w:rPr>
                <w:color w:val="FF0000"/>
              </w:rPr>
              <w:t xml:space="preserve">(beginning from </w:t>
            </w:r>
            <w:r>
              <w:rPr>
                <w:color w:val="FF0000"/>
              </w:rPr>
              <w:t>national threshold</w:t>
            </w:r>
            <w:r w:rsidRPr="009E00FA">
              <w:rPr>
                <w:color w:val="FF0000"/>
              </w:rPr>
              <w:t>)</w:t>
            </w:r>
            <w:r>
              <w:rPr>
                <w:color w:val="FF0000"/>
              </w:rPr>
              <w:t xml:space="preserve">: </w:t>
            </w:r>
            <w:r w:rsidR="00A25DEB" w:rsidRPr="00A25DEB">
              <w:rPr>
                <w:color w:val="FF0000"/>
              </w:rPr>
              <w:t>105 o</w:t>
            </w:r>
            <w:r w:rsidR="00A25DEB">
              <w:rPr>
                <w:color w:val="FF0000"/>
              </w:rPr>
              <w:t>f</w:t>
            </w:r>
            <w:r w:rsidR="00A25DEB" w:rsidRPr="00A25DEB">
              <w:rPr>
                <w:color w:val="FF0000"/>
              </w:rPr>
              <w:t xml:space="preserve"> 7413 (0,014 %)</w:t>
            </w:r>
          </w:p>
        </w:tc>
      </w:tr>
      <w:tr w:rsidR="00994F58" w:rsidRPr="00B01372" w14:paraId="448ED29A" w14:textId="77777777" w:rsidTr="00A25DEB">
        <w:trPr>
          <w:trHeight w:val="1248"/>
        </w:trPr>
        <w:tc>
          <w:tcPr>
            <w:tcW w:w="1648" w:type="pct"/>
          </w:tcPr>
          <w:p w14:paraId="34A7A084" w14:textId="766D9FD6" w:rsidR="00994F58" w:rsidRPr="00B01372" w:rsidRDefault="00994F58" w:rsidP="00A25DEB">
            <w:pPr>
              <w:pStyle w:val="Heading3"/>
              <w:outlineLvl w:val="2"/>
            </w:pPr>
            <w:r w:rsidRPr="001132ED">
              <w:t>V.2 Socially responsible public procurement ('SRPP')</w:t>
            </w:r>
          </w:p>
        </w:tc>
        <w:tc>
          <w:tcPr>
            <w:tcW w:w="3352" w:type="pct"/>
          </w:tcPr>
          <w:p w14:paraId="1DC5B3C8" w14:textId="6D444712" w:rsidR="00994F58" w:rsidRPr="00B01372" w:rsidRDefault="00994F58" w:rsidP="00A25DEB">
            <w:pPr>
              <w:jc w:val="both"/>
            </w:pPr>
            <w:r w:rsidRPr="00B01372">
              <w:t>Socially Responsible Public Procurement ('SRPP') is defined as procurement that takes into account one or several social considerations for advancing social objectives. SRPP covers a wide spectrum of social considerations, such as for example employment opportunities, decent work conditions, compliance with social and labour rights, social inclusion, equal opportunities and accessibility.</w:t>
            </w:r>
          </w:p>
        </w:tc>
      </w:tr>
      <w:tr w:rsidR="005F0ADF" w:rsidRPr="00B01372" w14:paraId="449FD48B" w14:textId="77777777" w:rsidTr="00A25DEB">
        <w:trPr>
          <w:trHeight w:val="415"/>
        </w:trPr>
        <w:tc>
          <w:tcPr>
            <w:tcW w:w="1648" w:type="pct"/>
          </w:tcPr>
          <w:p w14:paraId="22C63DEE" w14:textId="36B98714" w:rsidR="005F0ADF" w:rsidRPr="00B01372" w:rsidRDefault="007C7271" w:rsidP="00A25DEB">
            <w:pPr>
              <w:pStyle w:val="Heading3"/>
              <w:outlineLvl w:val="2"/>
              <w:rPr>
                <w:b w:val="0"/>
              </w:rPr>
            </w:pPr>
            <w:r w:rsidRPr="00B01372">
              <w:t>V</w:t>
            </w:r>
            <w:r w:rsidR="00DD5AB5" w:rsidRPr="00B01372">
              <w:t>.2.</w:t>
            </w:r>
            <w:r w:rsidR="00994F58" w:rsidRPr="00B01372">
              <w:t>1</w:t>
            </w:r>
            <w:r w:rsidR="00DD5AB5" w:rsidRPr="00B01372">
              <w:t xml:space="preserve"> </w:t>
            </w:r>
            <w:r w:rsidR="00C96DD0" w:rsidRPr="00B01372">
              <w:t>Qualitative reporting</w:t>
            </w:r>
          </w:p>
        </w:tc>
        <w:tc>
          <w:tcPr>
            <w:tcW w:w="3352" w:type="pct"/>
          </w:tcPr>
          <w:p w14:paraId="6D0A710C" w14:textId="45C84343" w:rsidR="005F0ADF" w:rsidRPr="00B01372" w:rsidRDefault="005F0ADF" w:rsidP="00A25DEB">
            <w:pPr>
              <w:jc w:val="both"/>
              <w:rPr>
                <w:i/>
              </w:rPr>
            </w:pPr>
          </w:p>
        </w:tc>
      </w:tr>
      <w:tr w:rsidR="005F0ADF" w:rsidRPr="00B01372" w14:paraId="463AA80D" w14:textId="77777777" w:rsidTr="00A25DEB">
        <w:tc>
          <w:tcPr>
            <w:tcW w:w="1648" w:type="pct"/>
          </w:tcPr>
          <w:p w14:paraId="42A9A3A6" w14:textId="3462B2C0" w:rsidR="005F0ADF" w:rsidRPr="00B01372" w:rsidRDefault="00DD5AB5" w:rsidP="001132ED">
            <w:pPr>
              <w:pStyle w:val="Heading3"/>
              <w:tabs>
                <w:tab w:val="left" w:pos="3014"/>
              </w:tabs>
              <w:outlineLvl w:val="2"/>
              <w:rPr>
                <w:b w:val="0"/>
              </w:rPr>
            </w:pPr>
            <w:r w:rsidRPr="001132ED">
              <w:rPr>
                <w:b w:val="0"/>
              </w:rPr>
              <w:t>Key challenges encountered</w:t>
            </w:r>
            <w:r w:rsidR="001132ED" w:rsidRPr="001132ED">
              <w:rPr>
                <w:b w:val="0"/>
              </w:rPr>
              <w:tab/>
            </w:r>
          </w:p>
        </w:tc>
        <w:tc>
          <w:tcPr>
            <w:tcW w:w="3352" w:type="pct"/>
          </w:tcPr>
          <w:p w14:paraId="3ED5B874" w14:textId="77777777" w:rsidR="00DD5AB5" w:rsidRPr="00B01372" w:rsidRDefault="00DD5AB5" w:rsidP="00A25DEB">
            <w:r w:rsidRPr="00B01372">
              <w:t>The information should focus on:</w:t>
            </w:r>
          </w:p>
          <w:p w14:paraId="28121B06" w14:textId="0D038F2B" w:rsidR="00DD5AB5" w:rsidRPr="00B01372" w:rsidRDefault="00DD5AB5" w:rsidP="00A25DEB">
            <w:pPr>
              <w:jc w:val="both"/>
            </w:pPr>
            <w:r w:rsidRPr="00B01372">
              <w:t>- key challenges encountered</w:t>
            </w:r>
            <w:r w:rsidR="009467AE" w:rsidRPr="00B01372">
              <w:t xml:space="preserve"> in promoting socially responsible public procurement</w:t>
            </w:r>
            <w:r w:rsidRPr="00B01372">
              <w:t>, if any</w:t>
            </w:r>
          </w:p>
          <w:p w14:paraId="59A389B3" w14:textId="77777777" w:rsidR="00DD5AB5" w:rsidRPr="00B01372" w:rsidRDefault="00DD5AB5" w:rsidP="00A25DEB">
            <w:pPr>
              <w:jc w:val="both"/>
            </w:pPr>
            <w:r w:rsidRPr="00B01372">
              <w:t xml:space="preserve">- measures taken to overcome them </w:t>
            </w:r>
          </w:p>
          <w:p w14:paraId="35457F8A" w14:textId="79AA8B2A" w:rsidR="005F0ADF" w:rsidRPr="00B01372" w:rsidRDefault="00DD5AB5" w:rsidP="00A25DEB">
            <w:pPr>
              <w:jc w:val="both"/>
              <w:rPr>
                <w:color w:val="0000FF" w:themeColor="hyperlink"/>
                <w:u w:val="single"/>
              </w:rPr>
            </w:pPr>
            <w:r w:rsidRPr="00B01372">
              <w:t xml:space="preserve">- </w:t>
            </w:r>
            <w:r w:rsidR="0064577E" w:rsidRPr="00B01372">
              <w:t xml:space="preserve">difficulties still </w:t>
            </w:r>
            <w:r w:rsidR="0064577E">
              <w:t>existing in the Member State</w:t>
            </w:r>
          </w:p>
        </w:tc>
      </w:tr>
      <w:tr w:rsidR="001132ED" w:rsidRPr="00B01372" w14:paraId="6DB01963" w14:textId="77777777" w:rsidTr="00A25DEB">
        <w:tc>
          <w:tcPr>
            <w:tcW w:w="1648" w:type="pct"/>
          </w:tcPr>
          <w:p w14:paraId="460BE24C" w14:textId="77777777" w:rsidR="001132ED" w:rsidRPr="00241D69" w:rsidRDefault="001132ED" w:rsidP="00A25DEB">
            <w:pPr>
              <w:pStyle w:val="Heading3"/>
              <w:outlineLvl w:val="2"/>
              <w:rPr>
                <w:b w:val="0"/>
                <w:highlight w:val="yellow"/>
              </w:rPr>
            </w:pPr>
          </w:p>
        </w:tc>
        <w:tc>
          <w:tcPr>
            <w:tcW w:w="3352" w:type="pct"/>
          </w:tcPr>
          <w:p w14:paraId="50F54DA2" w14:textId="24D79E21" w:rsidR="001132ED" w:rsidRPr="00B01372" w:rsidRDefault="001132ED" w:rsidP="001132ED">
            <w:pPr>
              <w:tabs>
                <w:tab w:val="left" w:pos="2060"/>
              </w:tabs>
            </w:pPr>
            <w:r w:rsidRPr="001132ED">
              <w:rPr>
                <w:color w:val="FF0000"/>
              </w:rPr>
              <w:t>No data available</w:t>
            </w:r>
            <w:r>
              <w:rPr>
                <w:color w:val="FF0000"/>
              </w:rPr>
              <w:tab/>
            </w:r>
          </w:p>
        </w:tc>
      </w:tr>
      <w:tr w:rsidR="005F0ADF" w:rsidRPr="00B01372" w14:paraId="259FB2D5" w14:textId="77777777" w:rsidTr="00A25DEB">
        <w:tc>
          <w:tcPr>
            <w:tcW w:w="1648" w:type="pct"/>
          </w:tcPr>
          <w:p w14:paraId="217FE28F" w14:textId="6CB04548" w:rsidR="005F0ADF" w:rsidRPr="00B01372" w:rsidRDefault="007C7271" w:rsidP="00A25DEB">
            <w:r w:rsidRPr="00B01372">
              <w:rPr>
                <w:b/>
              </w:rPr>
              <w:t>V</w:t>
            </w:r>
            <w:r w:rsidR="00DD5AB5" w:rsidRPr="00B01372">
              <w:rPr>
                <w:b/>
              </w:rPr>
              <w:t xml:space="preserve">.2.2. </w:t>
            </w:r>
            <w:r w:rsidR="0037143F">
              <w:rPr>
                <w:b/>
              </w:rPr>
              <w:t>Supporting documents</w:t>
            </w:r>
          </w:p>
        </w:tc>
        <w:tc>
          <w:tcPr>
            <w:tcW w:w="3352" w:type="pct"/>
          </w:tcPr>
          <w:p w14:paraId="31ABC48A" w14:textId="346099AB" w:rsidR="005F0ADF" w:rsidRPr="00B01372" w:rsidRDefault="005F0ADF" w:rsidP="00A25DEB">
            <w:pPr>
              <w:jc w:val="both"/>
            </w:pPr>
            <w:r w:rsidRPr="00B01372">
              <w:t xml:space="preserve"> </w:t>
            </w:r>
          </w:p>
        </w:tc>
      </w:tr>
      <w:tr w:rsidR="00DD5AB5" w:rsidRPr="00B01372" w14:paraId="4F3CF26A" w14:textId="77777777" w:rsidTr="00A25DEB">
        <w:tc>
          <w:tcPr>
            <w:tcW w:w="1648" w:type="pct"/>
          </w:tcPr>
          <w:p w14:paraId="2775CB89" w14:textId="415ED284" w:rsidR="00DD5AB5" w:rsidRPr="00B01372" w:rsidRDefault="00DD5AB5" w:rsidP="00A25DEB">
            <w:pPr>
              <w:rPr>
                <w:b/>
              </w:rPr>
            </w:pPr>
            <w:r w:rsidRPr="001132ED">
              <w:t>Please report any available evidence or supporting document</w:t>
            </w:r>
            <w:r w:rsidR="006753EC" w:rsidRPr="001132ED">
              <w:t xml:space="preserve"> for point </w:t>
            </w:r>
            <w:r w:rsidR="007C7271" w:rsidRPr="001132ED">
              <w:t>V</w:t>
            </w:r>
            <w:r w:rsidR="006753EC" w:rsidRPr="001132ED">
              <w:t>.2</w:t>
            </w:r>
            <w:r w:rsidR="002C131E" w:rsidRPr="001132ED">
              <w:t>.1</w:t>
            </w:r>
            <w:r w:rsidRPr="001132ED">
              <w:t xml:space="preserve"> illustrating the measures, achievements or challenges faced, relating to the promotion of SRPP.</w:t>
            </w:r>
            <w:r w:rsidRPr="00B01372">
              <w:t xml:space="preserve"> </w:t>
            </w:r>
          </w:p>
        </w:tc>
        <w:tc>
          <w:tcPr>
            <w:tcW w:w="3352" w:type="pct"/>
          </w:tcPr>
          <w:p w14:paraId="6507307F" w14:textId="6BDFB474" w:rsidR="00DD5AB5" w:rsidRPr="00B01372" w:rsidRDefault="00DD5AB5" w:rsidP="00A25DEB">
            <w:pPr>
              <w:jc w:val="both"/>
              <w:rPr>
                <w:i/>
              </w:rPr>
            </w:pPr>
            <w:r w:rsidRPr="00B01372">
              <w:rPr>
                <w:i/>
              </w:rPr>
              <w:t>Possible relevant (non-exhaustive) documents for consideration may be as follows</w:t>
            </w:r>
            <w:r w:rsidR="00CB736C">
              <w:rPr>
                <w:i/>
              </w:rPr>
              <w:t xml:space="preserve"> (please provide a link to the document, and if possible, a summary of the document in English, if the document is in another language)</w:t>
            </w:r>
            <w:r w:rsidRPr="00B01372">
              <w:rPr>
                <w:i/>
              </w:rPr>
              <w:t>:</w:t>
            </w:r>
          </w:p>
          <w:p w14:paraId="382E814E" w14:textId="77777777" w:rsidR="00DD5AB5" w:rsidRPr="00B01372" w:rsidRDefault="00DD5AB5" w:rsidP="00E3206F">
            <w:pPr>
              <w:pStyle w:val="ListParagraph"/>
              <w:numPr>
                <w:ilvl w:val="0"/>
                <w:numId w:val="5"/>
              </w:numPr>
              <w:jc w:val="both"/>
              <w:rPr>
                <w:i/>
              </w:rPr>
            </w:pPr>
            <w:r w:rsidRPr="00B01372">
              <w:rPr>
                <w:i/>
              </w:rPr>
              <w:t>National SRPP definition</w:t>
            </w:r>
          </w:p>
          <w:p w14:paraId="6B236620" w14:textId="77777777" w:rsidR="00DD5AB5" w:rsidRPr="00B01372" w:rsidRDefault="00DD5AB5" w:rsidP="00E3206F">
            <w:pPr>
              <w:pStyle w:val="ListParagraph"/>
              <w:numPr>
                <w:ilvl w:val="0"/>
                <w:numId w:val="5"/>
              </w:numPr>
              <w:jc w:val="both"/>
              <w:rPr>
                <w:i/>
              </w:rPr>
            </w:pPr>
            <w:r w:rsidRPr="00B01372">
              <w:rPr>
                <w:i/>
              </w:rPr>
              <w:lastRenderedPageBreak/>
              <w:t>List and brief description of national policy initiatives launched in the area of SRPP</w:t>
            </w:r>
          </w:p>
          <w:p w14:paraId="4811BCD4" w14:textId="12A7B441" w:rsidR="00DD5AB5" w:rsidRPr="00B01372" w:rsidRDefault="00DD5AB5" w:rsidP="00E3206F">
            <w:pPr>
              <w:pStyle w:val="ListParagraph"/>
              <w:numPr>
                <w:ilvl w:val="0"/>
                <w:numId w:val="5"/>
              </w:numPr>
              <w:jc w:val="both"/>
              <w:rPr>
                <w:i/>
              </w:rPr>
            </w:pPr>
            <w:r w:rsidRPr="00B01372">
              <w:rPr>
                <w:i/>
              </w:rPr>
              <w:t xml:space="preserve">Any obligation to include socially responsible criteria </w:t>
            </w:r>
            <w:r w:rsidR="00FF42D2">
              <w:rPr>
                <w:i/>
              </w:rPr>
              <w:t>or contract performance clauses</w:t>
            </w:r>
            <w:r w:rsidR="00FF42D2" w:rsidRPr="00B01372">
              <w:rPr>
                <w:i/>
              </w:rPr>
              <w:t xml:space="preserve"> </w:t>
            </w:r>
            <w:r w:rsidRPr="00B01372">
              <w:rPr>
                <w:i/>
              </w:rPr>
              <w:t>in the tender documents imposed by your national system, and the contracting authoritie</w:t>
            </w:r>
            <w:r w:rsidR="006753EC" w:rsidRPr="00B01372">
              <w:rPr>
                <w:i/>
              </w:rPr>
              <w:t xml:space="preserve">s </w:t>
            </w:r>
            <w:r w:rsidR="00FF42D2">
              <w:rPr>
                <w:i/>
              </w:rPr>
              <w:t>or contracting entities</w:t>
            </w:r>
            <w:r w:rsidR="0043675B">
              <w:rPr>
                <w:i/>
              </w:rPr>
              <w:t xml:space="preserve"> </w:t>
            </w:r>
            <w:r w:rsidR="00FF42D2" w:rsidRPr="00B01372">
              <w:rPr>
                <w:i/>
              </w:rPr>
              <w:t xml:space="preserve"> </w:t>
            </w:r>
            <w:r w:rsidR="006753EC" w:rsidRPr="00B01372">
              <w:rPr>
                <w:i/>
              </w:rPr>
              <w:t>which are required to comply</w:t>
            </w:r>
          </w:p>
          <w:p w14:paraId="6D0E0E06" w14:textId="72311BF7" w:rsidR="00DD5AB5" w:rsidRPr="00B01372" w:rsidDel="00DD5AB5" w:rsidRDefault="00DD5AB5" w:rsidP="00E3206F">
            <w:pPr>
              <w:pStyle w:val="ListParagraph"/>
              <w:numPr>
                <w:ilvl w:val="0"/>
                <w:numId w:val="5"/>
              </w:numPr>
              <w:jc w:val="both"/>
            </w:pPr>
            <w:r w:rsidRPr="00B01372">
              <w:rPr>
                <w:i/>
              </w:rPr>
              <w:t>Any information on social labels in us</w:t>
            </w:r>
            <w:r w:rsidR="006753EC" w:rsidRPr="00B01372">
              <w:rPr>
                <w:i/>
              </w:rPr>
              <w:t>e</w:t>
            </w:r>
          </w:p>
        </w:tc>
      </w:tr>
      <w:tr w:rsidR="001132ED" w:rsidRPr="00B01372" w14:paraId="6F8A39C8" w14:textId="77777777" w:rsidTr="00A25DEB">
        <w:tc>
          <w:tcPr>
            <w:tcW w:w="1648" w:type="pct"/>
          </w:tcPr>
          <w:p w14:paraId="138C21BB" w14:textId="77777777" w:rsidR="001132ED" w:rsidRPr="00241D69" w:rsidRDefault="001132ED" w:rsidP="00A25DEB">
            <w:pPr>
              <w:rPr>
                <w:highlight w:val="yellow"/>
              </w:rPr>
            </w:pPr>
          </w:p>
        </w:tc>
        <w:tc>
          <w:tcPr>
            <w:tcW w:w="3352" w:type="pct"/>
          </w:tcPr>
          <w:p w14:paraId="01F6AE52" w14:textId="0F5B15DF" w:rsidR="001132ED" w:rsidRPr="00B01372" w:rsidRDefault="001132ED" w:rsidP="00A25DEB">
            <w:pPr>
              <w:jc w:val="both"/>
              <w:rPr>
                <w:i/>
              </w:rPr>
            </w:pPr>
            <w:r w:rsidRPr="001132ED">
              <w:rPr>
                <w:color w:val="FF0000"/>
              </w:rPr>
              <w:t>No data available</w:t>
            </w:r>
            <w:r>
              <w:rPr>
                <w:color w:val="FF0000"/>
              </w:rPr>
              <w:tab/>
            </w:r>
          </w:p>
        </w:tc>
      </w:tr>
      <w:tr w:rsidR="00DD5AB5" w:rsidRPr="00B01372" w14:paraId="51A7B11F" w14:textId="77777777" w:rsidTr="00A25DEB">
        <w:tc>
          <w:tcPr>
            <w:tcW w:w="1648" w:type="pct"/>
          </w:tcPr>
          <w:p w14:paraId="6DAB0E8B" w14:textId="2CBBDE48" w:rsidR="00DD5AB5" w:rsidRPr="00B01372" w:rsidRDefault="007C7271" w:rsidP="00A25DEB">
            <w:pPr>
              <w:rPr>
                <w:b/>
              </w:rPr>
            </w:pPr>
            <w:r w:rsidRPr="00B01372">
              <w:rPr>
                <w:b/>
              </w:rPr>
              <w:t>V</w:t>
            </w:r>
            <w:r w:rsidR="00DD5AB5" w:rsidRPr="00B01372">
              <w:rPr>
                <w:b/>
              </w:rPr>
              <w:t xml:space="preserve">.2.3. Quantitative indicators  </w:t>
            </w:r>
          </w:p>
        </w:tc>
        <w:tc>
          <w:tcPr>
            <w:tcW w:w="3352" w:type="pct"/>
          </w:tcPr>
          <w:p w14:paraId="5659E4B4" w14:textId="026CB96F" w:rsidR="00DD5AB5" w:rsidRPr="00B01372" w:rsidDel="00DD5AB5" w:rsidRDefault="00DD5AB5" w:rsidP="00A25DEB">
            <w:pPr>
              <w:jc w:val="both"/>
            </w:pPr>
            <w:r w:rsidRPr="00B01372">
              <w:rPr>
                <w:i/>
              </w:rPr>
              <w:t xml:space="preserve">This section contains examples of quantitative indicators related to section </w:t>
            </w:r>
            <w:r w:rsidR="00C6144F" w:rsidRPr="00B01372">
              <w:rPr>
                <w:i/>
              </w:rPr>
              <w:t>V</w:t>
            </w:r>
            <w:r w:rsidRPr="00B01372">
              <w:rPr>
                <w:i/>
              </w:rPr>
              <w:t>.2. Other indicators can also be included in the report.</w:t>
            </w:r>
          </w:p>
        </w:tc>
      </w:tr>
      <w:tr w:rsidR="00DD5AB5" w:rsidRPr="00B01372" w14:paraId="0E35A5BE" w14:textId="77777777" w:rsidTr="00A25DEB">
        <w:trPr>
          <w:trHeight w:val="3952"/>
        </w:trPr>
        <w:tc>
          <w:tcPr>
            <w:tcW w:w="1648" w:type="pct"/>
          </w:tcPr>
          <w:p w14:paraId="3613F285" w14:textId="10216623" w:rsidR="00DD5AB5" w:rsidRPr="00B01372" w:rsidRDefault="00DD5AB5" w:rsidP="00A25DEB">
            <w:r w:rsidRPr="00B01372">
              <w:t xml:space="preserve">Please provide, when available, any quantitative data (statistics, etc.) illustrating the achievements and challenges identified under section </w:t>
            </w:r>
            <w:r w:rsidR="007C7271" w:rsidRPr="00B01372">
              <w:t>V</w:t>
            </w:r>
            <w:r w:rsidRPr="00B01372">
              <w:t>.2.</w:t>
            </w:r>
            <w:r w:rsidR="002C131E" w:rsidRPr="00B01372">
              <w:t xml:space="preserve">1 </w:t>
            </w:r>
            <w:r w:rsidRPr="00B01372">
              <w:t xml:space="preserve">above. </w:t>
            </w:r>
          </w:p>
        </w:tc>
        <w:tc>
          <w:tcPr>
            <w:tcW w:w="3352" w:type="pct"/>
          </w:tcPr>
          <w:p w14:paraId="4F4F76E9" w14:textId="77777777" w:rsidR="00DD5AB5" w:rsidRPr="00B01372" w:rsidRDefault="00DD5AB5" w:rsidP="00A25DEB">
            <w:pPr>
              <w:jc w:val="both"/>
              <w:rPr>
                <w:i/>
              </w:rPr>
            </w:pPr>
            <w:r w:rsidRPr="00B01372">
              <w:rPr>
                <w:i/>
              </w:rPr>
              <w:t>Possible relevant (non-exhaustive) documents for consideration may be as follows:</w:t>
            </w:r>
          </w:p>
          <w:p w14:paraId="1AD9AE7C" w14:textId="58CCCA8F" w:rsidR="0043675B" w:rsidRPr="0043675B" w:rsidRDefault="00DD5AB5" w:rsidP="00E3206F">
            <w:pPr>
              <w:pStyle w:val="ListParagraph"/>
              <w:numPr>
                <w:ilvl w:val="0"/>
                <w:numId w:val="5"/>
              </w:numPr>
              <w:jc w:val="both"/>
              <w:rPr>
                <w:i/>
              </w:rPr>
            </w:pPr>
            <w:r w:rsidRPr="00B01372">
              <w:rPr>
                <w:i/>
              </w:rPr>
              <w:t xml:space="preserve">Number of public procurement procedures incorporating socially responsible award criteria. </w:t>
            </w:r>
            <w:r w:rsidRPr="0043675B">
              <w:rPr>
                <w:i/>
              </w:rPr>
              <w:t xml:space="preserve">Please specify how many of those are regulated under the 'light regime' of Title III Chapter I </w:t>
            </w:r>
            <w:r w:rsidR="0043675B" w:rsidRPr="0043675B">
              <w:rPr>
                <w:i/>
              </w:rPr>
              <w:t>(Articles 74-77 of Directive 2014/24/EU and Articles 91-9</w:t>
            </w:r>
            <w:r w:rsidR="00956EEA">
              <w:rPr>
                <w:i/>
              </w:rPr>
              <w:t>4</w:t>
            </w:r>
            <w:r w:rsidR="0043675B" w:rsidRPr="0043675B">
              <w:rPr>
                <w:i/>
              </w:rPr>
              <w:t xml:space="preserve"> of Directive 2014/25/EU)</w:t>
            </w:r>
            <w:r w:rsidR="00A25DEB">
              <w:rPr>
                <w:i/>
              </w:rPr>
              <w:t xml:space="preserve">: </w:t>
            </w:r>
            <w:r w:rsidR="00A25DEB">
              <w:rPr>
                <w:color w:val="FF0000"/>
              </w:rPr>
              <w:t>No data available</w:t>
            </w:r>
            <w:r w:rsidR="0043675B" w:rsidRPr="0043675B">
              <w:rPr>
                <w:i/>
              </w:rPr>
              <w:t xml:space="preserve"> </w:t>
            </w:r>
          </w:p>
          <w:p w14:paraId="52A364EB" w14:textId="072BDD38" w:rsidR="00DD5AB5" w:rsidRPr="0043675B" w:rsidRDefault="00DD5AB5" w:rsidP="00E3206F">
            <w:pPr>
              <w:pStyle w:val="ListParagraph"/>
              <w:numPr>
                <w:ilvl w:val="0"/>
                <w:numId w:val="5"/>
              </w:numPr>
              <w:jc w:val="both"/>
              <w:rPr>
                <w:i/>
              </w:rPr>
            </w:pPr>
            <w:r w:rsidRPr="0043675B">
              <w:rPr>
                <w:i/>
              </w:rPr>
              <w:t>Number of public procurement procedures reserved to sheltered workshops and economic operators in line with article 20 of the Directive</w:t>
            </w:r>
            <w:r w:rsidR="00A25DEB">
              <w:rPr>
                <w:i/>
              </w:rPr>
              <w:t xml:space="preserve">: </w:t>
            </w:r>
            <w:r w:rsidR="0063380D" w:rsidRPr="0063380D">
              <w:rPr>
                <w:color w:val="FF0000"/>
              </w:rPr>
              <w:t>1</w:t>
            </w:r>
          </w:p>
          <w:p w14:paraId="4F42EF6C" w14:textId="78499BEF" w:rsidR="00DD5AB5" w:rsidRPr="0043675B" w:rsidRDefault="00DD5AB5" w:rsidP="00E3206F">
            <w:pPr>
              <w:pStyle w:val="ListParagraph"/>
              <w:numPr>
                <w:ilvl w:val="0"/>
                <w:numId w:val="5"/>
              </w:numPr>
              <w:jc w:val="both"/>
            </w:pPr>
            <w:r w:rsidRPr="0043675B">
              <w:rPr>
                <w:i/>
              </w:rPr>
              <w:t>Number of public procurement procedures for the provision of health, social or cultural services as referred to in article 77.1 reserved to organisations fulfilling the conditions listed in article 77.2.</w:t>
            </w:r>
            <w:r w:rsidR="0063380D">
              <w:rPr>
                <w:i/>
              </w:rPr>
              <w:t xml:space="preserve">: </w:t>
            </w:r>
            <w:r w:rsidR="0063380D" w:rsidRPr="0063380D">
              <w:rPr>
                <w:color w:val="FF0000"/>
              </w:rPr>
              <w:t>154</w:t>
            </w:r>
          </w:p>
          <w:p w14:paraId="364B9F93" w14:textId="77DEC748" w:rsidR="00FF42D2" w:rsidRPr="00B01372" w:rsidDel="00DD5AB5" w:rsidRDefault="00FF42D2" w:rsidP="00E3206F">
            <w:pPr>
              <w:pStyle w:val="ListParagraph"/>
              <w:numPr>
                <w:ilvl w:val="0"/>
                <w:numId w:val="5"/>
              </w:numPr>
              <w:jc w:val="both"/>
            </w:pPr>
            <w:r w:rsidRPr="0043675B">
              <w:rPr>
                <w:i/>
              </w:rPr>
              <w:t xml:space="preserve">Number of public procurement procedures incorporating socially responsible contract performance clauses criteria. Please specify how many of those are regulated under the 'light regime' of Title III Chapter I </w:t>
            </w:r>
            <w:r w:rsidR="0043675B" w:rsidRPr="0043675B">
              <w:rPr>
                <w:i/>
              </w:rPr>
              <w:t>(Articles 74-77 of Directive 2014/24/EU and Articles 91-9</w:t>
            </w:r>
            <w:r w:rsidR="00956EEA">
              <w:rPr>
                <w:i/>
              </w:rPr>
              <w:t>4</w:t>
            </w:r>
            <w:r w:rsidR="0043675B" w:rsidRPr="0043675B">
              <w:rPr>
                <w:i/>
              </w:rPr>
              <w:t xml:space="preserve"> of Directive 2014/25/EU)</w:t>
            </w:r>
            <w:r w:rsidR="0063380D">
              <w:rPr>
                <w:i/>
              </w:rPr>
              <w:t xml:space="preserve">: </w:t>
            </w:r>
            <w:r w:rsidR="0063380D">
              <w:rPr>
                <w:color w:val="FF0000"/>
              </w:rPr>
              <w:t xml:space="preserve"> No data available</w:t>
            </w:r>
          </w:p>
        </w:tc>
      </w:tr>
      <w:tr w:rsidR="009D79A4" w:rsidRPr="00B01372" w14:paraId="19DF63EF" w14:textId="77777777" w:rsidTr="00A25DEB">
        <w:tc>
          <w:tcPr>
            <w:tcW w:w="1648" w:type="pct"/>
          </w:tcPr>
          <w:p w14:paraId="435A63A9" w14:textId="5DB703DD" w:rsidR="009D79A4" w:rsidRPr="00B01372" w:rsidRDefault="009D79A4" w:rsidP="00A25DEB">
            <w:pPr>
              <w:pStyle w:val="Heading3"/>
              <w:outlineLvl w:val="2"/>
            </w:pPr>
            <w:r w:rsidRPr="00B01372">
              <w:t>V.3 Public procurement of innovati</w:t>
            </w:r>
            <w:r w:rsidR="00DE3F88" w:rsidRPr="00B01372">
              <w:t>on</w:t>
            </w:r>
          </w:p>
        </w:tc>
        <w:tc>
          <w:tcPr>
            <w:tcW w:w="3352" w:type="pct"/>
          </w:tcPr>
          <w:p w14:paraId="67131362" w14:textId="77777777" w:rsidR="009D79A4" w:rsidRDefault="009D79A4" w:rsidP="00A25DEB">
            <w:pPr>
              <w:pStyle w:val="Heading4"/>
              <w:numPr>
                <w:ilvl w:val="0"/>
                <w:numId w:val="0"/>
              </w:numPr>
              <w:jc w:val="both"/>
              <w:outlineLvl w:val="3"/>
              <w:rPr>
                <w:b w:val="0"/>
              </w:rPr>
            </w:pPr>
            <w:r w:rsidRPr="00B01372">
              <w:rPr>
                <w:b w:val="0"/>
              </w:rPr>
              <w:t xml:space="preserve">An innovative solution is defined in </w:t>
            </w:r>
            <w:r w:rsidRPr="00B01372">
              <w:rPr>
                <w:b w:val="0"/>
                <w:color w:val="000000"/>
              </w:rPr>
              <w:t>2014/24/EU Art.2 (1.22) as "a new or significantly improved product, service or process". This includes not only those solutions resulting from R&amp;D but also those solutions resulting from activities, "including but not limited to production, building or construction processes, a new marketing method, or a new organisational method in business practices, workplace organisation or external relations."</w:t>
            </w:r>
            <w:r w:rsidR="00DE3F88" w:rsidRPr="00B01372">
              <w:rPr>
                <w:b w:val="0"/>
                <w:color w:val="000000"/>
              </w:rPr>
              <w:t xml:space="preserve"> </w:t>
            </w:r>
            <w:r w:rsidR="00DE3F88" w:rsidRPr="00B01372">
              <w:rPr>
                <w:b w:val="0"/>
              </w:rPr>
              <w:t xml:space="preserve">Please report both dimensions of innovation procurement: </w:t>
            </w:r>
            <w:r w:rsidR="00B7501F">
              <w:rPr>
                <w:b w:val="0"/>
              </w:rPr>
              <w:t>p</w:t>
            </w:r>
            <w:r w:rsidR="00DE3F88" w:rsidRPr="00B01372">
              <w:rPr>
                <w:b w:val="0"/>
              </w:rPr>
              <w:t>rocurement of R&amp;D and procurement of innovative solutions.</w:t>
            </w:r>
          </w:p>
          <w:p w14:paraId="7DAE116C" w14:textId="61DB89FD" w:rsidR="007D7347" w:rsidRPr="007D7347" w:rsidRDefault="007D7347" w:rsidP="007D7347">
            <w:r w:rsidRPr="002221A2">
              <w:rPr>
                <w:color w:val="FF0000"/>
              </w:rPr>
              <w:t>No Innovation partnerships have been awarded in 2017.</w:t>
            </w:r>
          </w:p>
        </w:tc>
      </w:tr>
      <w:tr w:rsidR="006708CC" w:rsidRPr="00B01372" w14:paraId="25EBCE41" w14:textId="77777777" w:rsidTr="00A25DEB">
        <w:tc>
          <w:tcPr>
            <w:tcW w:w="1648" w:type="pct"/>
          </w:tcPr>
          <w:p w14:paraId="5A772C25" w14:textId="0992EC61" w:rsidR="006708CC" w:rsidRPr="00B01372" w:rsidRDefault="009D79A4" w:rsidP="00A25DEB">
            <w:pPr>
              <w:pStyle w:val="Heading3"/>
              <w:outlineLvl w:val="2"/>
            </w:pPr>
            <w:r w:rsidRPr="00B01372">
              <w:t>V</w:t>
            </w:r>
            <w:r w:rsidR="006708CC" w:rsidRPr="00B01372">
              <w:t>.3.</w:t>
            </w:r>
            <w:r w:rsidRPr="00B01372">
              <w:t>1</w:t>
            </w:r>
            <w:r w:rsidR="006708CC" w:rsidRPr="00B01372">
              <w:t xml:space="preserve"> </w:t>
            </w:r>
            <w:r w:rsidR="002C131E" w:rsidRPr="00B01372">
              <w:t>Qualitative reporting</w:t>
            </w:r>
          </w:p>
        </w:tc>
        <w:tc>
          <w:tcPr>
            <w:tcW w:w="3352" w:type="pct"/>
          </w:tcPr>
          <w:p w14:paraId="033F13EB" w14:textId="19E59728" w:rsidR="006708CC" w:rsidRPr="00B01372" w:rsidRDefault="006708CC" w:rsidP="00A25DEB">
            <w:pPr>
              <w:pStyle w:val="Heading4"/>
              <w:numPr>
                <w:ilvl w:val="0"/>
                <w:numId w:val="0"/>
              </w:numPr>
              <w:jc w:val="both"/>
              <w:outlineLvl w:val="3"/>
            </w:pPr>
          </w:p>
        </w:tc>
      </w:tr>
      <w:tr w:rsidR="006708CC" w:rsidRPr="00B01372" w14:paraId="293F0B0C" w14:textId="77777777" w:rsidTr="00A25DEB">
        <w:tc>
          <w:tcPr>
            <w:tcW w:w="1648" w:type="pct"/>
          </w:tcPr>
          <w:p w14:paraId="779255E4" w14:textId="75B08836" w:rsidR="006708CC" w:rsidRPr="00B01372" w:rsidRDefault="006708CC" w:rsidP="00A25DEB">
            <w:r w:rsidRPr="00B01372">
              <w:t>Key challenges encountered</w:t>
            </w:r>
          </w:p>
          <w:p w14:paraId="625449B6" w14:textId="40ECDCB6" w:rsidR="006708CC" w:rsidRPr="00B01372" w:rsidRDefault="006708CC" w:rsidP="00A25DEB"/>
        </w:tc>
        <w:tc>
          <w:tcPr>
            <w:tcW w:w="3352" w:type="pct"/>
          </w:tcPr>
          <w:p w14:paraId="569CC181" w14:textId="46E92BD1" w:rsidR="006708CC" w:rsidRPr="00281AF8" w:rsidRDefault="006708CC" w:rsidP="00A25DEB">
            <w:r w:rsidRPr="00281AF8">
              <w:t>The information should focus on:</w:t>
            </w:r>
          </w:p>
          <w:p w14:paraId="56B84B67" w14:textId="3D49271D" w:rsidR="006708CC" w:rsidRPr="00281AF8" w:rsidRDefault="006708CC" w:rsidP="00A25DEB">
            <w:pPr>
              <w:jc w:val="both"/>
            </w:pPr>
            <w:r w:rsidRPr="00281AF8">
              <w:t xml:space="preserve">- key challenges encountered in promoting </w:t>
            </w:r>
            <w:r w:rsidR="00DE3F88" w:rsidRPr="00281AF8">
              <w:t xml:space="preserve">innovation </w:t>
            </w:r>
            <w:r w:rsidRPr="00281AF8">
              <w:t>procurement, if any</w:t>
            </w:r>
          </w:p>
          <w:p w14:paraId="535F7945" w14:textId="7CC85109" w:rsidR="0063380D" w:rsidRPr="00281AF8" w:rsidRDefault="001340F2" w:rsidP="00E3206F">
            <w:pPr>
              <w:pStyle w:val="ListParagraph"/>
              <w:numPr>
                <w:ilvl w:val="0"/>
                <w:numId w:val="13"/>
              </w:numPr>
              <w:jc w:val="both"/>
              <w:rPr>
                <w:color w:val="FF0000"/>
              </w:rPr>
            </w:pPr>
            <w:r>
              <w:rPr>
                <w:color w:val="FF0000"/>
              </w:rPr>
              <w:lastRenderedPageBreak/>
              <w:t>There are still large public needs that need to be met through classic methodology</w:t>
            </w:r>
            <w:r w:rsidR="007210EF">
              <w:rPr>
                <w:color w:val="FF0000"/>
              </w:rPr>
              <w:t xml:space="preserve"> of public procurement, thus the space for innovative solutions is still limited at this stage</w:t>
            </w:r>
          </w:p>
          <w:p w14:paraId="1F7F6A81" w14:textId="77777777" w:rsidR="0063380D" w:rsidRPr="00281AF8" w:rsidRDefault="0063380D" w:rsidP="00E3206F">
            <w:pPr>
              <w:pStyle w:val="ListParagraph"/>
              <w:numPr>
                <w:ilvl w:val="0"/>
                <w:numId w:val="13"/>
              </w:numPr>
              <w:jc w:val="both"/>
              <w:rPr>
                <w:color w:val="FF0000"/>
              </w:rPr>
            </w:pPr>
            <w:r w:rsidRPr="00281AF8">
              <w:rPr>
                <w:color w:val="FF0000"/>
              </w:rPr>
              <w:t>Lack of funds for implementing projects dealing with PPI</w:t>
            </w:r>
          </w:p>
          <w:p w14:paraId="762597F9" w14:textId="77777777" w:rsidR="0063380D" w:rsidRPr="00281AF8" w:rsidRDefault="0063380D" w:rsidP="0063380D">
            <w:pPr>
              <w:jc w:val="both"/>
              <w:rPr>
                <w:color w:val="FF0000"/>
              </w:rPr>
            </w:pPr>
            <w:r w:rsidRPr="00281AF8">
              <w:rPr>
                <w:color w:val="FF0000"/>
              </w:rPr>
              <w:t>These reasons make the promotion of PPI more difficult. There is also lack of financial resources for promoting PPI.</w:t>
            </w:r>
          </w:p>
          <w:p w14:paraId="626B3164" w14:textId="77777777" w:rsidR="00281AF8" w:rsidRPr="00281AF8" w:rsidRDefault="006708CC" w:rsidP="00A25DEB">
            <w:pPr>
              <w:jc w:val="both"/>
            </w:pPr>
            <w:r w:rsidRPr="00281AF8">
              <w:t>- measures taken to overcome them</w:t>
            </w:r>
          </w:p>
          <w:p w14:paraId="6D528147" w14:textId="77777777" w:rsidR="00281AF8" w:rsidRPr="00281AF8" w:rsidRDefault="00281AF8" w:rsidP="00E3206F">
            <w:pPr>
              <w:pStyle w:val="ListParagraph"/>
              <w:numPr>
                <w:ilvl w:val="0"/>
                <w:numId w:val="14"/>
              </w:numPr>
              <w:jc w:val="both"/>
              <w:rPr>
                <w:color w:val="FF0000"/>
              </w:rPr>
            </w:pPr>
            <w:r w:rsidRPr="00281AF8">
              <w:rPr>
                <w:color w:val="FF0000"/>
              </w:rPr>
              <w:t>HAMAG-BICRO has been involved in project PPI2Innovate: “Capacity building to boost usage of public procurement of innovative solutions”. With PPI2Innovate project HAMAG-BICRO promotes activities to raise public awareness of innovation procurement.</w:t>
            </w:r>
          </w:p>
          <w:p w14:paraId="77318A94" w14:textId="2764105E" w:rsidR="006708CC" w:rsidRPr="00281AF8" w:rsidRDefault="00281AF8" w:rsidP="00E3206F">
            <w:pPr>
              <w:pStyle w:val="ListParagraph"/>
              <w:numPr>
                <w:ilvl w:val="0"/>
                <w:numId w:val="14"/>
              </w:numPr>
              <w:jc w:val="both"/>
              <w:rPr>
                <w:color w:val="FF0000"/>
              </w:rPr>
            </w:pPr>
            <w:r w:rsidRPr="00281AF8">
              <w:rPr>
                <w:color w:val="FF0000"/>
              </w:rPr>
              <w:t>HAMAG-BICRO have organised PPI trainings for public procurers, conferences, round-tables, press conferences, workshops and also have direct contact with public procurers from all over Croatia</w:t>
            </w:r>
            <w:r w:rsidR="006708CC" w:rsidRPr="00281AF8">
              <w:rPr>
                <w:color w:val="FF0000"/>
              </w:rPr>
              <w:t xml:space="preserve"> </w:t>
            </w:r>
          </w:p>
          <w:p w14:paraId="3319A9A1" w14:textId="77777777" w:rsidR="006708CC" w:rsidRPr="00281AF8" w:rsidRDefault="006708CC" w:rsidP="00A25DEB">
            <w:pPr>
              <w:jc w:val="both"/>
            </w:pPr>
            <w:r w:rsidRPr="00281AF8">
              <w:t xml:space="preserve">- </w:t>
            </w:r>
            <w:r w:rsidR="0064577E" w:rsidRPr="00281AF8">
              <w:t>difficulties still existing in the Member State</w:t>
            </w:r>
          </w:p>
          <w:p w14:paraId="7A8D5356" w14:textId="5C04A8B0" w:rsidR="00281AF8" w:rsidRPr="00281AF8" w:rsidRDefault="007210EF" w:rsidP="00E3206F">
            <w:pPr>
              <w:pStyle w:val="ListParagraph"/>
              <w:numPr>
                <w:ilvl w:val="0"/>
                <w:numId w:val="15"/>
              </w:numPr>
              <w:jc w:val="both"/>
              <w:rPr>
                <w:color w:val="FF0000"/>
              </w:rPr>
            </w:pPr>
            <w:r>
              <w:rPr>
                <w:color w:val="FF0000"/>
              </w:rPr>
              <w:t>Low awareness and knowledge about PPI</w:t>
            </w:r>
            <w:bookmarkStart w:id="0" w:name="_GoBack"/>
            <w:bookmarkEnd w:id="0"/>
          </w:p>
          <w:p w14:paraId="4B161561" w14:textId="3C27D79A" w:rsidR="00281AF8" w:rsidRPr="00281AF8" w:rsidRDefault="00281AF8" w:rsidP="00E3206F">
            <w:pPr>
              <w:pStyle w:val="ListParagraph"/>
              <w:numPr>
                <w:ilvl w:val="0"/>
                <w:numId w:val="15"/>
              </w:numPr>
              <w:jc w:val="both"/>
            </w:pPr>
            <w:r w:rsidRPr="00281AF8">
              <w:rPr>
                <w:color w:val="FF0000"/>
              </w:rPr>
              <w:t>Lack of funds for promotion and implementation</w:t>
            </w:r>
          </w:p>
        </w:tc>
      </w:tr>
      <w:tr w:rsidR="006708CC" w:rsidRPr="00B01372" w14:paraId="5ECD12D9" w14:textId="77777777" w:rsidTr="00A25DEB">
        <w:tc>
          <w:tcPr>
            <w:tcW w:w="1648" w:type="pct"/>
          </w:tcPr>
          <w:p w14:paraId="729798E8" w14:textId="3AF94ADE" w:rsidR="006708CC" w:rsidRPr="00B01372" w:rsidRDefault="009D79A4" w:rsidP="00A25DEB">
            <w:pPr>
              <w:pStyle w:val="Heading3"/>
              <w:outlineLvl w:val="2"/>
            </w:pPr>
            <w:r w:rsidRPr="00B01372">
              <w:lastRenderedPageBreak/>
              <w:t>V</w:t>
            </w:r>
            <w:r w:rsidR="006708CC" w:rsidRPr="00B01372">
              <w:t xml:space="preserve">.3.2. </w:t>
            </w:r>
            <w:r w:rsidR="0037143F" w:rsidRPr="0037143F">
              <w:t>Supporting documents</w:t>
            </w:r>
          </w:p>
        </w:tc>
        <w:tc>
          <w:tcPr>
            <w:tcW w:w="3352" w:type="pct"/>
          </w:tcPr>
          <w:p w14:paraId="3CD1FC69" w14:textId="77777777" w:rsidR="006708CC" w:rsidRPr="00B01372" w:rsidRDefault="006708CC" w:rsidP="00A25DEB">
            <w:pPr>
              <w:rPr>
                <w:i/>
              </w:rPr>
            </w:pPr>
          </w:p>
        </w:tc>
      </w:tr>
      <w:tr w:rsidR="006708CC" w:rsidRPr="00B01372" w14:paraId="40569968" w14:textId="77777777" w:rsidTr="00A25DEB">
        <w:tc>
          <w:tcPr>
            <w:tcW w:w="1648" w:type="pct"/>
          </w:tcPr>
          <w:p w14:paraId="7C58EC57" w14:textId="08B9FF38" w:rsidR="006708CC" w:rsidRPr="00B01372" w:rsidRDefault="006708CC" w:rsidP="00A25DEB">
            <w:pPr>
              <w:pStyle w:val="Heading3"/>
              <w:outlineLvl w:val="2"/>
              <w:rPr>
                <w:b w:val="0"/>
              </w:rPr>
            </w:pPr>
            <w:r w:rsidRPr="00B01372">
              <w:rPr>
                <w:b w:val="0"/>
              </w:rPr>
              <w:t xml:space="preserve">Please report any available evidence or supporting document illustrating the measures, achievements or challenges faced, relating to the promotion </w:t>
            </w:r>
            <w:r w:rsidR="00DE3F88" w:rsidRPr="00B01372">
              <w:rPr>
                <w:b w:val="0"/>
              </w:rPr>
              <w:t xml:space="preserve">and implementation </w:t>
            </w:r>
            <w:r w:rsidRPr="00B01372">
              <w:rPr>
                <w:b w:val="0"/>
              </w:rPr>
              <w:t xml:space="preserve">of </w:t>
            </w:r>
            <w:r w:rsidR="00DE3F88" w:rsidRPr="00B01372">
              <w:rPr>
                <w:b w:val="0"/>
              </w:rPr>
              <w:t>innovation procurement</w:t>
            </w:r>
            <w:r w:rsidRPr="00B01372">
              <w:rPr>
                <w:b w:val="0"/>
              </w:rPr>
              <w:t>.</w:t>
            </w:r>
          </w:p>
        </w:tc>
        <w:tc>
          <w:tcPr>
            <w:tcW w:w="3352" w:type="pct"/>
          </w:tcPr>
          <w:p w14:paraId="7A6FB9D1" w14:textId="5FABDD4A" w:rsidR="006708CC" w:rsidRPr="00B01372" w:rsidRDefault="006708CC" w:rsidP="00A25DEB">
            <w:pPr>
              <w:jc w:val="both"/>
              <w:rPr>
                <w:i/>
              </w:rPr>
            </w:pPr>
            <w:r w:rsidRPr="00B01372">
              <w:rPr>
                <w:i/>
              </w:rPr>
              <w:t>Possible relevant (non-exhaustive) documents for consideration may be as follows</w:t>
            </w:r>
            <w:r w:rsidR="00CB736C">
              <w:rPr>
                <w:i/>
              </w:rPr>
              <w:t xml:space="preserve"> (please provide a link to the document, and if possible, a summary of the document in English, if the document is in another language)</w:t>
            </w:r>
            <w:r w:rsidRPr="00B01372">
              <w:rPr>
                <w:i/>
              </w:rPr>
              <w:t>:</w:t>
            </w:r>
          </w:p>
          <w:p w14:paraId="290CD99D" w14:textId="6CEE4305" w:rsidR="006708CC" w:rsidRDefault="006708CC" w:rsidP="00A25DEB">
            <w:pPr>
              <w:pStyle w:val="ListParagraph"/>
              <w:numPr>
                <w:ilvl w:val="0"/>
                <w:numId w:val="4"/>
              </w:numPr>
              <w:ind w:left="709" w:hanging="425"/>
              <w:rPr>
                <w:i/>
              </w:rPr>
            </w:pPr>
            <w:r w:rsidRPr="00B01372">
              <w:rPr>
                <w:i/>
              </w:rPr>
              <w:t xml:space="preserve">National Action Plan and/or targets for </w:t>
            </w:r>
            <w:r w:rsidR="00DE3F88" w:rsidRPr="00B01372">
              <w:rPr>
                <w:i/>
              </w:rPr>
              <w:t>innovation procurement</w:t>
            </w:r>
            <w:r w:rsidR="00DE3F88" w:rsidRPr="00B01372" w:rsidDel="00DE3F88">
              <w:rPr>
                <w:i/>
              </w:rPr>
              <w:t xml:space="preserve"> </w:t>
            </w:r>
            <w:r w:rsidRPr="00B01372">
              <w:rPr>
                <w:i/>
              </w:rPr>
              <w:t>and its stage of implementation. Information on how are they defined.</w:t>
            </w:r>
          </w:p>
          <w:p w14:paraId="32CE650F" w14:textId="71239DA3" w:rsidR="007D7347" w:rsidRPr="008D12B5" w:rsidRDefault="007D7347" w:rsidP="008D12B5">
            <w:pPr>
              <w:pStyle w:val="ListParagraph"/>
              <w:ind w:left="709"/>
              <w:rPr>
                <w:i/>
                <w:color w:val="FF0000"/>
              </w:rPr>
            </w:pPr>
            <w:r w:rsidRPr="007D7347">
              <w:rPr>
                <w:i/>
                <w:color w:val="FF0000"/>
              </w:rPr>
              <w:t>Strategy for innovation support Action plan, Measure 2.5. Boosting the implementation of innovation throughout the public procurement system; Smart Specialization Strategy (S3) Action plan, Strategic objective 5: “Accepting and using innovative public procurement in addressing identified problems associated with social challenges”</w:t>
            </w:r>
          </w:p>
          <w:p w14:paraId="6D052CBB" w14:textId="468EC77E" w:rsidR="006708CC" w:rsidRPr="00FF42D2" w:rsidRDefault="006708CC" w:rsidP="00A25DEB">
            <w:pPr>
              <w:pStyle w:val="ListParagraph"/>
              <w:numPr>
                <w:ilvl w:val="0"/>
                <w:numId w:val="4"/>
              </w:numPr>
              <w:ind w:left="709" w:hanging="425"/>
              <w:jc w:val="both"/>
              <w:rPr>
                <w:i/>
              </w:rPr>
            </w:pPr>
            <w:r w:rsidRPr="00FF42D2">
              <w:rPr>
                <w:i/>
              </w:rPr>
              <w:t xml:space="preserve">Any additional provisions for </w:t>
            </w:r>
            <w:r w:rsidR="00DE3F88" w:rsidRPr="00FF42D2">
              <w:rPr>
                <w:i/>
              </w:rPr>
              <w:t>innovation procurement</w:t>
            </w:r>
            <w:r w:rsidR="00DE3F88" w:rsidRPr="00FF42D2" w:rsidDel="00DE3F88">
              <w:rPr>
                <w:i/>
              </w:rPr>
              <w:t xml:space="preserve"> </w:t>
            </w:r>
            <w:r w:rsidRPr="00FF42D2">
              <w:rPr>
                <w:i/>
              </w:rPr>
              <w:t>in your national legislation that go beyond the provisions in the EU public procurement directives (e.g. more detailed definition of innovative solution</w:t>
            </w:r>
            <w:r w:rsidR="00DE3F88" w:rsidRPr="00FF42D2">
              <w:rPr>
                <w:i/>
              </w:rPr>
              <w:t>s and/or R&amp;D</w:t>
            </w:r>
            <w:r w:rsidRPr="00FF42D2">
              <w:rPr>
                <w:i/>
              </w:rPr>
              <w:t xml:space="preserve">, </w:t>
            </w:r>
            <w:r w:rsidR="003631EC">
              <w:rPr>
                <w:i/>
              </w:rPr>
              <w:t xml:space="preserve">specific </w:t>
            </w:r>
            <w:r w:rsidRPr="00FF42D2">
              <w:rPr>
                <w:i/>
              </w:rPr>
              <w:t xml:space="preserve">provisions on </w:t>
            </w:r>
            <w:r w:rsidR="00C6144F" w:rsidRPr="00FF42D2">
              <w:rPr>
                <w:i/>
              </w:rPr>
              <w:t>innovation procurement</w:t>
            </w:r>
            <w:r w:rsidRPr="00FF42D2">
              <w:rPr>
                <w:i/>
              </w:rPr>
              <w:t xml:space="preserve"> Art 33 of 2014 EU State aid rules on R&amp;D&amp;I)</w:t>
            </w:r>
            <w:r w:rsidR="007D7347">
              <w:rPr>
                <w:i/>
              </w:rPr>
              <w:t xml:space="preserve"> </w:t>
            </w:r>
            <w:r w:rsidR="007D7347" w:rsidRPr="007D7347">
              <w:rPr>
                <w:i/>
                <w:color w:val="FF0000"/>
              </w:rPr>
              <w:t>-</w:t>
            </w:r>
            <w:r w:rsidR="007D7347">
              <w:rPr>
                <w:i/>
              </w:rPr>
              <w:t xml:space="preserve"> </w:t>
            </w:r>
          </w:p>
          <w:p w14:paraId="7A91F3D2" w14:textId="2B442072" w:rsidR="006708CC" w:rsidRDefault="006708CC" w:rsidP="00A25DEB">
            <w:pPr>
              <w:pStyle w:val="ListParagraph"/>
              <w:numPr>
                <w:ilvl w:val="0"/>
                <w:numId w:val="4"/>
              </w:numPr>
              <w:ind w:left="709" w:hanging="425"/>
              <w:jc w:val="both"/>
              <w:rPr>
                <w:i/>
              </w:rPr>
            </w:pPr>
            <w:r w:rsidRPr="00B01372">
              <w:rPr>
                <w:i/>
              </w:rPr>
              <w:t xml:space="preserve">National guidelines on </w:t>
            </w:r>
            <w:r w:rsidR="00DE3F88" w:rsidRPr="00B01372">
              <w:rPr>
                <w:i/>
              </w:rPr>
              <w:t>innovation procurement</w:t>
            </w:r>
            <w:r w:rsidR="00DE3F88" w:rsidRPr="00B01372" w:rsidDel="00DE3F88">
              <w:rPr>
                <w:i/>
              </w:rPr>
              <w:t xml:space="preserve"> </w:t>
            </w:r>
            <w:r w:rsidRPr="00B01372">
              <w:rPr>
                <w:i/>
              </w:rPr>
              <w:t>(e.g. on IPR handling, joint procurement to create demand pull for buying innovative solutions</w:t>
            </w:r>
            <w:r w:rsidR="00DE3F88" w:rsidRPr="00B01372">
              <w:rPr>
                <w:i/>
              </w:rPr>
              <w:t>, on R&amp;D procurement</w:t>
            </w:r>
            <w:r w:rsidRPr="00B01372">
              <w:rPr>
                <w:i/>
              </w:rPr>
              <w:t>)</w:t>
            </w:r>
          </w:p>
          <w:p w14:paraId="6E880064" w14:textId="5507AD3D" w:rsidR="007D7347" w:rsidRPr="007D7347" w:rsidRDefault="007D7347" w:rsidP="007D7347">
            <w:pPr>
              <w:ind w:left="700"/>
              <w:jc w:val="both"/>
              <w:rPr>
                <w:i/>
                <w:color w:val="FF0000"/>
              </w:rPr>
            </w:pPr>
            <w:r w:rsidRPr="007D7347">
              <w:rPr>
                <w:i/>
                <w:color w:val="FF0000"/>
              </w:rPr>
              <w:t xml:space="preserve">PPI2Innovate project is included in Strategy for innovation support Action plan, Measure 2.5. Boosting the implementation of innovation throughout the public procurement system as </w:t>
            </w:r>
            <w:r w:rsidRPr="007D7347">
              <w:rPr>
                <w:i/>
                <w:color w:val="FF0000"/>
              </w:rPr>
              <w:lastRenderedPageBreak/>
              <w:t>realization of the measure for period 2014 – 2020.</w:t>
            </w:r>
          </w:p>
          <w:p w14:paraId="4C43C316" w14:textId="6F9D6D15" w:rsidR="006708CC" w:rsidRDefault="006708CC" w:rsidP="00A25DEB">
            <w:pPr>
              <w:pStyle w:val="ListParagraph"/>
              <w:numPr>
                <w:ilvl w:val="0"/>
                <w:numId w:val="4"/>
              </w:numPr>
              <w:ind w:left="709" w:hanging="425"/>
              <w:jc w:val="both"/>
              <w:rPr>
                <w:i/>
              </w:rPr>
            </w:pPr>
            <w:r w:rsidRPr="00B01372">
              <w:rPr>
                <w:i/>
              </w:rPr>
              <w:t xml:space="preserve">National activities on capacity-building on </w:t>
            </w:r>
            <w:r w:rsidR="00DE3F88" w:rsidRPr="00B01372">
              <w:rPr>
                <w:i/>
              </w:rPr>
              <w:t>innovation procurement</w:t>
            </w:r>
            <w:r w:rsidR="00DE3F88" w:rsidRPr="00B01372" w:rsidDel="00DE3F88">
              <w:rPr>
                <w:i/>
              </w:rPr>
              <w:t xml:space="preserve"> </w:t>
            </w:r>
            <w:r w:rsidRPr="00B01372">
              <w:rPr>
                <w:i/>
              </w:rPr>
              <w:t>(institutionalised or ad-hoc training, helpdesks, etc.)</w:t>
            </w:r>
          </w:p>
          <w:p w14:paraId="199605BA" w14:textId="18DF627A" w:rsidR="007D7347" w:rsidRPr="007D7347" w:rsidRDefault="007D7347" w:rsidP="007D7347">
            <w:pPr>
              <w:pStyle w:val="ListParagraph"/>
              <w:ind w:left="709"/>
              <w:jc w:val="both"/>
              <w:rPr>
                <w:i/>
                <w:color w:val="FF0000"/>
              </w:rPr>
            </w:pPr>
            <w:r w:rsidRPr="007D7347">
              <w:rPr>
                <w:color w:val="FF0000"/>
              </w:rPr>
              <w:t>Throughout the implementation of PPI2Innovate project activities</w:t>
            </w:r>
            <w:r>
              <w:rPr>
                <w:color w:val="FF0000"/>
              </w:rPr>
              <w:t>:</w:t>
            </w:r>
            <w:r w:rsidRPr="007D7347">
              <w:rPr>
                <w:color w:val="FF0000"/>
              </w:rPr>
              <w:t xml:space="preserve">  PPI</w:t>
            </w:r>
            <w:r w:rsidRPr="007D7347">
              <w:rPr>
                <w:i/>
                <w:color w:val="FF0000"/>
              </w:rPr>
              <w:t xml:space="preserve"> </w:t>
            </w:r>
            <w:r w:rsidRPr="007D7347">
              <w:rPr>
                <w:color w:val="FF0000"/>
              </w:rPr>
              <w:t>trainings, conferences, round-tables, press conferences, workshops and also direct contact with public procurers from all over Croatia within PPI2Innovate project</w:t>
            </w:r>
          </w:p>
          <w:p w14:paraId="2AB5F653" w14:textId="77777777" w:rsidR="007D7347" w:rsidRDefault="006708CC" w:rsidP="007D7347">
            <w:pPr>
              <w:pStyle w:val="ListParagraph"/>
              <w:numPr>
                <w:ilvl w:val="0"/>
                <w:numId w:val="4"/>
              </w:numPr>
              <w:ind w:left="709" w:hanging="425"/>
              <w:jc w:val="both"/>
              <w:rPr>
                <w:i/>
              </w:rPr>
            </w:pPr>
            <w:r w:rsidRPr="00B01372">
              <w:rPr>
                <w:i/>
              </w:rPr>
              <w:t>Information about outcomes e.g. impact on demand side (increase in quality and/or efficiency of public services), impact on the supply side (increase in sales/company growth, intensified investments in R&amp;D/innovation and/or IPRs), wider market impacts (number/value of contracts awarded to SMEs, amount of contracts award</w:t>
            </w:r>
            <w:r w:rsidR="007D7347">
              <w:rPr>
                <w:i/>
              </w:rPr>
              <w:t>ed to non-domestic providers)</w:t>
            </w:r>
          </w:p>
          <w:p w14:paraId="1F48A109" w14:textId="0F997117" w:rsidR="006708CC" w:rsidRPr="007D7347" w:rsidRDefault="007D7347" w:rsidP="007D7347">
            <w:pPr>
              <w:pStyle w:val="ListParagraph"/>
              <w:ind w:left="709"/>
              <w:jc w:val="both"/>
              <w:rPr>
                <w:i/>
              </w:rPr>
            </w:pPr>
            <w:r w:rsidRPr="007D7347">
              <w:rPr>
                <w:i/>
                <w:color w:val="FF0000"/>
              </w:rPr>
              <w:t xml:space="preserve">Still in progress. Within PPI2Innovate project HAMAG-BICRO will map 8 promising PPI projects in Croatia and serve as a support and Competence </w:t>
            </w:r>
            <w:proofErr w:type="spellStart"/>
            <w:r>
              <w:rPr>
                <w:i/>
                <w:color w:val="FF0000"/>
              </w:rPr>
              <w:t>c</w:t>
            </w:r>
            <w:r w:rsidRPr="007D7347">
              <w:rPr>
                <w:i/>
                <w:color w:val="FF0000"/>
              </w:rPr>
              <w:t>enter</w:t>
            </w:r>
            <w:proofErr w:type="spellEnd"/>
            <w:r w:rsidRPr="007D7347">
              <w:rPr>
                <w:i/>
                <w:color w:val="FF0000"/>
              </w:rPr>
              <w:t xml:space="preserve"> for innovation procurement. </w:t>
            </w:r>
            <w:r w:rsidR="006708CC" w:rsidRPr="007D7347">
              <w:rPr>
                <w:i/>
                <w:color w:val="FF0000"/>
              </w:rPr>
              <w:t xml:space="preserve"> </w:t>
            </w:r>
          </w:p>
        </w:tc>
      </w:tr>
    </w:tbl>
    <w:p w14:paraId="34AB7F7C" w14:textId="6D409C75" w:rsidR="00306938" w:rsidRPr="00B01372" w:rsidRDefault="00A25DEB" w:rsidP="00ED019E">
      <w:pPr>
        <w:pStyle w:val="ListParagraph"/>
      </w:pPr>
      <w:r>
        <w:lastRenderedPageBreak/>
        <w:br w:type="textWrapping" w:clear="all"/>
      </w:r>
    </w:p>
    <w:p w14:paraId="34AB7F8A" w14:textId="77777777" w:rsidR="00DA6F44" w:rsidRPr="00B01372" w:rsidRDefault="00DA6F44" w:rsidP="00DA6F44">
      <w:pPr>
        <w:pStyle w:val="ListParagraph"/>
        <w:ind w:left="709"/>
        <w:jc w:val="both"/>
      </w:pPr>
    </w:p>
    <w:p w14:paraId="34AB7F96" w14:textId="77777777" w:rsidR="00C9307F" w:rsidRPr="00B01372" w:rsidRDefault="008F56CB" w:rsidP="00F52C6D">
      <w:pPr>
        <w:pStyle w:val="Heading2"/>
      </w:pPr>
      <w:r w:rsidRPr="00B01372">
        <w:t>Replicability</w:t>
      </w:r>
    </w:p>
    <w:p w14:paraId="50E7497D" w14:textId="4D180E4C" w:rsidR="00BC4C3D" w:rsidRPr="00B01372" w:rsidRDefault="00BC4C3D" w:rsidP="00BC4C3D">
      <w:pPr>
        <w:pStyle w:val="NoSpacing"/>
      </w:pPr>
    </w:p>
    <w:p w14:paraId="34AB7F98" w14:textId="476E80CB" w:rsidR="00BD4C3B" w:rsidRPr="00B01372" w:rsidRDefault="00BD4C3B" w:rsidP="00BD4C3B">
      <w:pPr>
        <w:pStyle w:val="NoSpacing"/>
      </w:pPr>
      <w:r w:rsidRPr="00B01372">
        <w:t xml:space="preserve">This section </w:t>
      </w:r>
      <w:r w:rsidR="00807AF4" w:rsidRPr="00B01372">
        <w:t xml:space="preserve">should provide </w:t>
      </w:r>
      <w:r w:rsidRPr="00B01372">
        <w:t>information allowing any</w:t>
      </w:r>
      <w:r w:rsidR="00807AF4" w:rsidRPr="00B01372">
        <w:t>one</w:t>
      </w:r>
      <w:r w:rsidRPr="00B01372">
        <w:t xml:space="preserve"> to fully replicate </w:t>
      </w:r>
      <w:r w:rsidR="00E06A5D" w:rsidRPr="00B01372">
        <w:t xml:space="preserve">the </w:t>
      </w:r>
      <w:r w:rsidR="00BC4C3D" w:rsidRPr="00B01372">
        <w:t xml:space="preserve">quantitative </w:t>
      </w:r>
      <w:r w:rsidR="00E06A5D" w:rsidRPr="00B01372">
        <w:t>results presented in the report.</w:t>
      </w:r>
    </w:p>
    <w:p w14:paraId="7E66C3B2" w14:textId="77777777" w:rsidR="00BC4C3D" w:rsidRPr="00B01372" w:rsidRDefault="00BC4C3D" w:rsidP="00BD4C3B">
      <w:pPr>
        <w:pStyle w:val="NoSpacing"/>
      </w:pPr>
    </w:p>
    <w:tbl>
      <w:tblPr>
        <w:tblStyle w:val="TableGrid"/>
        <w:tblW w:w="5000" w:type="pct"/>
        <w:tblLook w:val="04A0" w:firstRow="1" w:lastRow="0" w:firstColumn="1" w:lastColumn="0" w:noHBand="0" w:noVBand="1"/>
      </w:tblPr>
      <w:tblGrid>
        <w:gridCol w:w="4687"/>
        <w:gridCol w:w="9533"/>
      </w:tblGrid>
      <w:tr w:rsidR="00BC4C3D" w:rsidRPr="00B01372" w14:paraId="62E2165F" w14:textId="77777777" w:rsidTr="00F249E2">
        <w:tc>
          <w:tcPr>
            <w:tcW w:w="1648" w:type="pct"/>
          </w:tcPr>
          <w:p w14:paraId="70B6AF08" w14:textId="42ED951C" w:rsidR="00BC4C3D" w:rsidRPr="00B01372" w:rsidRDefault="00BC4C3D" w:rsidP="00BC4C3D">
            <w:pPr>
              <w:pStyle w:val="Heading3"/>
              <w:outlineLvl w:val="2"/>
              <w:rPr>
                <w:b w:val="0"/>
              </w:rPr>
            </w:pPr>
            <w:r w:rsidRPr="006D032E">
              <w:rPr>
                <w:b w:val="0"/>
              </w:rPr>
              <w:t>Links to datasets used to prepare the report</w:t>
            </w:r>
          </w:p>
          <w:p w14:paraId="6E36C894" w14:textId="77777777" w:rsidR="00BC4C3D" w:rsidRPr="00B01372" w:rsidRDefault="00BC4C3D" w:rsidP="00F249E2">
            <w:pPr>
              <w:pStyle w:val="Heading3"/>
              <w:outlineLvl w:val="2"/>
              <w:rPr>
                <w:b w:val="0"/>
              </w:rPr>
            </w:pPr>
          </w:p>
        </w:tc>
        <w:tc>
          <w:tcPr>
            <w:tcW w:w="3352" w:type="pct"/>
          </w:tcPr>
          <w:p w14:paraId="590E585B" w14:textId="77777777" w:rsidR="00BC4C3D" w:rsidRDefault="002B0F2F" w:rsidP="001D0125">
            <w:pPr>
              <w:pStyle w:val="NoSpacing"/>
            </w:pPr>
            <w:r w:rsidRPr="00B01372">
              <w:t xml:space="preserve">The Commission recommends publishing the source data as open data, e.g. as is the case for the Tenders Electronic Daily database at </w:t>
            </w:r>
            <w:hyperlink r:id="rId25" w:history="1">
              <w:r w:rsidR="001D0125" w:rsidRPr="0097252A">
                <w:rPr>
                  <w:rStyle w:val="Hyperlink"/>
                </w:rPr>
                <w:t>http://data.europa.eu/euodp/cs/data/dataset/ted-csv</w:t>
              </w:r>
            </w:hyperlink>
            <w:r w:rsidRPr="00B01372">
              <w:t xml:space="preserve">. </w:t>
            </w:r>
          </w:p>
          <w:p w14:paraId="60C85FE8" w14:textId="232750F7" w:rsidR="006D032E" w:rsidRDefault="00766DA5" w:rsidP="001D0125">
            <w:pPr>
              <w:pStyle w:val="NoSpacing"/>
              <w:rPr>
                <w:color w:val="FF0000"/>
              </w:rPr>
            </w:pPr>
            <w:hyperlink r:id="rId26" w:history="1">
              <w:r w:rsidR="006D032E" w:rsidRPr="00145A2F">
                <w:rPr>
                  <w:rStyle w:val="Hyperlink"/>
                </w:rPr>
                <w:t>https://eojn.nn.hr/Oglasnik/</w:t>
              </w:r>
            </w:hyperlink>
          </w:p>
          <w:p w14:paraId="46B9D9B7" w14:textId="3E7B3BF8" w:rsidR="006D032E" w:rsidRPr="00B01372" w:rsidRDefault="00766DA5" w:rsidP="001D0125">
            <w:pPr>
              <w:pStyle w:val="NoSpacing"/>
            </w:pPr>
            <w:hyperlink r:id="rId27" w:history="1">
              <w:r w:rsidR="006D032E" w:rsidRPr="00145A2F">
                <w:rPr>
                  <w:rStyle w:val="Hyperlink"/>
                </w:rPr>
                <w:t>http://www.dkom.hr/</w:t>
              </w:r>
            </w:hyperlink>
            <w:r w:rsidR="006D032E">
              <w:t xml:space="preserve"> </w:t>
            </w:r>
          </w:p>
        </w:tc>
      </w:tr>
      <w:tr w:rsidR="00BC4C3D" w:rsidRPr="00B01372" w14:paraId="6CD926D1" w14:textId="77777777" w:rsidTr="00F249E2">
        <w:tc>
          <w:tcPr>
            <w:tcW w:w="1648" w:type="pct"/>
          </w:tcPr>
          <w:p w14:paraId="16813300" w14:textId="4B999A08" w:rsidR="00BC4C3D" w:rsidRPr="00B01372" w:rsidRDefault="002B0F2F" w:rsidP="002B0F2F">
            <w:pPr>
              <w:pStyle w:val="Heading3"/>
              <w:outlineLvl w:val="2"/>
              <w:rPr>
                <w:b w:val="0"/>
              </w:rPr>
            </w:pPr>
            <w:r w:rsidRPr="00B01372">
              <w:rPr>
                <w:b w:val="0"/>
              </w:rPr>
              <w:t>Files used to obtain the results from the datasets</w:t>
            </w:r>
          </w:p>
        </w:tc>
        <w:tc>
          <w:tcPr>
            <w:tcW w:w="3352" w:type="pct"/>
          </w:tcPr>
          <w:p w14:paraId="2D06EDAA" w14:textId="77777777" w:rsidR="00BC4C3D" w:rsidRDefault="002B0F2F" w:rsidP="002B0F2F">
            <w:r w:rsidRPr="00B01372">
              <w:t>This section should include for example the scripts or code for the relevant statistical software or the Excel files used.</w:t>
            </w:r>
          </w:p>
          <w:p w14:paraId="758E3D78" w14:textId="67F009DF" w:rsidR="006D032E" w:rsidRPr="00B01372" w:rsidRDefault="006D032E" w:rsidP="00F35775">
            <w:r w:rsidRPr="006D032E">
              <w:rPr>
                <w:color w:val="FF0000"/>
              </w:rPr>
              <w:t>Attachment 2 and 3.</w:t>
            </w:r>
            <w:r>
              <w:rPr>
                <w:color w:val="FF0000"/>
              </w:rPr>
              <w:t xml:space="preserve"> </w:t>
            </w:r>
            <w:r w:rsidR="00F35775">
              <w:rPr>
                <w:color w:val="FF0000"/>
              </w:rPr>
              <w:t xml:space="preserve">Public Procurement Statistical Report for 2017 and Report from the State Commission </w:t>
            </w:r>
            <w:r w:rsidR="00F35775" w:rsidRPr="00F35775">
              <w:rPr>
                <w:color w:val="FF0000"/>
              </w:rPr>
              <w:t>for the Supervision of Public Procurement Procedures</w:t>
            </w:r>
            <w:r w:rsidR="00F35775">
              <w:rPr>
                <w:color w:val="FF0000"/>
              </w:rPr>
              <w:t xml:space="preserve"> for 2017.</w:t>
            </w:r>
          </w:p>
        </w:tc>
      </w:tr>
    </w:tbl>
    <w:p w14:paraId="34AB7FA1" w14:textId="69300213" w:rsidR="00F94ABC" w:rsidRPr="00B01372" w:rsidRDefault="00F94ABC" w:rsidP="00F94ABC"/>
    <w:p w14:paraId="34AB7FA2" w14:textId="77777777" w:rsidR="00F94ABC" w:rsidRPr="00B01372" w:rsidRDefault="00F94ABC" w:rsidP="00F94ABC">
      <w:pPr>
        <w:pStyle w:val="NoSpacing"/>
      </w:pPr>
      <w:r w:rsidRPr="00B01372">
        <w:br w:type="page"/>
      </w:r>
    </w:p>
    <w:p w14:paraId="34AB7FA3" w14:textId="77777777" w:rsidR="00C314EF" w:rsidRPr="00B01372" w:rsidRDefault="00C314EF" w:rsidP="00F94ABC"/>
    <w:p w14:paraId="34AB7FA4" w14:textId="77777777" w:rsidR="00F94ABC" w:rsidRPr="00B01372" w:rsidRDefault="00F94ABC" w:rsidP="00F94ABC">
      <w:pPr>
        <w:jc w:val="center"/>
        <w:rPr>
          <w:b/>
        </w:rPr>
      </w:pPr>
      <w:r w:rsidRPr="00B01372">
        <w:rPr>
          <w:b/>
          <w:u w:val="single"/>
        </w:rPr>
        <w:t xml:space="preserve">Annex </w:t>
      </w:r>
      <w:proofErr w:type="gramStart"/>
      <w:r w:rsidRPr="00B01372">
        <w:rPr>
          <w:b/>
          <w:u w:val="single"/>
        </w:rPr>
        <w:t>I</w:t>
      </w:r>
      <w:proofErr w:type="gramEnd"/>
      <w:r w:rsidRPr="00B01372">
        <w:rPr>
          <w:b/>
        </w:rPr>
        <w:t>:</w:t>
      </w:r>
    </w:p>
    <w:p w14:paraId="34AB7FA5" w14:textId="30E3369A" w:rsidR="003E56A6" w:rsidRPr="00B01372" w:rsidRDefault="003E56A6" w:rsidP="00F94ABC">
      <w:pPr>
        <w:jc w:val="center"/>
        <w:rPr>
          <w:b/>
        </w:rPr>
      </w:pPr>
      <w:r w:rsidRPr="00B01372">
        <w:rPr>
          <w:b/>
        </w:rPr>
        <w:t xml:space="preserve">Methodology </w:t>
      </w:r>
      <w:r w:rsidR="00C314EF" w:rsidRPr="00B01372">
        <w:rPr>
          <w:b/>
        </w:rPr>
        <w:t xml:space="preserve">for </w:t>
      </w:r>
      <w:r w:rsidRPr="00B01372">
        <w:rPr>
          <w:b/>
        </w:rPr>
        <w:t>estimati</w:t>
      </w:r>
      <w:r w:rsidR="008337F4" w:rsidRPr="00B01372">
        <w:rPr>
          <w:b/>
        </w:rPr>
        <w:t>ng</w:t>
      </w:r>
      <w:r w:rsidRPr="00B01372">
        <w:rPr>
          <w:b/>
        </w:rPr>
        <w:t xml:space="preserve"> </w:t>
      </w:r>
      <w:r w:rsidR="002F225B" w:rsidRPr="00B01372">
        <w:rPr>
          <w:b/>
        </w:rPr>
        <w:t>the value of</w:t>
      </w:r>
      <w:r w:rsidR="00F94ABC" w:rsidRPr="00B01372">
        <w:rPr>
          <w:b/>
        </w:rPr>
        <w:t xml:space="preserve"> </w:t>
      </w:r>
      <w:r w:rsidRPr="00B01372">
        <w:rPr>
          <w:b/>
        </w:rPr>
        <w:t>procurement which would have been covered by the directives if its value ha</w:t>
      </w:r>
      <w:r w:rsidR="00C314EF" w:rsidRPr="00B01372">
        <w:rPr>
          <w:b/>
        </w:rPr>
        <w:t>d</w:t>
      </w:r>
      <w:r w:rsidRPr="00B01372">
        <w:rPr>
          <w:b/>
        </w:rPr>
        <w:t xml:space="preserve"> exceeded the relevant thresholds</w:t>
      </w:r>
    </w:p>
    <w:p w14:paraId="34AB7FA6" w14:textId="77777777" w:rsidR="00D24317" w:rsidRPr="00B01372" w:rsidRDefault="00D24317" w:rsidP="003E56A6">
      <w:pPr>
        <w:pStyle w:val="Heading3"/>
      </w:pPr>
    </w:p>
    <w:p w14:paraId="34AB7FA7" w14:textId="3460CA6C" w:rsidR="003E56A6" w:rsidRPr="00B01372" w:rsidRDefault="00D24317" w:rsidP="003E56A6">
      <w:pPr>
        <w:pStyle w:val="Heading3"/>
      </w:pPr>
      <w:r w:rsidRPr="00B01372">
        <w:t xml:space="preserve">1. </w:t>
      </w:r>
      <w:r w:rsidR="003E56A6" w:rsidRPr="00B01372">
        <w:t xml:space="preserve">Classification and methodology </w:t>
      </w:r>
    </w:p>
    <w:p w14:paraId="34AB7FA8" w14:textId="77777777" w:rsidR="003E56A6" w:rsidRPr="00B01372" w:rsidRDefault="003E56A6" w:rsidP="003E56A6">
      <w:pPr>
        <w:pStyle w:val="NoSpacing"/>
        <w:ind w:left="720"/>
      </w:pPr>
    </w:p>
    <w:p w14:paraId="34AB7FA9" w14:textId="77777777" w:rsidR="003E56A6" w:rsidRPr="00B01372" w:rsidRDefault="003E56A6" w:rsidP="003E56A6">
      <w:pPr>
        <w:pStyle w:val="NoSpacing"/>
        <w:ind w:left="720"/>
      </w:pPr>
      <w:r w:rsidRPr="00B01372">
        <w:t>Indicate the basic characteristics of the methodology used by selecting from the options below. Description of the methodology is to be given in the subsequent section.</w:t>
      </w:r>
    </w:p>
    <w:p w14:paraId="34AB7FAA" w14:textId="77777777" w:rsidR="003E56A6" w:rsidRPr="00B01372" w:rsidRDefault="003E56A6" w:rsidP="003E56A6">
      <w:pPr>
        <w:pStyle w:val="NoSpacing"/>
        <w:ind w:left="360"/>
      </w:pPr>
    </w:p>
    <w:p w14:paraId="34AB7FAB" w14:textId="3914B2F2" w:rsidR="008540A7" w:rsidRPr="00B01372" w:rsidRDefault="00A15222" w:rsidP="00D24317">
      <w:pPr>
        <w:pStyle w:val="Heading4"/>
        <w:numPr>
          <w:ilvl w:val="0"/>
          <w:numId w:val="0"/>
        </w:numPr>
        <w:ind w:left="947"/>
      </w:pPr>
      <w:r>
        <w:rPr>
          <w:noProof/>
          <w:lang w:val="hr-HR" w:eastAsia="hr-HR"/>
        </w:rPr>
        <mc:AlternateContent>
          <mc:Choice Requires="wps">
            <w:drawing>
              <wp:anchor distT="0" distB="0" distL="114300" distR="114300" simplePos="0" relativeHeight="251659264" behindDoc="0" locked="0" layoutInCell="1" allowOverlap="1" wp14:anchorId="6A21C042" wp14:editId="3F485C58">
                <wp:simplePos x="0" y="0"/>
                <wp:positionH relativeFrom="column">
                  <wp:posOffset>620661</wp:posOffset>
                </wp:positionH>
                <wp:positionV relativeFrom="paragraph">
                  <wp:posOffset>318608</wp:posOffset>
                </wp:positionV>
                <wp:extent cx="287079" cy="212651"/>
                <wp:effectExtent l="0" t="0" r="17780" b="16510"/>
                <wp:wrapNone/>
                <wp:docPr id="1" name="Oval 1"/>
                <wp:cNvGraphicFramePr/>
                <a:graphic xmlns:a="http://schemas.openxmlformats.org/drawingml/2006/main">
                  <a:graphicData uri="http://schemas.microsoft.com/office/word/2010/wordprocessingShape">
                    <wps:wsp>
                      <wps:cNvSpPr/>
                      <wps:spPr>
                        <a:xfrm>
                          <a:off x="0" y="0"/>
                          <a:ext cx="287079" cy="21265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margin-left:48.85pt;margin-top:25.1pt;width:22.6pt;height:1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" filled="f" strokecolor="red" strokeweight="2pt"/>
            </w:pict>
          </mc:Fallback>
        </mc:AlternateContent>
      </w:r>
      <w:r w:rsidR="00D24317" w:rsidRPr="00B01372">
        <w:t xml:space="preserve">1.1. </w:t>
      </w:r>
      <w:r w:rsidR="003E56A6" w:rsidRPr="00B01372">
        <w:t>General approach:</w:t>
      </w:r>
      <w:r w:rsidR="008540A7" w:rsidRPr="00B01372">
        <w:br/>
      </w:r>
    </w:p>
    <w:p w14:paraId="34AB7FAC" w14:textId="77777777" w:rsidR="003E56A6" w:rsidRPr="00B01372" w:rsidRDefault="003E56A6" w:rsidP="00707DFB">
      <w:pPr>
        <w:pStyle w:val="NoSpacing"/>
        <w:numPr>
          <w:ilvl w:val="0"/>
          <w:numId w:val="1"/>
        </w:numPr>
      </w:pPr>
      <w:r w:rsidRPr="00B01372">
        <w:t>[data available under national publication requirements]</w:t>
      </w:r>
    </w:p>
    <w:p w14:paraId="34AB7FAD" w14:textId="77777777" w:rsidR="003E56A6" w:rsidRPr="00B01372" w:rsidRDefault="003E56A6" w:rsidP="00707DFB">
      <w:pPr>
        <w:pStyle w:val="NoSpacing"/>
        <w:numPr>
          <w:ilvl w:val="0"/>
          <w:numId w:val="1"/>
        </w:numPr>
      </w:pPr>
      <w:r w:rsidRPr="00B01372">
        <w:t>[sample-based estimates]</w:t>
      </w:r>
    </w:p>
    <w:p w14:paraId="34AB7FAE" w14:textId="77777777" w:rsidR="003E56A6" w:rsidRPr="00B01372" w:rsidRDefault="003E56A6" w:rsidP="00707DFB">
      <w:pPr>
        <w:pStyle w:val="NoSpacing"/>
        <w:numPr>
          <w:ilvl w:val="0"/>
          <w:numId w:val="1"/>
        </w:numPr>
      </w:pPr>
      <w:r w:rsidRPr="00B01372">
        <w:t>[combined]</w:t>
      </w:r>
    </w:p>
    <w:p w14:paraId="34AB7FAF" w14:textId="77777777" w:rsidR="003E56A6" w:rsidRPr="00B01372" w:rsidRDefault="003E56A6" w:rsidP="003E56A6">
      <w:pPr>
        <w:pStyle w:val="NoSpacing"/>
      </w:pPr>
    </w:p>
    <w:p w14:paraId="34AB7FB0" w14:textId="77777777" w:rsidR="003E56A6" w:rsidRPr="00B01372" w:rsidRDefault="003E56A6" w:rsidP="008540A7">
      <w:pPr>
        <w:pStyle w:val="NoSpacing"/>
        <w:ind w:left="792"/>
        <w:jc w:val="both"/>
      </w:pPr>
      <w:r w:rsidRPr="00B01372">
        <w:t xml:space="preserve">Please note that in our opinion using existing administrative data is preferable, as it implies both lower administrative burden (no additional data collection is necessary) and higher data quality. </w:t>
      </w:r>
    </w:p>
    <w:p w14:paraId="34AB7FB1" w14:textId="77777777" w:rsidR="003E56A6" w:rsidRPr="00B01372" w:rsidRDefault="003E56A6" w:rsidP="008540A7">
      <w:pPr>
        <w:pStyle w:val="NoSpacing"/>
        <w:ind w:left="792"/>
        <w:jc w:val="both"/>
      </w:pPr>
    </w:p>
    <w:p w14:paraId="34AB7FB2" w14:textId="77777777" w:rsidR="003E56A6" w:rsidRPr="00B01372" w:rsidRDefault="003E56A6" w:rsidP="008540A7">
      <w:pPr>
        <w:pStyle w:val="NoSpacing"/>
        <w:ind w:left="792"/>
        <w:jc w:val="both"/>
      </w:pPr>
      <w:r w:rsidRPr="00B01372">
        <w:t xml:space="preserve">If a sampling approach is taken, both the source of the sample and the sampling methodology, provided in the following subsection, must be able to withstand careful scrutiny. This ensures that the estimate is representative of the whole Member State. </w:t>
      </w:r>
    </w:p>
    <w:p w14:paraId="34AB7FB3" w14:textId="77777777" w:rsidR="003E56A6" w:rsidRPr="00B01372" w:rsidRDefault="003E56A6" w:rsidP="008540A7">
      <w:pPr>
        <w:pStyle w:val="NoSpacing"/>
        <w:ind w:left="792"/>
        <w:jc w:val="both"/>
      </w:pPr>
    </w:p>
    <w:p w14:paraId="34AB7FB4" w14:textId="3A32227B" w:rsidR="003E56A6" w:rsidRPr="00B01372" w:rsidRDefault="00D24317" w:rsidP="00D24317">
      <w:pPr>
        <w:pStyle w:val="Heading4"/>
        <w:numPr>
          <w:ilvl w:val="0"/>
          <w:numId w:val="0"/>
        </w:numPr>
        <w:ind w:left="947"/>
      </w:pPr>
      <w:r w:rsidRPr="00B01372">
        <w:t xml:space="preserve">1.2. </w:t>
      </w:r>
      <w:r w:rsidR="003E56A6" w:rsidRPr="00B01372">
        <w:t>Source of data:</w:t>
      </w:r>
    </w:p>
    <w:p w14:paraId="34AB7FB5" w14:textId="77777777" w:rsidR="008540A7" w:rsidRPr="00B01372" w:rsidRDefault="008540A7" w:rsidP="008540A7"/>
    <w:tbl>
      <w:tblPr>
        <w:tblStyle w:val="TableGrid"/>
        <w:tblW w:w="0" w:type="auto"/>
        <w:tblInd w:w="360" w:type="dxa"/>
        <w:tblLook w:val="04A0" w:firstRow="1" w:lastRow="0" w:firstColumn="1" w:lastColumn="0" w:noHBand="0" w:noVBand="1"/>
      </w:tblPr>
      <w:tblGrid>
        <w:gridCol w:w="2976"/>
        <w:gridCol w:w="2976"/>
        <w:gridCol w:w="2976"/>
      </w:tblGrid>
      <w:tr w:rsidR="003E56A6" w:rsidRPr="00B01372" w14:paraId="34AB7FBA" w14:textId="77777777" w:rsidTr="003E56A6">
        <w:tc>
          <w:tcPr>
            <w:tcW w:w="2976" w:type="dxa"/>
            <w:tcBorders>
              <w:tl2br w:val="single" w:sz="4" w:space="0" w:color="auto"/>
            </w:tcBorders>
          </w:tcPr>
          <w:p w14:paraId="34AB7FB6" w14:textId="77777777" w:rsidR="003E56A6" w:rsidRPr="00B01372" w:rsidRDefault="003E56A6" w:rsidP="009F486E">
            <w:pPr>
              <w:pStyle w:val="NoSpacing"/>
              <w:ind w:firstLine="1908"/>
            </w:pPr>
            <w:r w:rsidRPr="00B01372">
              <w:t xml:space="preserve">     Scope:</w:t>
            </w:r>
          </w:p>
          <w:p w14:paraId="34AB7FB7" w14:textId="77777777" w:rsidR="003E56A6" w:rsidRPr="00B01372" w:rsidRDefault="003E56A6" w:rsidP="009F486E">
            <w:pPr>
              <w:pStyle w:val="NoSpacing"/>
              <w:ind w:right="1"/>
            </w:pPr>
            <w:r w:rsidRPr="00B01372">
              <w:t>Source of data:</w:t>
            </w:r>
          </w:p>
        </w:tc>
        <w:tc>
          <w:tcPr>
            <w:tcW w:w="2976" w:type="dxa"/>
          </w:tcPr>
          <w:p w14:paraId="34AB7FB8" w14:textId="77777777" w:rsidR="003E56A6" w:rsidRPr="00B01372" w:rsidRDefault="003E56A6" w:rsidP="009F486E">
            <w:pPr>
              <w:pStyle w:val="NoSpacing"/>
            </w:pPr>
            <w:r w:rsidRPr="00B01372">
              <w:t>above national publication thresholds [</w:t>
            </w:r>
            <w:r w:rsidRPr="00B01372">
              <w:sym w:font="Wingdings" w:char="F0FC"/>
            </w:r>
            <w:r w:rsidRPr="00B01372">
              <w:t>]</w:t>
            </w:r>
          </w:p>
        </w:tc>
        <w:tc>
          <w:tcPr>
            <w:tcW w:w="2976" w:type="dxa"/>
          </w:tcPr>
          <w:p w14:paraId="34AB7FB9" w14:textId="77777777" w:rsidR="003E56A6" w:rsidRPr="00B01372" w:rsidRDefault="003E56A6" w:rsidP="009F486E">
            <w:pPr>
              <w:pStyle w:val="NoSpacing"/>
            </w:pPr>
            <w:r w:rsidRPr="00B01372">
              <w:t>below national publication thresholds [</w:t>
            </w:r>
            <w:r w:rsidRPr="00B01372">
              <w:sym w:font="Wingdings" w:char="F0FC"/>
            </w:r>
            <w:r w:rsidRPr="00B01372">
              <w:t>]</w:t>
            </w:r>
          </w:p>
        </w:tc>
      </w:tr>
      <w:tr w:rsidR="003E56A6" w:rsidRPr="00B01372" w14:paraId="34AB7FBE" w14:textId="77777777" w:rsidTr="003E56A6">
        <w:tc>
          <w:tcPr>
            <w:tcW w:w="2976" w:type="dxa"/>
          </w:tcPr>
          <w:p w14:paraId="34AB7FBB" w14:textId="77777777" w:rsidR="003E56A6" w:rsidRPr="00B01372" w:rsidRDefault="003E56A6" w:rsidP="009F486E">
            <w:pPr>
              <w:pStyle w:val="NoSpacing"/>
            </w:pPr>
            <w:r w:rsidRPr="00B01372">
              <w:t>[e-notification platforms]</w:t>
            </w:r>
          </w:p>
        </w:tc>
        <w:tc>
          <w:tcPr>
            <w:tcW w:w="2976" w:type="dxa"/>
          </w:tcPr>
          <w:p w14:paraId="34AB7FBC" w14:textId="0D188AF4" w:rsidR="003E56A6" w:rsidRPr="00B01372" w:rsidRDefault="007D7347" w:rsidP="009F486E">
            <w:pPr>
              <w:pStyle w:val="NoSpacing"/>
              <w:jc w:val="center"/>
            </w:pPr>
            <w:r w:rsidRPr="002221A2">
              <w:rPr>
                <w:color w:val="FF0000"/>
              </w:rPr>
              <w:sym w:font="Wingdings" w:char="F0FC"/>
            </w:r>
          </w:p>
        </w:tc>
        <w:tc>
          <w:tcPr>
            <w:tcW w:w="2976" w:type="dxa"/>
          </w:tcPr>
          <w:p w14:paraId="34AB7FBD" w14:textId="019772C9" w:rsidR="003E56A6" w:rsidRPr="00B01372" w:rsidRDefault="007D7347" w:rsidP="009F486E">
            <w:pPr>
              <w:pStyle w:val="NoSpacing"/>
              <w:jc w:val="center"/>
            </w:pPr>
            <w:r w:rsidRPr="002221A2">
              <w:rPr>
                <w:color w:val="FF0000"/>
              </w:rPr>
              <w:sym w:font="Wingdings" w:char="F0FC"/>
            </w:r>
          </w:p>
        </w:tc>
      </w:tr>
      <w:tr w:rsidR="003E56A6" w:rsidRPr="00B01372" w14:paraId="34AB7FC2" w14:textId="77777777" w:rsidTr="003E56A6">
        <w:tc>
          <w:tcPr>
            <w:tcW w:w="2976" w:type="dxa"/>
          </w:tcPr>
          <w:p w14:paraId="34AB7FBF" w14:textId="77777777" w:rsidR="003E56A6" w:rsidRPr="00B01372" w:rsidRDefault="003E56A6" w:rsidP="009F486E">
            <w:pPr>
              <w:pStyle w:val="NoSpacing"/>
            </w:pPr>
            <w:r w:rsidRPr="00B01372">
              <w:t>[e-submission platforms]</w:t>
            </w:r>
          </w:p>
        </w:tc>
        <w:tc>
          <w:tcPr>
            <w:tcW w:w="2976" w:type="dxa"/>
          </w:tcPr>
          <w:p w14:paraId="34AB7FC0" w14:textId="2A1B28B7" w:rsidR="003E56A6" w:rsidRPr="00B01372" w:rsidRDefault="007D7347" w:rsidP="009F486E">
            <w:pPr>
              <w:pStyle w:val="NoSpacing"/>
              <w:jc w:val="center"/>
            </w:pPr>
            <w:r w:rsidRPr="002221A2">
              <w:rPr>
                <w:color w:val="FF0000"/>
              </w:rPr>
              <w:sym w:font="Wingdings" w:char="F0FC"/>
            </w:r>
          </w:p>
        </w:tc>
        <w:tc>
          <w:tcPr>
            <w:tcW w:w="2976" w:type="dxa"/>
          </w:tcPr>
          <w:p w14:paraId="34AB7FC1" w14:textId="6EF5C7F3" w:rsidR="003E56A6" w:rsidRPr="00B01372" w:rsidRDefault="007D7347" w:rsidP="009F486E">
            <w:pPr>
              <w:pStyle w:val="NoSpacing"/>
              <w:jc w:val="center"/>
            </w:pPr>
            <w:r w:rsidRPr="002221A2">
              <w:rPr>
                <w:color w:val="FF0000"/>
              </w:rPr>
              <w:sym w:font="Wingdings" w:char="F0FC"/>
            </w:r>
          </w:p>
        </w:tc>
      </w:tr>
      <w:tr w:rsidR="003E56A6" w:rsidRPr="00B01372" w14:paraId="34AB7FC6" w14:textId="77777777" w:rsidTr="003E56A6">
        <w:tc>
          <w:tcPr>
            <w:tcW w:w="2976" w:type="dxa"/>
          </w:tcPr>
          <w:p w14:paraId="34AB7FC3" w14:textId="77777777" w:rsidR="003E56A6" w:rsidRPr="00B01372" w:rsidRDefault="003E56A6" w:rsidP="009F486E">
            <w:pPr>
              <w:pStyle w:val="NoSpacing"/>
            </w:pPr>
            <w:r w:rsidRPr="00B01372">
              <w:t>[invoices]</w:t>
            </w:r>
          </w:p>
        </w:tc>
        <w:tc>
          <w:tcPr>
            <w:tcW w:w="2976" w:type="dxa"/>
          </w:tcPr>
          <w:p w14:paraId="34AB7FC4" w14:textId="76A0C03F" w:rsidR="003E56A6" w:rsidRPr="00B01372" w:rsidRDefault="007D7347" w:rsidP="009F486E">
            <w:pPr>
              <w:pStyle w:val="NoSpacing"/>
              <w:jc w:val="center"/>
            </w:pPr>
            <w:r w:rsidRPr="002221A2">
              <w:rPr>
                <w:color w:val="FF0000"/>
              </w:rPr>
              <w:t>no data available</w:t>
            </w:r>
          </w:p>
        </w:tc>
        <w:tc>
          <w:tcPr>
            <w:tcW w:w="2976" w:type="dxa"/>
          </w:tcPr>
          <w:p w14:paraId="34AB7FC5" w14:textId="0FFC1D76" w:rsidR="003E56A6" w:rsidRPr="00B01372" w:rsidRDefault="007D7347" w:rsidP="009F486E">
            <w:pPr>
              <w:pStyle w:val="NoSpacing"/>
              <w:jc w:val="center"/>
            </w:pPr>
            <w:r w:rsidRPr="002221A2">
              <w:rPr>
                <w:color w:val="FF0000"/>
              </w:rPr>
              <w:t>no data available</w:t>
            </w:r>
          </w:p>
        </w:tc>
      </w:tr>
      <w:tr w:rsidR="003E56A6" w:rsidRPr="00B01372" w14:paraId="34AB7FCA" w14:textId="77777777" w:rsidTr="003E56A6">
        <w:tc>
          <w:tcPr>
            <w:tcW w:w="2976" w:type="dxa"/>
          </w:tcPr>
          <w:p w14:paraId="34AB7FC7" w14:textId="77777777" w:rsidR="003E56A6" w:rsidRPr="00B01372" w:rsidRDefault="003E56A6" w:rsidP="009F486E">
            <w:pPr>
              <w:pStyle w:val="NoSpacing"/>
            </w:pPr>
            <w:r w:rsidRPr="00B01372">
              <w:t>[budgets]</w:t>
            </w:r>
          </w:p>
        </w:tc>
        <w:tc>
          <w:tcPr>
            <w:tcW w:w="2976" w:type="dxa"/>
          </w:tcPr>
          <w:p w14:paraId="34AB7FC8" w14:textId="5602F2FC" w:rsidR="003E56A6" w:rsidRPr="00B01372" w:rsidRDefault="007D7347" w:rsidP="009F486E">
            <w:pPr>
              <w:pStyle w:val="NoSpacing"/>
              <w:jc w:val="center"/>
            </w:pPr>
            <w:r w:rsidRPr="002221A2">
              <w:rPr>
                <w:color w:val="FF0000"/>
              </w:rPr>
              <w:t>no data available</w:t>
            </w:r>
          </w:p>
        </w:tc>
        <w:tc>
          <w:tcPr>
            <w:tcW w:w="2976" w:type="dxa"/>
          </w:tcPr>
          <w:p w14:paraId="34AB7FC9" w14:textId="4A309373" w:rsidR="003E56A6" w:rsidRPr="00B01372" w:rsidRDefault="007D7347" w:rsidP="009F486E">
            <w:pPr>
              <w:pStyle w:val="NoSpacing"/>
              <w:jc w:val="center"/>
            </w:pPr>
            <w:r w:rsidRPr="002221A2">
              <w:rPr>
                <w:color w:val="FF0000"/>
              </w:rPr>
              <w:t>no data available</w:t>
            </w:r>
          </w:p>
        </w:tc>
      </w:tr>
      <w:tr w:rsidR="003E56A6" w:rsidRPr="00B01372" w14:paraId="34AB7FCE" w14:textId="77777777" w:rsidTr="003E56A6">
        <w:tc>
          <w:tcPr>
            <w:tcW w:w="2976" w:type="dxa"/>
          </w:tcPr>
          <w:p w14:paraId="34AB7FCB" w14:textId="77777777" w:rsidR="003E56A6" w:rsidRPr="00B01372" w:rsidRDefault="003E56A6" w:rsidP="009F486E">
            <w:pPr>
              <w:pStyle w:val="NoSpacing"/>
            </w:pPr>
            <w:r w:rsidRPr="00B01372">
              <w:lastRenderedPageBreak/>
              <w:t>[other]</w:t>
            </w:r>
          </w:p>
        </w:tc>
        <w:tc>
          <w:tcPr>
            <w:tcW w:w="2976" w:type="dxa"/>
          </w:tcPr>
          <w:p w14:paraId="34AB7FCC" w14:textId="77777777" w:rsidR="003E56A6" w:rsidRPr="00B01372" w:rsidRDefault="003E56A6" w:rsidP="009F486E">
            <w:pPr>
              <w:pStyle w:val="NoSpacing"/>
              <w:jc w:val="center"/>
            </w:pPr>
          </w:p>
        </w:tc>
        <w:tc>
          <w:tcPr>
            <w:tcW w:w="2976" w:type="dxa"/>
          </w:tcPr>
          <w:p w14:paraId="34AB7FCD" w14:textId="77777777" w:rsidR="003E56A6" w:rsidRPr="00B01372" w:rsidRDefault="003E56A6" w:rsidP="009F486E">
            <w:pPr>
              <w:pStyle w:val="NoSpacing"/>
              <w:jc w:val="center"/>
            </w:pPr>
          </w:p>
        </w:tc>
      </w:tr>
    </w:tbl>
    <w:p w14:paraId="34AB7FCF" w14:textId="77777777" w:rsidR="003E56A6" w:rsidRPr="00B01372" w:rsidRDefault="003E56A6" w:rsidP="003E56A6">
      <w:pPr>
        <w:pStyle w:val="NoSpacing"/>
        <w:ind w:left="360"/>
      </w:pPr>
    </w:p>
    <w:p w14:paraId="34AB7FD0" w14:textId="296FBF0A" w:rsidR="003E56A6" w:rsidRPr="00B01372" w:rsidRDefault="00D24317" w:rsidP="003E56A6">
      <w:pPr>
        <w:pStyle w:val="Heading3"/>
      </w:pPr>
      <w:r w:rsidRPr="00B01372">
        <w:t xml:space="preserve">2. </w:t>
      </w:r>
      <w:r w:rsidR="003E56A6" w:rsidRPr="00B01372">
        <w:t xml:space="preserve">Methodology description  </w:t>
      </w:r>
    </w:p>
    <w:p w14:paraId="34AB7FD1" w14:textId="77777777" w:rsidR="003E56A6" w:rsidRPr="00B01372" w:rsidRDefault="003E56A6" w:rsidP="003E56A6">
      <w:pPr>
        <w:pStyle w:val="NoSpacing"/>
        <w:ind w:left="360"/>
      </w:pPr>
    </w:p>
    <w:p w14:paraId="34AB8022" w14:textId="69C4CBBC" w:rsidR="003E56A6" w:rsidRDefault="003E56A6" w:rsidP="0086391B">
      <w:pPr>
        <w:pStyle w:val="NoSpacing"/>
        <w:ind w:left="792"/>
        <w:jc w:val="both"/>
      </w:pPr>
      <w:r w:rsidRPr="00B01372">
        <w:t>Indicate, amongst others, information on the sources of data, approaches taken to deal with possible missing data and erroneous data, and representativ</w:t>
      </w:r>
      <w:r w:rsidR="00B97AC0">
        <w:t xml:space="preserve">eness </w:t>
      </w:r>
      <w:r w:rsidRPr="00B01372">
        <w:t>of the sample used (if a sample-based approach was taken). If methodology is different depending on the thresholds or source of data, please clearly indicate this, including the relevant thresholds.</w:t>
      </w:r>
    </w:p>
    <w:p w14:paraId="74E94496" w14:textId="77777777" w:rsidR="00127922" w:rsidRDefault="00127922" w:rsidP="0086391B">
      <w:pPr>
        <w:pStyle w:val="NoSpacing"/>
        <w:ind w:left="792"/>
        <w:jc w:val="both"/>
      </w:pPr>
    </w:p>
    <w:p w14:paraId="3337DE1F" w14:textId="659A1F70" w:rsidR="00127922" w:rsidRPr="00127922" w:rsidRDefault="00127922" w:rsidP="00127922">
      <w:pPr>
        <w:rPr>
          <w:color w:val="FF0000"/>
          <w:lang w:val="en"/>
        </w:rPr>
      </w:pPr>
      <w:r w:rsidRPr="00127922">
        <w:rPr>
          <w:rStyle w:val="alt-edited"/>
          <w:color w:val="FF0000"/>
          <w:lang w:val="en"/>
        </w:rPr>
        <w:t>The obligation to prepare annual</w:t>
      </w:r>
      <w:r w:rsidR="001C5BBD">
        <w:rPr>
          <w:rStyle w:val="alt-edited"/>
          <w:color w:val="FF0000"/>
          <w:lang w:val="en"/>
        </w:rPr>
        <w:t xml:space="preserve"> statistical</w:t>
      </w:r>
      <w:r w:rsidRPr="00127922">
        <w:rPr>
          <w:rStyle w:val="alt-edited"/>
          <w:color w:val="FF0000"/>
          <w:lang w:val="en"/>
        </w:rPr>
        <w:t xml:space="preserve"> reports for contracting authorities/entities </w:t>
      </w:r>
      <w:r w:rsidR="001C5BBD">
        <w:rPr>
          <w:rStyle w:val="alt-edited"/>
          <w:color w:val="FF0000"/>
          <w:lang w:val="en"/>
        </w:rPr>
        <w:t xml:space="preserve">is </w:t>
      </w:r>
      <w:r w:rsidRPr="00127922">
        <w:rPr>
          <w:rStyle w:val="alt-edited"/>
          <w:color w:val="FF0000"/>
          <w:lang w:val="en"/>
        </w:rPr>
        <w:t xml:space="preserve">defined in Article 441, paragraph 2 of the PPA. </w:t>
      </w:r>
      <w:r w:rsidRPr="00127922">
        <w:rPr>
          <w:color w:val="FF0000"/>
          <w:lang w:val="en"/>
        </w:rPr>
        <w:t>By 31</w:t>
      </w:r>
      <w:r w:rsidRPr="00127922">
        <w:rPr>
          <w:color w:val="FF0000"/>
          <w:vertAlign w:val="superscript"/>
          <w:lang w:val="en"/>
        </w:rPr>
        <w:t>st</w:t>
      </w:r>
      <w:r w:rsidRPr="00127922">
        <w:rPr>
          <w:color w:val="FF0000"/>
          <w:lang w:val="en"/>
        </w:rPr>
        <w:t xml:space="preserve"> March of the current year, the contracting authorities/</w:t>
      </w:r>
      <w:r w:rsidRPr="00127922">
        <w:rPr>
          <w:rStyle w:val="alt-edited"/>
          <w:color w:val="FF0000"/>
          <w:lang w:val="en"/>
        </w:rPr>
        <w:t>entities</w:t>
      </w:r>
      <w:r w:rsidRPr="00127922">
        <w:rPr>
          <w:color w:val="FF0000"/>
          <w:lang w:val="en"/>
        </w:rPr>
        <w:t xml:space="preserve"> are obliged to prepare a </w:t>
      </w:r>
      <w:r w:rsidRPr="00127922">
        <w:rPr>
          <w:rStyle w:val="alt-edited"/>
          <w:color w:val="FF0000"/>
          <w:lang w:val="en"/>
        </w:rPr>
        <w:t>statistical</w:t>
      </w:r>
      <w:r w:rsidRPr="00127922">
        <w:rPr>
          <w:color w:val="FF0000"/>
          <w:lang w:val="en"/>
        </w:rPr>
        <w:t xml:space="preserve"> public procurement report for the previous year.</w:t>
      </w:r>
      <w:r w:rsidRPr="00127922">
        <w:rPr>
          <w:color w:val="FF0000"/>
          <w:lang w:val="en"/>
        </w:rPr>
        <w:br/>
        <w:t xml:space="preserve">This report is made through the Electronic Public Procurement Classifieds of the Republic of Croatia (EOJN RH, </w:t>
      </w:r>
      <w:hyperlink r:id="rId28" w:history="1">
        <w:r w:rsidRPr="00127922">
          <w:rPr>
            <w:rStyle w:val="Hyperlink"/>
            <w:color w:val="FF0000"/>
            <w:lang w:val="en"/>
          </w:rPr>
          <w:t>https://eojn.nn.hr</w:t>
        </w:r>
      </w:hyperlink>
      <w:r w:rsidRPr="00127922">
        <w:rPr>
          <w:color w:val="FF0000"/>
          <w:lang w:val="en"/>
        </w:rPr>
        <w:t>).</w:t>
      </w:r>
    </w:p>
    <w:p w14:paraId="3FA8BC76" w14:textId="4FE4E435" w:rsidR="00016E8B" w:rsidRDefault="00127922" w:rsidP="00127922">
      <w:pPr>
        <w:rPr>
          <w:color w:val="FF0000"/>
          <w:lang w:val="en"/>
        </w:rPr>
      </w:pPr>
      <w:r w:rsidRPr="00127922">
        <w:rPr>
          <w:color w:val="FF0000"/>
          <w:lang w:val="en"/>
        </w:rPr>
        <w:t>Contracting authorities/</w:t>
      </w:r>
      <w:r w:rsidRPr="00127922">
        <w:rPr>
          <w:rStyle w:val="alt-edited"/>
          <w:color w:val="FF0000"/>
          <w:lang w:val="en"/>
        </w:rPr>
        <w:t xml:space="preserve">entities are </w:t>
      </w:r>
      <w:r w:rsidRPr="00127922">
        <w:rPr>
          <w:color w:val="FF0000"/>
          <w:lang w:val="en"/>
        </w:rPr>
        <w:t>responsible for the accuracy of the data entered manually into the statistical module.</w:t>
      </w:r>
      <w:r w:rsidRPr="00127922">
        <w:rPr>
          <w:color w:val="FF0000"/>
          <w:lang w:val="en"/>
        </w:rPr>
        <w:br/>
        <w:t>It should be noted that all contracts are recorded according to the date of publication of the contract, not the publication number. Therefore, the criterion of "entering" into the statistical repor</w:t>
      </w:r>
      <w:r w:rsidR="001C5BBD">
        <w:rPr>
          <w:color w:val="FF0000"/>
          <w:lang w:val="en"/>
        </w:rPr>
        <w:t>t</w:t>
      </w:r>
      <w:r w:rsidRPr="00127922">
        <w:rPr>
          <w:color w:val="FF0000"/>
          <w:lang w:val="en"/>
        </w:rPr>
        <w:t xml:space="preserve"> is the value of each contract / framework agreement without VAT from the contract award notice.</w:t>
      </w:r>
    </w:p>
    <w:p w14:paraId="752CE46A" w14:textId="77777777" w:rsidR="00016E8B" w:rsidRPr="002221A2" w:rsidRDefault="00016E8B" w:rsidP="00121314">
      <w:pPr>
        <w:pStyle w:val="NoSpacing"/>
        <w:jc w:val="both"/>
        <w:rPr>
          <w:color w:val="FF0000"/>
          <w:lang w:val="en"/>
        </w:rPr>
      </w:pPr>
      <w:r w:rsidRPr="002221A2">
        <w:rPr>
          <w:color w:val="FF0000"/>
        </w:rPr>
        <w:t xml:space="preserve">The data </w:t>
      </w:r>
      <w:r w:rsidRPr="002221A2">
        <w:rPr>
          <w:color w:val="FF0000"/>
          <w:lang w:val="en"/>
        </w:rPr>
        <w:t>that are provided</w:t>
      </w:r>
      <w:r w:rsidRPr="002221A2">
        <w:rPr>
          <w:color w:val="FF0000"/>
        </w:rPr>
        <w:t xml:space="preserve"> can be </w:t>
      </w:r>
      <w:r w:rsidRPr="002221A2">
        <w:rPr>
          <w:color w:val="FF0000"/>
          <w:lang w:val="en"/>
        </w:rPr>
        <w:t>divided into two parts by the thresholds (</w:t>
      </w:r>
      <w:r w:rsidRPr="002221A2">
        <w:rPr>
          <w:color w:val="FF0000"/>
        </w:rPr>
        <w:t>above and below the EU thresholds), the</w:t>
      </w:r>
      <w:r w:rsidRPr="002221A2">
        <w:rPr>
          <w:color w:val="FF0000"/>
          <w:lang w:val="en"/>
        </w:rPr>
        <w:t xml:space="preserve"> </w:t>
      </w:r>
      <w:r w:rsidRPr="002221A2">
        <w:rPr>
          <w:color w:val="FF0000"/>
        </w:rPr>
        <w:t xml:space="preserve">procurement procedures below the EU threshold (regulated by national legislation) divides them </w:t>
      </w:r>
      <w:r w:rsidRPr="002221A2">
        <w:rPr>
          <w:color w:val="FF0000"/>
          <w:lang w:val="en"/>
        </w:rPr>
        <w:t>even further:</w:t>
      </w:r>
    </w:p>
    <w:p w14:paraId="5643A879" w14:textId="77777777" w:rsidR="00016E8B" w:rsidRPr="002221A2" w:rsidRDefault="00016E8B" w:rsidP="00016E8B">
      <w:pPr>
        <w:pStyle w:val="NoSpacing"/>
        <w:numPr>
          <w:ilvl w:val="0"/>
          <w:numId w:val="23"/>
        </w:numPr>
        <w:jc w:val="both"/>
        <w:rPr>
          <w:color w:val="FF0000"/>
          <w:lang w:val="en"/>
        </w:rPr>
      </w:pPr>
      <w:r w:rsidRPr="002221A2">
        <w:rPr>
          <w:color w:val="FF0000"/>
        </w:rPr>
        <w:t xml:space="preserve">procurement procedures above the EU threshold (public procurement published in the Official Journal of the European Union as well) </w:t>
      </w:r>
    </w:p>
    <w:p w14:paraId="7CA30E6F" w14:textId="77777777" w:rsidR="00016E8B" w:rsidRPr="002221A2" w:rsidRDefault="00016E8B" w:rsidP="00016E8B">
      <w:pPr>
        <w:pStyle w:val="NoSpacing"/>
        <w:numPr>
          <w:ilvl w:val="0"/>
          <w:numId w:val="22"/>
        </w:numPr>
        <w:jc w:val="both"/>
        <w:rPr>
          <w:color w:val="FF0000"/>
        </w:rPr>
      </w:pPr>
      <w:r w:rsidRPr="002221A2">
        <w:rPr>
          <w:color w:val="FF0000"/>
        </w:rPr>
        <w:t xml:space="preserve">procurement procedures below the EU threshold </w:t>
      </w:r>
    </w:p>
    <w:p w14:paraId="166DA86B" w14:textId="7BB27655" w:rsidR="00016E8B" w:rsidRPr="002221A2" w:rsidRDefault="00C17AC5" w:rsidP="00016E8B">
      <w:pPr>
        <w:pStyle w:val="NoSpacing"/>
        <w:numPr>
          <w:ilvl w:val="1"/>
          <w:numId w:val="22"/>
        </w:numPr>
        <w:jc w:val="both"/>
        <w:rPr>
          <w:color w:val="FF0000"/>
        </w:rPr>
      </w:pPr>
      <w:r>
        <w:rPr>
          <w:color w:val="FF0000"/>
        </w:rPr>
        <w:t xml:space="preserve">“low value” </w:t>
      </w:r>
      <w:r w:rsidR="00016E8B" w:rsidRPr="002221A2">
        <w:rPr>
          <w:color w:val="FF0000"/>
        </w:rPr>
        <w:t xml:space="preserve">public procurement, which </w:t>
      </w:r>
      <w:r>
        <w:rPr>
          <w:color w:val="FF0000"/>
        </w:rPr>
        <w:t>is</w:t>
      </w:r>
      <w:r w:rsidR="00016E8B" w:rsidRPr="002221A2">
        <w:rPr>
          <w:color w:val="FF0000"/>
        </w:rPr>
        <w:t xml:space="preserve"> published only </w:t>
      </w:r>
      <w:r>
        <w:rPr>
          <w:color w:val="FF0000"/>
        </w:rPr>
        <w:t>in</w:t>
      </w:r>
      <w:r w:rsidR="00016E8B" w:rsidRPr="002221A2">
        <w:rPr>
          <w:color w:val="FF0000"/>
        </w:rPr>
        <w:t xml:space="preserve"> </w:t>
      </w:r>
      <w:r w:rsidRPr="00127922">
        <w:rPr>
          <w:color w:val="FF0000"/>
          <w:lang w:val="en"/>
        </w:rPr>
        <w:t xml:space="preserve">the Electronic Public Procurement Classifieds </w:t>
      </w:r>
      <w:r w:rsidR="00016E8B" w:rsidRPr="002221A2">
        <w:rPr>
          <w:color w:val="FF0000"/>
        </w:rPr>
        <w:t xml:space="preserve">and not in the Official Journal of the European Union </w:t>
      </w:r>
    </w:p>
    <w:p w14:paraId="07E2E086" w14:textId="261BA254" w:rsidR="00016E8B" w:rsidRPr="002221A2" w:rsidRDefault="00C17AC5" w:rsidP="00016E8B">
      <w:pPr>
        <w:pStyle w:val="ListParagraph"/>
        <w:numPr>
          <w:ilvl w:val="1"/>
          <w:numId w:val="22"/>
        </w:numPr>
        <w:jc w:val="both"/>
        <w:rPr>
          <w:rFonts w:ascii="Calibri" w:eastAsia="Times New Roman" w:hAnsi="Calibri" w:cs="Calibri"/>
          <w:bCs/>
          <w:color w:val="FF0000"/>
          <w:lang w:eastAsia="sl-SI"/>
        </w:rPr>
      </w:pPr>
      <w:r w:rsidRPr="002221A2">
        <w:rPr>
          <w:color w:val="FF0000"/>
        </w:rPr>
        <w:t xml:space="preserve">procurement </w:t>
      </w:r>
      <w:r w:rsidRPr="002221A2">
        <w:rPr>
          <w:rFonts w:ascii="Calibri" w:eastAsia="Times New Roman" w:hAnsi="Calibri" w:cs="Calibri"/>
          <w:color w:val="FF0000"/>
          <w:lang w:eastAsia="sl-SI"/>
        </w:rPr>
        <w:t xml:space="preserve">below </w:t>
      </w:r>
      <w:r>
        <w:rPr>
          <w:rFonts w:ascii="Calibri" w:eastAsia="Times New Roman" w:hAnsi="Calibri" w:cs="Calibri"/>
          <w:color w:val="FF0000"/>
          <w:lang w:eastAsia="sl-SI"/>
        </w:rPr>
        <w:t>national threshold</w:t>
      </w:r>
      <w:r w:rsidR="00016E8B" w:rsidRPr="002221A2">
        <w:rPr>
          <w:rFonts w:ascii="Calibri" w:eastAsia="Times New Roman" w:hAnsi="Calibri" w:cs="Calibri"/>
          <w:bCs/>
          <w:color w:val="FF0000"/>
          <w:lang w:eastAsia="sl-SI"/>
        </w:rPr>
        <w:t xml:space="preserve"> </w:t>
      </w:r>
      <w:r w:rsidR="00016E8B" w:rsidRPr="002221A2">
        <w:rPr>
          <w:color w:val="FF0000"/>
        </w:rPr>
        <w:t>(</w:t>
      </w:r>
      <w:r>
        <w:rPr>
          <w:color w:val="FF0000"/>
        </w:rPr>
        <w:t>publication</w:t>
      </w:r>
      <w:r w:rsidR="00016E8B" w:rsidRPr="002221A2">
        <w:rPr>
          <w:color w:val="FF0000"/>
        </w:rPr>
        <w:t xml:space="preserve"> </w:t>
      </w:r>
      <w:r>
        <w:rPr>
          <w:color w:val="FF0000"/>
        </w:rPr>
        <w:t>in</w:t>
      </w:r>
      <w:r w:rsidR="00016E8B" w:rsidRPr="002221A2">
        <w:rPr>
          <w:color w:val="FF0000"/>
        </w:rPr>
        <w:t xml:space="preserve"> the </w:t>
      </w:r>
      <w:r w:rsidRPr="00127922">
        <w:rPr>
          <w:color w:val="FF0000"/>
          <w:lang w:val="en"/>
        </w:rPr>
        <w:t xml:space="preserve">Electronic Public Procurement Classifieds </w:t>
      </w:r>
      <w:r>
        <w:rPr>
          <w:color w:val="FF0000"/>
        </w:rPr>
        <w:t>is optional</w:t>
      </w:r>
      <w:r w:rsidR="00016E8B" w:rsidRPr="002221A2">
        <w:rPr>
          <w:color w:val="FF0000"/>
        </w:rPr>
        <w:t>)</w:t>
      </w:r>
    </w:p>
    <w:p w14:paraId="1E3D6852" w14:textId="77777777" w:rsidR="00127922" w:rsidRDefault="00127922" w:rsidP="00127922"/>
    <w:p w14:paraId="33F9228F" w14:textId="77777777" w:rsidR="00127922" w:rsidRPr="003F1BD0" w:rsidRDefault="00127922" w:rsidP="0086391B">
      <w:pPr>
        <w:pStyle w:val="NoSpacing"/>
        <w:ind w:left="792"/>
        <w:jc w:val="both"/>
      </w:pPr>
    </w:p>
    <w:sectPr w:rsidR="00127922" w:rsidRPr="003F1BD0" w:rsidSect="00A47B20">
      <w:footerReference w:type="default" r:id="rId29"/>
      <w:pgSz w:w="16838" w:h="11906" w:orient="landscape"/>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B44EB0" w15:done="0"/>
  <w15:commentEx w15:paraId="46F19B07" w15:done="0"/>
  <w15:commentEx w15:paraId="2502AF7D" w15:done="0"/>
  <w15:commentEx w15:paraId="14250CC1" w15:done="0"/>
  <w15:commentEx w15:paraId="4F4FEA26" w15:done="0"/>
  <w15:commentEx w15:paraId="2AC1EE54" w15:done="0"/>
  <w15:commentEx w15:paraId="6FF23CCD" w15:done="0"/>
  <w15:commentEx w15:paraId="1C05663A" w15:done="0"/>
  <w15:commentEx w15:paraId="41B52309" w15:done="0"/>
  <w15:commentEx w15:paraId="33171D4B" w15:done="0"/>
  <w15:commentEx w15:paraId="31F581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0364C" w14:textId="77777777" w:rsidR="003B6A52" w:rsidRDefault="003B6A52" w:rsidP="00E05B18">
      <w:pPr>
        <w:spacing w:after="0" w:line="240" w:lineRule="auto"/>
      </w:pPr>
      <w:r>
        <w:separator/>
      </w:r>
    </w:p>
  </w:endnote>
  <w:endnote w:type="continuationSeparator" w:id="0">
    <w:p w14:paraId="59616987" w14:textId="77777777" w:rsidR="003B6A52" w:rsidRDefault="003B6A52" w:rsidP="00E05B18">
      <w:pPr>
        <w:spacing w:after="0" w:line="240" w:lineRule="auto"/>
      </w:pPr>
      <w:r>
        <w:continuationSeparator/>
      </w:r>
    </w:p>
  </w:endnote>
  <w:endnote w:type="continuationNotice" w:id="1">
    <w:p w14:paraId="4E3CA3FF" w14:textId="77777777" w:rsidR="003B6A52" w:rsidRDefault="003B6A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32570"/>
      <w:docPartObj>
        <w:docPartGallery w:val="Page Numbers (Bottom of Page)"/>
        <w:docPartUnique/>
      </w:docPartObj>
    </w:sdtPr>
    <w:sdtEndPr>
      <w:rPr>
        <w:noProof/>
      </w:rPr>
    </w:sdtEndPr>
    <w:sdtContent>
      <w:p w14:paraId="34AB802E" w14:textId="77777777" w:rsidR="00766DA5" w:rsidRDefault="00766DA5">
        <w:pPr>
          <w:pStyle w:val="Footer"/>
          <w:jc w:val="center"/>
        </w:pPr>
        <w:r>
          <w:fldChar w:fldCharType="begin"/>
        </w:r>
        <w:r>
          <w:instrText xml:space="preserve"> PAGE   \* MERGEFORMAT </w:instrText>
        </w:r>
        <w:r>
          <w:fldChar w:fldCharType="separate"/>
        </w:r>
        <w:r w:rsidR="007210EF">
          <w:rPr>
            <w:noProof/>
          </w:rPr>
          <w:t>28</w:t>
        </w:r>
        <w:r>
          <w:rPr>
            <w:noProof/>
          </w:rPr>
          <w:fldChar w:fldCharType="end"/>
        </w:r>
      </w:p>
    </w:sdtContent>
  </w:sdt>
  <w:p w14:paraId="34AB802F" w14:textId="77777777" w:rsidR="00766DA5" w:rsidRDefault="00766D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EE25E" w14:textId="77777777" w:rsidR="003B6A52" w:rsidRDefault="003B6A52" w:rsidP="00E05B18">
      <w:pPr>
        <w:spacing w:after="0" w:line="240" w:lineRule="auto"/>
      </w:pPr>
      <w:r>
        <w:separator/>
      </w:r>
    </w:p>
  </w:footnote>
  <w:footnote w:type="continuationSeparator" w:id="0">
    <w:p w14:paraId="4639939C" w14:textId="77777777" w:rsidR="003B6A52" w:rsidRDefault="003B6A52" w:rsidP="00E05B18">
      <w:pPr>
        <w:spacing w:after="0" w:line="240" w:lineRule="auto"/>
      </w:pPr>
      <w:r>
        <w:continuationSeparator/>
      </w:r>
    </w:p>
  </w:footnote>
  <w:footnote w:type="continuationNotice" w:id="1">
    <w:p w14:paraId="295BF35E" w14:textId="77777777" w:rsidR="003B6A52" w:rsidRDefault="003B6A52">
      <w:pPr>
        <w:spacing w:after="0" w:line="240" w:lineRule="auto"/>
      </w:pPr>
    </w:p>
  </w:footnote>
  <w:footnote w:id="2">
    <w:p w14:paraId="14399745" w14:textId="1FDB1D43" w:rsidR="00766DA5" w:rsidRPr="00043EE0" w:rsidRDefault="00766DA5">
      <w:pPr>
        <w:pStyle w:val="FootnoteText"/>
        <w:rPr>
          <w:lang w:val="en-US"/>
        </w:rPr>
      </w:pPr>
      <w:r>
        <w:rPr>
          <w:rStyle w:val="FootnoteReference"/>
        </w:rPr>
        <w:footnoteRef/>
      </w:r>
      <w:r>
        <w:t xml:space="preserve"> The symbols "&lt;" and "(" indicate whether the endpoint of the interval should be included. For example (40%</w:t>
      </w:r>
      <w:proofErr w:type="gramStart"/>
      <w:r>
        <w:t>,50</w:t>
      </w:r>
      <w:proofErr w:type="gramEnd"/>
      <w:r>
        <w:t xml:space="preserve">%&gt; approximately means that the interval should contain contracting authorities or entities whose score is larger than 40.001% and smaller than 50.000%. The rest of the intervals are analogous. </w:t>
      </w:r>
    </w:p>
  </w:footnote>
  <w:footnote w:id="3">
    <w:p w14:paraId="2E47C6B0" w14:textId="77777777" w:rsidR="00766DA5" w:rsidRPr="002E657A" w:rsidRDefault="00766DA5" w:rsidP="00994F58">
      <w:pPr>
        <w:pStyle w:val="FootnoteText"/>
      </w:pPr>
      <w:r>
        <w:rPr>
          <w:rStyle w:val="FootnoteReference"/>
        </w:rPr>
        <w:footnoteRef/>
      </w:r>
      <w:r>
        <w:t xml:space="preserve"> </w:t>
      </w:r>
      <w:r w:rsidRPr="002E657A">
        <w:t>Commission Communication (COM (2008) 400) "Public procurem</w:t>
      </w:r>
      <w:r>
        <w:t>ent for a better environment"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F7C"/>
    <w:multiLevelType w:val="hybridMultilevel"/>
    <w:tmpl w:val="7D1ADAE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0F96E7D"/>
    <w:multiLevelType w:val="hybridMultilevel"/>
    <w:tmpl w:val="2098C3C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805633C"/>
    <w:multiLevelType w:val="hybridMultilevel"/>
    <w:tmpl w:val="5BA2B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0094F8F"/>
    <w:multiLevelType w:val="multilevel"/>
    <w:tmpl w:val="D5743C9A"/>
    <w:lvl w:ilvl="0">
      <w:start w:val="1"/>
      <w:numFmt w:val="decimal"/>
      <w:lvlText w:val="%1."/>
      <w:lvlJc w:val="left"/>
      <w:pPr>
        <w:ind w:left="492" w:firstLine="76"/>
      </w:pPr>
      <w:rPr>
        <w:rFonts w:hint="default"/>
      </w:rPr>
    </w:lvl>
    <w:lvl w:ilvl="1">
      <w:start w:val="1"/>
      <w:numFmt w:val="decimal"/>
      <w:lvlText w:val="%1.%2"/>
      <w:lvlJc w:val="left"/>
      <w:pPr>
        <w:ind w:left="622" w:firstLine="513"/>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851" w:firstLine="9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567" w:firstLine="1953"/>
      </w:pPr>
      <w:rPr>
        <w:rFont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1D4142E"/>
    <w:multiLevelType w:val="hybridMultilevel"/>
    <w:tmpl w:val="E34EB702"/>
    <w:lvl w:ilvl="0" w:tplc="9DAA088A">
      <w:numFmt w:val="bullet"/>
      <w:lvlText w:val="-"/>
      <w:lvlJc w:val="left"/>
      <w:pPr>
        <w:ind w:left="786" w:hanging="360"/>
      </w:pPr>
      <w:rPr>
        <w:rFonts w:ascii="Calibri" w:eastAsiaTheme="minorHAnsi" w:hAnsi="Calibri" w:cstheme="minorBid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
    <w:nsid w:val="1FB9320A"/>
    <w:multiLevelType w:val="hybridMultilevel"/>
    <w:tmpl w:val="BBD0A1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48B1372"/>
    <w:multiLevelType w:val="hybridMultilevel"/>
    <w:tmpl w:val="DDC6B7B2"/>
    <w:lvl w:ilvl="0" w:tplc="B7FA778E">
      <w:numFmt w:val="bullet"/>
      <w:lvlText w:val="-"/>
      <w:lvlJc w:val="left"/>
      <w:pPr>
        <w:ind w:left="720" w:hanging="360"/>
      </w:pPr>
      <w:rPr>
        <w:rFonts w:ascii="Arial" w:eastAsia="Times New Roman" w:hAnsi="Arial" w:cs="Times New Roman" w:hint="default"/>
        <w:color w:val="FF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60371AB"/>
    <w:multiLevelType w:val="hybridMultilevel"/>
    <w:tmpl w:val="F530EF7A"/>
    <w:lvl w:ilvl="0" w:tplc="08090001">
      <w:start w:val="1"/>
      <w:numFmt w:val="bullet"/>
      <w:lvlText w:val=""/>
      <w:lvlJc w:val="left"/>
      <w:pPr>
        <w:ind w:left="4782" w:hanging="360"/>
      </w:pPr>
      <w:rPr>
        <w:rFonts w:ascii="Symbol" w:hAnsi="Symbol" w:hint="default"/>
      </w:rPr>
    </w:lvl>
    <w:lvl w:ilvl="1" w:tplc="08090003">
      <w:start w:val="1"/>
      <w:numFmt w:val="bullet"/>
      <w:lvlText w:val="o"/>
      <w:lvlJc w:val="left"/>
      <w:pPr>
        <w:ind w:left="5502" w:hanging="360"/>
      </w:pPr>
      <w:rPr>
        <w:rFonts w:ascii="Courier New" w:hAnsi="Courier New" w:cs="Courier New" w:hint="default"/>
      </w:rPr>
    </w:lvl>
    <w:lvl w:ilvl="2" w:tplc="08090005" w:tentative="1">
      <w:start w:val="1"/>
      <w:numFmt w:val="bullet"/>
      <w:lvlText w:val=""/>
      <w:lvlJc w:val="left"/>
      <w:pPr>
        <w:ind w:left="6222" w:hanging="360"/>
      </w:pPr>
      <w:rPr>
        <w:rFonts w:ascii="Wingdings" w:hAnsi="Wingdings" w:hint="default"/>
      </w:rPr>
    </w:lvl>
    <w:lvl w:ilvl="3" w:tplc="08090001" w:tentative="1">
      <w:start w:val="1"/>
      <w:numFmt w:val="bullet"/>
      <w:lvlText w:val=""/>
      <w:lvlJc w:val="left"/>
      <w:pPr>
        <w:ind w:left="6942" w:hanging="360"/>
      </w:pPr>
      <w:rPr>
        <w:rFonts w:ascii="Symbol" w:hAnsi="Symbol" w:hint="default"/>
      </w:rPr>
    </w:lvl>
    <w:lvl w:ilvl="4" w:tplc="08090003" w:tentative="1">
      <w:start w:val="1"/>
      <w:numFmt w:val="bullet"/>
      <w:lvlText w:val="o"/>
      <w:lvlJc w:val="left"/>
      <w:pPr>
        <w:ind w:left="7662" w:hanging="360"/>
      </w:pPr>
      <w:rPr>
        <w:rFonts w:ascii="Courier New" w:hAnsi="Courier New" w:cs="Courier New" w:hint="default"/>
      </w:rPr>
    </w:lvl>
    <w:lvl w:ilvl="5" w:tplc="08090005" w:tentative="1">
      <w:start w:val="1"/>
      <w:numFmt w:val="bullet"/>
      <w:lvlText w:val=""/>
      <w:lvlJc w:val="left"/>
      <w:pPr>
        <w:ind w:left="8382" w:hanging="360"/>
      </w:pPr>
      <w:rPr>
        <w:rFonts w:ascii="Wingdings" w:hAnsi="Wingdings" w:hint="default"/>
      </w:rPr>
    </w:lvl>
    <w:lvl w:ilvl="6" w:tplc="08090001" w:tentative="1">
      <w:start w:val="1"/>
      <w:numFmt w:val="bullet"/>
      <w:lvlText w:val=""/>
      <w:lvlJc w:val="left"/>
      <w:pPr>
        <w:ind w:left="9102" w:hanging="360"/>
      </w:pPr>
      <w:rPr>
        <w:rFonts w:ascii="Symbol" w:hAnsi="Symbol" w:hint="default"/>
      </w:rPr>
    </w:lvl>
    <w:lvl w:ilvl="7" w:tplc="08090003" w:tentative="1">
      <w:start w:val="1"/>
      <w:numFmt w:val="bullet"/>
      <w:lvlText w:val="o"/>
      <w:lvlJc w:val="left"/>
      <w:pPr>
        <w:ind w:left="9822" w:hanging="360"/>
      </w:pPr>
      <w:rPr>
        <w:rFonts w:ascii="Courier New" w:hAnsi="Courier New" w:cs="Courier New" w:hint="default"/>
      </w:rPr>
    </w:lvl>
    <w:lvl w:ilvl="8" w:tplc="08090005" w:tentative="1">
      <w:start w:val="1"/>
      <w:numFmt w:val="bullet"/>
      <w:lvlText w:val=""/>
      <w:lvlJc w:val="left"/>
      <w:pPr>
        <w:ind w:left="10542" w:hanging="360"/>
      </w:pPr>
      <w:rPr>
        <w:rFonts w:ascii="Wingdings" w:hAnsi="Wingdings" w:hint="default"/>
      </w:rPr>
    </w:lvl>
  </w:abstractNum>
  <w:abstractNum w:abstractNumId="8">
    <w:nsid w:val="2A037F75"/>
    <w:multiLevelType w:val="hybridMultilevel"/>
    <w:tmpl w:val="68922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0E68E0"/>
    <w:multiLevelType w:val="hybridMultilevel"/>
    <w:tmpl w:val="BF0CAFF6"/>
    <w:lvl w:ilvl="0" w:tplc="EFC627E8">
      <w:start w:val="1"/>
      <w:numFmt w:val="bullet"/>
      <w:lvlText w:val=""/>
      <w:lvlJc w:val="left"/>
      <w:pPr>
        <w:ind w:left="720" w:hanging="360"/>
      </w:pPr>
      <w:rPr>
        <w:rFonts w:ascii="Symbol" w:hAnsi="Symbol" w:hint="default"/>
        <w:color w:val="FF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69946E3"/>
    <w:multiLevelType w:val="hybridMultilevel"/>
    <w:tmpl w:val="F176DF20"/>
    <w:lvl w:ilvl="0" w:tplc="D178648E">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nsid w:val="3E644CD3"/>
    <w:multiLevelType w:val="hybridMultilevel"/>
    <w:tmpl w:val="FB06BEF0"/>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nsid w:val="44BF045A"/>
    <w:multiLevelType w:val="hybridMultilevel"/>
    <w:tmpl w:val="373C63D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3C038ED"/>
    <w:multiLevelType w:val="hybridMultilevel"/>
    <w:tmpl w:val="68E22326"/>
    <w:lvl w:ilvl="0" w:tplc="08090017">
      <w:start w:val="1"/>
      <w:numFmt w:val="lowerLetter"/>
      <w:lvlText w:val="%1)"/>
      <w:lvlJc w:val="left"/>
      <w:pPr>
        <w:ind w:left="1512" w:hanging="360"/>
      </w:pPr>
      <w:rPr>
        <w:rFont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
    <w:nsid w:val="57A05A55"/>
    <w:multiLevelType w:val="hybridMultilevel"/>
    <w:tmpl w:val="739A5F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9DF1AD3"/>
    <w:multiLevelType w:val="hybridMultilevel"/>
    <w:tmpl w:val="6A5CB29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D0000F1"/>
    <w:multiLevelType w:val="hybridMultilevel"/>
    <w:tmpl w:val="A87E8BD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nsid w:val="5DA97980"/>
    <w:multiLevelType w:val="hybridMultilevel"/>
    <w:tmpl w:val="9816F0D6"/>
    <w:lvl w:ilvl="0" w:tplc="F54270CC">
      <w:numFmt w:val="bullet"/>
      <w:lvlText w:val="-"/>
      <w:lvlJc w:val="left"/>
      <w:pPr>
        <w:ind w:left="720" w:hanging="360"/>
      </w:pPr>
      <w:rPr>
        <w:rFonts w:ascii="Arial" w:eastAsia="Times New Roman" w:hAnsi="Arial" w:cs="Times New Roman" w:hint="default"/>
        <w:color w:val="FF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66326950"/>
    <w:multiLevelType w:val="hybridMultilevel"/>
    <w:tmpl w:val="EB0CAE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68BD58A0"/>
    <w:multiLevelType w:val="hybridMultilevel"/>
    <w:tmpl w:val="76BE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F817BA3"/>
    <w:multiLevelType w:val="hybridMultilevel"/>
    <w:tmpl w:val="A8183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AB0070A"/>
    <w:multiLevelType w:val="hybridMultilevel"/>
    <w:tmpl w:val="6C8CC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F7448F8"/>
    <w:multiLevelType w:val="hybridMultilevel"/>
    <w:tmpl w:val="4776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3"/>
  </w:num>
  <w:num w:numId="4">
    <w:abstractNumId w:val="7"/>
  </w:num>
  <w:num w:numId="5">
    <w:abstractNumId w:val="8"/>
  </w:num>
  <w:num w:numId="6">
    <w:abstractNumId w:val="20"/>
  </w:num>
  <w:num w:numId="7">
    <w:abstractNumId w:val="22"/>
  </w:num>
  <w:num w:numId="8">
    <w:abstractNumId w:val="19"/>
  </w:num>
  <w:num w:numId="9">
    <w:abstractNumId w:val="21"/>
  </w:num>
  <w:num w:numId="10">
    <w:abstractNumId w:val="6"/>
  </w:num>
  <w:num w:numId="11">
    <w:abstractNumId w:val="17"/>
  </w:num>
  <w:num w:numId="12">
    <w:abstractNumId w:val="14"/>
  </w:num>
  <w:num w:numId="13">
    <w:abstractNumId w:val="5"/>
  </w:num>
  <w:num w:numId="14">
    <w:abstractNumId w:val="18"/>
  </w:num>
  <w:num w:numId="15">
    <w:abstractNumId w:val="9"/>
  </w:num>
  <w:num w:numId="16">
    <w:abstractNumId w:val="10"/>
  </w:num>
  <w:num w:numId="17">
    <w:abstractNumId w:val="4"/>
  </w:num>
  <w:num w:numId="18">
    <w:abstractNumId w:val="1"/>
  </w:num>
  <w:num w:numId="19">
    <w:abstractNumId w:val="15"/>
  </w:num>
  <w:num w:numId="20">
    <w:abstractNumId w:val="12"/>
  </w:num>
  <w:num w:numId="21">
    <w:abstractNumId w:val="0"/>
  </w:num>
  <w:num w:numId="22">
    <w:abstractNumId w:val="11"/>
  </w:num>
  <w:num w:numId="23">
    <w:abstractNumId w:val="16"/>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hym Hercher">
    <w15:presenceInfo w15:providerId="Windows Live" w15:userId="6ce0299e60fe08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83A80"/>
    <w:rsid w:val="000007BA"/>
    <w:rsid w:val="0000330E"/>
    <w:rsid w:val="000078A4"/>
    <w:rsid w:val="000114AC"/>
    <w:rsid w:val="000116CF"/>
    <w:rsid w:val="00012443"/>
    <w:rsid w:val="00012BE4"/>
    <w:rsid w:val="00012E23"/>
    <w:rsid w:val="00013C6A"/>
    <w:rsid w:val="00015883"/>
    <w:rsid w:val="00016E8B"/>
    <w:rsid w:val="00017130"/>
    <w:rsid w:val="000219D7"/>
    <w:rsid w:val="000224D9"/>
    <w:rsid w:val="000225BF"/>
    <w:rsid w:val="000230BA"/>
    <w:rsid w:val="000231D4"/>
    <w:rsid w:val="00024F85"/>
    <w:rsid w:val="00026CC2"/>
    <w:rsid w:val="000314DD"/>
    <w:rsid w:val="00031BDA"/>
    <w:rsid w:val="00032A16"/>
    <w:rsid w:val="00033543"/>
    <w:rsid w:val="00035954"/>
    <w:rsid w:val="00035FA6"/>
    <w:rsid w:val="000368C3"/>
    <w:rsid w:val="00043EE0"/>
    <w:rsid w:val="0004473C"/>
    <w:rsid w:val="00044CAF"/>
    <w:rsid w:val="00044D2C"/>
    <w:rsid w:val="00046AD1"/>
    <w:rsid w:val="00047441"/>
    <w:rsid w:val="000561EF"/>
    <w:rsid w:val="00056317"/>
    <w:rsid w:val="00057A35"/>
    <w:rsid w:val="00057BFC"/>
    <w:rsid w:val="00061269"/>
    <w:rsid w:val="000614B3"/>
    <w:rsid w:val="00062364"/>
    <w:rsid w:val="000624FD"/>
    <w:rsid w:val="00062BAF"/>
    <w:rsid w:val="00063D60"/>
    <w:rsid w:val="00064F6C"/>
    <w:rsid w:val="00065290"/>
    <w:rsid w:val="00066A6E"/>
    <w:rsid w:val="00071BD7"/>
    <w:rsid w:val="000720F8"/>
    <w:rsid w:val="00072A1E"/>
    <w:rsid w:val="00073D19"/>
    <w:rsid w:val="00076183"/>
    <w:rsid w:val="000762C6"/>
    <w:rsid w:val="00077074"/>
    <w:rsid w:val="000774FF"/>
    <w:rsid w:val="00077CB7"/>
    <w:rsid w:val="00081353"/>
    <w:rsid w:val="00081F84"/>
    <w:rsid w:val="00082B68"/>
    <w:rsid w:val="000834B8"/>
    <w:rsid w:val="00084BD2"/>
    <w:rsid w:val="00086E47"/>
    <w:rsid w:val="0008764B"/>
    <w:rsid w:val="00087A7E"/>
    <w:rsid w:val="0009058C"/>
    <w:rsid w:val="00091F47"/>
    <w:rsid w:val="00092C5B"/>
    <w:rsid w:val="00094594"/>
    <w:rsid w:val="00095106"/>
    <w:rsid w:val="00095252"/>
    <w:rsid w:val="000952CA"/>
    <w:rsid w:val="00096622"/>
    <w:rsid w:val="000A0653"/>
    <w:rsid w:val="000A1CB3"/>
    <w:rsid w:val="000A2192"/>
    <w:rsid w:val="000A3ECA"/>
    <w:rsid w:val="000A4C34"/>
    <w:rsid w:val="000A63F0"/>
    <w:rsid w:val="000A6465"/>
    <w:rsid w:val="000A716C"/>
    <w:rsid w:val="000A7710"/>
    <w:rsid w:val="000B1571"/>
    <w:rsid w:val="000B4CB4"/>
    <w:rsid w:val="000C1E03"/>
    <w:rsid w:val="000C1E38"/>
    <w:rsid w:val="000C38F2"/>
    <w:rsid w:val="000C3DEC"/>
    <w:rsid w:val="000C4582"/>
    <w:rsid w:val="000C50DF"/>
    <w:rsid w:val="000C57D0"/>
    <w:rsid w:val="000C7F4C"/>
    <w:rsid w:val="000D0F60"/>
    <w:rsid w:val="000D18C0"/>
    <w:rsid w:val="000D1F54"/>
    <w:rsid w:val="000D31E8"/>
    <w:rsid w:val="000D5425"/>
    <w:rsid w:val="000E1216"/>
    <w:rsid w:val="000E1B69"/>
    <w:rsid w:val="000E4EDE"/>
    <w:rsid w:val="000E51BA"/>
    <w:rsid w:val="000E7341"/>
    <w:rsid w:val="000F0224"/>
    <w:rsid w:val="000F0ABF"/>
    <w:rsid w:val="000F1493"/>
    <w:rsid w:val="000F221C"/>
    <w:rsid w:val="000F2D65"/>
    <w:rsid w:val="000F491C"/>
    <w:rsid w:val="000F4B0E"/>
    <w:rsid w:val="000F4C51"/>
    <w:rsid w:val="000F4CE6"/>
    <w:rsid w:val="000F5515"/>
    <w:rsid w:val="000F7393"/>
    <w:rsid w:val="000F7EE1"/>
    <w:rsid w:val="00100021"/>
    <w:rsid w:val="00100B60"/>
    <w:rsid w:val="0010153A"/>
    <w:rsid w:val="00101BD3"/>
    <w:rsid w:val="0010414C"/>
    <w:rsid w:val="0010540B"/>
    <w:rsid w:val="00106323"/>
    <w:rsid w:val="00110A27"/>
    <w:rsid w:val="00111284"/>
    <w:rsid w:val="001132ED"/>
    <w:rsid w:val="001135E3"/>
    <w:rsid w:val="00113981"/>
    <w:rsid w:val="00114850"/>
    <w:rsid w:val="001202C3"/>
    <w:rsid w:val="00121314"/>
    <w:rsid w:val="001227DE"/>
    <w:rsid w:val="00123685"/>
    <w:rsid w:val="00123723"/>
    <w:rsid w:val="0012404E"/>
    <w:rsid w:val="001257BF"/>
    <w:rsid w:val="00125881"/>
    <w:rsid w:val="0012686F"/>
    <w:rsid w:val="00126F13"/>
    <w:rsid w:val="00127922"/>
    <w:rsid w:val="00130D35"/>
    <w:rsid w:val="001331BB"/>
    <w:rsid w:val="00133553"/>
    <w:rsid w:val="001340F2"/>
    <w:rsid w:val="00134128"/>
    <w:rsid w:val="001365A6"/>
    <w:rsid w:val="00140DCB"/>
    <w:rsid w:val="001435EE"/>
    <w:rsid w:val="00143D4A"/>
    <w:rsid w:val="0014476E"/>
    <w:rsid w:val="00145C9C"/>
    <w:rsid w:val="00146208"/>
    <w:rsid w:val="00146F52"/>
    <w:rsid w:val="00146FEF"/>
    <w:rsid w:val="00147404"/>
    <w:rsid w:val="00147947"/>
    <w:rsid w:val="00150A31"/>
    <w:rsid w:val="00151E3F"/>
    <w:rsid w:val="00151E7F"/>
    <w:rsid w:val="00155B8B"/>
    <w:rsid w:val="00155B9A"/>
    <w:rsid w:val="001575BA"/>
    <w:rsid w:val="00160554"/>
    <w:rsid w:val="00160BFE"/>
    <w:rsid w:val="00161278"/>
    <w:rsid w:val="0016221C"/>
    <w:rsid w:val="0016242D"/>
    <w:rsid w:val="00162BA0"/>
    <w:rsid w:val="00163FF2"/>
    <w:rsid w:val="001649F6"/>
    <w:rsid w:val="00166503"/>
    <w:rsid w:val="00167C02"/>
    <w:rsid w:val="00167F08"/>
    <w:rsid w:val="00170BB8"/>
    <w:rsid w:val="001711E9"/>
    <w:rsid w:val="001716FD"/>
    <w:rsid w:val="00173739"/>
    <w:rsid w:val="00173A5E"/>
    <w:rsid w:val="00173B79"/>
    <w:rsid w:val="001759BB"/>
    <w:rsid w:val="001765E2"/>
    <w:rsid w:val="00180D95"/>
    <w:rsid w:val="001818F8"/>
    <w:rsid w:val="001819AD"/>
    <w:rsid w:val="001820C7"/>
    <w:rsid w:val="001832E2"/>
    <w:rsid w:val="0018639D"/>
    <w:rsid w:val="001870EB"/>
    <w:rsid w:val="001872C6"/>
    <w:rsid w:val="00192154"/>
    <w:rsid w:val="00195459"/>
    <w:rsid w:val="00195547"/>
    <w:rsid w:val="00195568"/>
    <w:rsid w:val="00195B1C"/>
    <w:rsid w:val="00195D2D"/>
    <w:rsid w:val="00197395"/>
    <w:rsid w:val="00197C11"/>
    <w:rsid w:val="001A28DD"/>
    <w:rsid w:val="001A4018"/>
    <w:rsid w:val="001A578A"/>
    <w:rsid w:val="001A5C1C"/>
    <w:rsid w:val="001A6E08"/>
    <w:rsid w:val="001A7AAB"/>
    <w:rsid w:val="001B0E03"/>
    <w:rsid w:val="001B0FA5"/>
    <w:rsid w:val="001B10ED"/>
    <w:rsid w:val="001B17F0"/>
    <w:rsid w:val="001B1AC2"/>
    <w:rsid w:val="001B1BD0"/>
    <w:rsid w:val="001B2A0F"/>
    <w:rsid w:val="001B4931"/>
    <w:rsid w:val="001B51C2"/>
    <w:rsid w:val="001B5399"/>
    <w:rsid w:val="001B58D6"/>
    <w:rsid w:val="001C046D"/>
    <w:rsid w:val="001C3CFB"/>
    <w:rsid w:val="001C4EFC"/>
    <w:rsid w:val="001C4F09"/>
    <w:rsid w:val="001C5BBD"/>
    <w:rsid w:val="001C5CB7"/>
    <w:rsid w:val="001C5F45"/>
    <w:rsid w:val="001D0125"/>
    <w:rsid w:val="001D04C7"/>
    <w:rsid w:val="001D4779"/>
    <w:rsid w:val="001D4DCD"/>
    <w:rsid w:val="001D641E"/>
    <w:rsid w:val="001E1B99"/>
    <w:rsid w:val="001E23FB"/>
    <w:rsid w:val="001E2E7E"/>
    <w:rsid w:val="001E3155"/>
    <w:rsid w:val="001E32E4"/>
    <w:rsid w:val="001E4671"/>
    <w:rsid w:val="001E4F66"/>
    <w:rsid w:val="001E6020"/>
    <w:rsid w:val="001F0DC3"/>
    <w:rsid w:val="001F345B"/>
    <w:rsid w:val="001F4763"/>
    <w:rsid w:val="001F48F2"/>
    <w:rsid w:val="001F6CD4"/>
    <w:rsid w:val="001F6CE1"/>
    <w:rsid w:val="00202F67"/>
    <w:rsid w:val="002035DE"/>
    <w:rsid w:val="0020427A"/>
    <w:rsid w:val="0020711B"/>
    <w:rsid w:val="002102DA"/>
    <w:rsid w:val="00213AE5"/>
    <w:rsid w:val="00213F1D"/>
    <w:rsid w:val="00214246"/>
    <w:rsid w:val="00216FB4"/>
    <w:rsid w:val="00217F15"/>
    <w:rsid w:val="00220D53"/>
    <w:rsid w:val="00221000"/>
    <w:rsid w:val="002222BD"/>
    <w:rsid w:val="002242F7"/>
    <w:rsid w:val="00225335"/>
    <w:rsid w:val="00231A1E"/>
    <w:rsid w:val="00233608"/>
    <w:rsid w:val="00235F68"/>
    <w:rsid w:val="0023752C"/>
    <w:rsid w:val="00241D69"/>
    <w:rsid w:val="0024324D"/>
    <w:rsid w:val="002433E2"/>
    <w:rsid w:val="00243516"/>
    <w:rsid w:val="00244B6E"/>
    <w:rsid w:val="00245F0E"/>
    <w:rsid w:val="00247E16"/>
    <w:rsid w:val="0025040F"/>
    <w:rsid w:val="00253552"/>
    <w:rsid w:val="00254344"/>
    <w:rsid w:val="00255075"/>
    <w:rsid w:val="002568F0"/>
    <w:rsid w:val="002614C3"/>
    <w:rsid w:val="00262A1D"/>
    <w:rsid w:val="00262C9C"/>
    <w:rsid w:val="00263424"/>
    <w:rsid w:val="00263852"/>
    <w:rsid w:val="00266700"/>
    <w:rsid w:val="00267227"/>
    <w:rsid w:val="0027059B"/>
    <w:rsid w:val="00270CEF"/>
    <w:rsid w:val="00272E3C"/>
    <w:rsid w:val="002754A5"/>
    <w:rsid w:val="00275538"/>
    <w:rsid w:val="00276408"/>
    <w:rsid w:val="00281AF8"/>
    <w:rsid w:val="00282E8C"/>
    <w:rsid w:val="00284F2C"/>
    <w:rsid w:val="002851A8"/>
    <w:rsid w:val="0028711E"/>
    <w:rsid w:val="0028781C"/>
    <w:rsid w:val="00287CC0"/>
    <w:rsid w:val="0029052F"/>
    <w:rsid w:val="002905AA"/>
    <w:rsid w:val="002920BF"/>
    <w:rsid w:val="0029610F"/>
    <w:rsid w:val="00296593"/>
    <w:rsid w:val="00297002"/>
    <w:rsid w:val="002A01A2"/>
    <w:rsid w:val="002A04AA"/>
    <w:rsid w:val="002A0D57"/>
    <w:rsid w:val="002A2B65"/>
    <w:rsid w:val="002A35A5"/>
    <w:rsid w:val="002A421F"/>
    <w:rsid w:val="002B0645"/>
    <w:rsid w:val="002B0F2F"/>
    <w:rsid w:val="002B13A5"/>
    <w:rsid w:val="002B1533"/>
    <w:rsid w:val="002B2169"/>
    <w:rsid w:val="002B35A2"/>
    <w:rsid w:val="002B4176"/>
    <w:rsid w:val="002B6572"/>
    <w:rsid w:val="002B6AEB"/>
    <w:rsid w:val="002B7D35"/>
    <w:rsid w:val="002C131E"/>
    <w:rsid w:val="002C13BE"/>
    <w:rsid w:val="002C5713"/>
    <w:rsid w:val="002C5BD5"/>
    <w:rsid w:val="002D0034"/>
    <w:rsid w:val="002D5837"/>
    <w:rsid w:val="002D5982"/>
    <w:rsid w:val="002D6DE5"/>
    <w:rsid w:val="002E1A11"/>
    <w:rsid w:val="002E2B13"/>
    <w:rsid w:val="002E3097"/>
    <w:rsid w:val="002E3DEB"/>
    <w:rsid w:val="002E5FD7"/>
    <w:rsid w:val="002E657A"/>
    <w:rsid w:val="002E7EC2"/>
    <w:rsid w:val="002F0F5F"/>
    <w:rsid w:val="002F225B"/>
    <w:rsid w:val="002F27BC"/>
    <w:rsid w:val="002F2C5C"/>
    <w:rsid w:val="002F6580"/>
    <w:rsid w:val="00300EB3"/>
    <w:rsid w:val="00303E8A"/>
    <w:rsid w:val="00304552"/>
    <w:rsid w:val="00306938"/>
    <w:rsid w:val="003102C0"/>
    <w:rsid w:val="003107E1"/>
    <w:rsid w:val="00313158"/>
    <w:rsid w:val="003140CA"/>
    <w:rsid w:val="003145F8"/>
    <w:rsid w:val="00315248"/>
    <w:rsid w:val="00317B05"/>
    <w:rsid w:val="00317F28"/>
    <w:rsid w:val="00321429"/>
    <w:rsid w:val="00321D7F"/>
    <w:rsid w:val="00322A0C"/>
    <w:rsid w:val="003236CE"/>
    <w:rsid w:val="00323897"/>
    <w:rsid w:val="003260E4"/>
    <w:rsid w:val="003265DB"/>
    <w:rsid w:val="00327547"/>
    <w:rsid w:val="00330225"/>
    <w:rsid w:val="00330603"/>
    <w:rsid w:val="0033137B"/>
    <w:rsid w:val="0033383E"/>
    <w:rsid w:val="00334D27"/>
    <w:rsid w:val="00336DB2"/>
    <w:rsid w:val="00336ED4"/>
    <w:rsid w:val="00340038"/>
    <w:rsid w:val="003407F6"/>
    <w:rsid w:val="0034125E"/>
    <w:rsid w:val="0034147E"/>
    <w:rsid w:val="003423BC"/>
    <w:rsid w:val="003446FB"/>
    <w:rsid w:val="00344B58"/>
    <w:rsid w:val="00350F0D"/>
    <w:rsid w:val="00351EE0"/>
    <w:rsid w:val="00355492"/>
    <w:rsid w:val="00355611"/>
    <w:rsid w:val="003568B8"/>
    <w:rsid w:val="00357EAC"/>
    <w:rsid w:val="00360238"/>
    <w:rsid w:val="00361401"/>
    <w:rsid w:val="00362778"/>
    <w:rsid w:val="0036283F"/>
    <w:rsid w:val="003631EC"/>
    <w:rsid w:val="003675EB"/>
    <w:rsid w:val="0037143F"/>
    <w:rsid w:val="0037272E"/>
    <w:rsid w:val="003731D1"/>
    <w:rsid w:val="00375D44"/>
    <w:rsid w:val="0038013D"/>
    <w:rsid w:val="0038101A"/>
    <w:rsid w:val="0038192C"/>
    <w:rsid w:val="003829D1"/>
    <w:rsid w:val="00383C4F"/>
    <w:rsid w:val="003844FF"/>
    <w:rsid w:val="00384557"/>
    <w:rsid w:val="003845B2"/>
    <w:rsid w:val="00386646"/>
    <w:rsid w:val="0038706E"/>
    <w:rsid w:val="003876F2"/>
    <w:rsid w:val="003917A9"/>
    <w:rsid w:val="003932A3"/>
    <w:rsid w:val="00394264"/>
    <w:rsid w:val="00394C30"/>
    <w:rsid w:val="00394E85"/>
    <w:rsid w:val="00396CDB"/>
    <w:rsid w:val="0039747B"/>
    <w:rsid w:val="003978C2"/>
    <w:rsid w:val="003A02FB"/>
    <w:rsid w:val="003A1FCA"/>
    <w:rsid w:val="003A25B9"/>
    <w:rsid w:val="003A31F9"/>
    <w:rsid w:val="003A3DB1"/>
    <w:rsid w:val="003A4550"/>
    <w:rsid w:val="003A4EB6"/>
    <w:rsid w:val="003A6920"/>
    <w:rsid w:val="003B2239"/>
    <w:rsid w:val="003B2992"/>
    <w:rsid w:val="003B3BC6"/>
    <w:rsid w:val="003B5C2D"/>
    <w:rsid w:val="003B6A52"/>
    <w:rsid w:val="003B76FE"/>
    <w:rsid w:val="003C0293"/>
    <w:rsid w:val="003C1F9B"/>
    <w:rsid w:val="003C28E5"/>
    <w:rsid w:val="003C3803"/>
    <w:rsid w:val="003C3861"/>
    <w:rsid w:val="003C42A1"/>
    <w:rsid w:val="003C503F"/>
    <w:rsid w:val="003C6035"/>
    <w:rsid w:val="003C6E5D"/>
    <w:rsid w:val="003C79C3"/>
    <w:rsid w:val="003D1415"/>
    <w:rsid w:val="003D157E"/>
    <w:rsid w:val="003D1B74"/>
    <w:rsid w:val="003D2751"/>
    <w:rsid w:val="003D2C49"/>
    <w:rsid w:val="003D2F9D"/>
    <w:rsid w:val="003D3A65"/>
    <w:rsid w:val="003D468B"/>
    <w:rsid w:val="003D4736"/>
    <w:rsid w:val="003D563A"/>
    <w:rsid w:val="003D5DF0"/>
    <w:rsid w:val="003E0A87"/>
    <w:rsid w:val="003E4F10"/>
    <w:rsid w:val="003E56A6"/>
    <w:rsid w:val="003E78E2"/>
    <w:rsid w:val="003F1330"/>
    <w:rsid w:val="003F1BD0"/>
    <w:rsid w:val="003F3482"/>
    <w:rsid w:val="003F3F02"/>
    <w:rsid w:val="003F5887"/>
    <w:rsid w:val="003F660D"/>
    <w:rsid w:val="003F68C4"/>
    <w:rsid w:val="0040061F"/>
    <w:rsid w:val="00400FBC"/>
    <w:rsid w:val="00401632"/>
    <w:rsid w:val="0040198D"/>
    <w:rsid w:val="00402027"/>
    <w:rsid w:val="00402EDC"/>
    <w:rsid w:val="00404F47"/>
    <w:rsid w:val="00406703"/>
    <w:rsid w:val="00406FB9"/>
    <w:rsid w:val="00407424"/>
    <w:rsid w:val="00410883"/>
    <w:rsid w:val="00411EDE"/>
    <w:rsid w:val="004122D1"/>
    <w:rsid w:val="0041366A"/>
    <w:rsid w:val="004202C0"/>
    <w:rsid w:val="004206D0"/>
    <w:rsid w:val="00421335"/>
    <w:rsid w:val="00422146"/>
    <w:rsid w:val="004229F7"/>
    <w:rsid w:val="004232A6"/>
    <w:rsid w:val="00423647"/>
    <w:rsid w:val="00423A44"/>
    <w:rsid w:val="00424F8C"/>
    <w:rsid w:val="00425272"/>
    <w:rsid w:val="00426BD3"/>
    <w:rsid w:val="00426F49"/>
    <w:rsid w:val="004273B4"/>
    <w:rsid w:val="004309CF"/>
    <w:rsid w:val="00431659"/>
    <w:rsid w:val="004335B3"/>
    <w:rsid w:val="0043675B"/>
    <w:rsid w:val="004401ED"/>
    <w:rsid w:val="00444704"/>
    <w:rsid w:val="00444CCB"/>
    <w:rsid w:val="00444E14"/>
    <w:rsid w:val="004468E5"/>
    <w:rsid w:val="004469BB"/>
    <w:rsid w:val="0045064F"/>
    <w:rsid w:val="0045236D"/>
    <w:rsid w:val="004523C7"/>
    <w:rsid w:val="0045418E"/>
    <w:rsid w:val="00454528"/>
    <w:rsid w:val="00457DDF"/>
    <w:rsid w:val="004609F9"/>
    <w:rsid w:val="0046273A"/>
    <w:rsid w:val="0046353C"/>
    <w:rsid w:val="00464901"/>
    <w:rsid w:val="00464D72"/>
    <w:rsid w:val="00466DE4"/>
    <w:rsid w:val="00466ED4"/>
    <w:rsid w:val="00467E8D"/>
    <w:rsid w:val="0047310B"/>
    <w:rsid w:val="0047381A"/>
    <w:rsid w:val="004738C2"/>
    <w:rsid w:val="00473C17"/>
    <w:rsid w:val="0047464B"/>
    <w:rsid w:val="00475C48"/>
    <w:rsid w:val="00476BB2"/>
    <w:rsid w:val="00477293"/>
    <w:rsid w:val="004772FC"/>
    <w:rsid w:val="00477644"/>
    <w:rsid w:val="00477D28"/>
    <w:rsid w:val="0048020B"/>
    <w:rsid w:val="00480A4B"/>
    <w:rsid w:val="00481026"/>
    <w:rsid w:val="00481536"/>
    <w:rsid w:val="00482B9A"/>
    <w:rsid w:val="004835B8"/>
    <w:rsid w:val="00483B23"/>
    <w:rsid w:val="00484188"/>
    <w:rsid w:val="00485117"/>
    <w:rsid w:val="004856C3"/>
    <w:rsid w:val="00485ADB"/>
    <w:rsid w:val="00490486"/>
    <w:rsid w:val="00490E58"/>
    <w:rsid w:val="00491484"/>
    <w:rsid w:val="00492369"/>
    <w:rsid w:val="004932A2"/>
    <w:rsid w:val="00494CDF"/>
    <w:rsid w:val="004954F8"/>
    <w:rsid w:val="0049642C"/>
    <w:rsid w:val="00496646"/>
    <w:rsid w:val="00497590"/>
    <w:rsid w:val="004A1CFA"/>
    <w:rsid w:val="004A24FF"/>
    <w:rsid w:val="004A251E"/>
    <w:rsid w:val="004A3449"/>
    <w:rsid w:val="004A3BCB"/>
    <w:rsid w:val="004A3C08"/>
    <w:rsid w:val="004A4DCA"/>
    <w:rsid w:val="004A4DF0"/>
    <w:rsid w:val="004A6432"/>
    <w:rsid w:val="004A7139"/>
    <w:rsid w:val="004B1681"/>
    <w:rsid w:val="004B20E1"/>
    <w:rsid w:val="004B2C13"/>
    <w:rsid w:val="004B34E0"/>
    <w:rsid w:val="004B72B7"/>
    <w:rsid w:val="004B734C"/>
    <w:rsid w:val="004B7895"/>
    <w:rsid w:val="004C0388"/>
    <w:rsid w:val="004C1227"/>
    <w:rsid w:val="004C2337"/>
    <w:rsid w:val="004C2B2D"/>
    <w:rsid w:val="004C5F5E"/>
    <w:rsid w:val="004C6F2F"/>
    <w:rsid w:val="004D0B52"/>
    <w:rsid w:val="004D24EB"/>
    <w:rsid w:val="004D2E9F"/>
    <w:rsid w:val="004D4F0D"/>
    <w:rsid w:val="004E1352"/>
    <w:rsid w:val="004E1F77"/>
    <w:rsid w:val="004E31E1"/>
    <w:rsid w:val="004E368B"/>
    <w:rsid w:val="004E4075"/>
    <w:rsid w:val="004E45FE"/>
    <w:rsid w:val="004E55E0"/>
    <w:rsid w:val="004E5D49"/>
    <w:rsid w:val="004E5F59"/>
    <w:rsid w:val="004E6F32"/>
    <w:rsid w:val="004F051A"/>
    <w:rsid w:val="004F136D"/>
    <w:rsid w:val="004F3046"/>
    <w:rsid w:val="004F4DE4"/>
    <w:rsid w:val="004F533C"/>
    <w:rsid w:val="005004C1"/>
    <w:rsid w:val="0050082D"/>
    <w:rsid w:val="00500BDF"/>
    <w:rsid w:val="00502149"/>
    <w:rsid w:val="00502EBA"/>
    <w:rsid w:val="005033A6"/>
    <w:rsid w:val="005035FE"/>
    <w:rsid w:val="00503831"/>
    <w:rsid w:val="00505141"/>
    <w:rsid w:val="0050699B"/>
    <w:rsid w:val="00506C64"/>
    <w:rsid w:val="00511389"/>
    <w:rsid w:val="0051246A"/>
    <w:rsid w:val="00514623"/>
    <w:rsid w:val="00515DC4"/>
    <w:rsid w:val="00515EFF"/>
    <w:rsid w:val="00517206"/>
    <w:rsid w:val="0051769D"/>
    <w:rsid w:val="005202C6"/>
    <w:rsid w:val="00522832"/>
    <w:rsid w:val="00522F30"/>
    <w:rsid w:val="00523D4D"/>
    <w:rsid w:val="00524104"/>
    <w:rsid w:val="0052469B"/>
    <w:rsid w:val="005273AB"/>
    <w:rsid w:val="005329C9"/>
    <w:rsid w:val="00534BF2"/>
    <w:rsid w:val="005355A8"/>
    <w:rsid w:val="005363AF"/>
    <w:rsid w:val="005368A0"/>
    <w:rsid w:val="00536FB2"/>
    <w:rsid w:val="00540FEC"/>
    <w:rsid w:val="005434D6"/>
    <w:rsid w:val="0054668F"/>
    <w:rsid w:val="005509D3"/>
    <w:rsid w:val="00550DB0"/>
    <w:rsid w:val="00551D56"/>
    <w:rsid w:val="00552762"/>
    <w:rsid w:val="00552D20"/>
    <w:rsid w:val="0055462C"/>
    <w:rsid w:val="005557E2"/>
    <w:rsid w:val="00556AE7"/>
    <w:rsid w:val="00557149"/>
    <w:rsid w:val="00562C3C"/>
    <w:rsid w:val="0056331F"/>
    <w:rsid w:val="00564B67"/>
    <w:rsid w:val="00566A07"/>
    <w:rsid w:val="00566B3C"/>
    <w:rsid w:val="00567357"/>
    <w:rsid w:val="00567CB2"/>
    <w:rsid w:val="00567DA6"/>
    <w:rsid w:val="00567F17"/>
    <w:rsid w:val="00570FAB"/>
    <w:rsid w:val="005740E8"/>
    <w:rsid w:val="00574495"/>
    <w:rsid w:val="005754FB"/>
    <w:rsid w:val="0057733C"/>
    <w:rsid w:val="00580C72"/>
    <w:rsid w:val="00580E04"/>
    <w:rsid w:val="005813B2"/>
    <w:rsid w:val="00583A80"/>
    <w:rsid w:val="005858E5"/>
    <w:rsid w:val="00586959"/>
    <w:rsid w:val="00586BBE"/>
    <w:rsid w:val="005874D8"/>
    <w:rsid w:val="00587870"/>
    <w:rsid w:val="00590695"/>
    <w:rsid w:val="00591D50"/>
    <w:rsid w:val="00596ED1"/>
    <w:rsid w:val="005A1ADC"/>
    <w:rsid w:val="005A27E1"/>
    <w:rsid w:val="005A3EFF"/>
    <w:rsid w:val="005A5B82"/>
    <w:rsid w:val="005A77F8"/>
    <w:rsid w:val="005B08F1"/>
    <w:rsid w:val="005B187D"/>
    <w:rsid w:val="005B1888"/>
    <w:rsid w:val="005B1B3C"/>
    <w:rsid w:val="005B3045"/>
    <w:rsid w:val="005B44F1"/>
    <w:rsid w:val="005B4DE8"/>
    <w:rsid w:val="005B52B2"/>
    <w:rsid w:val="005B633B"/>
    <w:rsid w:val="005C5301"/>
    <w:rsid w:val="005C6B20"/>
    <w:rsid w:val="005C79DA"/>
    <w:rsid w:val="005D1EC7"/>
    <w:rsid w:val="005D1EC8"/>
    <w:rsid w:val="005D22AA"/>
    <w:rsid w:val="005D3B78"/>
    <w:rsid w:val="005D4BAE"/>
    <w:rsid w:val="005D5258"/>
    <w:rsid w:val="005D55A5"/>
    <w:rsid w:val="005D59DB"/>
    <w:rsid w:val="005D5A6F"/>
    <w:rsid w:val="005D6904"/>
    <w:rsid w:val="005D7D63"/>
    <w:rsid w:val="005E08EA"/>
    <w:rsid w:val="005E2AB6"/>
    <w:rsid w:val="005E4FEB"/>
    <w:rsid w:val="005E6868"/>
    <w:rsid w:val="005E726E"/>
    <w:rsid w:val="005F0933"/>
    <w:rsid w:val="005F0ADF"/>
    <w:rsid w:val="005F1CC4"/>
    <w:rsid w:val="005F4733"/>
    <w:rsid w:val="005F574D"/>
    <w:rsid w:val="005F5E94"/>
    <w:rsid w:val="005F662D"/>
    <w:rsid w:val="005F7225"/>
    <w:rsid w:val="00602007"/>
    <w:rsid w:val="006035A7"/>
    <w:rsid w:val="006037E6"/>
    <w:rsid w:val="00604909"/>
    <w:rsid w:val="00604EE2"/>
    <w:rsid w:val="00606FD2"/>
    <w:rsid w:val="00607CE6"/>
    <w:rsid w:val="006101B1"/>
    <w:rsid w:val="00614AB3"/>
    <w:rsid w:val="00617D04"/>
    <w:rsid w:val="00620C02"/>
    <w:rsid w:val="00620FD9"/>
    <w:rsid w:val="00621719"/>
    <w:rsid w:val="0062331D"/>
    <w:rsid w:val="006249D7"/>
    <w:rsid w:val="00625B26"/>
    <w:rsid w:val="006261F4"/>
    <w:rsid w:val="006279AE"/>
    <w:rsid w:val="006314F6"/>
    <w:rsid w:val="00631E75"/>
    <w:rsid w:val="006327E9"/>
    <w:rsid w:val="00632C39"/>
    <w:rsid w:val="0063380D"/>
    <w:rsid w:val="0063404A"/>
    <w:rsid w:val="006373E7"/>
    <w:rsid w:val="00641828"/>
    <w:rsid w:val="00641901"/>
    <w:rsid w:val="0064283E"/>
    <w:rsid w:val="00642C72"/>
    <w:rsid w:val="0064305F"/>
    <w:rsid w:val="00644E2A"/>
    <w:rsid w:val="00644F99"/>
    <w:rsid w:val="006450E3"/>
    <w:rsid w:val="0064577E"/>
    <w:rsid w:val="00654301"/>
    <w:rsid w:val="0065495C"/>
    <w:rsid w:val="00660CF4"/>
    <w:rsid w:val="006613D9"/>
    <w:rsid w:val="00662885"/>
    <w:rsid w:val="00662C3D"/>
    <w:rsid w:val="00663025"/>
    <w:rsid w:val="00663987"/>
    <w:rsid w:val="0066589D"/>
    <w:rsid w:val="00666B62"/>
    <w:rsid w:val="00666D04"/>
    <w:rsid w:val="00670083"/>
    <w:rsid w:val="006708CC"/>
    <w:rsid w:val="006720AD"/>
    <w:rsid w:val="00673125"/>
    <w:rsid w:val="00673205"/>
    <w:rsid w:val="006753EC"/>
    <w:rsid w:val="00676392"/>
    <w:rsid w:val="00677B3E"/>
    <w:rsid w:val="00677CD1"/>
    <w:rsid w:val="00680465"/>
    <w:rsid w:val="0068115A"/>
    <w:rsid w:val="0068147F"/>
    <w:rsid w:val="006834C7"/>
    <w:rsid w:val="0068369A"/>
    <w:rsid w:val="00684091"/>
    <w:rsid w:val="006845F6"/>
    <w:rsid w:val="0068502D"/>
    <w:rsid w:val="0069037B"/>
    <w:rsid w:val="0069126C"/>
    <w:rsid w:val="00691EA6"/>
    <w:rsid w:val="00691F52"/>
    <w:rsid w:val="00693D77"/>
    <w:rsid w:val="00694FEA"/>
    <w:rsid w:val="00695836"/>
    <w:rsid w:val="006963E2"/>
    <w:rsid w:val="006965BD"/>
    <w:rsid w:val="006A085F"/>
    <w:rsid w:val="006A23E1"/>
    <w:rsid w:val="006A29BA"/>
    <w:rsid w:val="006A4EF0"/>
    <w:rsid w:val="006A62B9"/>
    <w:rsid w:val="006B0E4D"/>
    <w:rsid w:val="006B14AA"/>
    <w:rsid w:val="006B1ACB"/>
    <w:rsid w:val="006B5C87"/>
    <w:rsid w:val="006B6F20"/>
    <w:rsid w:val="006C0795"/>
    <w:rsid w:val="006C12A3"/>
    <w:rsid w:val="006C4DDB"/>
    <w:rsid w:val="006C57E3"/>
    <w:rsid w:val="006C5B68"/>
    <w:rsid w:val="006C7259"/>
    <w:rsid w:val="006D032E"/>
    <w:rsid w:val="006D2CFC"/>
    <w:rsid w:val="006D2F0D"/>
    <w:rsid w:val="006D4823"/>
    <w:rsid w:val="006D5C37"/>
    <w:rsid w:val="006E1E04"/>
    <w:rsid w:val="006E27CD"/>
    <w:rsid w:val="006E55F2"/>
    <w:rsid w:val="006F067D"/>
    <w:rsid w:val="006F0CD2"/>
    <w:rsid w:val="006F1D30"/>
    <w:rsid w:val="006F7A6B"/>
    <w:rsid w:val="007017A2"/>
    <w:rsid w:val="00701AC7"/>
    <w:rsid w:val="007051B7"/>
    <w:rsid w:val="00705446"/>
    <w:rsid w:val="00705AC8"/>
    <w:rsid w:val="00707DFB"/>
    <w:rsid w:val="00710308"/>
    <w:rsid w:val="00710F08"/>
    <w:rsid w:val="00711655"/>
    <w:rsid w:val="00711A16"/>
    <w:rsid w:val="00711AB7"/>
    <w:rsid w:val="00711BBB"/>
    <w:rsid w:val="00714345"/>
    <w:rsid w:val="0071527E"/>
    <w:rsid w:val="00715320"/>
    <w:rsid w:val="00716A44"/>
    <w:rsid w:val="007210EF"/>
    <w:rsid w:val="007217FF"/>
    <w:rsid w:val="00722834"/>
    <w:rsid w:val="007267F0"/>
    <w:rsid w:val="00727268"/>
    <w:rsid w:val="007309EC"/>
    <w:rsid w:val="00733660"/>
    <w:rsid w:val="00733892"/>
    <w:rsid w:val="0073694F"/>
    <w:rsid w:val="00740821"/>
    <w:rsid w:val="00740CFA"/>
    <w:rsid w:val="00742AF8"/>
    <w:rsid w:val="007432B8"/>
    <w:rsid w:val="00746133"/>
    <w:rsid w:val="00747C9D"/>
    <w:rsid w:val="00750A0D"/>
    <w:rsid w:val="007515BC"/>
    <w:rsid w:val="00751E10"/>
    <w:rsid w:val="00752535"/>
    <w:rsid w:val="00752CC8"/>
    <w:rsid w:val="007533FA"/>
    <w:rsid w:val="00753FC1"/>
    <w:rsid w:val="00755007"/>
    <w:rsid w:val="0075699A"/>
    <w:rsid w:val="007571ED"/>
    <w:rsid w:val="00757D90"/>
    <w:rsid w:val="007632C7"/>
    <w:rsid w:val="00766373"/>
    <w:rsid w:val="00766DA5"/>
    <w:rsid w:val="0076721B"/>
    <w:rsid w:val="00767BD5"/>
    <w:rsid w:val="0077151A"/>
    <w:rsid w:val="007716E2"/>
    <w:rsid w:val="007745D7"/>
    <w:rsid w:val="007751A4"/>
    <w:rsid w:val="00775B0C"/>
    <w:rsid w:val="00775C97"/>
    <w:rsid w:val="00777D09"/>
    <w:rsid w:val="0078061D"/>
    <w:rsid w:val="00780AD9"/>
    <w:rsid w:val="007828FB"/>
    <w:rsid w:val="007831F7"/>
    <w:rsid w:val="0078438A"/>
    <w:rsid w:val="00786A54"/>
    <w:rsid w:val="007901BA"/>
    <w:rsid w:val="007932D4"/>
    <w:rsid w:val="0079392E"/>
    <w:rsid w:val="00793952"/>
    <w:rsid w:val="00793C49"/>
    <w:rsid w:val="0079449E"/>
    <w:rsid w:val="0079494A"/>
    <w:rsid w:val="007959D3"/>
    <w:rsid w:val="00796D13"/>
    <w:rsid w:val="00796E18"/>
    <w:rsid w:val="00797030"/>
    <w:rsid w:val="007A3962"/>
    <w:rsid w:val="007A6EA8"/>
    <w:rsid w:val="007A7403"/>
    <w:rsid w:val="007B1E60"/>
    <w:rsid w:val="007B5046"/>
    <w:rsid w:val="007B7697"/>
    <w:rsid w:val="007C1348"/>
    <w:rsid w:val="007C1A4F"/>
    <w:rsid w:val="007C1F4F"/>
    <w:rsid w:val="007C2D4E"/>
    <w:rsid w:val="007C4DF1"/>
    <w:rsid w:val="007C4E02"/>
    <w:rsid w:val="007C56EA"/>
    <w:rsid w:val="007C6247"/>
    <w:rsid w:val="007C6E33"/>
    <w:rsid w:val="007C7271"/>
    <w:rsid w:val="007D3020"/>
    <w:rsid w:val="007D3B86"/>
    <w:rsid w:val="007D4C13"/>
    <w:rsid w:val="007D57F0"/>
    <w:rsid w:val="007D7087"/>
    <w:rsid w:val="007D7347"/>
    <w:rsid w:val="007E2AA1"/>
    <w:rsid w:val="007E6310"/>
    <w:rsid w:val="007F222F"/>
    <w:rsid w:val="007F37AD"/>
    <w:rsid w:val="007F37E5"/>
    <w:rsid w:val="007F474B"/>
    <w:rsid w:val="007F4BE5"/>
    <w:rsid w:val="007F654E"/>
    <w:rsid w:val="007F6EF5"/>
    <w:rsid w:val="00800673"/>
    <w:rsid w:val="00802C6E"/>
    <w:rsid w:val="00802D75"/>
    <w:rsid w:val="00804119"/>
    <w:rsid w:val="00804513"/>
    <w:rsid w:val="00807867"/>
    <w:rsid w:val="00807AF4"/>
    <w:rsid w:val="00810346"/>
    <w:rsid w:val="008112F1"/>
    <w:rsid w:val="00814E98"/>
    <w:rsid w:val="00817FCA"/>
    <w:rsid w:val="008207F7"/>
    <w:rsid w:val="00825063"/>
    <w:rsid w:val="00825A57"/>
    <w:rsid w:val="00825C83"/>
    <w:rsid w:val="008264D6"/>
    <w:rsid w:val="00827296"/>
    <w:rsid w:val="00832674"/>
    <w:rsid w:val="008337F4"/>
    <w:rsid w:val="00834057"/>
    <w:rsid w:val="00834BFB"/>
    <w:rsid w:val="00835D81"/>
    <w:rsid w:val="0083645B"/>
    <w:rsid w:val="0083686D"/>
    <w:rsid w:val="00837AA8"/>
    <w:rsid w:val="008408FA"/>
    <w:rsid w:val="008421AE"/>
    <w:rsid w:val="00844037"/>
    <w:rsid w:val="0084409B"/>
    <w:rsid w:val="008452F1"/>
    <w:rsid w:val="00845BBA"/>
    <w:rsid w:val="00845C37"/>
    <w:rsid w:val="00846B73"/>
    <w:rsid w:val="008470C6"/>
    <w:rsid w:val="008472EB"/>
    <w:rsid w:val="00850314"/>
    <w:rsid w:val="00853E97"/>
    <w:rsid w:val="008540A7"/>
    <w:rsid w:val="00856ACD"/>
    <w:rsid w:val="00857A88"/>
    <w:rsid w:val="00857B20"/>
    <w:rsid w:val="008611FF"/>
    <w:rsid w:val="008636E9"/>
    <w:rsid w:val="0086391B"/>
    <w:rsid w:val="00864D87"/>
    <w:rsid w:val="00865B7D"/>
    <w:rsid w:val="00867144"/>
    <w:rsid w:val="0086787A"/>
    <w:rsid w:val="00870F03"/>
    <w:rsid w:val="00871D19"/>
    <w:rsid w:val="00872B90"/>
    <w:rsid w:val="00873105"/>
    <w:rsid w:val="008769DB"/>
    <w:rsid w:val="00877105"/>
    <w:rsid w:val="00882023"/>
    <w:rsid w:val="00882B63"/>
    <w:rsid w:val="00882C35"/>
    <w:rsid w:val="008840C5"/>
    <w:rsid w:val="008847B1"/>
    <w:rsid w:val="00885BB4"/>
    <w:rsid w:val="008865BE"/>
    <w:rsid w:val="00887501"/>
    <w:rsid w:val="00891D9A"/>
    <w:rsid w:val="00892674"/>
    <w:rsid w:val="00892DD6"/>
    <w:rsid w:val="00895C70"/>
    <w:rsid w:val="008A03A9"/>
    <w:rsid w:val="008A0C3A"/>
    <w:rsid w:val="008A2313"/>
    <w:rsid w:val="008A2537"/>
    <w:rsid w:val="008A39DC"/>
    <w:rsid w:val="008A4246"/>
    <w:rsid w:val="008A43DA"/>
    <w:rsid w:val="008A4448"/>
    <w:rsid w:val="008A6B33"/>
    <w:rsid w:val="008A7740"/>
    <w:rsid w:val="008A77ED"/>
    <w:rsid w:val="008A7C39"/>
    <w:rsid w:val="008A7D75"/>
    <w:rsid w:val="008B0490"/>
    <w:rsid w:val="008B09BB"/>
    <w:rsid w:val="008B0A04"/>
    <w:rsid w:val="008B2A77"/>
    <w:rsid w:val="008B32F9"/>
    <w:rsid w:val="008B3775"/>
    <w:rsid w:val="008B3860"/>
    <w:rsid w:val="008B38A8"/>
    <w:rsid w:val="008B5D43"/>
    <w:rsid w:val="008B76F5"/>
    <w:rsid w:val="008C0EEF"/>
    <w:rsid w:val="008C22F0"/>
    <w:rsid w:val="008C2AE0"/>
    <w:rsid w:val="008C7259"/>
    <w:rsid w:val="008D0A2C"/>
    <w:rsid w:val="008D12B5"/>
    <w:rsid w:val="008D1873"/>
    <w:rsid w:val="008D4E90"/>
    <w:rsid w:val="008D5542"/>
    <w:rsid w:val="008D6614"/>
    <w:rsid w:val="008D6B39"/>
    <w:rsid w:val="008D7794"/>
    <w:rsid w:val="008E066D"/>
    <w:rsid w:val="008E2CAD"/>
    <w:rsid w:val="008E434B"/>
    <w:rsid w:val="008E4831"/>
    <w:rsid w:val="008E4880"/>
    <w:rsid w:val="008E64D4"/>
    <w:rsid w:val="008F05EE"/>
    <w:rsid w:val="008F2342"/>
    <w:rsid w:val="008F3C47"/>
    <w:rsid w:val="008F3D02"/>
    <w:rsid w:val="008F3F2E"/>
    <w:rsid w:val="008F56CB"/>
    <w:rsid w:val="008F64B6"/>
    <w:rsid w:val="008F7E88"/>
    <w:rsid w:val="0090131B"/>
    <w:rsid w:val="00901473"/>
    <w:rsid w:val="009067C8"/>
    <w:rsid w:val="009073D6"/>
    <w:rsid w:val="009103D4"/>
    <w:rsid w:val="009114CB"/>
    <w:rsid w:val="009128A7"/>
    <w:rsid w:val="00912DE1"/>
    <w:rsid w:val="00913711"/>
    <w:rsid w:val="00913A95"/>
    <w:rsid w:val="009148F8"/>
    <w:rsid w:val="00914902"/>
    <w:rsid w:val="00920076"/>
    <w:rsid w:val="00922600"/>
    <w:rsid w:val="00922E02"/>
    <w:rsid w:val="00923408"/>
    <w:rsid w:val="00924198"/>
    <w:rsid w:val="00925AB9"/>
    <w:rsid w:val="00925D3A"/>
    <w:rsid w:val="00926D49"/>
    <w:rsid w:val="009272B7"/>
    <w:rsid w:val="00931618"/>
    <w:rsid w:val="009323AF"/>
    <w:rsid w:val="0093281F"/>
    <w:rsid w:val="00933ADC"/>
    <w:rsid w:val="00933EC9"/>
    <w:rsid w:val="00935B4E"/>
    <w:rsid w:val="00935C20"/>
    <w:rsid w:val="009375DD"/>
    <w:rsid w:val="00937988"/>
    <w:rsid w:val="00943689"/>
    <w:rsid w:val="00944986"/>
    <w:rsid w:val="00944A3F"/>
    <w:rsid w:val="00945931"/>
    <w:rsid w:val="009467AE"/>
    <w:rsid w:val="00947400"/>
    <w:rsid w:val="00951190"/>
    <w:rsid w:val="00953271"/>
    <w:rsid w:val="00953D1A"/>
    <w:rsid w:val="0095473A"/>
    <w:rsid w:val="00954BD4"/>
    <w:rsid w:val="009558FA"/>
    <w:rsid w:val="00956EEA"/>
    <w:rsid w:val="00956FDA"/>
    <w:rsid w:val="009622F6"/>
    <w:rsid w:val="00964126"/>
    <w:rsid w:val="00964C54"/>
    <w:rsid w:val="009654C5"/>
    <w:rsid w:val="00965983"/>
    <w:rsid w:val="0096654F"/>
    <w:rsid w:val="009706D9"/>
    <w:rsid w:val="00970EDC"/>
    <w:rsid w:val="0097219C"/>
    <w:rsid w:val="00972686"/>
    <w:rsid w:val="009741F9"/>
    <w:rsid w:val="00974E21"/>
    <w:rsid w:val="00975CDD"/>
    <w:rsid w:val="00976EF3"/>
    <w:rsid w:val="00980048"/>
    <w:rsid w:val="009804B7"/>
    <w:rsid w:val="00980E47"/>
    <w:rsid w:val="00981373"/>
    <w:rsid w:val="0098254D"/>
    <w:rsid w:val="00982AC3"/>
    <w:rsid w:val="009861D3"/>
    <w:rsid w:val="00986DC0"/>
    <w:rsid w:val="009904AD"/>
    <w:rsid w:val="00994F58"/>
    <w:rsid w:val="00995C8B"/>
    <w:rsid w:val="00996FB9"/>
    <w:rsid w:val="009970F9"/>
    <w:rsid w:val="009978C5"/>
    <w:rsid w:val="009A0C2A"/>
    <w:rsid w:val="009A1582"/>
    <w:rsid w:val="009A4561"/>
    <w:rsid w:val="009A4844"/>
    <w:rsid w:val="009B0038"/>
    <w:rsid w:val="009B1B68"/>
    <w:rsid w:val="009B1F36"/>
    <w:rsid w:val="009B21A2"/>
    <w:rsid w:val="009B2A32"/>
    <w:rsid w:val="009B2F95"/>
    <w:rsid w:val="009B40D2"/>
    <w:rsid w:val="009B4998"/>
    <w:rsid w:val="009B70D2"/>
    <w:rsid w:val="009C02A5"/>
    <w:rsid w:val="009C138B"/>
    <w:rsid w:val="009C18B0"/>
    <w:rsid w:val="009C2005"/>
    <w:rsid w:val="009C4232"/>
    <w:rsid w:val="009C4FD6"/>
    <w:rsid w:val="009C5510"/>
    <w:rsid w:val="009C644B"/>
    <w:rsid w:val="009C6F87"/>
    <w:rsid w:val="009C741B"/>
    <w:rsid w:val="009C7D79"/>
    <w:rsid w:val="009D331A"/>
    <w:rsid w:val="009D3F56"/>
    <w:rsid w:val="009D5CD4"/>
    <w:rsid w:val="009D6D09"/>
    <w:rsid w:val="009D6FFC"/>
    <w:rsid w:val="009D750D"/>
    <w:rsid w:val="009D793F"/>
    <w:rsid w:val="009D79A4"/>
    <w:rsid w:val="009D7DC9"/>
    <w:rsid w:val="009E00FB"/>
    <w:rsid w:val="009E0312"/>
    <w:rsid w:val="009E0602"/>
    <w:rsid w:val="009E0A3A"/>
    <w:rsid w:val="009E42A9"/>
    <w:rsid w:val="009E4569"/>
    <w:rsid w:val="009E4DB2"/>
    <w:rsid w:val="009E6C3B"/>
    <w:rsid w:val="009E73D4"/>
    <w:rsid w:val="009E75E5"/>
    <w:rsid w:val="009E797F"/>
    <w:rsid w:val="009F1548"/>
    <w:rsid w:val="009F211D"/>
    <w:rsid w:val="009F2ABE"/>
    <w:rsid w:val="009F3CA1"/>
    <w:rsid w:val="009F3F80"/>
    <w:rsid w:val="009F486E"/>
    <w:rsid w:val="009F4FAE"/>
    <w:rsid w:val="00A0026A"/>
    <w:rsid w:val="00A00CE2"/>
    <w:rsid w:val="00A01340"/>
    <w:rsid w:val="00A0326A"/>
    <w:rsid w:val="00A040B7"/>
    <w:rsid w:val="00A051EB"/>
    <w:rsid w:val="00A06B66"/>
    <w:rsid w:val="00A0723C"/>
    <w:rsid w:val="00A075A6"/>
    <w:rsid w:val="00A077E0"/>
    <w:rsid w:val="00A07FE7"/>
    <w:rsid w:val="00A1002A"/>
    <w:rsid w:val="00A10386"/>
    <w:rsid w:val="00A1129C"/>
    <w:rsid w:val="00A11FC4"/>
    <w:rsid w:val="00A13BB3"/>
    <w:rsid w:val="00A14892"/>
    <w:rsid w:val="00A15222"/>
    <w:rsid w:val="00A165A6"/>
    <w:rsid w:val="00A16A75"/>
    <w:rsid w:val="00A16C93"/>
    <w:rsid w:val="00A17817"/>
    <w:rsid w:val="00A17D1B"/>
    <w:rsid w:val="00A20655"/>
    <w:rsid w:val="00A22A1F"/>
    <w:rsid w:val="00A242A8"/>
    <w:rsid w:val="00A25631"/>
    <w:rsid w:val="00A25C3C"/>
    <w:rsid w:val="00A25DEB"/>
    <w:rsid w:val="00A26C23"/>
    <w:rsid w:val="00A27760"/>
    <w:rsid w:val="00A27AA7"/>
    <w:rsid w:val="00A33F12"/>
    <w:rsid w:val="00A340E4"/>
    <w:rsid w:val="00A35685"/>
    <w:rsid w:val="00A3691C"/>
    <w:rsid w:val="00A376A9"/>
    <w:rsid w:val="00A37AEB"/>
    <w:rsid w:val="00A44EF2"/>
    <w:rsid w:val="00A47B20"/>
    <w:rsid w:val="00A50F7B"/>
    <w:rsid w:val="00A514D0"/>
    <w:rsid w:val="00A51838"/>
    <w:rsid w:val="00A526DC"/>
    <w:rsid w:val="00A5279A"/>
    <w:rsid w:val="00A530F7"/>
    <w:rsid w:val="00A544BC"/>
    <w:rsid w:val="00A5797A"/>
    <w:rsid w:val="00A57FB6"/>
    <w:rsid w:val="00A61403"/>
    <w:rsid w:val="00A62818"/>
    <w:rsid w:val="00A63426"/>
    <w:rsid w:val="00A642AE"/>
    <w:rsid w:val="00A646EB"/>
    <w:rsid w:val="00A647E0"/>
    <w:rsid w:val="00A666E1"/>
    <w:rsid w:val="00A67479"/>
    <w:rsid w:val="00A67903"/>
    <w:rsid w:val="00A67DA5"/>
    <w:rsid w:val="00A70393"/>
    <w:rsid w:val="00A760D4"/>
    <w:rsid w:val="00A7688B"/>
    <w:rsid w:val="00A77019"/>
    <w:rsid w:val="00A7773B"/>
    <w:rsid w:val="00A777D5"/>
    <w:rsid w:val="00A8474E"/>
    <w:rsid w:val="00A86892"/>
    <w:rsid w:val="00A87569"/>
    <w:rsid w:val="00A90CCE"/>
    <w:rsid w:val="00A943DA"/>
    <w:rsid w:val="00A94C94"/>
    <w:rsid w:val="00A96C25"/>
    <w:rsid w:val="00A972CB"/>
    <w:rsid w:val="00A97D4F"/>
    <w:rsid w:val="00AA113E"/>
    <w:rsid w:val="00AA2C9E"/>
    <w:rsid w:val="00AA3DBE"/>
    <w:rsid w:val="00AA4053"/>
    <w:rsid w:val="00AA5122"/>
    <w:rsid w:val="00AA64D6"/>
    <w:rsid w:val="00AA6F02"/>
    <w:rsid w:val="00AA74C1"/>
    <w:rsid w:val="00AB44D1"/>
    <w:rsid w:val="00AB4F90"/>
    <w:rsid w:val="00AB6D0B"/>
    <w:rsid w:val="00AB6F10"/>
    <w:rsid w:val="00AB7874"/>
    <w:rsid w:val="00AC237A"/>
    <w:rsid w:val="00AC2E1D"/>
    <w:rsid w:val="00AC3891"/>
    <w:rsid w:val="00AC5870"/>
    <w:rsid w:val="00AC6504"/>
    <w:rsid w:val="00AC7614"/>
    <w:rsid w:val="00AC7B93"/>
    <w:rsid w:val="00AD0D30"/>
    <w:rsid w:val="00AD0DA3"/>
    <w:rsid w:val="00AD13D2"/>
    <w:rsid w:val="00AD4FC0"/>
    <w:rsid w:val="00AD5A2B"/>
    <w:rsid w:val="00AD6230"/>
    <w:rsid w:val="00AD77BC"/>
    <w:rsid w:val="00AD789C"/>
    <w:rsid w:val="00AE011F"/>
    <w:rsid w:val="00AE18CC"/>
    <w:rsid w:val="00AE3822"/>
    <w:rsid w:val="00AE3F8C"/>
    <w:rsid w:val="00AE5061"/>
    <w:rsid w:val="00AE59EE"/>
    <w:rsid w:val="00AE670E"/>
    <w:rsid w:val="00AE7C00"/>
    <w:rsid w:val="00AF2DD4"/>
    <w:rsid w:val="00AF305F"/>
    <w:rsid w:val="00AF3A52"/>
    <w:rsid w:val="00AF42B4"/>
    <w:rsid w:val="00AF475F"/>
    <w:rsid w:val="00AF7A28"/>
    <w:rsid w:val="00AF7A5E"/>
    <w:rsid w:val="00B01372"/>
    <w:rsid w:val="00B01C7A"/>
    <w:rsid w:val="00B04F2C"/>
    <w:rsid w:val="00B05C9C"/>
    <w:rsid w:val="00B07009"/>
    <w:rsid w:val="00B0769F"/>
    <w:rsid w:val="00B10B9E"/>
    <w:rsid w:val="00B10EBD"/>
    <w:rsid w:val="00B11DB1"/>
    <w:rsid w:val="00B12049"/>
    <w:rsid w:val="00B12D84"/>
    <w:rsid w:val="00B14CC0"/>
    <w:rsid w:val="00B1566C"/>
    <w:rsid w:val="00B16705"/>
    <w:rsid w:val="00B234AE"/>
    <w:rsid w:val="00B2440C"/>
    <w:rsid w:val="00B24BAC"/>
    <w:rsid w:val="00B25FC5"/>
    <w:rsid w:val="00B2767F"/>
    <w:rsid w:val="00B279C4"/>
    <w:rsid w:val="00B27FEA"/>
    <w:rsid w:val="00B3175A"/>
    <w:rsid w:val="00B317F8"/>
    <w:rsid w:val="00B330F7"/>
    <w:rsid w:val="00B333ED"/>
    <w:rsid w:val="00B34CD3"/>
    <w:rsid w:val="00B34E11"/>
    <w:rsid w:val="00B35E06"/>
    <w:rsid w:val="00B36524"/>
    <w:rsid w:val="00B367EB"/>
    <w:rsid w:val="00B36A66"/>
    <w:rsid w:val="00B37832"/>
    <w:rsid w:val="00B43E82"/>
    <w:rsid w:val="00B45800"/>
    <w:rsid w:val="00B461E9"/>
    <w:rsid w:val="00B46F31"/>
    <w:rsid w:val="00B50D39"/>
    <w:rsid w:val="00B513EA"/>
    <w:rsid w:val="00B51C87"/>
    <w:rsid w:val="00B525A3"/>
    <w:rsid w:val="00B5323D"/>
    <w:rsid w:val="00B5388E"/>
    <w:rsid w:val="00B53DED"/>
    <w:rsid w:val="00B53E02"/>
    <w:rsid w:val="00B541D8"/>
    <w:rsid w:val="00B54A06"/>
    <w:rsid w:val="00B54D84"/>
    <w:rsid w:val="00B565F2"/>
    <w:rsid w:val="00B56861"/>
    <w:rsid w:val="00B576A0"/>
    <w:rsid w:val="00B60556"/>
    <w:rsid w:val="00B61A8D"/>
    <w:rsid w:val="00B61D99"/>
    <w:rsid w:val="00B6290E"/>
    <w:rsid w:val="00B632FF"/>
    <w:rsid w:val="00B63481"/>
    <w:rsid w:val="00B6377E"/>
    <w:rsid w:val="00B654ED"/>
    <w:rsid w:val="00B668A5"/>
    <w:rsid w:val="00B66A16"/>
    <w:rsid w:val="00B66F46"/>
    <w:rsid w:val="00B670EE"/>
    <w:rsid w:val="00B67281"/>
    <w:rsid w:val="00B72720"/>
    <w:rsid w:val="00B7298A"/>
    <w:rsid w:val="00B737F9"/>
    <w:rsid w:val="00B742BF"/>
    <w:rsid w:val="00B7501F"/>
    <w:rsid w:val="00B753F4"/>
    <w:rsid w:val="00B77E29"/>
    <w:rsid w:val="00B810C7"/>
    <w:rsid w:val="00B81A73"/>
    <w:rsid w:val="00B82A36"/>
    <w:rsid w:val="00B83C9B"/>
    <w:rsid w:val="00B841F0"/>
    <w:rsid w:val="00B84857"/>
    <w:rsid w:val="00B879D6"/>
    <w:rsid w:val="00B9221D"/>
    <w:rsid w:val="00B92253"/>
    <w:rsid w:val="00B955EB"/>
    <w:rsid w:val="00B96076"/>
    <w:rsid w:val="00B96826"/>
    <w:rsid w:val="00B96E95"/>
    <w:rsid w:val="00B97AC0"/>
    <w:rsid w:val="00B97E02"/>
    <w:rsid w:val="00BA0A3A"/>
    <w:rsid w:val="00BA0ADF"/>
    <w:rsid w:val="00BA13C9"/>
    <w:rsid w:val="00BA1A89"/>
    <w:rsid w:val="00BA487C"/>
    <w:rsid w:val="00BA62E5"/>
    <w:rsid w:val="00BB00A4"/>
    <w:rsid w:val="00BB017E"/>
    <w:rsid w:val="00BB0A4F"/>
    <w:rsid w:val="00BB0CD0"/>
    <w:rsid w:val="00BB0DAE"/>
    <w:rsid w:val="00BB30CC"/>
    <w:rsid w:val="00BB3BB6"/>
    <w:rsid w:val="00BB47F8"/>
    <w:rsid w:val="00BB4B68"/>
    <w:rsid w:val="00BB6BBA"/>
    <w:rsid w:val="00BC04FF"/>
    <w:rsid w:val="00BC0F9C"/>
    <w:rsid w:val="00BC16E2"/>
    <w:rsid w:val="00BC17F0"/>
    <w:rsid w:val="00BC19C8"/>
    <w:rsid w:val="00BC1E92"/>
    <w:rsid w:val="00BC21F2"/>
    <w:rsid w:val="00BC2BC1"/>
    <w:rsid w:val="00BC4C3D"/>
    <w:rsid w:val="00BC5BE9"/>
    <w:rsid w:val="00BC7DBC"/>
    <w:rsid w:val="00BD08CB"/>
    <w:rsid w:val="00BD10E9"/>
    <w:rsid w:val="00BD1A2B"/>
    <w:rsid w:val="00BD496E"/>
    <w:rsid w:val="00BD4C3B"/>
    <w:rsid w:val="00BD57A1"/>
    <w:rsid w:val="00BE0B97"/>
    <w:rsid w:val="00BE3109"/>
    <w:rsid w:val="00BE41EF"/>
    <w:rsid w:val="00BE433B"/>
    <w:rsid w:val="00BE5705"/>
    <w:rsid w:val="00BE5DC4"/>
    <w:rsid w:val="00BE60E9"/>
    <w:rsid w:val="00BE7666"/>
    <w:rsid w:val="00BF0331"/>
    <w:rsid w:val="00BF0DB5"/>
    <w:rsid w:val="00BF0F85"/>
    <w:rsid w:val="00BF19A1"/>
    <w:rsid w:val="00BF26AF"/>
    <w:rsid w:val="00BF28FF"/>
    <w:rsid w:val="00BF5F0E"/>
    <w:rsid w:val="00C00509"/>
    <w:rsid w:val="00C00563"/>
    <w:rsid w:val="00C00784"/>
    <w:rsid w:val="00C03F17"/>
    <w:rsid w:val="00C04868"/>
    <w:rsid w:val="00C04CD9"/>
    <w:rsid w:val="00C050EC"/>
    <w:rsid w:val="00C07565"/>
    <w:rsid w:val="00C07761"/>
    <w:rsid w:val="00C10C45"/>
    <w:rsid w:val="00C1102F"/>
    <w:rsid w:val="00C12B63"/>
    <w:rsid w:val="00C13464"/>
    <w:rsid w:val="00C15ACF"/>
    <w:rsid w:val="00C16F26"/>
    <w:rsid w:val="00C17AC5"/>
    <w:rsid w:val="00C17AD4"/>
    <w:rsid w:val="00C17C3F"/>
    <w:rsid w:val="00C21020"/>
    <w:rsid w:val="00C22E68"/>
    <w:rsid w:val="00C230CB"/>
    <w:rsid w:val="00C23743"/>
    <w:rsid w:val="00C25098"/>
    <w:rsid w:val="00C26127"/>
    <w:rsid w:val="00C26B3E"/>
    <w:rsid w:val="00C27C36"/>
    <w:rsid w:val="00C3004E"/>
    <w:rsid w:val="00C30638"/>
    <w:rsid w:val="00C309E8"/>
    <w:rsid w:val="00C30B0C"/>
    <w:rsid w:val="00C30E79"/>
    <w:rsid w:val="00C314EF"/>
    <w:rsid w:val="00C32417"/>
    <w:rsid w:val="00C3249F"/>
    <w:rsid w:val="00C32D54"/>
    <w:rsid w:val="00C335CB"/>
    <w:rsid w:val="00C33C12"/>
    <w:rsid w:val="00C34372"/>
    <w:rsid w:val="00C361BF"/>
    <w:rsid w:val="00C3727E"/>
    <w:rsid w:val="00C42225"/>
    <w:rsid w:val="00C4253C"/>
    <w:rsid w:val="00C437AF"/>
    <w:rsid w:val="00C43FC3"/>
    <w:rsid w:val="00C472DF"/>
    <w:rsid w:val="00C50C1B"/>
    <w:rsid w:val="00C5398E"/>
    <w:rsid w:val="00C5450C"/>
    <w:rsid w:val="00C554EC"/>
    <w:rsid w:val="00C55C35"/>
    <w:rsid w:val="00C567A3"/>
    <w:rsid w:val="00C57987"/>
    <w:rsid w:val="00C6144F"/>
    <w:rsid w:val="00C6463A"/>
    <w:rsid w:val="00C664FD"/>
    <w:rsid w:val="00C71850"/>
    <w:rsid w:val="00C747DE"/>
    <w:rsid w:val="00C7656C"/>
    <w:rsid w:val="00C7671E"/>
    <w:rsid w:val="00C8304D"/>
    <w:rsid w:val="00C877AD"/>
    <w:rsid w:val="00C90C12"/>
    <w:rsid w:val="00C91FDC"/>
    <w:rsid w:val="00C921AA"/>
    <w:rsid w:val="00C92C1F"/>
    <w:rsid w:val="00C92EB5"/>
    <w:rsid w:val="00C9307F"/>
    <w:rsid w:val="00C93FD8"/>
    <w:rsid w:val="00C95338"/>
    <w:rsid w:val="00C957FC"/>
    <w:rsid w:val="00C96137"/>
    <w:rsid w:val="00C96A89"/>
    <w:rsid w:val="00C96DD0"/>
    <w:rsid w:val="00C97899"/>
    <w:rsid w:val="00CA03AE"/>
    <w:rsid w:val="00CA2770"/>
    <w:rsid w:val="00CA33C1"/>
    <w:rsid w:val="00CA6963"/>
    <w:rsid w:val="00CA6DDF"/>
    <w:rsid w:val="00CA7D32"/>
    <w:rsid w:val="00CB1154"/>
    <w:rsid w:val="00CB19ED"/>
    <w:rsid w:val="00CB4243"/>
    <w:rsid w:val="00CB4D2F"/>
    <w:rsid w:val="00CB736C"/>
    <w:rsid w:val="00CC0477"/>
    <w:rsid w:val="00CC0F54"/>
    <w:rsid w:val="00CC291A"/>
    <w:rsid w:val="00CC3FFA"/>
    <w:rsid w:val="00CC4F2D"/>
    <w:rsid w:val="00CC56EF"/>
    <w:rsid w:val="00CC64AC"/>
    <w:rsid w:val="00CC72D1"/>
    <w:rsid w:val="00CD121D"/>
    <w:rsid w:val="00CD2900"/>
    <w:rsid w:val="00CD3A1C"/>
    <w:rsid w:val="00CD79FD"/>
    <w:rsid w:val="00CE0E59"/>
    <w:rsid w:val="00CE3E79"/>
    <w:rsid w:val="00CE4EFC"/>
    <w:rsid w:val="00CE546A"/>
    <w:rsid w:val="00CE5EEC"/>
    <w:rsid w:val="00CE69B2"/>
    <w:rsid w:val="00CF0092"/>
    <w:rsid w:val="00CF260D"/>
    <w:rsid w:val="00CF34CF"/>
    <w:rsid w:val="00CF35E6"/>
    <w:rsid w:val="00CF77DB"/>
    <w:rsid w:val="00D04A47"/>
    <w:rsid w:val="00D05BC9"/>
    <w:rsid w:val="00D071DE"/>
    <w:rsid w:val="00D07343"/>
    <w:rsid w:val="00D110AF"/>
    <w:rsid w:val="00D11364"/>
    <w:rsid w:val="00D1227F"/>
    <w:rsid w:val="00D12F71"/>
    <w:rsid w:val="00D15EE5"/>
    <w:rsid w:val="00D17869"/>
    <w:rsid w:val="00D24317"/>
    <w:rsid w:val="00D2471E"/>
    <w:rsid w:val="00D24B8D"/>
    <w:rsid w:val="00D2746B"/>
    <w:rsid w:val="00D31091"/>
    <w:rsid w:val="00D31B03"/>
    <w:rsid w:val="00D323DB"/>
    <w:rsid w:val="00D35D51"/>
    <w:rsid w:val="00D37C42"/>
    <w:rsid w:val="00D41F3B"/>
    <w:rsid w:val="00D43FA5"/>
    <w:rsid w:val="00D440A4"/>
    <w:rsid w:val="00D47D05"/>
    <w:rsid w:val="00D5004D"/>
    <w:rsid w:val="00D50216"/>
    <w:rsid w:val="00D50425"/>
    <w:rsid w:val="00D51508"/>
    <w:rsid w:val="00D51789"/>
    <w:rsid w:val="00D548B1"/>
    <w:rsid w:val="00D55789"/>
    <w:rsid w:val="00D576FE"/>
    <w:rsid w:val="00D60309"/>
    <w:rsid w:val="00D60B85"/>
    <w:rsid w:val="00D60BE5"/>
    <w:rsid w:val="00D60D0A"/>
    <w:rsid w:val="00D6180B"/>
    <w:rsid w:val="00D62185"/>
    <w:rsid w:val="00D63EAA"/>
    <w:rsid w:val="00D64825"/>
    <w:rsid w:val="00D6487F"/>
    <w:rsid w:val="00D64D79"/>
    <w:rsid w:val="00D6566C"/>
    <w:rsid w:val="00D71BF6"/>
    <w:rsid w:val="00D73E31"/>
    <w:rsid w:val="00D75500"/>
    <w:rsid w:val="00D757B2"/>
    <w:rsid w:val="00D76BB7"/>
    <w:rsid w:val="00D77037"/>
    <w:rsid w:val="00D82802"/>
    <w:rsid w:val="00D82882"/>
    <w:rsid w:val="00D82B02"/>
    <w:rsid w:val="00D8368A"/>
    <w:rsid w:val="00D838F8"/>
    <w:rsid w:val="00D8550B"/>
    <w:rsid w:val="00D85E87"/>
    <w:rsid w:val="00D9020F"/>
    <w:rsid w:val="00D9039B"/>
    <w:rsid w:val="00D9323A"/>
    <w:rsid w:val="00D942C9"/>
    <w:rsid w:val="00D96FEE"/>
    <w:rsid w:val="00D97883"/>
    <w:rsid w:val="00DA0E7A"/>
    <w:rsid w:val="00DA1EED"/>
    <w:rsid w:val="00DA24BC"/>
    <w:rsid w:val="00DA3005"/>
    <w:rsid w:val="00DA3A0D"/>
    <w:rsid w:val="00DA3A76"/>
    <w:rsid w:val="00DA3EB8"/>
    <w:rsid w:val="00DA6F44"/>
    <w:rsid w:val="00DB0F7A"/>
    <w:rsid w:val="00DB18D9"/>
    <w:rsid w:val="00DB29CD"/>
    <w:rsid w:val="00DB2E99"/>
    <w:rsid w:val="00DB30CF"/>
    <w:rsid w:val="00DB677E"/>
    <w:rsid w:val="00DC003F"/>
    <w:rsid w:val="00DC0CE2"/>
    <w:rsid w:val="00DC239E"/>
    <w:rsid w:val="00DC2ADE"/>
    <w:rsid w:val="00DC4450"/>
    <w:rsid w:val="00DC6B9D"/>
    <w:rsid w:val="00DC7DB5"/>
    <w:rsid w:val="00DD021C"/>
    <w:rsid w:val="00DD0247"/>
    <w:rsid w:val="00DD4D06"/>
    <w:rsid w:val="00DD4F9C"/>
    <w:rsid w:val="00DD59B6"/>
    <w:rsid w:val="00DD5AB5"/>
    <w:rsid w:val="00DD5BF5"/>
    <w:rsid w:val="00DD718B"/>
    <w:rsid w:val="00DE042A"/>
    <w:rsid w:val="00DE0D14"/>
    <w:rsid w:val="00DE24C3"/>
    <w:rsid w:val="00DE39A6"/>
    <w:rsid w:val="00DE3F88"/>
    <w:rsid w:val="00DE408E"/>
    <w:rsid w:val="00DE703F"/>
    <w:rsid w:val="00DE728D"/>
    <w:rsid w:val="00DE79BC"/>
    <w:rsid w:val="00DE7D4F"/>
    <w:rsid w:val="00DF0DCD"/>
    <w:rsid w:val="00DF14C8"/>
    <w:rsid w:val="00DF30C7"/>
    <w:rsid w:val="00DF6028"/>
    <w:rsid w:val="00DF73D4"/>
    <w:rsid w:val="00E0161D"/>
    <w:rsid w:val="00E01D32"/>
    <w:rsid w:val="00E02A0D"/>
    <w:rsid w:val="00E02B92"/>
    <w:rsid w:val="00E03641"/>
    <w:rsid w:val="00E04DAF"/>
    <w:rsid w:val="00E05B18"/>
    <w:rsid w:val="00E05D07"/>
    <w:rsid w:val="00E05E78"/>
    <w:rsid w:val="00E06810"/>
    <w:rsid w:val="00E06A5D"/>
    <w:rsid w:val="00E07A3C"/>
    <w:rsid w:val="00E106CA"/>
    <w:rsid w:val="00E10D63"/>
    <w:rsid w:val="00E111E7"/>
    <w:rsid w:val="00E1311B"/>
    <w:rsid w:val="00E137A4"/>
    <w:rsid w:val="00E14ECD"/>
    <w:rsid w:val="00E14F65"/>
    <w:rsid w:val="00E2199B"/>
    <w:rsid w:val="00E221A5"/>
    <w:rsid w:val="00E22B5F"/>
    <w:rsid w:val="00E27389"/>
    <w:rsid w:val="00E3098B"/>
    <w:rsid w:val="00E3148F"/>
    <w:rsid w:val="00E31E16"/>
    <w:rsid w:val="00E3206F"/>
    <w:rsid w:val="00E33BB7"/>
    <w:rsid w:val="00E34377"/>
    <w:rsid w:val="00E344ED"/>
    <w:rsid w:val="00E34CF8"/>
    <w:rsid w:val="00E4160A"/>
    <w:rsid w:val="00E429C8"/>
    <w:rsid w:val="00E42DA4"/>
    <w:rsid w:val="00E444F3"/>
    <w:rsid w:val="00E45EA0"/>
    <w:rsid w:val="00E45EC8"/>
    <w:rsid w:val="00E47711"/>
    <w:rsid w:val="00E47E68"/>
    <w:rsid w:val="00E50B3F"/>
    <w:rsid w:val="00E52788"/>
    <w:rsid w:val="00E53C7D"/>
    <w:rsid w:val="00E53EA9"/>
    <w:rsid w:val="00E60BD4"/>
    <w:rsid w:val="00E62A4E"/>
    <w:rsid w:val="00E63858"/>
    <w:rsid w:val="00E6461C"/>
    <w:rsid w:val="00E6603C"/>
    <w:rsid w:val="00E66758"/>
    <w:rsid w:val="00E70F16"/>
    <w:rsid w:val="00E7155B"/>
    <w:rsid w:val="00E71571"/>
    <w:rsid w:val="00E722CE"/>
    <w:rsid w:val="00E72C04"/>
    <w:rsid w:val="00E73243"/>
    <w:rsid w:val="00E73D4A"/>
    <w:rsid w:val="00E754A1"/>
    <w:rsid w:val="00E75E9D"/>
    <w:rsid w:val="00E76711"/>
    <w:rsid w:val="00E77715"/>
    <w:rsid w:val="00E77899"/>
    <w:rsid w:val="00E80332"/>
    <w:rsid w:val="00E81F92"/>
    <w:rsid w:val="00E821EC"/>
    <w:rsid w:val="00E8268D"/>
    <w:rsid w:val="00E8400E"/>
    <w:rsid w:val="00E85086"/>
    <w:rsid w:val="00E90038"/>
    <w:rsid w:val="00E90BAE"/>
    <w:rsid w:val="00E90EF9"/>
    <w:rsid w:val="00E93B22"/>
    <w:rsid w:val="00E946DD"/>
    <w:rsid w:val="00E9622E"/>
    <w:rsid w:val="00E962BD"/>
    <w:rsid w:val="00E976EA"/>
    <w:rsid w:val="00EA0856"/>
    <w:rsid w:val="00EA2931"/>
    <w:rsid w:val="00EA2CF6"/>
    <w:rsid w:val="00EA3303"/>
    <w:rsid w:val="00EA547E"/>
    <w:rsid w:val="00EA62F1"/>
    <w:rsid w:val="00EA63E4"/>
    <w:rsid w:val="00EB1687"/>
    <w:rsid w:val="00EB2333"/>
    <w:rsid w:val="00EB2F2F"/>
    <w:rsid w:val="00EB432E"/>
    <w:rsid w:val="00EC1093"/>
    <w:rsid w:val="00EC2C0B"/>
    <w:rsid w:val="00EC4642"/>
    <w:rsid w:val="00EC5140"/>
    <w:rsid w:val="00EC5956"/>
    <w:rsid w:val="00EC59B1"/>
    <w:rsid w:val="00EC686F"/>
    <w:rsid w:val="00EC6C99"/>
    <w:rsid w:val="00EC7C0C"/>
    <w:rsid w:val="00ED019E"/>
    <w:rsid w:val="00ED3187"/>
    <w:rsid w:val="00ED3DF3"/>
    <w:rsid w:val="00ED580A"/>
    <w:rsid w:val="00ED5B02"/>
    <w:rsid w:val="00ED6380"/>
    <w:rsid w:val="00ED71F7"/>
    <w:rsid w:val="00EE0CDF"/>
    <w:rsid w:val="00EE1363"/>
    <w:rsid w:val="00EE59C5"/>
    <w:rsid w:val="00EE6542"/>
    <w:rsid w:val="00EE7126"/>
    <w:rsid w:val="00EF04BC"/>
    <w:rsid w:val="00EF0906"/>
    <w:rsid w:val="00EF10E9"/>
    <w:rsid w:val="00EF22F8"/>
    <w:rsid w:val="00EF2A73"/>
    <w:rsid w:val="00EF2B09"/>
    <w:rsid w:val="00EF33D4"/>
    <w:rsid w:val="00EF3FC8"/>
    <w:rsid w:val="00EF56E1"/>
    <w:rsid w:val="00EF57F2"/>
    <w:rsid w:val="00EF5D67"/>
    <w:rsid w:val="00EF6118"/>
    <w:rsid w:val="00EF6393"/>
    <w:rsid w:val="00EF774D"/>
    <w:rsid w:val="00EF7867"/>
    <w:rsid w:val="00F025A1"/>
    <w:rsid w:val="00F03695"/>
    <w:rsid w:val="00F04A97"/>
    <w:rsid w:val="00F122C4"/>
    <w:rsid w:val="00F12D6F"/>
    <w:rsid w:val="00F134F8"/>
    <w:rsid w:val="00F13DA8"/>
    <w:rsid w:val="00F161BB"/>
    <w:rsid w:val="00F16BA1"/>
    <w:rsid w:val="00F16EA7"/>
    <w:rsid w:val="00F1710C"/>
    <w:rsid w:val="00F20712"/>
    <w:rsid w:val="00F20A82"/>
    <w:rsid w:val="00F2158F"/>
    <w:rsid w:val="00F21F88"/>
    <w:rsid w:val="00F2252F"/>
    <w:rsid w:val="00F2457F"/>
    <w:rsid w:val="00F249E2"/>
    <w:rsid w:val="00F24CFD"/>
    <w:rsid w:val="00F2573B"/>
    <w:rsid w:val="00F262A2"/>
    <w:rsid w:val="00F26FC1"/>
    <w:rsid w:val="00F27B85"/>
    <w:rsid w:val="00F30293"/>
    <w:rsid w:val="00F32EDF"/>
    <w:rsid w:val="00F33350"/>
    <w:rsid w:val="00F33E20"/>
    <w:rsid w:val="00F348DE"/>
    <w:rsid w:val="00F34EA9"/>
    <w:rsid w:val="00F35660"/>
    <w:rsid w:val="00F356F1"/>
    <w:rsid w:val="00F35775"/>
    <w:rsid w:val="00F369F7"/>
    <w:rsid w:val="00F36D82"/>
    <w:rsid w:val="00F37CDA"/>
    <w:rsid w:val="00F40386"/>
    <w:rsid w:val="00F44FC3"/>
    <w:rsid w:val="00F478A4"/>
    <w:rsid w:val="00F50B89"/>
    <w:rsid w:val="00F52C6D"/>
    <w:rsid w:val="00F53F6A"/>
    <w:rsid w:val="00F549F1"/>
    <w:rsid w:val="00F562D9"/>
    <w:rsid w:val="00F56449"/>
    <w:rsid w:val="00F56EF6"/>
    <w:rsid w:val="00F5788A"/>
    <w:rsid w:val="00F57C68"/>
    <w:rsid w:val="00F60E74"/>
    <w:rsid w:val="00F612DC"/>
    <w:rsid w:val="00F6169E"/>
    <w:rsid w:val="00F62F67"/>
    <w:rsid w:val="00F635BC"/>
    <w:rsid w:val="00F63898"/>
    <w:rsid w:val="00F65559"/>
    <w:rsid w:val="00F666F1"/>
    <w:rsid w:val="00F67C8E"/>
    <w:rsid w:val="00F707A7"/>
    <w:rsid w:val="00F70CC3"/>
    <w:rsid w:val="00F717B3"/>
    <w:rsid w:val="00F7318D"/>
    <w:rsid w:val="00F7351D"/>
    <w:rsid w:val="00F74766"/>
    <w:rsid w:val="00F74E22"/>
    <w:rsid w:val="00F7556A"/>
    <w:rsid w:val="00F75C54"/>
    <w:rsid w:val="00F77F6C"/>
    <w:rsid w:val="00F8040E"/>
    <w:rsid w:val="00F81609"/>
    <w:rsid w:val="00F83581"/>
    <w:rsid w:val="00F86455"/>
    <w:rsid w:val="00F87EB7"/>
    <w:rsid w:val="00F87EB9"/>
    <w:rsid w:val="00F92558"/>
    <w:rsid w:val="00F92CAB"/>
    <w:rsid w:val="00F92DAE"/>
    <w:rsid w:val="00F94ABC"/>
    <w:rsid w:val="00F94DE7"/>
    <w:rsid w:val="00F94E2E"/>
    <w:rsid w:val="00F9645C"/>
    <w:rsid w:val="00F96E5B"/>
    <w:rsid w:val="00F97DA1"/>
    <w:rsid w:val="00FA0029"/>
    <w:rsid w:val="00FA03AE"/>
    <w:rsid w:val="00FA12AC"/>
    <w:rsid w:val="00FA14E0"/>
    <w:rsid w:val="00FA4755"/>
    <w:rsid w:val="00FA7A16"/>
    <w:rsid w:val="00FA7F86"/>
    <w:rsid w:val="00FB0BB5"/>
    <w:rsid w:val="00FB4962"/>
    <w:rsid w:val="00FB49A1"/>
    <w:rsid w:val="00FB5546"/>
    <w:rsid w:val="00FB64C5"/>
    <w:rsid w:val="00FB6E7C"/>
    <w:rsid w:val="00FB7006"/>
    <w:rsid w:val="00FB7020"/>
    <w:rsid w:val="00FC1176"/>
    <w:rsid w:val="00FC2757"/>
    <w:rsid w:val="00FC2EA2"/>
    <w:rsid w:val="00FC37E4"/>
    <w:rsid w:val="00FC3D02"/>
    <w:rsid w:val="00FC46CA"/>
    <w:rsid w:val="00FC476F"/>
    <w:rsid w:val="00FC4C09"/>
    <w:rsid w:val="00FC5429"/>
    <w:rsid w:val="00FC77D7"/>
    <w:rsid w:val="00FD404E"/>
    <w:rsid w:val="00FD5228"/>
    <w:rsid w:val="00FD56E8"/>
    <w:rsid w:val="00FD5E38"/>
    <w:rsid w:val="00FD611E"/>
    <w:rsid w:val="00FD7D2E"/>
    <w:rsid w:val="00FD7E84"/>
    <w:rsid w:val="00FE0886"/>
    <w:rsid w:val="00FE1113"/>
    <w:rsid w:val="00FE2C2A"/>
    <w:rsid w:val="00FE2F87"/>
    <w:rsid w:val="00FE4493"/>
    <w:rsid w:val="00FE4BEC"/>
    <w:rsid w:val="00FE51E5"/>
    <w:rsid w:val="00FE59A2"/>
    <w:rsid w:val="00FE6116"/>
    <w:rsid w:val="00FE7D75"/>
    <w:rsid w:val="00FF10D1"/>
    <w:rsid w:val="00FF2693"/>
    <w:rsid w:val="00FF2956"/>
    <w:rsid w:val="00FF4109"/>
    <w:rsid w:val="00FF42D2"/>
    <w:rsid w:val="00FF5D38"/>
    <w:rsid w:val="00FF5E02"/>
    <w:rsid w:val="00FF6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23"/>
  </w:style>
  <w:style w:type="paragraph" w:styleId="Heading1">
    <w:name w:val="heading 1"/>
    <w:basedOn w:val="NoSpacing"/>
    <w:next w:val="NoSpacing"/>
    <w:link w:val="Heading1Char"/>
    <w:uiPriority w:val="9"/>
    <w:qFormat/>
    <w:rsid w:val="00454528"/>
    <w:pPr>
      <w:keepNext/>
      <w:keepLines/>
      <w:spacing w:before="480"/>
      <w:outlineLvl w:val="0"/>
    </w:pPr>
    <w:rPr>
      <w:rFonts w:asciiTheme="majorHAnsi" w:eastAsiaTheme="majorEastAsia" w:hAnsiTheme="majorHAnsi" w:cstheme="majorBidi"/>
      <w:b/>
      <w:bCs/>
      <w:sz w:val="28"/>
      <w:szCs w:val="28"/>
    </w:rPr>
  </w:style>
  <w:style w:type="paragraph" w:styleId="Heading2">
    <w:name w:val="heading 2"/>
    <w:next w:val="NoSpacing"/>
    <w:link w:val="Heading2Char"/>
    <w:autoRedefine/>
    <w:uiPriority w:val="9"/>
    <w:unhideWhenUsed/>
    <w:qFormat/>
    <w:rsid w:val="00F52C6D"/>
    <w:pPr>
      <w:spacing w:after="0" w:line="240" w:lineRule="auto"/>
      <w:outlineLvl w:val="1"/>
    </w:pPr>
    <w:rPr>
      <w:rFonts w:eastAsiaTheme="majorEastAsia" w:cstheme="minorHAnsi"/>
      <w:b/>
      <w:bCs/>
    </w:rPr>
  </w:style>
  <w:style w:type="paragraph" w:styleId="Heading3">
    <w:name w:val="heading 3"/>
    <w:basedOn w:val="NoSpacing"/>
    <w:next w:val="Normal"/>
    <w:link w:val="Heading3Char"/>
    <w:uiPriority w:val="9"/>
    <w:unhideWhenUsed/>
    <w:qFormat/>
    <w:rsid w:val="00D24317"/>
    <w:pPr>
      <w:outlineLvl w:val="2"/>
    </w:pPr>
    <w:rPr>
      <w:b/>
    </w:rPr>
  </w:style>
  <w:style w:type="paragraph" w:styleId="Heading4">
    <w:name w:val="heading 4"/>
    <w:basedOn w:val="NoSpacing"/>
    <w:next w:val="Normal"/>
    <w:link w:val="Heading4Char"/>
    <w:uiPriority w:val="9"/>
    <w:unhideWhenUsed/>
    <w:qFormat/>
    <w:rsid w:val="00CF260D"/>
    <w:pPr>
      <w:numPr>
        <w:ilvl w:val="2"/>
        <w:numId w:val="3"/>
      </w:numPr>
      <w:ind w:left="0" w:firstLine="947"/>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B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5B18"/>
  </w:style>
  <w:style w:type="paragraph" w:styleId="Footer">
    <w:name w:val="footer"/>
    <w:basedOn w:val="NoSpacing"/>
    <w:link w:val="FooterChar"/>
    <w:uiPriority w:val="99"/>
    <w:unhideWhenUsed/>
    <w:rsid w:val="00E05B18"/>
    <w:pPr>
      <w:tabs>
        <w:tab w:val="center" w:pos="4536"/>
        <w:tab w:val="right" w:pos="9072"/>
      </w:tabs>
    </w:pPr>
  </w:style>
  <w:style w:type="character" w:customStyle="1" w:styleId="FooterChar">
    <w:name w:val="Footer Char"/>
    <w:basedOn w:val="DefaultParagraphFont"/>
    <w:link w:val="Footer"/>
    <w:uiPriority w:val="99"/>
    <w:rsid w:val="00A26C23"/>
  </w:style>
  <w:style w:type="paragraph" w:styleId="BalloonText">
    <w:name w:val="Balloon Text"/>
    <w:basedOn w:val="Normal"/>
    <w:link w:val="BalloonTextChar"/>
    <w:uiPriority w:val="99"/>
    <w:semiHidden/>
    <w:unhideWhenUsed/>
    <w:rsid w:val="00E05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B18"/>
    <w:rPr>
      <w:rFonts w:ascii="Tahoma" w:hAnsi="Tahoma" w:cs="Tahoma"/>
      <w:sz w:val="16"/>
      <w:szCs w:val="16"/>
    </w:rPr>
  </w:style>
  <w:style w:type="paragraph" w:styleId="NoSpacing">
    <w:name w:val="No Spacing"/>
    <w:uiPriority w:val="1"/>
    <w:qFormat/>
    <w:rsid w:val="00A37AEB"/>
    <w:pPr>
      <w:spacing w:after="0" w:line="240" w:lineRule="auto"/>
    </w:pPr>
  </w:style>
  <w:style w:type="paragraph" w:styleId="Title">
    <w:name w:val="Title"/>
    <w:basedOn w:val="NoSpacing"/>
    <w:next w:val="NoSpacing"/>
    <w:link w:val="TitleChar"/>
    <w:uiPriority w:val="10"/>
    <w:qFormat/>
    <w:rsid w:val="00D71B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735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5452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52C6D"/>
    <w:rPr>
      <w:rFonts w:eastAsiaTheme="majorEastAsia" w:cstheme="minorHAnsi"/>
      <w:b/>
      <w:bCs/>
    </w:rPr>
  </w:style>
  <w:style w:type="paragraph" w:styleId="Subtitle">
    <w:name w:val="Subtitle"/>
    <w:basedOn w:val="NoSpacing"/>
    <w:next w:val="NoSpacing"/>
    <w:link w:val="SubtitleChar"/>
    <w:uiPriority w:val="11"/>
    <w:qFormat/>
    <w:rsid w:val="005673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67357"/>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Spacing"/>
    <w:next w:val="NoSpacing"/>
    <w:link w:val="IntenseQuoteChar"/>
    <w:uiPriority w:val="30"/>
    <w:qFormat/>
    <w:rsid w:val="0056735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67357"/>
    <w:rPr>
      <w:b/>
      <w:bCs/>
      <w:i/>
      <w:iCs/>
      <w:color w:val="4F81BD" w:themeColor="accent1"/>
    </w:rPr>
  </w:style>
  <w:style w:type="table" w:styleId="TableGrid">
    <w:name w:val="Table Grid"/>
    <w:basedOn w:val="TableNormal"/>
    <w:uiPriority w:val="59"/>
    <w:rsid w:val="00ED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Spacing"/>
    <w:next w:val="NoSpacing"/>
    <w:uiPriority w:val="35"/>
    <w:unhideWhenUsed/>
    <w:qFormat/>
    <w:rsid w:val="00ED71F7"/>
    <w:rPr>
      <w:b/>
      <w:bCs/>
      <w:szCs w:val="18"/>
    </w:rPr>
  </w:style>
  <w:style w:type="paragraph" w:styleId="Quote">
    <w:name w:val="Quote"/>
    <w:basedOn w:val="NoSpacing"/>
    <w:next w:val="NoSpacing"/>
    <w:link w:val="QuoteChar"/>
    <w:uiPriority w:val="29"/>
    <w:qFormat/>
    <w:rsid w:val="009C4FD6"/>
    <w:rPr>
      <w:i/>
      <w:iCs/>
      <w:color w:val="000000" w:themeColor="text1"/>
    </w:rPr>
  </w:style>
  <w:style w:type="character" w:customStyle="1" w:styleId="QuoteChar">
    <w:name w:val="Quote Char"/>
    <w:basedOn w:val="DefaultParagraphFont"/>
    <w:link w:val="Quote"/>
    <w:uiPriority w:val="29"/>
    <w:rsid w:val="009C4FD6"/>
    <w:rPr>
      <w:i/>
      <w:iCs/>
      <w:color w:val="000000" w:themeColor="text1"/>
    </w:rPr>
  </w:style>
  <w:style w:type="paragraph" w:styleId="ListParagraph">
    <w:name w:val="List Paragraph"/>
    <w:basedOn w:val="NoSpacing"/>
    <w:uiPriority w:val="34"/>
    <w:qFormat/>
    <w:rsid w:val="009C4FD6"/>
    <w:pPr>
      <w:ind w:left="720"/>
      <w:contextualSpacing/>
    </w:pPr>
  </w:style>
  <w:style w:type="paragraph" w:styleId="FootnoteText">
    <w:name w:val="footnote text"/>
    <w:basedOn w:val="NoSpacing"/>
    <w:link w:val="FootnoteTextChar"/>
    <w:uiPriority w:val="99"/>
    <w:semiHidden/>
    <w:unhideWhenUsed/>
    <w:rsid w:val="00A26C23"/>
    <w:rPr>
      <w:sz w:val="20"/>
      <w:szCs w:val="20"/>
    </w:rPr>
  </w:style>
  <w:style w:type="character" w:customStyle="1" w:styleId="FootnoteTextChar">
    <w:name w:val="Footnote Text Char"/>
    <w:basedOn w:val="DefaultParagraphFont"/>
    <w:link w:val="FootnoteText"/>
    <w:uiPriority w:val="99"/>
    <w:semiHidden/>
    <w:rsid w:val="00A26C23"/>
    <w:rPr>
      <w:sz w:val="20"/>
      <w:szCs w:val="20"/>
    </w:rPr>
  </w:style>
  <w:style w:type="character" w:styleId="CommentReference">
    <w:name w:val="annotation reference"/>
    <w:basedOn w:val="DefaultParagraphFont"/>
    <w:uiPriority w:val="99"/>
    <w:unhideWhenUsed/>
    <w:rsid w:val="00CC291A"/>
    <w:rPr>
      <w:sz w:val="16"/>
      <w:szCs w:val="16"/>
    </w:rPr>
  </w:style>
  <w:style w:type="paragraph" w:styleId="CommentText">
    <w:name w:val="annotation text"/>
    <w:basedOn w:val="Normal"/>
    <w:link w:val="CommentTextChar"/>
    <w:uiPriority w:val="99"/>
    <w:unhideWhenUsed/>
    <w:rsid w:val="00CC291A"/>
    <w:pPr>
      <w:spacing w:line="240" w:lineRule="auto"/>
    </w:pPr>
    <w:rPr>
      <w:sz w:val="20"/>
      <w:szCs w:val="20"/>
    </w:rPr>
  </w:style>
  <w:style w:type="character" w:customStyle="1" w:styleId="CommentTextChar">
    <w:name w:val="Comment Text Char"/>
    <w:basedOn w:val="DefaultParagraphFont"/>
    <w:link w:val="CommentText"/>
    <w:uiPriority w:val="99"/>
    <w:rsid w:val="00CC291A"/>
    <w:rPr>
      <w:sz w:val="20"/>
      <w:szCs w:val="20"/>
    </w:rPr>
  </w:style>
  <w:style w:type="paragraph" w:styleId="CommentSubject">
    <w:name w:val="annotation subject"/>
    <w:basedOn w:val="CommentText"/>
    <w:next w:val="CommentText"/>
    <w:link w:val="CommentSubjectChar"/>
    <w:uiPriority w:val="99"/>
    <w:semiHidden/>
    <w:unhideWhenUsed/>
    <w:rsid w:val="00CC291A"/>
    <w:rPr>
      <w:b/>
      <w:bCs/>
    </w:rPr>
  </w:style>
  <w:style w:type="character" w:customStyle="1" w:styleId="CommentSubjectChar">
    <w:name w:val="Comment Subject Char"/>
    <w:basedOn w:val="CommentTextChar"/>
    <w:link w:val="CommentSubject"/>
    <w:uiPriority w:val="99"/>
    <w:semiHidden/>
    <w:rsid w:val="00CC291A"/>
    <w:rPr>
      <w:b/>
      <w:bCs/>
      <w:sz w:val="20"/>
      <w:szCs w:val="20"/>
    </w:rPr>
  </w:style>
  <w:style w:type="paragraph" w:customStyle="1" w:styleId="Char1">
    <w:name w:val="Char1"/>
    <w:basedOn w:val="Normal"/>
    <w:rsid w:val="00901473"/>
    <w:pPr>
      <w:spacing w:after="0" w:line="240" w:lineRule="auto"/>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unhideWhenUsed/>
    <w:rsid w:val="00617D04"/>
    <w:rPr>
      <w:color w:val="0000FF" w:themeColor="hyperlink"/>
      <w:u w:val="single"/>
    </w:rPr>
  </w:style>
  <w:style w:type="table" w:styleId="LightShading-Accent1">
    <w:name w:val="Light Shading Accent 1"/>
    <w:basedOn w:val="TableNormal"/>
    <w:uiPriority w:val="60"/>
    <w:rsid w:val="00F53F6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AB4F90"/>
    <w:rPr>
      <w:color w:val="800080" w:themeColor="followedHyperlink"/>
      <w:u w:val="single"/>
    </w:rPr>
  </w:style>
  <w:style w:type="character" w:styleId="FootnoteReference">
    <w:name w:val="footnote reference"/>
    <w:basedOn w:val="DefaultParagraphFont"/>
    <w:uiPriority w:val="99"/>
    <w:semiHidden/>
    <w:unhideWhenUsed/>
    <w:rsid w:val="00F262A2"/>
    <w:rPr>
      <w:vertAlign w:val="superscript"/>
    </w:rPr>
  </w:style>
  <w:style w:type="character" w:styleId="Emphasis">
    <w:name w:val="Emphasis"/>
    <w:uiPriority w:val="20"/>
    <w:qFormat/>
    <w:rsid w:val="000F0ABF"/>
    <w:rPr>
      <w:b/>
      <w:u w:val="single"/>
    </w:rPr>
  </w:style>
  <w:style w:type="character" w:styleId="SubtleEmphasis">
    <w:name w:val="Subtle Emphasis"/>
    <w:uiPriority w:val="19"/>
    <w:qFormat/>
    <w:rsid w:val="000F0ABF"/>
    <w:rPr>
      <w:b/>
    </w:rPr>
  </w:style>
  <w:style w:type="character" w:customStyle="1" w:styleId="Heading3Char">
    <w:name w:val="Heading 3 Char"/>
    <w:basedOn w:val="DefaultParagraphFont"/>
    <w:link w:val="Heading3"/>
    <w:uiPriority w:val="9"/>
    <w:rsid w:val="00D24317"/>
    <w:rPr>
      <w:b/>
    </w:rPr>
  </w:style>
  <w:style w:type="character" w:customStyle="1" w:styleId="Heading4Char">
    <w:name w:val="Heading 4 Char"/>
    <w:basedOn w:val="DefaultParagraphFont"/>
    <w:link w:val="Heading4"/>
    <w:uiPriority w:val="9"/>
    <w:rsid w:val="00CF260D"/>
    <w:rPr>
      <w:b/>
    </w:rPr>
  </w:style>
  <w:style w:type="paragraph" w:customStyle="1" w:styleId="Default">
    <w:name w:val="Default"/>
    <w:rsid w:val="00864D87"/>
    <w:pPr>
      <w:autoSpaceDE w:val="0"/>
      <w:autoSpaceDN w:val="0"/>
      <w:adjustRightInd w:val="0"/>
      <w:spacing w:after="0" w:line="240" w:lineRule="auto"/>
    </w:pPr>
    <w:rPr>
      <w:rFonts w:ascii="Myriad Pro" w:hAnsi="Myriad Pro" w:cs="Myriad Pro"/>
      <w:color w:val="000000"/>
      <w:sz w:val="24"/>
      <w:szCs w:val="24"/>
    </w:rPr>
  </w:style>
  <w:style w:type="paragraph" w:customStyle="1" w:styleId="Pa5">
    <w:name w:val="Pa5"/>
    <w:basedOn w:val="Default"/>
    <w:next w:val="Default"/>
    <w:uiPriority w:val="99"/>
    <w:rsid w:val="00864D87"/>
    <w:pPr>
      <w:spacing w:line="201" w:lineRule="atLeast"/>
    </w:pPr>
    <w:rPr>
      <w:rFonts w:cstheme="minorBidi"/>
      <w:color w:val="auto"/>
    </w:rPr>
  </w:style>
  <w:style w:type="paragraph" w:customStyle="1" w:styleId="Pa34">
    <w:name w:val="Pa34"/>
    <w:basedOn w:val="Default"/>
    <w:next w:val="Default"/>
    <w:uiPriority w:val="99"/>
    <w:rsid w:val="00864D87"/>
    <w:pPr>
      <w:spacing w:line="201" w:lineRule="atLeast"/>
    </w:pPr>
    <w:rPr>
      <w:rFonts w:cstheme="minorBidi"/>
      <w:color w:val="auto"/>
    </w:rPr>
  </w:style>
  <w:style w:type="paragraph" w:styleId="Revision">
    <w:name w:val="Revision"/>
    <w:hidden/>
    <w:uiPriority w:val="99"/>
    <w:semiHidden/>
    <w:rsid w:val="0009058C"/>
    <w:pPr>
      <w:spacing w:after="0" w:line="240" w:lineRule="auto"/>
    </w:pPr>
  </w:style>
  <w:style w:type="character" w:customStyle="1" w:styleId="apple-converted-space">
    <w:name w:val="apple-converted-space"/>
    <w:basedOn w:val="DefaultParagraphFont"/>
    <w:rsid w:val="009F3F80"/>
  </w:style>
  <w:style w:type="character" w:styleId="Strong">
    <w:name w:val="Strong"/>
    <w:basedOn w:val="DefaultParagraphFont"/>
    <w:qFormat/>
    <w:rsid w:val="009F3F80"/>
    <w:rPr>
      <w:b/>
      <w:bCs/>
    </w:rPr>
  </w:style>
  <w:style w:type="character" w:customStyle="1" w:styleId="shorttext">
    <w:name w:val="short_text"/>
    <w:basedOn w:val="DefaultParagraphFont"/>
    <w:rsid w:val="00EC6C99"/>
  </w:style>
  <w:style w:type="character" w:customStyle="1" w:styleId="dflfde">
    <w:name w:val="dflfde"/>
    <w:basedOn w:val="DefaultParagraphFont"/>
    <w:rsid w:val="00A077E0"/>
  </w:style>
  <w:style w:type="paragraph" w:styleId="NormalWeb">
    <w:name w:val="Normal (Web)"/>
    <w:basedOn w:val="Normal"/>
    <w:uiPriority w:val="99"/>
    <w:semiHidden/>
    <w:unhideWhenUsed/>
    <w:rsid w:val="004C0388"/>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alt-edited">
    <w:name w:val="alt-edited"/>
    <w:basedOn w:val="DefaultParagraphFont"/>
    <w:rsid w:val="00F655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23"/>
  </w:style>
  <w:style w:type="paragraph" w:styleId="Heading1">
    <w:name w:val="heading 1"/>
    <w:basedOn w:val="NoSpacing"/>
    <w:next w:val="NoSpacing"/>
    <w:link w:val="Heading1Char"/>
    <w:uiPriority w:val="9"/>
    <w:qFormat/>
    <w:rsid w:val="00454528"/>
    <w:pPr>
      <w:keepNext/>
      <w:keepLines/>
      <w:spacing w:before="480"/>
      <w:outlineLvl w:val="0"/>
    </w:pPr>
    <w:rPr>
      <w:rFonts w:asciiTheme="majorHAnsi" w:eastAsiaTheme="majorEastAsia" w:hAnsiTheme="majorHAnsi" w:cstheme="majorBidi"/>
      <w:b/>
      <w:bCs/>
      <w:sz w:val="28"/>
      <w:szCs w:val="28"/>
    </w:rPr>
  </w:style>
  <w:style w:type="paragraph" w:styleId="Heading2">
    <w:name w:val="heading 2"/>
    <w:next w:val="NoSpacing"/>
    <w:link w:val="Heading2Char"/>
    <w:autoRedefine/>
    <w:uiPriority w:val="9"/>
    <w:unhideWhenUsed/>
    <w:qFormat/>
    <w:rsid w:val="00F52C6D"/>
    <w:pPr>
      <w:spacing w:after="0" w:line="240" w:lineRule="auto"/>
      <w:outlineLvl w:val="1"/>
    </w:pPr>
    <w:rPr>
      <w:rFonts w:eastAsiaTheme="majorEastAsia" w:cstheme="minorHAnsi"/>
      <w:b/>
      <w:bCs/>
    </w:rPr>
  </w:style>
  <w:style w:type="paragraph" w:styleId="Heading3">
    <w:name w:val="heading 3"/>
    <w:basedOn w:val="NoSpacing"/>
    <w:next w:val="Normal"/>
    <w:link w:val="Heading3Char"/>
    <w:uiPriority w:val="9"/>
    <w:unhideWhenUsed/>
    <w:qFormat/>
    <w:rsid w:val="00D24317"/>
    <w:pPr>
      <w:outlineLvl w:val="2"/>
    </w:pPr>
    <w:rPr>
      <w:b/>
    </w:rPr>
  </w:style>
  <w:style w:type="paragraph" w:styleId="Heading4">
    <w:name w:val="heading 4"/>
    <w:basedOn w:val="NoSpacing"/>
    <w:next w:val="Normal"/>
    <w:link w:val="Heading4Char"/>
    <w:uiPriority w:val="9"/>
    <w:unhideWhenUsed/>
    <w:qFormat/>
    <w:rsid w:val="00CF260D"/>
    <w:pPr>
      <w:numPr>
        <w:ilvl w:val="2"/>
        <w:numId w:val="3"/>
      </w:numPr>
      <w:ind w:left="0" w:firstLine="947"/>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B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5B18"/>
  </w:style>
  <w:style w:type="paragraph" w:styleId="Footer">
    <w:name w:val="footer"/>
    <w:basedOn w:val="NoSpacing"/>
    <w:link w:val="FooterChar"/>
    <w:uiPriority w:val="99"/>
    <w:unhideWhenUsed/>
    <w:rsid w:val="00E05B18"/>
    <w:pPr>
      <w:tabs>
        <w:tab w:val="center" w:pos="4536"/>
        <w:tab w:val="right" w:pos="9072"/>
      </w:tabs>
    </w:pPr>
  </w:style>
  <w:style w:type="character" w:customStyle="1" w:styleId="FooterChar">
    <w:name w:val="Footer Char"/>
    <w:basedOn w:val="DefaultParagraphFont"/>
    <w:link w:val="Footer"/>
    <w:uiPriority w:val="99"/>
    <w:rsid w:val="00A26C23"/>
  </w:style>
  <w:style w:type="paragraph" w:styleId="BalloonText">
    <w:name w:val="Balloon Text"/>
    <w:basedOn w:val="Normal"/>
    <w:link w:val="BalloonTextChar"/>
    <w:uiPriority w:val="99"/>
    <w:semiHidden/>
    <w:unhideWhenUsed/>
    <w:rsid w:val="00E05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B18"/>
    <w:rPr>
      <w:rFonts w:ascii="Tahoma" w:hAnsi="Tahoma" w:cs="Tahoma"/>
      <w:sz w:val="16"/>
      <w:szCs w:val="16"/>
    </w:rPr>
  </w:style>
  <w:style w:type="paragraph" w:styleId="NoSpacing">
    <w:name w:val="No Spacing"/>
    <w:uiPriority w:val="1"/>
    <w:qFormat/>
    <w:rsid w:val="00A37AEB"/>
    <w:pPr>
      <w:spacing w:after="0" w:line="240" w:lineRule="auto"/>
    </w:pPr>
  </w:style>
  <w:style w:type="paragraph" w:styleId="Title">
    <w:name w:val="Title"/>
    <w:basedOn w:val="NoSpacing"/>
    <w:next w:val="NoSpacing"/>
    <w:link w:val="TitleChar"/>
    <w:uiPriority w:val="10"/>
    <w:qFormat/>
    <w:rsid w:val="00D71B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735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5452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52C6D"/>
    <w:rPr>
      <w:rFonts w:eastAsiaTheme="majorEastAsia" w:cstheme="minorHAnsi"/>
      <w:b/>
      <w:bCs/>
    </w:rPr>
  </w:style>
  <w:style w:type="paragraph" w:styleId="Subtitle">
    <w:name w:val="Subtitle"/>
    <w:basedOn w:val="NoSpacing"/>
    <w:next w:val="NoSpacing"/>
    <w:link w:val="SubtitleChar"/>
    <w:uiPriority w:val="11"/>
    <w:qFormat/>
    <w:rsid w:val="005673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67357"/>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Spacing"/>
    <w:next w:val="NoSpacing"/>
    <w:link w:val="IntenseQuoteChar"/>
    <w:uiPriority w:val="30"/>
    <w:qFormat/>
    <w:rsid w:val="0056735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67357"/>
    <w:rPr>
      <w:b/>
      <w:bCs/>
      <w:i/>
      <w:iCs/>
      <w:color w:val="4F81BD" w:themeColor="accent1"/>
    </w:rPr>
  </w:style>
  <w:style w:type="table" w:styleId="TableGrid">
    <w:name w:val="Table Grid"/>
    <w:basedOn w:val="TableNormal"/>
    <w:uiPriority w:val="59"/>
    <w:rsid w:val="00ED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Spacing"/>
    <w:next w:val="NoSpacing"/>
    <w:uiPriority w:val="35"/>
    <w:unhideWhenUsed/>
    <w:qFormat/>
    <w:rsid w:val="00ED71F7"/>
    <w:rPr>
      <w:b/>
      <w:bCs/>
      <w:szCs w:val="18"/>
    </w:rPr>
  </w:style>
  <w:style w:type="paragraph" w:styleId="Quote">
    <w:name w:val="Quote"/>
    <w:basedOn w:val="NoSpacing"/>
    <w:next w:val="NoSpacing"/>
    <w:link w:val="QuoteChar"/>
    <w:uiPriority w:val="29"/>
    <w:qFormat/>
    <w:rsid w:val="009C4FD6"/>
    <w:rPr>
      <w:i/>
      <w:iCs/>
      <w:color w:val="000000" w:themeColor="text1"/>
    </w:rPr>
  </w:style>
  <w:style w:type="character" w:customStyle="1" w:styleId="QuoteChar">
    <w:name w:val="Quote Char"/>
    <w:basedOn w:val="DefaultParagraphFont"/>
    <w:link w:val="Quote"/>
    <w:uiPriority w:val="29"/>
    <w:rsid w:val="009C4FD6"/>
    <w:rPr>
      <w:i/>
      <w:iCs/>
      <w:color w:val="000000" w:themeColor="text1"/>
    </w:rPr>
  </w:style>
  <w:style w:type="paragraph" w:styleId="ListParagraph">
    <w:name w:val="List Paragraph"/>
    <w:basedOn w:val="NoSpacing"/>
    <w:uiPriority w:val="34"/>
    <w:qFormat/>
    <w:rsid w:val="009C4FD6"/>
    <w:pPr>
      <w:ind w:left="720"/>
      <w:contextualSpacing/>
    </w:pPr>
  </w:style>
  <w:style w:type="paragraph" w:styleId="FootnoteText">
    <w:name w:val="footnote text"/>
    <w:basedOn w:val="NoSpacing"/>
    <w:link w:val="FootnoteTextChar"/>
    <w:uiPriority w:val="99"/>
    <w:semiHidden/>
    <w:unhideWhenUsed/>
    <w:rsid w:val="00A26C23"/>
    <w:rPr>
      <w:sz w:val="20"/>
      <w:szCs w:val="20"/>
    </w:rPr>
  </w:style>
  <w:style w:type="character" w:customStyle="1" w:styleId="FootnoteTextChar">
    <w:name w:val="Footnote Text Char"/>
    <w:basedOn w:val="DefaultParagraphFont"/>
    <w:link w:val="FootnoteText"/>
    <w:uiPriority w:val="99"/>
    <w:semiHidden/>
    <w:rsid w:val="00A26C23"/>
    <w:rPr>
      <w:sz w:val="20"/>
      <w:szCs w:val="20"/>
    </w:rPr>
  </w:style>
  <w:style w:type="character" w:styleId="CommentReference">
    <w:name w:val="annotation reference"/>
    <w:basedOn w:val="DefaultParagraphFont"/>
    <w:uiPriority w:val="99"/>
    <w:unhideWhenUsed/>
    <w:rsid w:val="00CC291A"/>
    <w:rPr>
      <w:sz w:val="16"/>
      <w:szCs w:val="16"/>
    </w:rPr>
  </w:style>
  <w:style w:type="paragraph" w:styleId="CommentText">
    <w:name w:val="annotation text"/>
    <w:basedOn w:val="Normal"/>
    <w:link w:val="CommentTextChar"/>
    <w:uiPriority w:val="99"/>
    <w:unhideWhenUsed/>
    <w:rsid w:val="00CC291A"/>
    <w:pPr>
      <w:spacing w:line="240" w:lineRule="auto"/>
    </w:pPr>
    <w:rPr>
      <w:sz w:val="20"/>
      <w:szCs w:val="20"/>
    </w:rPr>
  </w:style>
  <w:style w:type="character" w:customStyle="1" w:styleId="CommentTextChar">
    <w:name w:val="Comment Text Char"/>
    <w:basedOn w:val="DefaultParagraphFont"/>
    <w:link w:val="CommentText"/>
    <w:uiPriority w:val="99"/>
    <w:rsid w:val="00CC291A"/>
    <w:rPr>
      <w:sz w:val="20"/>
      <w:szCs w:val="20"/>
    </w:rPr>
  </w:style>
  <w:style w:type="paragraph" w:styleId="CommentSubject">
    <w:name w:val="annotation subject"/>
    <w:basedOn w:val="CommentText"/>
    <w:next w:val="CommentText"/>
    <w:link w:val="CommentSubjectChar"/>
    <w:uiPriority w:val="99"/>
    <w:semiHidden/>
    <w:unhideWhenUsed/>
    <w:rsid w:val="00CC291A"/>
    <w:rPr>
      <w:b/>
      <w:bCs/>
    </w:rPr>
  </w:style>
  <w:style w:type="character" w:customStyle="1" w:styleId="CommentSubjectChar">
    <w:name w:val="Comment Subject Char"/>
    <w:basedOn w:val="CommentTextChar"/>
    <w:link w:val="CommentSubject"/>
    <w:uiPriority w:val="99"/>
    <w:semiHidden/>
    <w:rsid w:val="00CC291A"/>
    <w:rPr>
      <w:b/>
      <w:bCs/>
      <w:sz w:val="20"/>
      <w:szCs w:val="20"/>
    </w:rPr>
  </w:style>
  <w:style w:type="paragraph" w:customStyle="1" w:styleId="Char1">
    <w:name w:val="Char1"/>
    <w:basedOn w:val="Normal"/>
    <w:rsid w:val="00901473"/>
    <w:pPr>
      <w:spacing w:after="0" w:line="240" w:lineRule="auto"/>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unhideWhenUsed/>
    <w:rsid w:val="00617D04"/>
    <w:rPr>
      <w:color w:val="0000FF" w:themeColor="hyperlink"/>
      <w:u w:val="single"/>
    </w:rPr>
  </w:style>
  <w:style w:type="table" w:styleId="LightShading-Accent1">
    <w:name w:val="Light Shading Accent 1"/>
    <w:basedOn w:val="TableNormal"/>
    <w:uiPriority w:val="60"/>
    <w:rsid w:val="00F53F6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AB4F90"/>
    <w:rPr>
      <w:color w:val="800080" w:themeColor="followedHyperlink"/>
      <w:u w:val="single"/>
    </w:rPr>
  </w:style>
  <w:style w:type="character" w:styleId="FootnoteReference">
    <w:name w:val="footnote reference"/>
    <w:basedOn w:val="DefaultParagraphFont"/>
    <w:uiPriority w:val="99"/>
    <w:semiHidden/>
    <w:unhideWhenUsed/>
    <w:rsid w:val="00F262A2"/>
    <w:rPr>
      <w:vertAlign w:val="superscript"/>
    </w:rPr>
  </w:style>
  <w:style w:type="character" w:styleId="Emphasis">
    <w:name w:val="Emphasis"/>
    <w:uiPriority w:val="20"/>
    <w:qFormat/>
    <w:rsid w:val="000F0ABF"/>
    <w:rPr>
      <w:b/>
      <w:u w:val="single"/>
    </w:rPr>
  </w:style>
  <w:style w:type="character" w:styleId="SubtleEmphasis">
    <w:name w:val="Subtle Emphasis"/>
    <w:uiPriority w:val="19"/>
    <w:qFormat/>
    <w:rsid w:val="000F0ABF"/>
    <w:rPr>
      <w:b/>
    </w:rPr>
  </w:style>
  <w:style w:type="character" w:customStyle="1" w:styleId="Heading3Char">
    <w:name w:val="Heading 3 Char"/>
    <w:basedOn w:val="DefaultParagraphFont"/>
    <w:link w:val="Heading3"/>
    <w:uiPriority w:val="9"/>
    <w:rsid w:val="00D24317"/>
    <w:rPr>
      <w:b/>
    </w:rPr>
  </w:style>
  <w:style w:type="character" w:customStyle="1" w:styleId="Heading4Char">
    <w:name w:val="Heading 4 Char"/>
    <w:basedOn w:val="DefaultParagraphFont"/>
    <w:link w:val="Heading4"/>
    <w:uiPriority w:val="9"/>
    <w:rsid w:val="00CF260D"/>
    <w:rPr>
      <w:b/>
    </w:rPr>
  </w:style>
  <w:style w:type="paragraph" w:customStyle="1" w:styleId="Default">
    <w:name w:val="Default"/>
    <w:rsid w:val="00864D87"/>
    <w:pPr>
      <w:autoSpaceDE w:val="0"/>
      <w:autoSpaceDN w:val="0"/>
      <w:adjustRightInd w:val="0"/>
      <w:spacing w:after="0" w:line="240" w:lineRule="auto"/>
    </w:pPr>
    <w:rPr>
      <w:rFonts w:ascii="Myriad Pro" w:hAnsi="Myriad Pro" w:cs="Myriad Pro"/>
      <w:color w:val="000000"/>
      <w:sz w:val="24"/>
      <w:szCs w:val="24"/>
    </w:rPr>
  </w:style>
  <w:style w:type="paragraph" w:customStyle="1" w:styleId="Pa5">
    <w:name w:val="Pa5"/>
    <w:basedOn w:val="Default"/>
    <w:next w:val="Default"/>
    <w:uiPriority w:val="99"/>
    <w:rsid w:val="00864D87"/>
    <w:pPr>
      <w:spacing w:line="201" w:lineRule="atLeast"/>
    </w:pPr>
    <w:rPr>
      <w:rFonts w:cstheme="minorBidi"/>
      <w:color w:val="auto"/>
    </w:rPr>
  </w:style>
  <w:style w:type="paragraph" w:customStyle="1" w:styleId="Pa34">
    <w:name w:val="Pa34"/>
    <w:basedOn w:val="Default"/>
    <w:next w:val="Default"/>
    <w:uiPriority w:val="99"/>
    <w:rsid w:val="00864D87"/>
    <w:pPr>
      <w:spacing w:line="201" w:lineRule="atLeast"/>
    </w:pPr>
    <w:rPr>
      <w:rFonts w:cstheme="minorBidi"/>
      <w:color w:val="auto"/>
    </w:rPr>
  </w:style>
  <w:style w:type="paragraph" w:styleId="Revision">
    <w:name w:val="Revision"/>
    <w:hidden/>
    <w:uiPriority w:val="99"/>
    <w:semiHidden/>
    <w:rsid w:val="0009058C"/>
    <w:pPr>
      <w:spacing w:after="0" w:line="240" w:lineRule="auto"/>
    </w:pPr>
  </w:style>
  <w:style w:type="character" w:customStyle="1" w:styleId="apple-converted-space">
    <w:name w:val="apple-converted-space"/>
    <w:basedOn w:val="DefaultParagraphFont"/>
    <w:rsid w:val="009F3F80"/>
  </w:style>
  <w:style w:type="character" w:styleId="Strong">
    <w:name w:val="Strong"/>
    <w:basedOn w:val="DefaultParagraphFont"/>
    <w:qFormat/>
    <w:rsid w:val="009F3F80"/>
    <w:rPr>
      <w:b/>
      <w:bCs/>
    </w:rPr>
  </w:style>
  <w:style w:type="character" w:customStyle="1" w:styleId="shorttext">
    <w:name w:val="short_text"/>
    <w:basedOn w:val="DefaultParagraphFont"/>
    <w:rsid w:val="00EC6C99"/>
  </w:style>
  <w:style w:type="character" w:customStyle="1" w:styleId="dflfde">
    <w:name w:val="dflfde"/>
    <w:basedOn w:val="DefaultParagraphFont"/>
    <w:rsid w:val="00A077E0"/>
  </w:style>
  <w:style w:type="paragraph" w:styleId="NormalWeb">
    <w:name w:val="Normal (Web)"/>
    <w:basedOn w:val="Normal"/>
    <w:uiPriority w:val="99"/>
    <w:semiHidden/>
    <w:unhideWhenUsed/>
    <w:rsid w:val="004C0388"/>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alt-edited">
    <w:name w:val="alt-edited"/>
    <w:basedOn w:val="DefaultParagraphFont"/>
    <w:rsid w:val="00F65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523">
      <w:bodyDiv w:val="1"/>
      <w:marLeft w:val="0"/>
      <w:marRight w:val="0"/>
      <w:marTop w:val="0"/>
      <w:marBottom w:val="0"/>
      <w:divBdr>
        <w:top w:val="none" w:sz="0" w:space="0" w:color="auto"/>
        <w:left w:val="none" w:sz="0" w:space="0" w:color="auto"/>
        <w:bottom w:val="none" w:sz="0" w:space="0" w:color="auto"/>
        <w:right w:val="none" w:sz="0" w:space="0" w:color="auto"/>
      </w:divBdr>
    </w:div>
    <w:div w:id="74790089">
      <w:bodyDiv w:val="1"/>
      <w:marLeft w:val="0"/>
      <w:marRight w:val="0"/>
      <w:marTop w:val="0"/>
      <w:marBottom w:val="0"/>
      <w:divBdr>
        <w:top w:val="none" w:sz="0" w:space="0" w:color="auto"/>
        <w:left w:val="none" w:sz="0" w:space="0" w:color="auto"/>
        <w:bottom w:val="none" w:sz="0" w:space="0" w:color="auto"/>
        <w:right w:val="none" w:sz="0" w:space="0" w:color="auto"/>
      </w:divBdr>
    </w:div>
    <w:div w:id="159010485">
      <w:bodyDiv w:val="1"/>
      <w:marLeft w:val="0"/>
      <w:marRight w:val="0"/>
      <w:marTop w:val="0"/>
      <w:marBottom w:val="0"/>
      <w:divBdr>
        <w:top w:val="none" w:sz="0" w:space="0" w:color="auto"/>
        <w:left w:val="none" w:sz="0" w:space="0" w:color="auto"/>
        <w:bottom w:val="none" w:sz="0" w:space="0" w:color="auto"/>
        <w:right w:val="none" w:sz="0" w:space="0" w:color="auto"/>
      </w:divBdr>
    </w:div>
    <w:div w:id="228927475">
      <w:bodyDiv w:val="1"/>
      <w:marLeft w:val="0"/>
      <w:marRight w:val="0"/>
      <w:marTop w:val="0"/>
      <w:marBottom w:val="0"/>
      <w:divBdr>
        <w:top w:val="none" w:sz="0" w:space="0" w:color="auto"/>
        <w:left w:val="none" w:sz="0" w:space="0" w:color="auto"/>
        <w:bottom w:val="none" w:sz="0" w:space="0" w:color="auto"/>
        <w:right w:val="none" w:sz="0" w:space="0" w:color="auto"/>
      </w:divBdr>
    </w:div>
    <w:div w:id="511913276">
      <w:bodyDiv w:val="1"/>
      <w:marLeft w:val="0"/>
      <w:marRight w:val="0"/>
      <w:marTop w:val="0"/>
      <w:marBottom w:val="0"/>
      <w:divBdr>
        <w:top w:val="none" w:sz="0" w:space="0" w:color="auto"/>
        <w:left w:val="none" w:sz="0" w:space="0" w:color="auto"/>
        <w:bottom w:val="none" w:sz="0" w:space="0" w:color="auto"/>
        <w:right w:val="none" w:sz="0" w:space="0" w:color="auto"/>
      </w:divBdr>
    </w:div>
    <w:div w:id="562527775">
      <w:bodyDiv w:val="1"/>
      <w:marLeft w:val="0"/>
      <w:marRight w:val="0"/>
      <w:marTop w:val="0"/>
      <w:marBottom w:val="0"/>
      <w:divBdr>
        <w:top w:val="none" w:sz="0" w:space="0" w:color="auto"/>
        <w:left w:val="none" w:sz="0" w:space="0" w:color="auto"/>
        <w:bottom w:val="none" w:sz="0" w:space="0" w:color="auto"/>
        <w:right w:val="none" w:sz="0" w:space="0" w:color="auto"/>
      </w:divBdr>
    </w:div>
    <w:div w:id="794369471">
      <w:bodyDiv w:val="1"/>
      <w:marLeft w:val="0"/>
      <w:marRight w:val="0"/>
      <w:marTop w:val="0"/>
      <w:marBottom w:val="0"/>
      <w:divBdr>
        <w:top w:val="none" w:sz="0" w:space="0" w:color="auto"/>
        <w:left w:val="none" w:sz="0" w:space="0" w:color="auto"/>
        <w:bottom w:val="none" w:sz="0" w:space="0" w:color="auto"/>
        <w:right w:val="none" w:sz="0" w:space="0" w:color="auto"/>
      </w:divBdr>
    </w:div>
    <w:div w:id="836844708">
      <w:bodyDiv w:val="1"/>
      <w:marLeft w:val="0"/>
      <w:marRight w:val="0"/>
      <w:marTop w:val="0"/>
      <w:marBottom w:val="0"/>
      <w:divBdr>
        <w:top w:val="none" w:sz="0" w:space="0" w:color="auto"/>
        <w:left w:val="none" w:sz="0" w:space="0" w:color="auto"/>
        <w:bottom w:val="none" w:sz="0" w:space="0" w:color="auto"/>
        <w:right w:val="none" w:sz="0" w:space="0" w:color="auto"/>
      </w:divBdr>
    </w:div>
    <w:div w:id="887424565">
      <w:bodyDiv w:val="1"/>
      <w:marLeft w:val="0"/>
      <w:marRight w:val="0"/>
      <w:marTop w:val="0"/>
      <w:marBottom w:val="0"/>
      <w:divBdr>
        <w:top w:val="none" w:sz="0" w:space="0" w:color="auto"/>
        <w:left w:val="none" w:sz="0" w:space="0" w:color="auto"/>
        <w:bottom w:val="none" w:sz="0" w:space="0" w:color="auto"/>
        <w:right w:val="none" w:sz="0" w:space="0" w:color="auto"/>
      </w:divBdr>
    </w:div>
    <w:div w:id="1099566285">
      <w:bodyDiv w:val="1"/>
      <w:marLeft w:val="0"/>
      <w:marRight w:val="0"/>
      <w:marTop w:val="0"/>
      <w:marBottom w:val="0"/>
      <w:divBdr>
        <w:top w:val="none" w:sz="0" w:space="0" w:color="auto"/>
        <w:left w:val="none" w:sz="0" w:space="0" w:color="auto"/>
        <w:bottom w:val="none" w:sz="0" w:space="0" w:color="auto"/>
        <w:right w:val="none" w:sz="0" w:space="0" w:color="auto"/>
      </w:divBdr>
    </w:div>
    <w:div w:id="1188985882">
      <w:bodyDiv w:val="1"/>
      <w:marLeft w:val="0"/>
      <w:marRight w:val="0"/>
      <w:marTop w:val="0"/>
      <w:marBottom w:val="0"/>
      <w:divBdr>
        <w:top w:val="none" w:sz="0" w:space="0" w:color="auto"/>
        <w:left w:val="none" w:sz="0" w:space="0" w:color="auto"/>
        <w:bottom w:val="none" w:sz="0" w:space="0" w:color="auto"/>
        <w:right w:val="none" w:sz="0" w:space="0" w:color="auto"/>
      </w:divBdr>
    </w:div>
    <w:div w:id="1478111510">
      <w:bodyDiv w:val="1"/>
      <w:marLeft w:val="0"/>
      <w:marRight w:val="0"/>
      <w:marTop w:val="0"/>
      <w:marBottom w:val="0"/>
      <w:divBdr>
        <w:top w:val="none" w:sz="0" w:space="0" w:color="auto"/>
        <w:left w:val="none" w:sz="0" w:space="0" w:color="auto"/>
        <w:bottom w:val="none" w:sz="0" w:space="0" w:color="auto"/>
        <w:right w:val="none" w:sz="0" w:space="0" w:color="auto"/>
      </w:divBdr>
    </w:div>
    <w:div w:id="1525972944">
      <w:bodyDiv w:val="1"/>
      <w:marLeft w:val="0"/>
      <w:marRight w:val="0"/>
      <w:marTop w:val="0"/>
      <w:marBottom w:val="0"/>
      <w:divBdr>
        <w:top w:val="none" w:sz="0" w:space="0" w:color="auto"/>
        <w:left w:val="none" w:sz="0" w:space="0" w:color="auto"/>
        <w:bottom w:val="none" w:sz="0" w:space="0" w:color="auto"/>
        <w:right w:val="none" w:sz="0" w:space="0" w:color="auto"/>
      </w:divBdr>
    </w:div>
    <w:div w:id="1610043683">
      <w:bodyDiv w:val="1"/>
      <w:marLeft w:val="0"/>
      <w:marRight w:val="0"/>
      <w:marTop w:val="0"/>
      <w:marBottom w:val="0"/>
      <w:divBdr>
        <w:top w:val="none" w:sz="0" w:space="0" w:color="auto"/>
        <w:left w:val="none" w:sz="0" w:space="0" w:color="auto"/>
        <w:bottom w:val="none" w:sz="0" w:space="0" w:color="auto"/>
        <w:right w:val="none" w:sz="0" w:space="0" w:color="auto"/>
      </w:divBdr>
    </w:div>
    <w:div w:id="1642879809">
      <w:bodyDiv w:val="1"/>
      <w:marLeft w:val="0"/>
      <w:marRight w:val="0"/>
      <w:marTop w:val="0"/>
      <w:marBottom w:val="0"/>
      <w:divBdr>
        <w:top w:val="none" w:sz="0" w:space="0" w:color="auto"/>
        <w:left w:val="none" w:sz="0" w:space="0" w:color="auto"/>
        <w:bottom w:val="none" w:sz="0" w:space="0" w:color="auto"/>
        <w:right w:val="none" w:sz="0" w:space="0" w:color="auto"/>
      </w:divBdr>
    </w:div>
    <w:div w:id="1669477012">
      <w:bodyDiv w:val="1"/>
      <w:marLeft w:val="0"/>
      <w:marRight w:val="0"/>
      <w:marTop w:val="0"/>
      <w:marBottom w:val="0"/>
      <w:divBdr>
        <w:top w:val="none" w:sz="0" w:space="0" w:color="auto"/>
        <w:left w:val="none" w:sz="0" w:space="0" w:color="auto"/>
        <w:bottom w:val="none" w:sz="0" w:space="0" w:color="auto"/>
        <w:right w:val="none" w:sz="0" w:space="0" w:color="auto"/>
      </w:divBdr>
    </w:div>
    <w:div w:id="1845708577">
      <w:bodyDiv w:val="1"/>
      <w:marLeft w:val="0"/>
      <w:marRight w:val="0"/>
      <w:marTop w:val="0"/>
      <w:marBottom w:val="0"/>
      <w:divBdr>
        <w:top w:val="none" w:sz="0" w:space="0" w:color="auto"/>
        <w:left w:val="none" w:sz="0" w:space="0" w:color="auto"/>
        <w:bottom w:val="none" w:sz="0" w:space="0" w:color="auto"/>
        <w:right w:val="none" w:sz="0" w:space="0" w:color="auto"/>
      </w:divBdr>
    </w:div>
    <w:div w:id="1876457809">
      <w:bodyDiv w:val="1"/>
      <w:marLeft w:val="0"/>
      <w:marRight w:val="0"/>
      <w:marTop w:val="0"/>
      <w:marBottom w:val="0"/>
      <w:divBdr>
        <w:top w:val="none" w:sz="0" w:space="0" w:color="auto"/>
        <w:left w:val="none" w:sz="0" w:space="0" w:color="auto"/>
        <w:bottom w:val="none" w:sz="0" w:space="0" w:color="auto"/>
        <w:right w:val="none" w:sz="0" w:space="0" w:color="auto"/>
      </w:divBdr>
    </w:div>
    <w:div w:id="1915627580">
      <w:bodyDiv w:val="1"/>
      <w:marLeft w:val="0"/>
      <w:marRight w:val="0"/>
      <w:marTop w:val="0"/>
      <w:marBottom w:val="0"/>
      <w:divBdr>
        <w:top w:val="none" w:sz="0" w:space="0" w:color="auto"/>
        <w:left w:val="none" w:sz="0" w:space="0" w:color="auto"/>
        <w:bottom w:val="none" w:sz="0" w:space="0" w:color="auto"/>
        <w:right w:val="none" w:sz="0" w:space="0" w:color="auto"/>
      </w:divBdr>
    </w:div>
    <w:div w:id="1919747748">
      <w:bodyDiv w:val="1"/>
      <w:marLeft w:val="0"/>
      <w:marRight w:val="0"/>
      <w:marTop w:val="0"/>
      <w:marBottom w:val="0"/>
      <w:divBdr>
        <w:top w:val="none" w:sz="0" w:space="0" w:color="auto"/>
        <w:left w:val="none" w:sz="0" w:space="0" w:color="auto"/>
        <w:bottom w:val="none" w:sz="0" w:space="0" w:color="auto"/>
        <w:right w:val="none" w:sz="0" w:space="0" w:color="auto"/>
      </w:divBdr>
    </w:div>
    <w:div w:id="1938752362">
      <w:bodyDiv w:val="1"/>
      <w:marLeft w:val="0"/>
      <w:marRight w:val="0"/>
      <w:marTop w:val="0"/>
      <w:marBottom w:val="0"/>
      <w:divBdr>
        <w:top w:val="none" w:sz="0" w:space="0" w:color="auto"/>
        <w:left w:val="none" w:sz="0" w:space="0" w:color="auto"/>
        <w:bottom w:val="none" w:sz="0" w:space="0" w:color="auto"/>
        <w:right w:val="none" w:sz="0" w:space="0" w:color="auto"/>
      </w:divBdr>
    </w:div>
    <w:div w:id="2073191756">
      <w:bodyDiv w:val="1"/>
      <w:marLeft w:val="0"/>
      <w:marRight w:val="0"/>
      <w:marTop w:val="0"/>
      <w:marBottom w:val="0"/>
      <w:divBdr>
        <w:top w:val="none" w:sz="0" w:space="0" w:color="auto"/>
        <w:left w:val="none" w:sz="0" w:space="0" w:color="auto"/>
        <w:bottom w:val="none" w:sz="0" w:space="0" w:color="auto"/>
        <w:right w:val="none" w:sz="0" w:space="0" w:color="auto"/>
      </w:divBdr>
    </w:div>
    <w:div w:id="2091655367">
      <w:bodyDiv w:val="1"/>
      <w:marLeft w:val="0"/>
      <w:marRight w:val="0"/>
      <w:marTop w:val="0"/>
      <w:marBottom w:val="0"/>
      <w:divBdr>
        <w:top w:val="none" w:sz="0" w:space="0" w:color="auto"/>
        <w:left w:val="none" w:sz="0" w:space="0" w:color="auto"/>
        <w:bottom w:val="none" w:sz="0" w:space="0" w:color="auto"/>
        <w:right w:val="none" w:sz="0" w:space="0" w:color="auto"/>
      </w:divBdr>
    </w:div>
    <w:div w:id="209442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nkurrensverket.se/globalassets/publikationer/uppdragsforskning/forsk_rap_2015_3.pdf" TargetMode="External"/><Relationship Id="rId18" Type="http://schemas.openxmlformats.org/officeDocument/2006/relationships/hyperlink" Target="http://ec.europa.eu/dgs/home-affairs/what-we-do/policies/organized-crime-and-human-trafficking/corruption/anti-corruption-report/index_en.htm" TargetMode="External"/><Relationship Id="rId26" Type="http://schemas.openxmlformats.org/officeDocument/2006/relationships/hyperlink" Target="https://eojn.nn.hr/Oglasnik/" TargetMode="External"/><Relationship Id="rId3" Type="http://schemas.openxmlformats.org/officeDocument/2006/relationships/customXml" Target="../customXml/item3.xml"/><Relationship Id="rId21" Type="http://schemas.openxmlformats.org/officeDocument/2006/relationships/hyperlink" Target="http://www.mzoip.hr/doc/nacionalni_akcijski_plan_za_zelenu_javnu_nabavu.pdf" TargetMode="External"/><Relationship Id="rId7" Type="http://schemas.microsoft.com/office/2007/relationships/stylesWithEffects" Target="stylesWithEffects.xml"/><Relationship Id="rId12" Type="http://schemas.openxmlformats.org/officeDocument/2006/relationships/hyperlink" Target="http://bookshop.europa.eu/en/economic-efficiency-and-legal-effectiveness-of-review-and-remedies-procedures-for-public-contracts-pbKM0414023/" TargetMode="External"/><Relationship Id="rId17" Type="http://schemas.openxmlformats.org/officeDocument/2006/relationships/hyperlink" Target="http://www.govtransparency.eu/index.php/2015/11/13/toolkit-for-detecting-collusive-bidding-in-public-procurement/" TargetMode="External"/><Relationship Id="rId25" Type="http://schemas.openxmlformats.org/officeDocument/2006/relationships/hyperlink" Target="http://data.europa.eu/euodp/cs/data/dataset/ted-csv"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link.springer.com/article/10.1007%2Fs10610-016-9308-z" TargetMode="External"/><Relationship Id="rId20" Type="http://schemas.openxmlformats.org/officeDocument/2006/relationships/hyperlink" Target="http://www.zelenanabava.h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ec.europa.eu/environment/gpp/eu_gpp_criteria_en.htm" TargetMode="External"/><Relationship Id="rId32"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link.springer.com/article/10.1007%2Fs10610-016-9308-z" TargetMode="External"/><Relationship Id="rId23" Type="http://schemas.openxmlformats.org/officeDocument/2006/relationships/hyperlink" Target="mailto:zelena.nabava@mzoe.hr" TargetMode="External"/><Relationship Id="rId28" Type="http://schemas.openxmlformats.org/officeDocument/2006/relationships/hyperlink" Target="https://eojn.nn.hr" TargetMode="External"/><Relationship Id="rId10" Type="http://schemas.openxmlformats.org/officeDocument/2006/relationships/footnotes" Target="footnotes.xml"/><Relationship Id="rId19" Type="http://schemas.openxmlformats.org/officeDocument/2006/relationships/hyperlink" Target="http://ec.europa.eu/growth/smes/business-friendly-environment/sme-definition_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eaweb.org/articles?id=10.1257%2Fpol.20150511&amp;&amp;from=f" TargetMode="External"/><Relationship Id="rId22" Type="http://schemas.openxmlformats.org/officeDocument/2006/relationships/hyperlink" Target="http://www.zelenanabava.hr" TargetMode="External"/><Relationship Id="rId27" Type="http://schemas.openxmlformats.org/officeDocument/2006/relationships/hyperlink" Target="http://www.dkom.hr/"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CE50DB0DB094A96D070B1BFDF9444" ma:contentTypeVersion="0" ma:contentTypeDescription="Create a new document." ma:contentTypeScope="" ma:versionID="027926cb6e7b7cf56663ff3bc8e75ea7">
  <xsd:schema xmlns:xsd="http://www.w3.org/2001/XMLSchema" xmlns:xs="http://www.w3.org/2001/XMLSchema" xmlns:p="http://schemas.microsoft.com/office/2006/metadata/properties" targetNamespace="http://schemas.microsoft.com/office/2006/metadata/properties" ma:root="true" ma:fieldsID="3908ae204c6c644ae07194e013529a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C294F-28E5-4786-AF46-6D57342E5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073A97-BAC9-4528-933A-C675FEA011C4}">
  <ds:schemaRefs>
    <ds:schemaRef ds:uri="http://schemas.microsoft.com/sharepoint/v3/contenttype/forms"/>
  </ds:schemaRefs>
</ds:datastoreItem>
</file>

<file path=customXml/itemProps3.xml><?xml version="1.0" encoding="utf-8"?>
<ds:datastoreItem xmlns:ds="http://schemas.openxmlformats.org/officeDocument/2006/customXml" ds:itemID="{F97A79E7-2813-459F-AC71-1FFBD3A3CB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673662-0D6A-46BF-944B-FD06D588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31</Pages>
  <Words>9486</Words>
  <Characters>54073</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HERCHER Jachym (GROW)</dc:creator>
  <cp:lastModifiedBy>Matija Karaula</cp:lastModifiedBy>
  <cp:revision>6</cp:revision>
  <cp:lastPrinted>2016-12-19T14:35:00Z</cp:lastPrinted>
  <dcterms:created xsi:type="dcterms:W3CDTF">2018-08-09T05:18:00Z</dcterms:created>
  <dcterms:modified xsi:type="dcterms:W3CDTF">2018-08-17T12:39:00Z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0x010100FE2CE50DB0DB094A96D070B1BFDF9444</vt:lpwstr>
  </property>
  <property fmtid="{D5CDD505-2E9C-101B-9397-08002B2CF9AE}" pid="3" name="IsMyDocuments">
    <vt:bool>true</vt:bool>
  </property>
</Properties>
</file>