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B2" w:rsidRPr="007C39AF" w:rsidRDefault="001225C5" w:rsidP="007C39AF">
      <w:pPr>
        <w:jc w:val="center"/>
        <w:rPr>
          <w:b/>
          <w:caps/>
          <w:sz w:val="30"/>
          <w:szCs w:val="30"/>
        </w:rPr>
      </w:pPr>
      <w:r w:rsidRPr="007C39AF">
        <w:rPr>
          <w:b/>
          <w:sz w:val="30"/>
          <w:szCs w:val="30"/>
        </w:rPr>
        <w:t xml:space="preserve">Template for drafting a national market surveillance programme pursuant to </w:t>
      </w:r>
      <w:r w:rsidR="001B72B4">
        <w:rPr>
          <w:b/>
          <w:sz w:val="30"/>
          <w:szCs w:val="30"/>
        </w:rPr>
        <w:t>A</w:t>
      </w:r>
      <w:r w:rsidRPr="007C39AF">
        <w:rPr>
          <w:b/>
          <w:sz w:val="30"/>
          <w:szCs w:val="30"/>
        </w:rPr>
        <w:t>rticle 18(5) of Regulation (EC) No 765/2008</w:t>
      </w:r>
    </w:p>
    <w:p w:rsidR="0095557B" w:rsidRPr="00DE5199" w:rsidRDefault="0095557B" w:rsidP="007907D4">
      <w:r w:rsidRPr="00DE5199">
        <w:t xml:space="preserve"> </w:t>
      </w:r>
    </w:p>
    <w:p w:rsidR="0095557B" w:rsidRPr="00DE5199" w:rsidRDefault="0095557B" w:rsidP="007907D4"/>
    <w:p w:rsidR="0095557B" w:rsidRPr="00DE5199" w:rsidRDefault="0095557B" w:rsidP="007907D4"/>
    <w:p w:rsidR="0095557B" w:rsidRPr="00DE5199" w:rsidRDefault="0095557B" w:rsidP="007907D4"/>
    <w:p w:rsidR="0095557B" w:rsidRPr="00DE5199" w:rsidRDefault="0095557B" w:rsidP="007907D4"/>
    <w:p w:rsidR="0095557B" w:rsidRPr="00DE5199" w:rsidRDefault="0095557B" w:rsidP="007907D4"/>
    <w:p w:rsidR="0095557B" w:rsidRPr="009256C0" w:rsidRDefault="007907D4" w:rsidP="0095557B">
      <w:pPr>
        <w:jc w:val="center"/>
        <w:rPr>
          <w:b/>
          <w:i/>
          <w:sz w:val="40"/>
          <w:szCs w:val="40"/>
          <w:lang w:val="fr-BE"/>
        </w:rPr>
      </w:pPr>
      <w:r w:rsidRPr="009256C0">
        <w:rPr>
          <w:b/>
          <w:i/>
          <w:sz w:val="40"/>
          <w:szCs w:val="40"/>
          <w:lang w:val="fr-BE"/>
        </w:rPr>
        <w:t xml:space="preserve">NATIONAL MARKET SURVEILLANCE PROGRAMME </w:t>
      </w:r>
    </w:p>
    <w:p w:rsidR="0095557B" w:rsidRPr="009256C0" w:rsidRDefault="004E6B90" w:rsidP="0095557B">
      <w:pPr>
        <w:jc w:val="center"/>
        <w:rPr>
          <w:b/>
          <w:i/>
          <w:sz w:val="40"/>
          <w:szCs w:val="40"/>
          <w:u w:val="single"/>
          <w:lang w:val="fr-BE"/>
        </w:rPr>
      </w:pPr>
      <w:r w:rsidRPr="009256C0">
        <w:rPr>
          <w:b/>
          <w:i/>
          <w:sz w:val="40"/>
          <w:szCs w:val="40"/>
          <w:u w:val="single"/>
          <w:lang w:val="fr-BE"/>
        </w:rPr>
        <w:t>2015</w:t>
      </w:r>
    </w:p>
    <w:p w:rsidR="007907D4" w:rsidRPr="00FD61EB" w:rsidRDefault="004E6B90" w:rsidP="0095557B">
      <w:pPr>
        <w:jc w:val="center"/>
        <w:rPr>
          <w:b/>
          <w:i/>
          <w:sz w:val="40"/>
          <w:szCs w:val="40"/>
          <w:lang w:val="fr-FR"/>
        </w:rPr>
      </w:pPr>
      <w:r w:rsidRPr="009256C0">
        <w:rPr>
          <w:b/>
          <w:i/>
          <w:sz w:val="40"/>
          <w:szCs w:val="40"/>
          <w:lang w:val="fr-BE"/>
        </w:rPr>
        <w:t xml:space="preserve">Spain – </w:t>
      </w:r>
      <w:r w:rsidRPr="00FD61EB">
        <w:rPr>
          <w:b/>
          <w:i/>
          <w:sz w:val="40"/>
          <w:szCs w:val="40"/>
          <w:lang w:val="fr-FR"/>
        </w:rPr>
        <w:t>Consumer affairs</w:t>
      </w:r>
    </w:p>
    <w:p w:rsidR="0095557B" w:rsidRPr="009256C0" w:rsidRDefault="0095557B" w:rsidP="0095557B">
      <w:pPr>
        <w:jc w:val="center"/>
        <w:rPr>
          <w:b/>
          <w:i/>
          <w:lang w:val="fr-BE"/>
        </w:rPr>
      </w:pPr>
    </w:p>
    <w:p w:rsidR="0095557B" w:rsidRPr="009256C0" w:rsidRDefault="0095557B" w:rsidP="0095557B">
      <w:pPr>
        <w:jc w:val="center"/>
        <w:rPr>
          <w:i/>
          <w:lang w:val="fr-BE"/>
        </w:rPr>
      </w:pPr>
    </w:p>
    <w:p w:rsidR="0095557B" w:rsidRPr="009256C0" w:rsidRDefault="0095557B" w:rsidP="0095557B">
      <w:pPr>
        <w:jc w:val="center"/>
        <w:rPr>
          <w:i/>
          <w:lang w:val="fr-BE"/>
        </w:rPr>
      </w:pPr>
    </w:p>
    <w:p w:rsidR="0095557B" w:rsidRPr="009256C0" w:rsidRDefault="0095557B" w:rsidP="0095557B">
      <w:pPr>
        <w:jc w:val="center"/>
        <w:rPr>
          <w:i/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95557B" w:rsidRPr="009256C0" w:rsidRDefault="0095557B" w:rsidP="0095557B">
      <w:pPr>
        <w:jc w:val="center"/>
        <w:rPr>
          <w:lang w:val="fr-BE"/>
        </w:rPr>
      </w:pPr>
    </w:p>
    <w:p w:rsidR="002E5045" w:rsidRPr="009256C0" w:rsidRDefault="002E5045" w:rsidP="007C39AF">
      <w:pPr>
        <w:rPr>
          <w:lang w:val="fr-BE"/>
        </w:rPr>
      </w:pPr>
    </w:p>
    <w:p w:rsidR="002E5045" w:rsidRPr="00DE5199" w:rsidRDefault="002E5045">
      <w:pPr>
        <w:pStyle w:val="TOCHeading"/>
      </w:pPr>
      <w:r w:rsidRPr="00DE5199">
        <w:lastRenderedPageBreak/>
        <w:t>Contents</w:t>
      </w:r>
    </w:p>
    <w:p w:rsidR="00D71E77" w:rsidRDefault="00D71E7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426377894" w:history="1">
        <w:r w:rsidRPr="0060362D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General market surveillance organisation and infrastructure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895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Identification and responsibilities of national market surveillance authorities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896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Coordination and cooperation mechanisms between national market surveillance authorities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897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Cooperation between national market surveillance authorities and customs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898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Rapid information exchange system - RAPEX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899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ICSMS information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0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General description of market surveillance activities and relevant procedures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1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General framework of cooperation with other Member States and non-member states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2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Evaluation of market surveillance actions and 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3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Horizontal activities planned for the relevant period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hyperlink w:anchor="_Toc426377904" w:history="1">
        <w:r w:rsidRPr="0060362D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Market surveillance in specific sectors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5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Sector [Name from Annex 2, e.g.: Medical Devices]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3"/>
        <w:tabs>
          <w:tab w:val="left" w:pos="19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6" w:history="1">
        <w:r w:rsidRPr="0060362D">
          <w:rPr>
            <w:rStyle w:val="Hyperlink"/>
            <w:noProof/>
          </w:rPr>
          <w:t>2.1.1.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Responsible authority and contact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3"/>
        <w:tabs>
          <w:tab w:val="left" w:pos="19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7" w:history="1">
        <w:r w:rsidRPr="0060362D">
          <w:rPr>
            <w:rStyle w:val="Hyperlink"/>
            <w:noProof/>
          </w:rPr>
          <w:t>2.1.2.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Market surveillance procedures and 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3"/>
        <w:tabs>
          <w:tab w:val="left" w:pos="19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8" w:history="1">
        <w:r w:rsidRPr="0060362D">
          <w:rPr>
            <w:rStyle w:val="Hyperlink"/>
            <w:noProof/>
          </w:rPr>
          <w:t>2.1.3.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Report from activities carried out under the previous planning period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E77" w:rsidRDefault="00D71E77">
      <w:pPr>
        <w:pStyle w:val="TOC2"/>
        <w:tabs>
          <w:tab w:val="left" w:pos="10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26377909" w:history="1">
        <w:r w:rsidRPr="0060362D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Pr="0060362D">
          <w:rPr>
            <w:rStyle w:val="Hyperlink"/>
            <w:noProof/>
          </w:rPr>
          <w:t>Sector [e.g.: Cosmetics]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_Toc426377909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5045" w:rsidRPr="00DE5199" w:rsidRDefault="00D71E77">
      <w:r>
        <w:rPr>
          <w:caps/>
        </w:rPr>
        <w:fldChar w:fldCharType="end"/>
      </w:r>
    </w:p>
    <w:p w:rsidR="0095557B" w:rsidRPr="00853CDD" w:rsidRDefault="002E5045" w:rsidP="004E6B90">
      <w:pPr>
        <w:spacing w:after="0"/>
        <w:rPr>
          <w:lang w:val="en-US"/>
        </w:rPr>
      </w:pPr>
      <w:r w:rsidRPr="00DE5199">
        <w:br w:type="page"/>
      </w:r>
    </w:p>
    <w:p w:rsidR="000C034F" w:rsidRPr="00DE5199" w:rsidRDefault="004E6B90" w:rsidP="00425240">
      <w:pPr>
        <w:pStyle w:val="Heading1"/>
        <w:numPr>
          <w:ilvl w:val="0"/>
          <w:numId w:val="28"/>
        </w:numPr>
      </w:pPr>
      <w:bookmarkStart w:id="0" w:name="_Toc426377894"/>
      <w:r>
        <w:t>G</w:t>
      </w:r>
      <w:r w:rsidR="00371FB2">
        <w:t xml:space="preserve">eneral </w:t>
      </w:r>
      <w:r w:rsidR="00371FB2" w:rsidRPr="00DE5199">
        <w:t xml:space="preserve">market surveillance </w:t>
      </w:r>
      <w:r w:rsidR="000C034F" w:rsidRPr="00DE5199">
        <w:t xml:space="preserve">organisation and </w:t>
      </w:r>
      <w:r w:rsidR="00371FB2">
        <w:t>infrastructure</w:t>
      </w:r>
      <w:bookmarkEnd w:id="0"/>
    </w:p>
    <w:p w:rsidR="007760F7" w:rsidRPr="00853CDD" w:rsidRDefault="004E6B90" w:rsidP="004E6B90">
      <w:pPr>
        <w:ind w:left="480"/>
        <w:rPr>
          <w:i/>
          <w:color w:val="0000FF"/>
        </w:rPr>
      </w:pPr>
      <w:r>
        <w:rPr>
          <w:i/>
          <w:color w:val="0000FF"/>
        </w:rPr>
        <w:t>This market surveillance programme refers to authorities with competence for products addressed to consumers.</w:t>
      </w:r>
    </w:p>
    <w:p w:rsidR="000E5A7C" w:rsidRPr="00DE5199" w:rsidRDefault="003C5B83" w:rsidP="000C034F">
      <w:pPr>
        <w:pStyle w:val="Heading2"/>
      </w:pPr>
      <w:bookmarkStart w:id="1" w:name="_Toc386550854"/>
      <w:bookmarkStart w:id="2" w:name="_Toc426377895"/>
      <w:bookmarkEnd w:id="1"/>
      <w:r w:rsidRPr="00DE5199">
        <w:t xml:space="preserve">Identification and </w:t>
      </w:r>
      <w:r w:rsidR="00DF5F7E">
        <w:t>responsibilities</w:t>
      </w:r>
      <w:r w:rsidR="00DF5F7E" w:rsidRPr="00DE5199">
        <w:t xml:space="preserve"> </w:t>
      </w:r>
      <w:r w:rsidRPr="00DE5199">
        <w:t>of national market surveillance authorities</w:t>
      </w:r>
      <w:bookmarkEnd w:id="2"/>
    </w:p>
    <w:p w:rsidR="003C5B83" w:rsidRDefault="004E6B90" w:rsidP="004E6B90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The organisation of the Spanish State in </w:t>
      </w:r>
      <w:r w:rsidR="00FD61EB">
        <w:rPr>
          <w:i/>
          <w:color w:val="0000FF"/>
        </w:rPr>
        <w:t xml:space="preserve">Autonomous Communities </w:t>
      </w:r>
      <w:r>
        <w:rPr>
          <w:i/>
          <w:color w:val="0000FF"/>
        </w:rPr>
        <w:t xml:space="preserve">means that it is the </w:t>
      </w:r>
      <w:r w:rsidR="00FD61EB">
        <w:rPr>
          <w:i/>
          <w:color w:val="0000FF"/>
        </w:rPr>
        <w:t>latter</w:t>
      </w:r>
      <w:r>
        <w:rPr>
          <w:i/>
          <w:color w:val="0000FF"/>
        </w:rPr>
        <w:t xml:space="preserve"> that </w:t>
      </w:r>
      <w:r w:rsidR="00FD61EB">
        <w:rPr>
          <w:i/>
          <w:color w:val="0000FF"/>
        </w:rPr>
        <w:t>are primarily</w:t>
      </w:r>
      <w:r>
        <w:rPr>
          <w:i/>
          <w:color w:val="0000FF"/>
        </w:rPr>
        <w:t xml:space="preserve"> competen</w:t>
      </w:r>
      <w:r w:rsidR="00FD61EB">
        <w:rPr>
          <w:i/>
          <w:color w:val="0000FF"/>
        </w:rPr>
        <w:t>t</w:t>
      </w:r>
      <w:r>
        <w:rPr>
          <w:i/>
          <w:color w:val="0000FF"/>
        </w:rPr>
        <w:t xml:space="preserve"> for market surveillance.</w:t>
      </w:r>
    </w:p>
    <w:p w:rsidR="004E6B90" w:rsidRDefault="004E6B90" w:rsidP="004E6B90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As regards competence for market surveillance in the field of consumer products, it is the </w:t>
      </w:r>
      <w:r w:rsidR="00FD61EB">
        <w:rPr>
          <w:i/>
          <w:color w:val="0000FF"/>
        </w:rPr>
        <w:t xml:space="preserve">Autonomous Community authorities </w:t>
      </w:r>
      <w:r>
        <w:rPr>
          <w:i/>
          <w:color w:val="0000FF"/>
        </w:rPr>
        <w:t>that have executive powers.</w:t>
      </w:r>
    </w:p>
    <w:p w:rsidR="004E6B90" w:rsidRDefault="004E6B90" w:rsidP="004E6B90">
      <w:pPr>
        <w:ind w:left="360"/>
        <w:rPr>
          <w:i/>
          <w:color w:val="0000FF"/>
        </w:rPr>
      </w:pPr>
      <w:r w:rsidRPr="004E6B90">
        <w:rPr>
          <w:i/>
          <w:color w:val="0000FF"/>
        </w:rPr>
        <w:t xml:space="preserve">The </w:t>
      </w:r>
      <w:r w:rsidR="00FD61EB">
        <w:rPr>
          <w:i/>
          <w:color w:val="0000FF"/>
        </w:rPr>
        <w:t xml:space="preserve">main task of the </w:t>
      </w:r>
      <w:r w:rsidRPr="004E6B90">
        <w:rPr>
          <w:i/>
          <w:color w:val="0000FF"/>
        </w:rPr>
        <w:t xml:space="preserve">State authority, the </w:t>
      </w:r>
      <w:proofErr w:type="spellStart"/>
      <w:r w:rsidRPr="004E6B90">
        <w:rPr>
          <w:i/>
          <w:color w:val="0000FF"/>
        </w:rPr>
        <w:t>Agencia</w:t>
      </w:r>
      <w:proofErr w:type="spellEnd"/>
      <w:r w:rsidRPr="004E6B90">
        <w:rPr>
          <w:i/>
          <w:color w:val="0000FF"/>
        </w:rPr>
        <w:t xml:space="preserve"> Española de </w:t>
      </w:r>
      <w:proofErr w:type="spellStart"/>
      <w:r w:rsidRPr="004E6B90">
        <w:rPr>
          <w:i/>
          <w:color w:val="0000FF"/>
        </w:rPr>
        <w:t>Consumo</w:t>
      </w:r>
      <w:proofErr w:type="spellEnd"/>
      <w:r w:rsidRPr="004E6B90">
        <w:rPr>
          <w:i/>
          <w:color w:val="0000FF"/>
        </w:rPr>
        <w:t xml:space="preserve">, </w:t>
      </w:r>
      <w:proofErr w:type="spellStart"/>
      <w:r w:rsidRPr="004E6B90">
        <w:rPr>
          <w:i/>
          <w:color w:val="0000FF"/>
        </w:rPr>
        <w:t>Seguridad</w:t>
      </w:r>
      <w:proofErr w:type="spellEnd"/>
      <w:r w:rsidRPr="004E6B90">
        <w:rPr>
          <w:i/>
          <w:color w:val="0000FF"/>
        </w:rPr>
        <w:t xml:space="preserve"> </w:t>
      </w:r>
      <w:proofErr w:type="spellStart"/>
      <w:r w:rsidRPr="004E6B90">
        <w:rPr>
          <w:i/>
          <w:color w:val="0000FF"/>
        </w:rPr>
        <w:t>Alimentaria</w:t>
      </w:r>
      <w:proofErr w:type="spellEnd"/>
      <w:r w:rsidRPr="004E6B90">
        <w:rPr>
          <w:i/>
          <w:color w:val="0000FF"/>
        </w:rPr>
        <w:t xml:space="preserve"> y </w:t>
      </w:r>
      <w:proofErr w:type="spellStart"/>
      <w:r w:rsidRPr="004E6B90">
        <w:rPr>
          <w:i/>
          <w:color w:val="0000FF"/>
        </w:rPr>
        <w:t>Nutrición</w:t>
      </w:r>
      <w:proofErr w:type="spellEnd"/>
      <w:r w:rsidRPr="004E6B90">
        <w:rPr>
          <w:i/>
          <w:color w:val="0000FF"/>
        </w:rPr>
        <w:t xml:space="preserve"> (AECOSAN – Spanish Agenc</w:t>
      </w:r>
      <w:r>
        <w:rPr>
          <w:i/>
          <w:color w:val="0000FF"/>
        </w:rPr>
        <w:t>y</w:t>
      </w:r>
      <w:r w:rsidRPr="004E6B90">
        <w:rPr>
          <w:i/>
          <w:color w:val="0000FF"/>
        </w:rPr>
        <w:t xml:space="preserve"> for C</w:t>
      </w:r>
      <w:r>
        <w:rPr>
          <w:i/>
          <w:color w:val="0000FF"/>
        </w:rPr>
        <w:t>o</w:t>
      </w:r>
      <w:r w:rsidRPr="004E6B90">
        <w:rPr>
          <w:i/>
          <w:color w:val="0000FF"/>
        </w:rPr>
        <w:t>nsumer Affairs, Food Safety and Nutrition)</w:t>
      </w:r>
      <w:r>
        <w:rPr>
          <w:i/>
          <w:color w:val="0000FF"/>
        </w:rPr>
        <w:t xml:space="preserve"> </w:t>
      </w:r>
      <w:r w:rsidR="00FD61EB">
        <w:rPr>
          <w:i/>
          <w:color w:val="0000FF"/>
        </w:rPr>
        <w:t>is to</w:t>
      </w:r>
      <w:r>
        <w:rPr>
          <w:i/>
          <w:color w:val="0000FF"/>
        </w:rPr>
        <w:t xml:space="preserve"> coordinat</w:t>
      </w:r>
      <w:r w:rsidR="00FD61EB">
        <w:rPr>
          <w:i/>
          <w:color w:val="0000FF"/>
        </w:rPr>
        <w:t>e and provide</w:t>
      </w:r>
      <w:r>
        <w:rPr>
          <w:i/>
          <w:color w:val="0000FF"/>
        </w:rPr>
        <w:t xml:space="preserve"> technical support to the </w:t>
      </w:r>
      <w:r w:rsidR="00FD61EB">
        <w:rPr>
          <w:i/>
          <w:color w:val="0000FF"/>
        </w:rPr>
        <w:t xml:space="preserve">Autonomous Community </w:t>
      </w:r>
      <w:r>
        <w:rPr>
          <w:i/>
          <w:color w:val="0000FF"/>
        </w:rPr>
        <w:t>authorities. It has no executive powers.</w:t>
      </w:r>
    </w:p>
    <w:p w:rsidR="004E6B90" w:rsidRDefault="004E6B90" w:rsidP="004E6B90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It acts as a market surveillance authority </w:t>
      </w:r>
      <w:r w:rsidR="00FD61EB">
        <w:rPr>
          <w:i/>
          <w:color w:val="0000FF"/>
        </w:rPr>
        <w:t xml:space="preserve">only </w:t>
      </w:r>
      <w:r>
        <w:rPr>
          <w:i/>
          <w:color w:val="0000FF"/>
        </w:rPr>
        <w:t>in cases where the customs authorit</w:t>
      </w:r>
      <w:r w:rsidR="00FD61EB">
        <w:rPr>
          <w:i/>
          <w:color w:val="0000FF"/>
        </w:rPr>
        <w:t>ies</w:t>
      </w:r>
      <w:r>
        <w:rPr>
          <w:i/>
          <w:color w:val="0000FF"/>
        </w:rPr>
        <w:t xml:space="preserve"> ask for support on the basis of Articles 27-29 of </w:t>
      </w:r>
      <w:r w:rsidRPr="004E6B90">
        <w:rPr>
          <w:i/>
          <w:color w:val="0000FF"/>
        </w:rPr>
        <w:t xml:space="preserve">Regulation (EC) No </w:t>
      </w:r>
      <w:r w:rsidR="00091349">
        <w:rPr>
          <w:i/>
          <w:color w:val="0000FF"/>
        </w:rPr>
        <w:t>765/2008.</w:t>
      </w:r>
    </w:p>
    <w:p w:rsidR="00091349" w:rsidRDefault="00091349" w:rsidP="004E6B90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Other authorities </w:t>
      </w:r>
      <w:r w:rsidR="001B72B4">
        <w:rPr>
          <w:i/>
          <w:color w:val="0000FF"/>
        </w:rPr>
        <w:t>in</w:t>
      </w:r>
      <w:r>
        <w:rPr>
          <w:i/>
          <w:color w:val="0000FF"/>
        </w:rPr>
        <w:t xml:space="preserve"> other sectors may be organised centrally. The list of national authorities by sector has been forwarded to the Commission.</w:t>
      </w:r>
    </w:p>
    <w:p w:rsidR="00091349" w:rsidRPr="004E6B90" w:rsidRDefault="00091349" w:rsidP="004E6B90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Likewise, </w:t>
      </w:r>
      <w:r w:rsidR="00F462DB">
        <w:rPr>
          <w:i/>
          <w:color w:val="0000FF"/>
        </w:rPr>
        <w:t>contact details</w:t>
      </w:r>
      <w:r>
        <w:rPr>
          <w:i/>
          <w:color w:val="0000FF"/>
        </w:rPr>
        <w:t xml:space="preserve"> for the </w:t>
      </w:r>
      <w:r w:rsidR="00FD61EB">
        <w:rPr>
          <w:i/>
          <w:color w:val="0000FF"/>
        </w:rPr>
        <w:t xml:space="preserve">Autonomous Community authorities </w:t>
      </w:r>
      <w:r>
        <w:rPr>
          <w:i/>
          <w:color w:val="0000FF"/>
        </w:rPr>
        <w:t>responsible for consumer affairs have been fo</w:t>
      </w:r>
      <w:bookmarkStart w:id="3" w:name="_GoBack"/>
      <w:bookmarkEnd w:id="3"/>
      <w:r>
        <w:rPr>
          <w:i/>
          <w:color w:val="0000FF"/>
        </w:rPr>
        <w:t>rwarded.</w:t>
      </w:r>
    </w:p>
    <w:p w:rsidR="00D90773" w:rsidRPr="004E6B90" w:rsidRDefault="00D90773" w:rsidP="00D90773">
      <w:pPr>
        <w:ind w:left="720"/>
      </w:pPr>
    </w:p>
    <w:p w:rsidR="00D90773" w:rsidRPr="00DE5199" w:rsidRDefault="00D90773" w:rsidP="0005105C">
      <w:pPr>
        <w:pStyle w:val="Heading2"/>
      </w:pPr>
      <w:bookmarkStart w:id="4" w:name="_Toc426377896"/>
      <w:r w:rsidRPr="00DE5199">
        <w:t xml:space="preserve">Coordination </w:t>
      </w:r>
      <w:r w:rsidR="00AE2076">
        <w:t xml:space="preserve">and cooperation </w:t>
      </w:r>
      <w:r w:rsidRPr="00DE5199">
        <w:t>mechanisms between national market surveillance authorities</w:t>
      </w:r>
      <w:bookmarkEnd w:id="4"/>
    </w:p>
    <w:p w:rsidR="000E5A7C" w:rsidRPr="00853CDD" w:rsidRDefault="000E6C2D" w:rsidP="00091349">
      <w:pPr>
        <w:ind w:left="360"/>
        <w:rPr>
          <w:i/>
          <w:color w:val="0000FF"/>
        </w:rPr>
      </w:pPr>
      <w:r w:rsidRPr="00853CDD">
        <w:rPr>
          <w:i/>
          <w:color w:val="0000FF"/>
        </w:rPr>
        <w:t xml:space="preserve">This </w:t>
      </w:r>
      <w:r w:rsidR="0005105C" w:rsidRPr="00853CDD">
        <w:rPr>
          <w:i/>
          <w:color w:val="0000FF"/>
        </w:rPr>
        <w:t xml:space="preserve">section </w:t>
      </w:r>
      <w:r w:rsidRPr="00853CDD">
        <w:rPr>
          <w:i/>
          <w:color w:val="0000FF"/>
        </w:rPr>
        <w:t>explain</w:t>
      </w:r>
      <w:r w:rsidR="007254E9">
        <w:rPr>
          <w:i/>
          <w:color w:val="0000FF"/>
        </w:rPr>
        <w:t>s</w:t>
      </w:r>
      <w:r w:rsidRPr="00853CDD">
        <w:rPr>
          <w:i/>
          <w:color w:val="0000FF"/>
        </w:rPr>
        <w:t xml:space="preserve"> how the coordination </w:t>
      </w:r>
      <w:r w:rsidR="00574152" w:rsidRPr="00853CDD">
        <w:rPr>
          <w:i/>
          <w:color w:val="0000FF"/>
        </w:rPr>
        <w:t xml:space="preserve">between market surveillance authorities </w:t>
      </w:r>
      <w:r w:rsidRPr="00853CDD">
        <w:rPr>
          <w:i/>
          <w:color w:val="0000FF"/>
        </w:rPr>
        <w:t xml:space="preserve">is ensured </w:t>
      </w:r>
      <w:r w:rsidR="00FD646B" w:rsidRPr="00853CDD">
        <w:rPr>
          <w:i/>
          <w:color w:val="0000FF"/>
        </w:rPr>
        <w:t>in the relevant Member State</w:t>
      </w:r>
      <w:r w:rsidR="002D6D2D" w:rsidRPr="00853CDD">
        <w:rPr>
          <w:i/>
          <w:color w:val="0000FF"/>
        </w:rPr>
        <w:t>. For instance</w:t>
      </w:r>
      <w:r w:rsidR="00FD646B" w:rsidRPr="00853CDD">
        <w:rPr>
          <w:i/>
          <w:color w:val="0000FF"/>
        </w:rPr>
        <w:t>:</w:t>
      </w:r>
    </w:p>
    <w:p w:rsidR="000E6C2D" w:rsidRPr="00853CDD" w:rsidRDefault="00091349" w:rsidP="009919BE">
      <w:pPr>
        <w:numPr>
          <w:ilvl w:val="0"/>
          <w:numId w:val="20"/>
        </w:numPr>
        <w:rPr>
          <w:i/>
          <w:color w:val="0000FF"/>
        </w:rPr>
      </w:pPr>
      <w:r>
        <w:rPr>
          <w:i/>
          <w:color w:val="0000FF"/>
        </w:rPr>
        <w:t xml:space="preserve">There is no permanent or ad hoc body </w:t>
      </w:r>
      <w:r w:rsidR="007254E9">
        <w:rPr>
          <w:i/>
          <w:color w:val="0000FF"/>
        </w:rPr>
        <w:t xml:space="preserve">for coordination </w:t>
      </w:r>
      <w:r>
        <w:rPr>
          <w:i/>
          <w:color w:val="0000FF"/>
        </w:rPr>
        <w:t xml:space="preserve">between the national </w:t>
      </w:r>
      <w:r w:rsidR="007254E9">
        <w:rPr>
          <w:i/>
          <w:color w:val="0000FF"/>
        </w:rPr>
        <w:t xml:space="preserve">market surveillance </w:t>
      </w:r>
      <w:r>
        <w:rPr>
          <w:i/>
          <w:color w:val="0000FF"/>
        </w:rPr>
        <w:t>authorities.</w:t>
      </w:r>
    </w:p>
    <w:p w:rsidR="00FD646B" w:rsidRDefault="00091349" w:rsidP="00516067">
      <w:pPr>
        <w:ind w:left="360"/>
        <w:rPr>
          <w:i/>
          <w:color w:val="0000FF"/>
        </w:rPr>
      </w:pPr>
      <w:r>
        <w:rPr>
          <w:i/>
          <w:color w:val="0000FF"/>
        </w:rPr>
        <w:t>With regard to the consumer affairs authorities, there are various coordination bodies at different levels:</w:t>
      </w:r>
    </w:p>
    <w:p w:rsidR="00091349" w:rsidRDefault="00091349" w:rsidP="00516067">
      <w:pPr>
        <w:ind w:left="360"/>
        <w:rPr>
          <w:i/>
          <w:color w:val="0000FF"/>
        </w:rPr>
      </w:pPr>
      <w:r>
        <w:rPr>
          <w:b/>
          <w:i/>
          <w:color w:val="0000FF"/>
        </w:rPr>
        <w:t xml:space="preserve">– The </w:t>
      </w:r>
      <w:proofErr w:type="spellStart"/>
      <w:r>
        <w:rPr>
          <w:b/>
          <w:i/>
          <w:color w:val="0000FF"/>
        </w:rPr>
        <w:t>Interministerial</w:t>
      </w:r>
      <w:proofErr w:type="spellEnd"/>
      <w:r>
        <w:rPr>
          <w:b/>
          <w:i/>
          <w:color w:val="0000FF"/>
        </w:rPr>
        <w:t xml:space="preserve"> Consumer Affairs Committee</w:t>
      </w:r>
      <w:r>
        <w:rPr>
          <w:i/>
          <w:color w:val="0000FF"/>
        </w:rPr>
        <w:t xml:space="preserve">: this is made up </w:t>
      </w:r>
      <w:r w:rsidR="007254E9">
        <w:rPr>
          <w:i/>
          <w:color w:val="0000FF"/>
        </w:rPr>
        <w:t>of</w:t>
      </w:r>
      <w:r>
        <w:rPr>
          <w:i/>
          <w:color w:val="0000FF"/>
        </w:rPr>
        <w:t xml:space="preserve"> </w:t>
      </w:r>
      <w:r w:rsidRPr="00091349">
        <w:rPr>
          <w:i/>
          <w:color w:val="0000FF"/>
        </w:rPr>
        <w:t>representatives</w:t>
      </w:r>
      <w:r>
        <w:rPr>
          <w:i/>
          <w:color w:val="0000FF"/>
        </w:rPr>
        <w:t xml:space="preserve"> of the various ministries and chaired by the Ministry of Health, Social Services and Equality to which AECOSAN belongs.</w:t>
      </w:r>
    </w:p>
    <w:p w:rsidR="00091349" w:rsidRDefault="00091349" w:rsidP="00516067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– </w:t>
      </w:r>
      <w:r>
        <w:rPr>
          <w:b/>
          <w:i/>
          <w:color w:val="0000FF"/>
        </w:rPr>
        <w:t>Sectoral Consumer Affairs Conference</w:t>
      </w:r>
      <w:r>
        <w:rPr>
          <w:i/>
          <w:color w:val="0000FF"/>
        </w:rPr>
        <w:t xml:space="preserve">: this is chaired by the Secretary of State for Health and Consumer Affairs and is made up of the </w:t>
      </w:r>
      <w:r w:rsidR="007254E9">
        <w:rPr>
          <w:i/>
          <w:color w:val="0000FF"/>
        </w:rPr>
        <w:t>Autonomous Community consumer affairs ministers</w:t>
      </w:r>
      <w:r>
        <w:rPr>
          <w:i/>
          <w:color w:val="0000FF"/>
        </w:rPr>
        <w:t>.</w:t>
      </w:r>
    </w:p>
    <w:p w:rsidR="00091349" w:rsidRDefault="00091349" w:rsidP="00516067">
      <w:pPr>
        <w:ind w:left="360"/>
        <w:rPr>
          <w:i/>
          <w:color w:val="0000FF"/>
        </w:rPr>
      </w:pPr>
      <w:r w:rsidRPr="00091349">
        <w:rPr>
          <w:b/>
          <w:i/>
          <w:color w:val="0000FF"/>
        </w:rPr>
        <w:lastRenderedPageBreak/>
        <w:t xml:space="preserve">Consumer Affairs Cooperation </w:t>
      </w:r>
      <w:r>
        <w:rPr>
          <w:b/>
          <w:i/>
          <w:color w:val="0000FF"/>
        </w:rPr>
        <w:t>C</w:t>
      </w:r>
      <w:r w:rsidRPr="00091349">
        <w:rPr>
          <w:b/>
          <w:i/>
          <w:color w:val="0000FF"/>
        </w:rPr>
        <w:t>onference</w:t>
      </w:r>
      <w:r>
        <w:rPr>
          <w:i/>
          <w:color w:val="0000FF"/>
        </w:rPr>
        <w:t>:</w:t>
      </w:r>
      <w:r w:rsidR="009256C0">
        <w:rPr>
          <w:i/>
          <w:color w:val="0000FF"/>
        </w:rPr>
        <w:t xml:space="preserve"> this is a body at </w:t>
      </w:r>
      <w:r w:rsidR="007254E9">
        <w:rPr>
          <w:i/>
          <w:color w:val="0000FF"/>
        </w:rPr>
        <w:t>the</w:t>
      </w:r>
      <w:r w:rsidR="009256C0">
        <w:rPr>
          <w:i/>
          <w:color w:val="0000FF"/>
        </w:rPr>
        <w:t xml:space="preserve"> lowe</w:t>
      </w:r>
      <w:r w:rsidR="007254E9">
        <w:rPr>
          <w:i/>
          <w:color w:val="0000FF"/>
        </w:rPr>
        <w:t>st</w:t>
      </w:r>
      <w:r w:rsidR="009256C0">
        <w:rPr>
          <w:i/>
          <w:color w:val="0000FF"/>
        </w:rPr>
        <w:t xml:space="preserve"> level of the </w:t>
      </w:r>
      <w:r w:rsidR="007254E9">
        <w:rPr>
          <w:i/>
          <w:color w:val="0000FF"/>
        </w:rPr>
        <w:t xml:space="preserve">Autonomous Community consumer affairs authorities </w:t>
      </w:r>
      <w:r w:rsidR="009256C0">
        <w:rPr>
          <w:i/>
          <w:color w:val="0000FF"/>
        </w:rPr>
        <w:t>chaired by the Executive Director of AECOSAN.</w:t>
      </w:r>
    </w:p>
    <w:p w:rsidR="009256C0" w:rsidRDefault="009256C0" w:rsidP="00516067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These groups </w:t>
      </w:r>
      <w:r w:rsidR="007254E9">
        <w:rPr>
          <w:i/>
          <w:color w:val="0000FF"/>
        </w:rPr>
        <w:t xml:space="preserve">generally </w:t>
      </w:r>
      <w:r>
        <w:rPr>
          <w:i/>
          <w:color w:val="0000FF"/>
        </w:rPr>
        <w:t xml:space="preserve">take decisions </w:t>
      </w:r>
      <w:r w:rsidR="007254E9">
        <w:rPr>
          <w:i/>
          <w:color w:val="0000FF"/>
        </w:rPr>
        <w:t xml:space="preserve">on the basis of input from </w:t>
      </w:r>
      <w:r>
        <w:rPr>
          <w:i/>
          <w:color w:val="0000FF"/>
        </w:rPr>
        <w:t xml:space="preserve">working groups made up of technicians from the </w:t>
      </w:r>
      <w:r w:rsidR="007254E9">
        <w:rPr>
          <w:i/>
          <w:color w:val="0000FF"/>
        </w:rPr>
        <w:t xml:space="preserve">Autonomous Communities </w:t>
      </w:r>
      <w:r>
        <w:rPr>
          <w:i/>
          <w:color w:val="0000FF"/>
        </w:rPr>
        <w:t xml:space="preserve">and the central administration: Standards Group, Market Surveillance Group. Generally </w:t>
      </w:r>
      <w:r w:rsidR="007254E9">
        <w:rPr>
          <w:i/>
          <w:color w:val="0000FF"/>
        </w:rPr>
        <w:t xml:space="preserve">the </w:t>
      </w:r>
      <w:r>
        <w:rPr>
          <w:i/>
          <w:color w:val="0000FF"/>
        </w:rPr>
        <w:t>decisions are taken by consensus.</w:t>
      </w:r>
    </w:p>
    <w:p w:rsidR="009256C0" w:rsidRDefault="009256C0" w:rsidP="00516067">
      <w:pPr>
        <w:ind w:left="360"/>
        <w:rPr>
          <w:i/>
          <w:color w:val="0000FF"/>
        </w:rPr>
      </w:pPr>
      <w:r>
        <w:rPr>
          <w:i/>
          <w:color w:val="0000FF"/>
        </w:rPr>
        <w:t>These working groups meet every 40 to 60 days to coordinate their activities and establish criteria for market surveillance.</w:t>
      </w:r>
    </w:p>
    <w:p w:rsidR="009256C0" w:rsidRDefault="009256C0" w:rsidP="00516067">
      <w:pPr>
        <w:ind w:left="360"/>
        <w:rPr>
          <w:i/>
          <w:color w:val="0000FF"/>
        </w:rPr>
      </w:pPr>
      <w:r>
        <w:rPr>
          <w:i/>
          <w:color w:val="0000FF"/>
        </w:rPr>
        <w:t>Likewise</w:t>
      </w:r>
      <w:r w:rsidR="007254E9">
        <w:rPr>
          <w:i/>
          <w:color w:val="0000FF"/>
        </w:rPr>
        <w:t>,</w:t>
      </w:r>
      <w:r>
        <w:rPr>
          <w:i/>
          <w:color w:val="0000FF"/>
        </w:rPr>
        <w:t xml:space="preserve"> there is a procedure for interpreting</w:t>
      </w:r>
      <w:r w:rsidR="00A805CC">
        <w:rPr>
          <w:i/>
          <w:color w:val="0000FF"/>
        </w:rPr>
        <w:t xml:space="preserve"> standards when there are doubts</w:t>
      </w:r>
      <w:r w:rsidR="007254E9">
        <w:rPr>
          <w:i/>
          <w:color w:val="0000FF"/>
        </w:rPr>
        <w:t>,</w:t>
      </w:r>
      <w:r w:rsidR="00A805CC">
        <w:rPr>
          <w:i/>
          <w:color w:val="0000FF"/>
        </w:rPr>
        <w:t xml:space="preserve"> in which the </w:t>
      </w:r>
      <w:r w:rsidR="007254E9">
        <w:rPr>
          <w:i/>
          <w:color w:val="0000FF"/>
        </w:rPr>
        <w:t xml:space="preserve">Autonomous Communities </w:t>
      </w:r>
      <w:r w:rsidR="00A805CC">
        <w:rPr>
          <w:i/>
          <w:color w:val="0000FF"/>
        </w:rPr>
        <w:t>and the central administration affected are involved in order to arrive at a common interpretation and to apply it in a uniform manner throughout Spain.</w:t>
      </w:r>
    </w:p>
    <w:p w:rsidR="00A805CC" w:rsidRDefault="00A805CC" w:rsidP="00516067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There are procedures </w:t>
      </w:r>
      <w:r w:rsidR="007254E9">
        <w:rPr>
          <w:i/>
          <w:color w:val="0000FF"/>
        </w:rPr>
        <w:t>in place</w:t>
      </w:r>
      <w:r>
        <w:rPr>
          <w:i/>
          <w:color w:val="0000FF"/>
        </w:rPr>
        <w:t xml:space="preserve"> for selecting national monitoring campaigns. These are campaigns in which more than one </w:t>
      </w:r>
      <w:r w:rsidR="007254E9">
        <w:rPr>
          <w:i/>
          <w:color w:val="0000FF"/>
        </w:rPr>
        <w:t xml:space="preserve">Autonomous Community </w:t>
      </w:r>
      <w:r>
        <w:rPr>
          <w:i/>
          <w:color w:val="0000FF"/>
        </w:rPr>
        <w:t>participates.</w:t>
      </w:r>
    </w:p>
    <w:p w:rsidR="00A805CC" w:rsidRPr="00091349" w:rsidRDefault="00A805CC" w:rsidP="00516067">
      <w:pPr>
        <w:ind w:left="360"/>
        <w:rPr>
          <w:color w:val="0000FF"/>
        </w:rPr>
      </w:pPr>
      <w:r>
        <w:rPr>
          <w:i/>
          <w:color w:val="0000FF"/>
        </w:rPr>
        <w:t xml:space="preserve">The </w:t>
      </w:r>
      <w:r w:rsidR="007254E9">
        <w:rPr>
          <w:i/>
          <w:color w:val="0000FF"/>
        </w:rPr>
        <w:t xml:space="preserve">Autonomous Communities </w:t>
      </w:r>
      <w:r>
        <w:rPr>
          <w:i/>
          <w:color w:val="0000FF"/>
        </w:rPr>
        <w:t xml:space="preserve">may </w:t>
      </w:r>
      <w:r w:rsidR="007254E9">
        <w:rPr>
          <w:i/>
          <w:color w:val="0000FF"/>
        </w:rPr>
        <w:t xml:space="preserve">decide to </w:t>
      </w:r>
      <w:r>
        <w:rPr>
          <w:i/>
          <w:color w:val="0000FF"/>
        </w:rPr>
        <w:t>conduct campaign</w:t>
      </w:r>
      <w:r w:rsidR="007254E9">
        <w:rPr>
          <w:i/>
          <w:color w:val="0000FF"/>
        </w:rPr>
        <w:t>s</w:t>
      </w:r>
      <w:r>
        <w:rPr>
          <w:i/>
          <w:color w:val="0000FF"/>
        </w:rPr>
        <w:t xml:space="preserve"> themselves.</w:t>
      </w:r>
    </w:p>
    <w:p w:rsidR="008F449F" w:rsidRPr="00DE5199" w:rsidRDefault="008F449F" w:rsidP="000E5A7C"/>
    <w:p w:rsidR="0088671C" w:rsidRPr="00DE5199" w:rsidRDefault="0088671C" w:rsidP="00740B26">
      <w:pPr>
        <w:pStyle w:val="Heading2"/>
      </w:pPr>
      <w:bookmarkStart w:id="5" w:name="_Toc426377897"/>
      <w:r w:rsidRPr="00DE5199">
        <w:t>Cooperation between national market surveillance authorities and customs</w:t>
      </w:r>
      <w:bookmarkEnd w:id="5"/>
    </w:p>
    <w:p w:rsidR="00A805CC" w:rsidRDefault="007254E9" w:rsidP="00A805CC">
      <w:pPr>
        <w:ind w:left="360"/>
        <w:rPr>
          <w:i/>
          <w:color w:val="0000FF"/>
        </w:rPr>
      </w:pPr>
      <w:r>
        <w:rPr>
          <w:i/>
          <w:color w:val="0000FF"/>
        </w:rPr>
        <w:t>Arrangements for c</w:t>
      </w:r>
      <w:r w:rsidR="00A805CC">
        <w:rPr>
          <w:i/>
          <w:color w:val="0000FF"/>
        </w:rPr>
        <w:t xml:space="preserve">ooperation between the customs authorities and the consumer affairs authorities, especially with regard to the application of Articles 27-29 of </w:t>
      </w:r>
      <w:r w:rsidR="00A805CC" w:rsidRPr="00A805CC">
        <w:rPr>
          <w:i/>
          <w:color w:val="0000FF"/>
        </w:rPr>
        <w:t xml:space="preserve">Regulation (EC) No </w:t>
      </w:r>
      <w:r w:rsidR="00A805CC">
        <w:rPr>
          <w:i/>
          <w:color w:val="0000FF"/>
        </w:rPr>
        <w:t>765/2008</w:t>
      </w:r>
      <w:r>
        <w:rPr>
          <w:i/>
          <w:color w:val="0000FF"/>
        </w:rPr>
        <w:t>,</w:t>
      </w:r>
      <w:r w:rsidR="00A805CC">
        <w:rPr>
          <w:i/>
          <w:color w:val="0000FF"/>
        </w:rPr>
        <w:t xml:space="preserve"> </w:t>
      </w:r>
      <w:r>
        <w:rPr>
          <w:i/>
          <w:color w:val="0000FF"/>
        </w:rPr>
        <w:t>are in place</w:t>
      </w:r>
      <w:r w:rsidR="00A805CC">
        <w:rPr>
          <w:i/>
          <w:color w:val="0000FF"/>
        </w:rPr>
        <w:t xml:space="preserve"> and are </w:t>
      </w:r>
      <w:r>
        <w:rPr>
          <w:i/>
          <w:color w:val="0000FF"/>
        </w:rPr>
        <w:t>implemented</w:t>
      </w:r>
      <w:r w:rsidR="00A805CC">
        <w:rPr>
          <w:i/>
          <w:color w:val="0000FF"/>
        </w:rPr>
        <w:t xml:space="preserve"> systematically.</w:t>
      </w:r>
    </w:p>
    <w:p w:rsidR="00A805CC" w:rsidRDefault="00A805CC" w:rsidP="00A805CC">
      <w:pPr>
        <w:ind w:left="360"/>
        <w:rPr>
          <w:i/>
          <w:color w:val="0000FF"/>
        </w:rPr>
      </w:pPr>
      <w:r>
        <w:rPr>
          <w:i/>
          <w:color w:val="0000FF"/>
        </w:rPr>
        <w:t>In such cases, AECOSAN acts as a market surveillance authority, taking action whenever the customs authorities so request.</w:t>
      </w:r>
    </w:p>
    <w:p w:rsidR="00A805CC" w:rsidRDefault="00A805CC" w:rsidP="00A805CC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In Spain there is another border control body: SOIVRE. It comes under </w:t>
      </w:r>
      <w:r w:rsidR="00F462DB">
        <w:rPr>
          <w:i/>
          <w:color w:val="0000FF"/>
        </w:rPr>
        <w:t>External Trade</w:t>
      </w:r>
      <w:r>
        <w:rPr>
          <w:i/>
          <w:color w:val="0000FF"/>
        </w:rPr>
        <w:t xml:space="preserve"> and monitors a series of products before they reach the customs offices. It conducts surveillance activities with regard to documents, inspections and testing. For the sectors of products, toys, textiles, shoes, some </w:t>
      </w:r>
      <w:r w:rsidR="006016CD">
        <w:rPr>
          <w:i/>
          <w:color w:val="0000FF"/>
        </w:rPr>
        <w:t>personal protective equipment</w:t>
      </w:r>
      <w:r>
        <w:rPr>
          <w:i/>
          <w:color w:val="0000FF"/>
        </w:rPr>
        <w:t>, some electrical products and wood products and their derivatives</w:t>
      </w:r>
      <w:r w:rsidR="006016CD">
        <w:rPr>
          <w:i/>
          <w:color w:val="0000FF"/>
        </w:rPr>
        <w:t>,</w:t>
      </w:r>
      <w:r>
        <w:rPr>
          <w:i/>
          <w:color w:val="0000FF"/>
        </w:rPr>
        <w:t xml:space="preserve"> a </w:t>
      </w:r>
      <w:r w:rsidR="00F462DB">
        <w:rPr>
          <w:i/>
          <w:color w:val="0000FF"/>
        </w:rPr>
        <w:t xml:space="preserve">safety </w:t>
      </w:r>
      <w:r>
        <w:rPr>
          <w:i/>
          <w:color w:val="0000FF"/>
        </w:rPr>
        <w:t xml:space="preserve">certificate must be obtained </w:t>
      </w:r>
      <w:r w:rsidR="00EC60D5">
        <w:rPr>
          <w:i/>
          <w:color w:val="0000FF"/>
        </w:rPr>
        <w:t xml:space="preserve">in advance </w:t>
      </w:r>
      <w:r>
        <w:rPr>
          <w:i/>
          <w:color w:val="0000FF"/>
        </w:rPr>
        <w:t>from SOIVRE</w:t>
      </w:r>
      <w:r w:rsidR="006016CD">
        <w:rPr>
          <w:i/>
          <w:color w:val="0000FF"/>
        </w:rPr>
        <w:t xml:space="preserve"> </w:t>
      </w:r>
      <w:r>
        <w:rPr>
          <w:i/>
          <w:color w:val="0000FF"/>
        </w:rPr>
        <w:t xml:space="preserve">so that customs can release </w:t>
      </w:r>
      <w:r w:rsidR="006016CD">
        <w:rPr>
          <w:i/>
          <w:color w:val="0000FF"/>
        </w:rPr>
        <w:t>them</w:t>
      </w:r>
      <w:r>
        <w:rPr>
          <w:i/>
          <w:color w:val="0000FF"/>
        </w:rPr>
        <w:t xml:space="preserve"> for free circulation.</w:t>
      </w:r>
    </w:p>
    <w:p w:rsidR="00A805CC" w:rsidRDefault="00A805CC" w:rsidP="00A805CC">
      <w:pPr>
        <w:ind w:left="360"/>
        <w:rPr>
          <w:i/>
          <w:color w:val="0000FF"/>
        </w:rPr>
      </w:pPr>
      <w:r>
        <w:rPr>
          <w:i/>
          <w:color w:val="0000FF"/>
        </w:rPr>
        <w:t>The interaction between AECOSAN and this organisation is ongoing and flexible.</w:t>
      </w:r>
    </w:p>
    <w:p w:rsidR="00DF4ECA" w:rsidRDefault="00DF4ECA" w:rsidP="00A805CC">
      <w:pPr>
        <w:ind w:left="360"/>
        <w:rPr>
          <w:i/>
          <w:color w:val="0000FF"/>
        </w:rPr>
      </w:pPr>
      <w:r w:rsidRPr="00DF4ECA">
        <w:rPr>
          <w:i/>
          <w:color w:val="0000FF"/>
        </w:rPr>
        <w:t xml:space="preserve">AECOSAN has a laboratory for </w:t>
      </w:r>
      <w:r w:rsidR="006016CD">
        <w:rPr>
          <w:i/>
          <w:color w:val="0000FF"/>
        </w:rPr>
        <w:t>testing</w:t>
      </w:r>
      <w:r>
        <w:rPr>
          <w:i/>
          <w:color w:val="0000FF"/>
        </w:rPr>
        <w:t xml:space="preserve"> consumer products (CICC) which lends technical support and conducts testing for border control bodies as well as working for the </w:t>
      </w:r>
      <w:r w:rsidR="006016CD">
        <w:rPr>
          <w:i/>
          <w:color w:val="0000FF"/>
        </w:rPr>
        <w:t xml:space="preserve">Autonomous Communities’ </w:t>
      </w:r>
      <w:r>
        <w:rPr>
          <w:i/>
          <w:color w:val="0000FF"/>
        </w:rPr>
        <w:t>consumer affairs authorities.</w:t>
      </w:r>
    </w:p>
    <w:p w:rsidR="00DF4ECA" w:rsidRPr="00A805CC" w:rsidRDefault="00DF4ECA" w:rsidP="00A805CC">
      <w:pPr>
        <w:ind w:left="360"/>
        <w:rPr>
          <w:i/>
          <w:color w:val="0000FF"/>
        </w:rPr>
      </w:pPr>
    </w:p>
    <w:p w:rsidR="00FD646B" w:rsidRPr="00DE5199" w:rsidRDefault="00F506A3" w:rsidP="00740B26">
      <w:pPr>
        <w:pStyle w:val="Heading2"/>
      </w:pPr>
      <w:bookmarkStart w:id="6" w:name="_Toc426377898"/>
      <w:r>
        <w:t xml:space="preserve">Rapid information exchange system </w:t>
      </w:r>
      <w:r w:rsidR="00125479">
        <w:t xml:space="preserve">- </w:t>
      </w:r>
      <w:r w:rsidR="00330904" w:rsidRPr="00DE5199">
        <w:t>RAPEX</w:t>
      </w:r>
      <w:bookmarkEnd w:id="6"/>
    </w:p>
    <w:p w:rsidR="00DF4ECA" w:rsidRDefault="00DF4ECA" w:rsidP="00DF4ECA">
      <w:pPr>
        <w:ind w:left="360"/>
        <w:rPr>
          <w:i/>
          <w:color w:val="0000FF"/>
        </w:rPr>
      </w:pPr>
      <w:r>
        <w:rPr>
          <w:i/>
          <w:color w:val="0000FF"/>
        </w:rPr>
        <w:t>AECOSAN is the contact point for RAPEX at national level.</w:t>
      </w:r>
    </w:p>
    <w:p w:rsidR="00DF4ECA" w:rsidRDefault="00DF4ECA" w:rsidP="00DF4ECA">
      <w:pPr>
        <w:ind w:left="360"/>
        <w:rPr>
          <w:i/>
          <w:color w:val="0000FF"/>
        </w:rPr>
      </w:pPr>
      <w:r>
        <w:rPr>
          <w:i/>
          <w:color w:val="0000FF"/>
        </w:rPr>
        <w:lastRenderedPageBreak/>
        <w:t>It receives communications from the market surveillance authorities</w:t>
      </w:r>
      <w:r w:rsidR="0042018D">
        <w:rPr>
          <w:i/>
          <w:color w:val="0000FF"/>
        </w:rPr>
        <w:t>,</w:t>
      </w:r>
      <w:r>
        <w:rPr>
          <w:i/>
          <w:color w:val="0000FF"/>
        </w:rPr>
        <w:t xml:space="preserve"> from producers and from SOIVRE.</w:t>
      </w:r>
    </w:p>
    <w:p w:rsidR="00DF4ECA" w:rsidRDefault="00DF4ECA" w:rsidP="00DF4ECA">
      <w:pPr>
        <w:ind w:left="360"/>
        <w:rPr>
          <w:i/>
          <w:color w:val="0000FF"/>
        </w:rPr>
      </w:pPr>
      <w:r>
        <w:rPr>
          <w:i/>
          <w:color w:val="0000FF"/>
        </w:rPr>
        <w:t>The RAPEX team processes these communications and forwards them to the Commission after studying them.</w:t>
      </w:r>
    </w:p>
    <w:p w:rsidR="00DF4ECA" w:rsidRDefault="00DF4ECA" w:rsidP="00DF4ECA">
      <w:pPr>
        <w:ind w:left="360"/>
        <w:rPr>
          <w:i/>
          <w:color w:val="0000FF"/>
        </w:rPr>
      </w:pPr>
      <w:r>
        <w:rPr>
          <w:i/>
          <w:color w:val="0000FF"/>
        </w:rPr>
        <w:t>Procedures are in place to conduct these activities.</w:t>
      </w:r>
    </w:p>
    <w:p w:rsidR="00DF4ECA" w:rsidRDefault="00DF4ECA" w:rsidP="00DF4ECA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There is an internal communication system between the </w:t>
      </w:r>
      <w:r w:rsidR="00E5565B">
        <w:rPr>
          <w:i/>
          <w:color w:val="0000FF"/>
        </w:rPr>
        <w:t xml:space="preserve">Autonomous Communities </w:t>
      </w:r>
      <w:r>
        <w:rPr>
          <w:i/>
          <w:color w:val="0000FF"/>
        </w:rPr>
        <w:t xml:space="preserve">and AECOSAN which mirrors </w:t>
      </w:r>
      <w:r w:rsidR="00F462DB" w:rsidRPr="00F462DB">
        <w:rPr>
          <w:i/>
          <w:color w:val="0000FF"/>
        </w:rPr>
        <w:t>the SIRI system</w:t>
      </w:r>
      <w:r w:rsidR="00F462DB">
        <w:rPr>
          <w:i/>
          <w:color w:val="0000FF"/>
        </w:rPr>
        <w:t xml:space="preserve"> </w:t>
      </w:r>
      <w:r>
        <w:rPr>
          <w:i/>
          <w:color w:val="0000FF"/>
        </w:rPr>
        <w:t>at European level,.</w:t>
      </w:r>
    </w:p>
    <w:p w:rsidR="00DF4ECA" w:rsidRPr="00A805CC" w:rsidRDefault="00DF4ECA" w:rsidP="00DF4ECA">
      <w:pPr>
        <w:ind w:left="360"/>
        <w:rPr>
          <w:i/>
          <w:color w:val="0000FF"/>
        </w:rPr>
      </w:pPr>
    </w:p>
    <w:p w:rsidR="00F506A3" w:rsidRPr="00DE5199" w:rsidRDefault="00125479" w:rsidP="00F506A3">
      <w:pPr>
        <w:pStyle w:val="Heading2"/>
      </w:pPr>
      <w:bookmarkStart w:id="7" w:name="_Toc426377899"/>
      <w:r>
        <w:t>ICSMS information system</w:t>
      </w:r>
      <w:bookmarkEnd w:id="7"/>
    </w:p>
    <w:p w:rsidR="00DF4ECA" w:rsidRPr="00406B08" w:rsidRDefault="00DF4ECA" w:rsidP="00DF4ECA">
      <w:pPr>
        <w:ind w:left="360"/>
        <w:rPr>
          <w:color w:val="0000FF"/>
        </w:rPr>
      </w:pPr>
      <w:r w:rsidRPr="00406B08">
        <w:rPr>
          <w:color w:val="0000FF"/>
        </w:rPr>
        <w:t>AECOSAN is the national contact point for the ICSMS system.</w:t>
      </w:r>
    </w:p>
    <w:p w:rsidR="00DF4ECA" w:rsidRPr="00406B08" w:rsidRDefault="00E5565B" w:rsidP="00DF4ECA">
      <w:pPr>
        <w:ind w:left="360"/>
        <w:rPr>
          <w:color w:val="0000FF"/>
        </w:rPr>
      </w:pPr>
      <w:r w:rsidRPr="00406B08">
        <w:rPr>
          <w:color w:val="0000FF"/>
        </w:rPr>
        <w:t xml:space="preserve">AECOSAN </w:t>
      </w:r>
      <w:r>
        <w:rPr>
          <w:color w:val="0000FF"/>
        </w:rPr>
        <w:t>has conducted c</w:t>
      </w:r>
      <w:r w:rsidR="00DF4ECA" w:rsidRPr="00406B08">
        <w:rPr>
          <w:color w:val="0000FF"/>
        </w:rPr>
        <w:t xml:space="preserve">ourses </w:t>
      </w:r>
      <w:r>
        <w:rPr>
          <w:color w:val="0000FF"/>
        </w:rPr>
        <w:t>for</w:t>
      </w:r>
      <w:r w:rsidR="00DF4ECA" w:rsidRPr="00406B08">
        <w:rPr>
          <w:color w:val="0000FF"/>
        </w:rPr>
        <w:t xml:space="preserve"> all</w:t>
      </w:r>
      <w:r w:rsidR="00406B08" w:rsidRPr="00406B08">
        <w:rPr>
          <w:color w:val="0000FF"/>
        </w:rPr>
        <w:t xml:space="preserve"> sectoral authorities at national level and </w:t>
      </w:r>
      <w:r w:rsidR="00F462DB">
        <w:rPr>
          <w:color w:val="0000FF"/>
        </w:rPr>
        <w:t>for</w:t>
      </w:r>
      <w:r w:rsidR="00406B08" w:rsidRPr="00406B08">
        <w:rPr>
          <w:color w:val="0000FF"/>
        </w:rPr>
        <w:t xml:space="preserve"> the </w:t>
      </w:r>
      <w:r>
        <w:rPr>
          <w:color w:val="0000FF"/>
        </w:rPr>
        <w:t>Autonomous Community</w:t>
      </w:r>
      <w:r w:rsidRPr="00406B08">
        <w:rPr>
          <w:color w:val="0000FF"/>
        </w:rPr>
        <w:t xml:space="preserve"> </w:t>
      </w:r>
      <w:r w:rsidR="00406B08" w:rsidRPr="00406B08">
        <w:rPr>
          <w:color w:val="0000FF"/>
        </w:rPr>
        <w:t>consumer affairs authorities.</w:t>
      </w:r>
    </w:p>
    <w:p w:rsidR="00406B08" w:rsidRPr="00406B08" w:rsidRDefault="00406B08" w:rsidP="00DF4ECA">
      <w:pPr>
        <w:ind w:left="360"/>
        <w:rPr>
          <w:color w:val="0000FF"/>
        </w:rPr>
      </w:pPr>
      <w:r w:rsidRPr="00406B08">
        <w:rPr>
          <w:color w:val="0000FF"/>
        </w:rPr>
        <w:t>In principle all</w:t>
      </w:r>
      <w:r>
        <w:rPr>
          <w:color w:val="0000FF"/>
        </w:rPr>
        <w:t xml:space="preserve"> product areas should be covered. However, appl</w:t>
      </w:r>
      <w:r w:rsidR="00E5565B">
        <w:rPr>
          <w:color w:val="0000FF"/>
        </w:rPr>
        <w:t xml:space="preserve">ication of the system is progressing </w:t>
      </w:r>
      <w:r>
        <w:rPr>
          <w:color w:val="0000FF"/>
        </w:rPr>
        <w:t>slow</w:t>
      </w:r>
      <w:r w:rsidR="00E5565B">
        <w:rPr>
          <w:color w:val="0000FF"/>
        </w:rPr>
        <w:t>ly</w:t>
      </w:r>
      <w:r>
        <w:rPr>
          <w:color w:val="0000FF"/>
        </w:rPr>
        <w:t xml:space="preserve"> because the existing databases are not compatible with ICSMS and work is </w:t>
      </w:r>
      <w:r w:rsidR="00F462DB">
        <w:rPr>
          <w:color w:val="0000FF"/>
        </w:rPr>
        <w:t xml:space="preserve">being </w:t>
      </w:r>
      <w:r>
        <w:rPr>
          <w:color w:val="0000FF"/>
        </w:rPr>
        <w:t>duplicated</w:t>
      </w:r>
      <w:r w:rsidR="00E5565B">
        <w:rPr>
          <w:color w:val="0000FF"/>
        </w:rPr>
        <w:t>,</w:t>
      </w:r>
      <w:r>
        <w:rPr>
          <w:color w:val="0000FF"/>
        </w:rPr>
        <w:t xml:space="preserve"> which is not an incentive to use ICSMS.</w:t>
      </w:r>
    </w:p>
    <w:p w:rsidR="009C4414" w:rsidRPr="00DE5199" w:rsidRDefault="009C4414" w:rsidP="009C4414"/>
    <w:p w:rsidR="00330904" w:rsidRPr="00DE5199" w:rsidRDefault="00986C01" w:rsidP="00740B26">
      <w:pPr>
        <w:pStyle w:val="Heading2"/>
      </w:pPr>
      <w:bookmarkStart w:id="8" w:name="_Toc426377900"/>
      <w:r w:rsidRPr="00DE5199">
        <w:t>General d</w:t>
      </w:r>
      <w:r w:rsidR="00402A5E" w:rsidRPr="00DE5199">
        <w:t xml:space="preserve">escription of market surveillance </w:t>
      </w:r>
      <w:r w:rsidRPr="00DE5199">
        <w:t>activities</w:t>
      </w:r>
      <w:r w:rsidR="0010113F">
        <w:t xml:space="preserve"> and relevant procedures</w:t>
      </w:r>
      <w:bookmarkEnd w:id="8"/>
    </w:p>
    <w:p w:rsidR="00406B08" w:rsidRPr="00406B08" w:rsidRDefault="00406B08" w:rsidP="00406B08">
      <w:pPr>
        <w:ind w:left="360"/>
        <w:rPr>
          <w:i/>
          <w:color w:val="0000FF"/>
        </w:rPr>
      </w:pPr>
      <w:r>
        <w:rPr>
          <w:i/>
          <w:color w:val="0000FF"/>
        </w:rPr>
        <w:t>Activities in the consumer products sector are summarised in the attached table.</w:t>
      </w:r>
    </w:p>
    <w:p w:rsidR="00BC293A" w:rsidRPr="00853CDD" w:rsidRDefault="00BC293A" w:rsidP="000E5A7C">
      <w:pPr>
        <w:rPr>
          <w:i/>
          <w:color w:val="0000FF"/>
        </w:rPr>
      </w:pPr>
    </w:p>
    <w:p w:rsidR="00330904" w:rsidRPr="00DE5199" w:rsidRDefault="00A973CC" w:rsidP="00740B26">
      <w:pPr>
        <w:pStyle w:val="Heading2"/>
      </w:pPr>
      <w:bookmarkStart w:id="9" w:name="_Toc426377901"/>
      <w:r>
        <w:t>General framework of c</w:t>
      </w:r>
      <w:r w:rsidR="00A978C3" w:rsidRPr="00DE5199">
        <w:t xml:space="preserve">ooperation with other Member States and </w:t>
      </w:r>
      <w:r w:rsidR="0046729E">
        <w:t>non-member states</w:t>
      </w:r>
      <w:bookmarkEnd w:id="9"/>
    </w:p>
    <w:p w:rsidR="00F462DB" w:rsidRDefault="00A978C3" w:rsidP="00425240">
      <w:pPr>
        <w:numPr>
          <w:ilvl w:val="0"/>
          <w:numId w:val="24"/>
        </w:numPr>
        <w:rPr>
          <w:i/>
          <w:color w:val="0000FF"/>
        </w:rPr>
      </w:pPr>
      <w:r w:rsidRPr="00E5565B">
        <w:rPr>
          <w:i/>
          <w:color w:val="0000FF"/>
        </w:rPr>
        <w:t xml:space="preserve">partnering Member State(s) and/or </w:t>
      </w:r>
      <w:r w:rsidR="0046729E" w:rsidRPr="00E5565B">
        <w:rPr>
          <w:i/>
          <w:color w:val="0000FF"/>
        </w:rPr>
        <w:t xml:space="preserve">other </w:t>
      </w:r>
      <w:r w:rsidRPr="00E5565B">
        <w:rPr>
          <w:i/>
          <w:color w:val="0000FF"/>
        </w:rPr>
        <w:t>countr</w:t>
      </w:r>
      <w:r w:rsidR="00F462DB">
        <w:rPr>
          <w:i/>
          <w:color w:val="0000FF"/>
        </w:rPr>
        <w:t>ies</w:t>
      </w:r>
      <w:r w:rsidR="008D25BF" w:rsidRPr="00E5565B">
        <w:rPr>
          <w:i/>
          <w:color w:val="0000FF"/>
        </w:rPr>
        <w:t>;</w:t>
      </w:r>
    </w:p>
    <w:p w:rsidR="002B1C4F" w:rsidRPr="00E5565B" w:rsidRDefault="008D25BF" w:rsidP="00425240">
      <w:pPr>
        <w:numPr>
          <w:ilvl w:val="0"/>
          <w:numId w:val="24"/>
        </w:numPr>
        <w:rPr>
          <w:i/>
          <w:color w:val="0000FF"/>
        </w:rPr>
      </w:pPr>
      <w:r w:rsidRPr="00E5565B">
        <w:rPr>
          <w:i/>
          <w:color w:val="0000FF"/>
        </w:rPr>
        <w:t xml:space="preserve"> cooperation mechanisms</w:t>
      </w:r>
      <w:r w:rsidR="002B1C4F" w:rsidRPr="00E5565B">
        <w:rPr>
          <w:i/>
          <w:color w:val="0000FF"/>
        </w:rPr>
        <w:t>;</w:t>
      </w:r>
    </w:p>
    <w:p w:rsidR="00A978C3" w:rsidRPr="00853CDD" w:rsidRDefault="00F92017" w:rsidP="00425240">
      <w:pPr>
        <w:numPr>
          <w:ilvl w:val="0"/>
          <w:numId w:val="24"/>
        </w:numPr>
        <w:rPr>
          <w:i/>
          <w:color w:val="0000FF"/>
        </w:rPr>
      </w:pPr>
      <w:r w:rsidRPr="00853CDD">
        <w:rPr>
          <w:i/>
          <w:color w:val="0000FF"/>
        </w:rPr>
        <w:t>scope and timeline of cooperation.</w:t>
      </w:r>
    </w:p>
    <w:p w:rsidR="00B72D60" w:rsidRPr="00853CDD" w:rsidRDefault="00B72D60" w:rsidP="008D25BF">
      <w:pPr>
        <w:ind w:left="360"/>
        <w:rPr>
          <w:i/>
          <w:color w:val="0000FF"/>
        </w:rPr>
      </w:pPr>
      <w:r w:rsidRPr="00853CDD">
        <w:rPr>
          <w:i/>
          <w:color w:val="0000FF"/>
        </w:rPr>
        <w:t xml:space="preserve">To avoid duplication, </w:t>
      </w:r>
      <w:r w:rsidR="00DC48B4" w:rsidRPr="00853CDD">
        <w:rPr>
          <w:i/>
          <w:color w:val="0000FF"/>
        </w:rPr>
        <w:t>this section should refer to horizontal forms of cooperation</w:t>
      </w:r>
      <w:r w:rsidR="00DC6DF4">
        <w:rPr>
          <w:i/>
          <w:color w:val="0000FF"/>
        </w:rPr>
        <w:t xml:space="preserve"> if any</w:t>
      </w:r>
      <w:r w:rsidR="00DC48B4" w:rsidRPr="00853CDD">
        <w:rPr>
          <w:i/>
          <w:color w:val="0000FF"/>
        </w:rPr>
        <w:t xml:space="preserve">, while </w:t>
      </w:r>
      <w:r w:rsidRPr="00853CDD">
        <w:rPr>
          <w:i/>
          <w:color w:val="0000FF"/>
        </w:rPr>
        <w:t>sector</w:t>
      </w:r>
      <w:r w:rsidR="00763936">
        <w:rPr>
          <w:i/>
          <w:color w:val="0000FF"/>
        </w:rPr>
        <w:t>-</w:t>
      </w:r>
      <w:r w:rsidRPr="00853CDD">
        <w:rPr>
          <w:i/>
          <w:color w:val="0000FF"/>
        </w:rPr>
        <w:t>specific forms of cooperation should be covered under section 2.1.</w:t>
      </w:r>
      <w:r w:rsidR="00A973CC" w:rsidRPr="00853CDD">
        <w:rPr>
          <w:i/>
          <w:color w:val="0000FF"/>
        </w:rPr>
        <w:t xml:space="preserve">2 (and analogous sections 2.2.2, 2.3.2, etc.) </w:t>
      </w:r>
      <w:r w:rsidRPr="00853CDD">
        <w:rPr>
          <w:i/>
          <w:color w:val="0000FF"/>
        </w:rPr>
        <w:t>below</w:t>
      </w:r>
      <w:r w:rsidR="008D25BF">
        <w:rPr>
          <w:i/>
          <w:color w:val="0000FF"/>
        </w:rPr>
        <w:t>.</w:t>
      </w:r>
    </w:p>
    <w:p w:rsidR="00335F28" w:rsidRPr="00DE5199" w:rsidRDefault="00335F28" w:rsidP="00335F28">
      <w:pPr>
        <w:pStyle w:val="Heading2"/>
      </w:pPr>
      <w:bookmarkStart w:id="10" w:name="_Toc392663948"/>
      <w:bookmarkStart w:id="11" w:name="_Toc392667169"/>
      <w:bookmarkStart w:id="12" w:name="_Toc392667558"/>
      <w:bookmarkStart w:id="13" w:name="_Toc426377902"/>
      <w:bookmarkEnd w:id="10"/>
      <w:bookmarkEnd w:id="11"/>
      <w:bookmarkEnd w:id="12"/>
      <w:r w:rsidRPr="00DE5199">
        <w:t xml:space="preserve">Evaluation of </w:t>
      </w:r>
      <w:r w:rsidR="00763936">
        <w:t>m</w:t>
      </w:r>
      <w:r w:rsidRPr="00DE5199">
        <w:t>arket surveillance actions and reporting</w:t>
      </w:r>
      <w:bookmarkEnd w:id="13"/>
    </w:p>
    <w:p w:rsidR="001231E8" w:rsidRDefault="008D25BF" w:rsidP="00425240">
      <w:pPr>
        <w:numPr>
          <w:ilvl w:val="0"/>
          <w:numId w:val="24"/>
        </w:numPr>
        <w:rPr>
          <w:i/>
          <w:color w:val="0000FF"/>
        </w:rPr>
      </w:pPr>
      <w:r>
        <w:rPr>
          <w:i/>
          <w:color w:val="0000FF"/>
        </w:rPr>
        <w:t xml:space="preserve">Market surveillance activities are published on both the AECOSAN website and those of the </w:t>
      </w:r>
      <w:r w:rsidR="00E5565B">
        <w:rPr>
          <w:i/>
          <w:color w:val="0000FF"/>
        </w:rPr>
        <w:t>various</w:t>
      </w:r>
      <w:r>
        <w:rPr>
          <w:i/>
          <w:color w:val="0000FF"/>
        </w:rPr>
        <w:t xml:space="preserve"> </w:t>
      </w:r>
      <w:r w:rsidR="00E5565B">
        <w:rPr>
          <w:i/>
          <w:color w:val="0000FF"/>
        </w:rPr>
        <w:t>Autonomous Communities</w:t>
      </w:r>
      <w:r>
        <w:rPr>
          <w:i/>
          <w:color w:val="0000FF"/>
        </w:rPr>
        <w:t>.</w:t>
      </w:r>
    </w:p>
    <w:p w:rsidR="008D25BF" w:rsidRPr="00853CDD" w:rsidRDefault="008D25BF" w:rsidP="00425240">
      <w:pPr>
        <w:numPr>
          <w:ilvl w:val="0"/>
          <w:numId w:val="24"/>
        </w:numPr>
        <w:rPr>
          <w:i/>
          <w:color w:val="0000FF"/>
        </w:rPr>
      </w:pPr>
      <w:r>
        <w:rPr>
          <w:i/>
          <w:color w:val="0000FF"/>
        </w:rPr>
        <w:t xml:space="preserve">They are accessible </w:t>
      </w:r>
      <w:r w:rsidR="00E5565B">
        <w:rPr>
          <w:i/>
          <w:color w:val="0000FF"/>
        </w:rPr>
        <w:t>to</w:t>
      </w:r>
      <w:r>
        <w:rPr>
          <w:i/>
          <w:color w:val="0000FF"/>
        </w:rPr>
        <w:t xml:space="preserve"> the public as a whole.</w:t>
      </w:r>
    </w:p>
    <w:p w:rsidR="00EE0420" w:rsidRPr="00DE5199" w:rsidRDefault="00EE0420" w:rsidP="00EE0420">
      <w:pPr>
        <w:pStyle w:val="Heading2"/>
      </w:pPr>
      <w:bookmarkStart w:id="14" w:name="_Toc426377903"/>
      <w:r w:rsidRPr="00DE5199">
        <w:lastRenderedPageBreak/>
        <w:t xml:space="preserve">Horizontal </w:t>
      </w:r>
      <w:r>
        <w:t>activities planned for the relevant period</w:t>
      </w:r>
      <w:bookmarkEnd w:id="14"/>
    </w:p>
    <w:p w:rsidR="008D25BF" w:rsidRDefault="008D25BF" w:rsidP="008D25BF">
      <w:pPr>
        <w:ind w:left="360"/>
        <w:rPr>
          <w:i/>
          <w:color w:val="0000FF"/>
        </w:rPr>
      </w:pPr>
      <w:r>
        <w:rPr>
          <w:i/>
          <w:color w:val="0000FF"/>
        </w:rPr>
        <w:t>No structural changes in market surveillance are planned.</w:t>
      </w:r>
    </w:p>
    <w:p w:rsidR="008D25BF" w:rsidRDefault="008D25BF" w:rsidP="008D25BF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The main activity is coordinating the national authorities by sector </w:t>
      </w:r>
      <w:r w:rsidR="00C66461">
        <w:rPr>
          <w:i/>
          <w:color w:val="0000FF"/>
        </w:rPr>
        <w:t>in order to avoid duplicating</w:t>
      </w:r>
      <w:r>
        <w:rPr>
          <w:i/>
          <w:color w:val="0000FF"/>
        </w:rPr>
        <w:t xml:space="preserve"> activities.</w:t>
      </w:r>
    </w:p>
    <w:p w:rsidR="008D25BF" w:rsidRDefault="008D25BF" w:rsidP="008D25BF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The authorities </w:t>
      </w:r>
      <w:r w:rsidR="00C66461">
        <w:rPr>
          <w:i/>
          <w:color w:val="0000FF"/>
        </w:rPr>
        <w:t>participate</w:t>
      </w:r>
      <w:r>
        <w:rPr>
          <w:i/>
          <w:color w:val="0000FF"/>
        </w:rPr>
        <w:t xml:space="preserve"> </w:t>
      </w:r>
      <w:r w:rsidR="00C66461">
        <w:rPr>
          <w:i/>
          <w:color w:val="0000FF"/>
        </w:rPr>
        <w:t xml:space="preserve">on an ongoing basis </w:t>
      </w:r>
      <w:r>
        <w:rPr>
          <w:i/>
          <w:color w:val="0000FF"/>
        </w:rPr>
        <w:t>in the surveillance activities organised by the EU, primarily the campaigns managed by PROSAFE.</w:t>
      </w:r>
    </w:p>
    <w:p w:rsidR="008D25BF" w:rsidRDefault="008D25BF" w:rsidP="008D25BF">
      <w:pPr>
        <w:ind w:left="360"/>
        <w:rPr>
          <w:i/>
          <w:color w:val="0000FF"/>
        </w:rPr>
      </w:pPr>
      <w:r>
        <w:rPr>
          <w:i/>
          <w:color w:val="0000FF"/>
        </w:rPr>
        <w:t>This year the authorities will participate in the campaign on t</w:t>
      </w:r>
      <w:r w:rsidR="001D6176">
        <w:rPr>
          <w:i/>
          <w:color w:val="0000FF"/>
        </w:rPr>
        <w:t>yres and efficiency labelling.</w:t>
      </w:r>
    </w:p>
    <w:p w:rsidR="001D6176" w:rsidRDefault="001D6176" w:rsidP="008D25BF">
      <w:pPr>
        <w:ind w:left="360"/>
        <w:rPr>
          <w:i/>
          <w:color w:val="0000FF"/>
        </w:rPr>
      </w:pPr>
      <w:r>
        <w:rPr>
          <w:i/>
          <w:color w:val="0000FF"/>
        </w:rPr>
        <w:t>They will also participate in the product traceability exercise.</w:t>
      </w:r>
    </w:p>
    <w:p w:rsidR="001D6176" w:rsidRPr="00853CDD" w:rsidRDefault="001D6176" w:rsidP="008D25BF">
      <w:pPr>
        <w:ind w:left="360"/>
        <w:rPr>
          <w:i/>
          <w:color w:val="0000FF"/>
        </w:rPr>
      </w:pPr>
      <w:r>
        <w:rPr>
          <w:i/>
          <w:color w:val="0000FF"/>
        </w:rPr>
        <w:t xml:space="preserve">They participated in the </w:t>
      </w:r>
      <w:r w:rsidR="00C66461">
        <w:rPr>
          <w:i/>
          <w:color w:val="0000FF"/>
        </w:rPr>
        <w:t>sweep</w:t>
      </w:r>
      <w:r>
        <w:rPr>
          <w:i/>
          <w:color w:val="0000FF"/>
        </w:rPr>
        <w:t xml:space="preserve"> </w:t>
      </w:r>
      <w:r w:rsidR="00C66461">
        <w:rPr>
          <w:i/>
          <w:color w:val="0000FF"/>
        </w:rPr>
        <w:t xml:space="preserve">operations </w:t>
      </w:r>
      <w:r>
        <w:rPr>
          <w:i/>
          <w:color w:val="0000FF"/>
        </w:rPr>
        <w:t>organised by the OECD.</w:t>
      </w:r>
    </w:p>
    <w:p w:rsidR="00F1548E" w:rsidRPr="00DE5199" w:rsidRDefault="00F1548E" w:rsidP="002B1C4F"/>
    <w:p w:rsidR="00E25A60" w:rsidRPr="00DE5199" w:rsidRDefault="001D6176" w:rsidP="00F1548E">
      <w:pPr>
        <w:pStyle w:val="Heading1"/>
      </w:pPr>
      <w:bookmarkStart w:id="15" w:name="_Toc426377904"/>
      <w:r>
        <w:t>M</w:t>
      </w:r>
      <w:r w:rsidR="00EE0420" w:rsidRPr="00DE5199">
        <w:t xml:space="preserve">arket surveillance </w:t>
      </w:r>
      <w:r w:rsidR="005657AD">
        <w:t>in specific sectors</w:t>
      </w:r>
      <w:bookmarkEnd w:id="15"/>
    </w:p>
    <w:p w:rsidR="00A466EA" w:rsidRDefault="00A466EA" w:rsidP="00EE0420">
      <w:pPr>
        <w:pStyle w:val="Heading2"/>
      </w:pPr>
      <w:bookmarkStart w:id="16" w:name="_Toc426377905"/>
      <w:r w:rsidRPr="00DE5199">
        <w:t xml:space="preserve">Sector </w:t>
      </w:r>
      <w:r w:rsidR="00003B39">
        <w:t>[</w:t>
      </w:r>
      <w:r w:rsidR="00003B39" w:rsidRPr="003B69FC">
        <w:t>Name from Annex</w:t>
      </w:r>
      <w:r w:rsidR="00003B39">
        <w:t xml:space="preserve"> 2, e.g.</w:t>
      </w:r>
      <w:r w:rsidR="005A69D0">
        <w:t xml:space="preserve">: </w:t>
      </w:r>
      <w:r w:rsidR="00003B39">
        <w:t>Medical Devices</w:t>
      </w:r>
      <w:r w:rsidR="00003B39" w:rsidRPr="003B69FC">
        <w:t>]</w:t>
      </w:r>
      <w:bookmarkEnd w:id="16"/>
    </w:p>
    <w:p w:rsidR="00A466EA" w:rsidRDefault="0046729E" w:rsidP="00853CDD">
      <w:pPr>
        <w:pStyle w:val="Heading3"/>
        <w:tabs>
          <w:tab w:val="clear" w:pos="4973"/>
          <w:tab w:val="num" w:pos="2552"/>
        </w:tabs>
        <w:ind w:left="1701" w:hanging="77"/>
      </w:pPr>
      <w:bookmarkStart w:id="17" w:name="_Toc426377906"/>
      <w:r>
        <w:t xml:space="preserve">Responsible </w:t>
      </w:r>
      <w:r w:rsidR="00A466EA">
        <w:t>authority and contact details</w:t>
      </w:r>
      <w:bookmarkEnd w:id="17"/>
    </w:p>
    <w:p w:rsidR="00A466EA" w:rsidRDefault="00F92017" w:rsidP="00853CDD">
      <w:pPr>
        <w:pStyle w:val="Heading3"/>
        <w:tabs>
          <w:tab w:val="clear" w:pos="4973"/>
          <w:tab w:val="num" w:pos="2552"/>
        </w:tabs>
        <w:ind w:left="1701" w:hanging="77"/>
      </w:pPr>
      <w:bookmarkStart w:id="18" w:name="_Toc426377907"/>
      <w:r>
        <w:t xml:space="preserve">Market </w:t>
      </w:r>
      <w:r w:rsidR="00A466EA">
        <w:t>surveillance</w:t>
      </w:r>
      <w:r>
        <w:t xml:space="preserve"> </w:t>
      </w:r>
      <w:r w:rsidR="00D51FBD">
        <w:t xml:space="preserve">procedures and </w:t>
      </w:r>
      <w:r>
        <w:t>strategy</w:t>
      </w:r>
      <w:bookmarkEnd w:id="18"/>
      <w:r>
        <w:t xml:space="preserve"> </w:t>
      </w:r>
    </w:p>
    <w:p w:rsidR="005A69D0" w:rsidRPr="00853CDD" w:rsidRDefault="005A69D0" w:rsidP="00853CDD">
      <w:pPr>
        <w:rPr>
          <w:color w:val="0000FF"/>
        </w:rPr>
      </w:pPr>
    </w:p>
    <w:p w:rsidR="00220E8B" w:rsidRDefault="00220E8B" w:rsidP="00853CDD">
      <w:pPr>
        <w:pStyle w:val="Heading3"/>
        <w:tabs>
          <w:tab w:val="clear" w:pos="4973"/>
          <w:tab w:val="num" w:pos="2552"/>
        </w:tabs>
        <w:ind w:left="1701" w:hanging="77"/>
      </w:pPr>
      <w:bookmarkStart w:id="19" w:name="_Toc426377908"/>
      <w:r>
        <w:t xml:space="preserve">Report from activities carried out </w:t>
      </w:r>
      <w:r w:rsidRPr="00853CDD">
        <w:t xml:space="preserve">under </w:t>
      </w:r>
      <w:r w:rsidR="00C50259" w:rsidRPr="00853CDD">
        <w:t xml:space="preserve">the </w:t>
      </w:r>
      <w:r w:rsidRPr="00853CDD">
        <w:t>previous</w:t>
      </w:r>
      <w:r>
        <w:t xml:space="preserve"> planning period</w:t>
      </w:r>
      <w:bookmarkEnd w:id="19"/>
    </w:p>
    <w:p w:rsidR="0028541F" w:rsidRPr="00853CDD" w:rsidRDefault="0028541F" w:rsidP="00220E8B">
      <w:pPr>
        <w:pStyle w:val="Text1"/>
        <w:ind w:left="0"/>
        <w:rPr>
          <w:i/>
          <w:color w:val="0000FF"/>
        </w:rPr>
      </w:pPr>
    </w:p>
    <w:p w:rsidR="00EE0420" w:rsidRDefault="00EE0420" w:rsidP="00AE2076">
      <w:pPr>
        <w:pStyle w:val="Heading2"/>
      </w:pPr>
      <w:bookmarkStart w:id="20" w:name="_Toc392663956"/>
      <w:bookmarkStart w:id="21" w:name="_Toc392667177"/>
      <w:bookmarkStart w:id="22" w:name="_Toc392667566"/>
      <w:bookmarkStart w:id="23" w:name="_Toc392667184"/>
      <w:bookmarkStart w:id="24" w:name="_Toc392667573"/>
      <w:bookmarkStart w:id="25" w:name="_Toc392667187"/>
      <w:bookmarkStart w:id="26" w:name="_Toc392667576"/>
      <w:bookmarkStart w:id="27" w:name="_Toc392667191"/>
      <w:bookmarkStart w:id="28" w:name="_Toc392667580"/>
      <w:bookmarkStart w:id="29" w:name="_Toc42637790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DE5199">
        <w:t xml:space="preserve">Sector </w:t>
      </w:r>
      <w:r>
        <w:t>[</w:t>
      </w:r>
      <w:r w:rsidR="00003B39">
        <w:t>e.g.:</w:t>
      </w:r>
      <w:r w:rsidR="007D25BC">
        <w:t xml:space="preserve"> </w:t>
      </w:r>
      <w:r w:rsidR="00003B39">
        <w:t>Cosmetics</w:t>
      </w:r>
      <w:r>
        <w:t>]</w:t>
      </w:r>
      <w:bookmarkEnd w:id="29"/>
    </w:p>
    <w:p w:rsidR="00EE0420" w:rsidRPr="005657AD" w:rsidRDefault="005657AD" w:rsidP="005657AD">
      <w:pPr>
        <w:rPr>
          <w:i/>
        </w:rPr>
      </w:pPr>
      <w:r w:rsidRPr="005657AD">
        <w:rPr>
          <w:i/>
        </w:rPr>
        <w:t>[…]</w:t>
      </w:r>
    </w:p>
    <w:p w:rsidR="00B50BFD" w:rsidRPr="00DE5199" w:rsidRDefault="00B50BFD" w:rsidP="00F814BC"/>
    <w:p w:rsidR="00F814BC" w:rsidRPr="00DE5199" w:rsidRDefault="007C39AF" w:rsidP="007C39AF">
      <w:pPr>
        <w:pStyle w:val="Releasable"/>
        <w:rPr>
          <w:lang w:val="en-GB"/>
        </w:rPr>
      </w:pPr>
      <w:r>
        <w:rPr>
          <w:lang w:val="en-GB"/>
        </w:rPr>
        <w:br w:type="page"/>
      </w:r>
      <w:r w:rsidR="00367AF3" w:rsidRPr="00DE5199">
        <w:rPr>
          <w:lang w:val="en-GB"/>
        </w:rPr>
        <w:lastRenderedPageBreak/>
        <w:t>Annex: Reference list of product sectors</w:t>
      </w:r>
    </w:p>
    <w:p w:rsidR="00367AF3" w:rsidRPr="00DE5199" w:rsidRDefault="00367AF3" w:rsidP="00367AF3">
      <w:pPr>
        <w:pStyle w:val="Releasable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404"/>
      </w:tblGrid>
      <w:tr w:rsidR="00367AF3" w:rsidRPr="00DE5199" w:rsidTr="00A16E3E">
        <w:tc>
          <w:tcPr>
            <w:tcW w:w="4430" w:type="dxa"/>
            <w:shd w:val="clear" w:color="auto" w:fill="auto"/>
          </w:tcPr>
          <w:p w:rsidR="00367AF3" w:rsidRPr="00DE5199" w:rsidRDefault="00367AF3" w:rsidP="00B8557C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DE5199">
              <w:rPr>
                <w:rFonts w:ascii="Calibri" w:eastAsia="Calibri" w:hAnsi="Calibri"/>
                <w:b/>
                <w:szCs w:val="24"/>
              </w:rPr>
              <w:t>Product sectors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DE5199">
              <w:rPr>
                <w:rFonts w:ascii="Calibri" w:eastAsia="Calibri" w:hAnsi="Calibri"/>
                <w:b/>
                <w:szCs w:val="24"/>
              </w:rPr>
              <w:t>Relevant legislation</w:t>
            </w:r>
            <w:r w:rsidRPr="00DE5199">
              <w:rPr>
                <w:rStyle w:val="FootnoteReference"/>
                <w:rFonts w:ascii="Calibri" w:eastAsia="Calibri" w:hAnsi="Calibri"/>
                <w:b/>
                <w:szCs w:val="24"/>
              </w:rPr>
              <w:footnoteReference w:id="1"/>
            </w:r>
            <w:r w:rsidRPr="00DE5199">
              <w:rPr>
                <w:rFonts w:ascii="Calibri" w:eastAsia="Calibri" w:hAnsi="Calibri"/>
                <w:b/>
                <w:szCs w:val="24"/>
              </w:rPr>
              <w:t xml:space="preserve"> </w:t>
            </w:r>
            <w:r w:rsidRPr="00DE5199">
              <w:rPr>
                <w:rStyle w:val="FootnoteReference"/>
                <w:rFonts w:ascii="Calibri" w:eastAsia="Calibri" w:hAnsi="Calibri"/>
                <w:b/>
                <w:szCs w:val="24"/>
              </w:rPr>
              <w:footnoteReference w:id="2"/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763936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 xml:space="preserve">Medical devices (including </w:t>
            </w:r>
            <w:r w:rsidR="00763936">
              <w:rPr>
                <w:rFonts w:ascii="Calibri" w:eastAsia="Calibri" w:hAnsi="Calibri"/>
                <w:szCs w:val="24"/>
              </w:rPr>
              <w:t>i</w:t>
            </w:r>
            <w:r w:rsidRPr="00520041">
              <w:rPr>
                <w:rFonts w:ascii="Calibri" w:eastAsia="Calibri" w:hAnsi="Calibri"/>
                <w:szCs w:val="24"/>
              </w:rPr>
              <w:t xml:space="preserve">n vitro diagnostic medical devices and </w:t>
            </w:r>
            <w:r w:rsidR="00763936">
              <w:rPr>
                <w:rFonts w:ascii="Calibri" w:eastAsia="Calibri" w:hAnsi="Calibri"/>
                <w:szCs w:val="24"/>
              </w:rPr>
              <w:t>a</w:t>
            </w:r>
            <w:r w:rsidRPr="00520041">
              <w:rPr>
                <w:rFonts w:ascii="Calibri" w:eastAsia="Calibri" w:hAnsi="Calibri"/>
                <w:szCs w:val="24"/>
              </w:rPr>
              <w:t>ctive implantable medical devices)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Directives 93/42/EEC, 98/79/EC and 90/385/EEC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Cosmetics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853CDD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Regulation</w:t>
            </w:r>
            <w:r w:rsidR="00F72430">
              <w:rPr>
                <w:rFonts w:ascii="Calibri" w:eastAsia="Calibri" w:hAnsi="Calibri"/>
                <w:szCs w:val="24"/>
              </w:rPr>
              <w:t xml:space="preserve"> (EC)</w:t>
            </w:r>
            <w:r w:rsidRPr="00DE5199">
              <w:rPr>
                <w:rFonts w:ascii="Calibri" w:eastAsia="Calibri" w:hAnsi="Calibri"/>
                <w:szCs w:val="24"/>
              </w:rPr>
              <w:t xml:space="preserve"> </w:t>
            </w:r>
            <w:r w:rsidR="00763936">
              <w:rPr>
                <w:rFonts w:ascii="Calibri" w:eastAsia="Calibri" w:hAnsi="Calibri"/>
                <w:szCs w:val="24"/>
              </w:rPr>
              <w:t xml:space="preserve">No </w:t>
            </w:r>
            <w:r w:rsidR="00640B9C">
              <w:rPr>
                <w:rFonts w:ascii="Calibri" w:eastAsia="Calibri" w:hAnsi="Calibri"/>
                <w:szCs w:val="24"/>
              </w:rPr>
              <w:t>1223</w:t>
            </w:r>
            <w:r w:rsidRPr="00DE5199">
              <w:rPr>
                <w:rFonts w:ascii="Calibri" w:eastAsia="Calibri" w:hAnsi="Calibri"/>
                <w:szCs w:val="24"/>
              </w:rPr>
              <w:t>/2009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Toys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2009/48/EC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Personal protective equipment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89/686/EEC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Construction products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853CDD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 xml:space="preserve">Regulation </w:t>
            </w:r>
            <w:r w:rsidR="00F72430">
              <w:rPr>
                <w:rFonts w:ascii="Calibri" w:eastAsia="Calibri" w:hAnsi="Calibri"/>
                <w:szCs w:val="24"/>
              </w:rPr>
              <w:t xml:space="preserve">(EU) </w:t>
            </w:r>
            <w:r w:rsidRPr="00DE5199">
              <w:rPr>
                <w:rFonts w:ascii="Calibri" w:eastAsia="Calibri" w:hAnsi="Calibri"/>
                <w:szCs w:val="24"/>
              </w:rPr>
              <w:t>305/2011</w:t>
            </w:r>
          </w:p>
        </w:tc>
      </w:tr>
      <w:tr w:rsidR="00520041" w:rsidRPr="00520041" w:rsidTr="00520041">
        <w:tc>
          <w:tcPr>
            <w:tcW w:w="4430" w:type="dxa"/>
            <w:shd w:val="clear" w:color="auto" w:fill="auto"/>
          </w:tcPr>
          <w:p w:rsidR="00520041" w:rsidRPr="00520041" w:rsidRDefault="00520041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Aerosol dispensers</w:t>
            </w:r>
          </w:p>
        </w:tc>
        <w:tc>
          <w:tcPr>
            <w:tcW w:w="4404" w:type="dxa"/>
            <w:shd w:val="clear" w:color="auto" w:fill="auto"/>
          </w:tcPr>
          <w:p w:rsidR="00520041" w:rsidRPr="00520041" w:rsidRDefault="00520041" w:rsidP="00520041">
            <w:pPr>
              <w:spacing w:after="0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 xml:space="preserve">Directive 75/324/EEC, </w:t>
            </w:r>
          </w:p>
        </w:tc>
      </w:tr>
      <w:tr w:rsidR="00003B39" w:rsidRPr="00003B39" w:rsidTr="00520041">
        <w:tc>
          <w:tcPr>
            <w:tcW w:w="4430" w:type="dxa"/>
            <w:shd w:val="clear" w:color="auto" w:fill="auto"/>
          </w:tcPr>
          <w:p w:rsidR="00003B39" w:rsidRPr="00003B39" w:rsidRDefault="00003B39" w:rsidP="00763936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003B39">
              <w:rPr>
                <w:rFonts w:ascii="Calibri" w:eastAsia="Calibri" w:hAnsi="Calibri"/>
                <w:szCs w:val="24"/>
              </w:rPr>
              <w:t xml:space="preserve">Simple pressure vessels and </w:t>
            </w:r>
            <w:r w:rsidR="00763936">
              <w:rPr>
                <w:rFonts w:ascii="Calibri" w:eastAsia="Calibri" w:hAnsi="Calibri"/>
                <w:szCs w:val="24"/>
              </w:rPr>
              <w:t>p</w:t>
            </w:r>
            <w:r w:rsidRPr="00003B39">
              <w:rPr>
                <w:rFonts w:ascii="Calibri" w:eastAsia="Calibri" w:hAnsi="Calibri"/>
                <w:szCs w:val="24"/>
              </w:rPr>
              <w:t>ressure equipment</w:t>
            </w:r>
          </w:p>
        </w:tc>
        <w:tc>
          <w:tcPr>
            <w:tcW w:w="4404" w:type="dxa"/>
            <w:shd w:val="clear" w:color="auto" w:fill="auto"/>
          </w:tcPr>
          <w:p w:rsidR="00003B39" w:rsidRPr="00003B39" w:rsidRDefault="00003B39" w:rsidP="005021E0">
            <w:pPr>
              <w:spacing w:after="0"/>
              <w:rPr>
                <w:rFonts w:ascii="Calibri" w:eastAsia="Calibri" w:hAnsi="Calibri"/>
                <w:szCs w:val="24"/>
              </w:rPr>
            </w:pPr>
            <w:r w:rsidRPr="00003B39">
              <w:rPr>
                <w:rFonts w:ascii="Calibri" w:eastAsia="Calibri" w:hAnsi="Calibri"/>
                <w:szCs w:val="24"/>
              </w:rPr>
              <w:t>Directives 2009/105/EC and 97/23/EC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Transportable pressure equipment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2010/35/E</w:t>
            </w:r>
            <w:r w:rsidR="00640B9C">
              <w:rPr>
                <w:rFonts w:ascii="Calibri" w:eastAsia="Calibri" w:hAnsi="Calibri"/>
                <w:szCs w:val="24"/>
              </w:rPr>
              <w:t>U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Machinery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2006/42/EC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Lifts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 xml:space="preserve">Directive 1995/16/EC 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Cableways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F44C42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2000/9/E</w:t>
            </w:r>
            <w:r w:rsidR="00F14901">
              <w:rPr>
                <w:rFonts w:ascii="Calibri" w:eastAsia="Calibri" w:hAnsi="Calibri"/>
                <w:szCs w:val="24"/>
              </w:rPr>
              <w:t>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 xml:space="preserve">Noise emissions for outdoor equipment 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2000/14/EC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763936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 xml:space="preserve">Equipment and </w:t>
            </w:r>
            <w:r w:rsidR="00763936">
              <w:rPr>
                <w:rFonts w:ascii="Calibri" w:eastAsia="Calibri" w:hAnsi="Calibri"/>
                <w:szCs w:val="24"/>
              </w:rPr>
              <w:t>p</w:t>
            </w:r>
            <w:r w:rsidRPr="00520041">
              <w:rPr>
                <w:rFonts w:ascii="Calibri" w:eastAsia="Calibri" w:hAnsi="Calibri"/>
                <w:szCs w:val="24"/>
              </w:rPr>
              <w:t xml:space="preserve">rotective </w:t>
            </w:r>
            <w:r w:rsidR="00763936">
              <w:rPr>
                <w:rFonts w:ascii="Calibri" w:eastAsia="Calibri" w:hAnsi="Calibri"/>
                <w:szCs w:val="24"/>
              </w:rPr>
              <w:t>s</w:t>
            </w:r>
            <w:r w:rsidRPr="00520041">
              <w:rPr>
                <w:rFonts w:ascii="Calibri" w:eastAsia="Calibri" w:hAnsi="Calibri"/>
                <w:szCs w:val="24"/>
              </w:rPr>
              <w:t xml:space="preserve">ystems </w:t>
            </w:r>
            <w:r w:rsidR="00763936">
              <w:rPr>
                <w:rFonts w:ascii="Calibri" w:eastAsia="Calibri" w:hAnsi="Calibri"/>
                <w:szCs w:val="24"/>
              </w:rPr>
              <w:t>i</w:t>
            </w:r>
            <w:r w:rsidRPr="00520041">
              <w:rPr>
                <w:rFonts w:ascii="Calibri" w:eastAsia="Calibri" w:hAnsi="Calibri"/>
                <w:szCs w:val="24"/>
              </w:rPr>
              <w:t xml:space="preserve">ntended for use in </w:t>
            </w:r>
            <w:r w:rsidR="00763936">
              <w:rPr>
                <w:rFonts w:ascii="Calibri" w:eastAsia="Calibri" w:hAnsi="Calibri"/>
                <w:szCs w:val="24"/>
              </w:rPr>
              <w:t>p</w:t>
            </w:r>
            <w:r w:rsidRPr="00520041">
              <w:rPr>
                <w:rFonts w:ascii="Calibri" w:eastAsia="Calibri" w:hAnsi="Calibri"/>
                <w:szCs w:val="24"/>
              </w:rPr>
              <w:t xml:space="preserve">otentially </w:t>
            </w:r>
            <w:r w:rsidR="00763936">
              <w:rPr>
                <w:rFonts w:ascii="Calibri" w:eastAsia="Calibri" w:hAnsi="Calibri"/>
                <w:szCs w:val="24"/>
              </w:rPr>
              <w:t>e</w:t>
            </w:r>
            <w:r w:rsidRPr="00520041">
              <w:rPr>
                <w:rFonts w:ascii="Calibri" w:eastAsia="Calibri" w:hAnsi="Calibri"/>
                <w:szCs w:val="24"/>
              </w:rPr>
              <w:t xml:space="preserve">xplosive </w:t>
            </w:r>
            <w:r w:rsidR="00763936">
              <w:rPr>
                <w:rFonts w:ascii="Calibri" w:eastAsia="Calibri" w:hAnsi="Calibri"/>
                <w:szCs w:val="24"/>
              </w:rPr>
              <w:t>a</w:t>
            </w:r>
            <w:r w:rsidRPr="00520041">
              <w:rPr>
                <w:rFonts w:ascii="Calibri" w:eastAsia="Calibri" w:hAnsi="Calibri"/>
                <w:szCs w:val="24"/>
              </w:rPr>
              <w:t>tmospheres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 xml:space="preserve">Directive </w:t>
            </w:r>
            <w:r w:rsidR="00520041">
              <w:rPr>
                <w:rFonts w:ascii="Calibri" w:eastAsia="Calibri" w:hAnsi="Calibri"/>
                <w:szCs w:val="24"/>
              </w:rPr>
              <w:t>1994/9/</w:t>
            </w:r>
            <w:r w:rsidRPr="00DE5199">
              <w:rPr>
                <w:rFonts w:ascii="Calibri" w:eastAsia="Calibri" w:hAnsi="Calibri"/>
                <w:szCs w:val="24"/>
              </w:rPr>
              <w:t>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Pyrotechnics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2007/23/EC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Explosives for civil uses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93/15/EEC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Appliances burning gaseous fuels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2009/142/EC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763936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 xml:space="preserve">Measuring instruments, </w:t>
            </w:r>
            <w:r w:rsidR="00763936">
              <w:rPr>
                <w:rFonts w:ascii="Calibri" w:eastAsia="Calibri" w:hAnsi="Calibri"/>
                <w:szCs w:val="24"/>
              </w:rPr>
              <w:t>n</w:t>
            </w:r>
            <w:r w:rsidRPr="00520041">
              <w:rPr>
                <w:rFonts w:ascii="Calibri" w:eastAsia="Calibri" w:hAnsi="Calibri"/>
                <w:szCs w:val="24"/>
              </w:rPr>
              <w:t xml:space="preserve">on-automatic weighing instruments and </w:t>
            </w:r>
            <w:r w:rsidR="00763936">
              <w:rPr>
                <w:rFonts w:ascii="Calibri" w:eastAsia="Calibri" w:hAnsi="Calibri"/>
                <w:szCs w:val="24"/>
              </w:rPr>
              <w:t>p</w:t>
            </w:r>
            <w:r w:rsidRPr="00520041">
              <w:rPr>
                <w:rFonts w:ascii="Calibri" w:eastAsia="Calibri" w:hAnsi="Calibri"/>
                <w:szCs w:val="24"/>
              </w:rPr>
              <w:t>re-packaged products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Directives 2004/22/EC, 2009/23/EC and 2007/45/EC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4F1F23" w:rsidP="00366B36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 xml:space="preserve">Electrical </w:t>
            </w:r>
            <w:r w:rsidR="00367AF3" w:rsidRPr="00520041">
              <w:rPr>
                <w:rFonts w:ascii="Calibri" w:eastAsia="Calibri" w:hAnsi="Calibri"/>
                <w:szCs w:val="24"/>
              </w:rPr>
              <w:t xml:space="preserve">equipment under EMC 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4F1F23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 xml:space="preserve">Directive 2004/108/EC </w:t>
            </w:r>
          </w:p>
        </w:tc>
      </w:tr>
      <w:tr w:rsidR="00520041" w:rsidRPr="00DE5199" w:rsidTr="00520041">
        <w:tc>
          <w:tcPr>
            <w:tcW w:w="4430" w:type="dxa"/>
            <w:shd w:val="clear" w:color="auto" w:fill="auto"/>
          </w:tcPr>
          <w:p w:rsidR="00520041" w:rsidRPr="00520041" w:rsidRDefault="00520041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Radio and t</w:t>
            </w:r>
            <w:r w:rsidR="007D25BC">
              <w:rPr>
                <w:rFonts w:ascii="Calibri" w:eastAsia="Calibri" w:hAnsi="Calibri"/>
                <w:szCs w:val="24"/>
              </w:rPr>
              <w:t>e</w:t>
            </w:r>
            <w:r w:rsidRPr="00520041">
              <w:rPr>
                <w:rFonts w:ascii="Calibri" w:eastAsia="Calibri" w:hAnsi="Calibri"/>
                <w:szCs w:val="24"/>
              </w:rPr>
              <w:t>l</w:t>
            </w:r>
            <w:r w:rsidR="007D25BC">
              <w:rPr>
                <w:rFonts w:ascii="Calibri" w:eastAsia="Calibri" w:hAnsi="Calibri"/>
                <w:szCs w:val="24"/>
              </w:rPr>
              <w:t>e</w:t>
            </w:r>
            <w:r w:rsidRPr="00520041">
              <w:rPr>
                <w:rFonts w:ascii="Calibri" w:eastAsia="Calibri" w:hAnsi="Calibri"/>
                <w:szCs w:val="24"/>
              </w:rPr>
              <w:t>c</w:t>
            </w:r>
            <w:r w:rsidR="007D25BC">
              <w:rPr>
                <w:rFonts w:ascii="Calibri" w:eastAsia="Calibri" w:hAnsi="Calibri"/>
                <w:szCs w:val="24"/>
              </w:rPr>
              <w:t>om</w:t>
            </w:r>
            <w:r w:rsidRPr="00520041">
              <w:rPr>
                <w:rFonts w:ascii="Calibri" w:eastAsia="Calibri" w:hAnsi="Calibri"/>
                <w:szCs w:val="24"/>
              </w:rPr>
              <w:t xml:space="preserve"> equipment under RTTE</w:t>
            </w:r>
          </w:p>
        </w:tc>
        <w:tc>
          <w:tcPr>
            <w:tcW w:w="4404" w:type="dxa"/>
            <w:shd w:val="clear" w:color="auto" w:fill="auto"/>
          </w:tcPr>
          <w:p w:rsidR="00520041" w:rsidRPr="00DE5199" w:rsidRDefault="00520041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 xml:space="preserve">Directive </w:t>
            </w:r>
            <w:r w:rsidRPr="00DE5199">
              <w:rPr>
                <w:rFonts w:ascii="Calibri" w:eastAsia="Calibri" w:hAnsi="Calibri"/>
                <w:szCs w:val="24"/>
              </w:rPr>
              <w:t>1999/5/EC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Electrical appliances and equipment under LVD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2006/95/EC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Electrical and electronic equipment under RoHS and WEEE and batteries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17380A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Directives 2011/65/EU, 2002/96/E</w:t>
            </w:r>
            <w:r w:rsidR="00640B9C">
              <w:rPr>
                <w:rFonts w:ascii="Calibri" w:eastAsia="Calibri" w:hAnsi="Calibri"/>
                <w:szCs w:val="24"/>
              </w:rPr>
              <w:t>C</w:t>
            </w:r>
            <w:r w:rsidRPr="00DE5199">
              <w:rPr>
                <w:rFonts w:ascii="Calibri" w:eastAsia="Calibri" w:hAnsi="Calibri"/>
                <w:szCs w:val="24"/>
              </w:rPr>
              <w:t xml:space="preserve"> and 2006/66/EC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284886" w:rsidP="00516067">
            <w:pPr>
              <w:spacing w:after="0"/>
              <w:ind w:left="284" w:hanging="284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 xml:space="preserve">22./A </w:t>
            </w:r>
            <w:r w:rsidR="00367AF3" w:rsidRPr="00520041">
              <w:rPr>
                <w:rFonts w:ascii="Calibri" w:eastAsia="Calibri" w:hAnsi="Calibri"/>
                <w:szCs w:val="24"/>
              </w:rPr>
              <w:t>Chemical substance</w:t>
            </w:r>
            <w:r w:rsidR="00520041">
              <w:rPr>
                <w:rFonts w:ascii="Calibri" w:eastAsia="Calibri" w:hAnsi="Calibri"/>
                <w:szCs w:val="24"/>
              </w:rPr>
              <w:t>s</w:t>
            </w:r>
            <w:r w:rsidR="00367AF3" w:rsidRPr="00520041">
              <w:rPr>
                <w:rFonts w:ascii="Calibri" w:eastAsia="Calibri" w:hAnsi="Calibri"/>
                <w:szCs w:val="24"/>
              </w:rPr>
              <w:t xml:space="preserve"> under REACH </w:t>
            </w:r>
            <w:r w:rsidR="00520041">
              <w:rPr>
                <w:rFonts w:ascii="Calibri" w:eastAsia="Calibri" w:hAnsi="Calibri"/>
                <w:szCs w:val="24"/>
              </w:rPr>
              <w:t>and Classification and Labelling Regulations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763936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Regulation</w:t>
            </w:r>
            <w:r w:rsidR="00520041">
              <w:rPr>
                <w:rFonts w:ascii="Calibri" w:eastAsia="Calibri" w:hAnsi="Calibri"/>
                <w:szCs w:val="24"/>
              </w:rPr>
              <w:t>s</w:t>
            </w:r>
            <w:r w:rsidR="00F72430">
              <w:rPr>
                <w:rFonts w:ascii="Calibri" w:eastAsia="Calibri" w:hAnsi="Calibri"/>
                <w:szCs w:val="24"/>
              </w:rPr>
              <w:t xml:space="preserve"> (EC)</w:t>
            </w:r>
            <w:r w:rsidRPr="00DE5199">
              <w:rPr>
                <w:rFonts w:ascii="Calibri" w:eastAsia="Calibri" w:hAnsi="Calibri"/>
                <w:szCs w:val="24"/>
              </w:rPr>
              <w:t xml:space="preserve"> </w:t>
            </w:r>
            <w:r w:rsidR="00763936">
              <w:rPr>
                <w:rFonts w:ascii="Calibri" w:eastAsia="Calibri" w:hAnsi="Calibri"/>
                <w:szCs w:val="24"/>
              </w:rPr>
              <w:t xml:space="preserve">Nos </w:t>
            </w:r>
            <w:r w:rsidRPr="00DE5199">
              <w:rPr>
                <w:rFonts w:ascii="Calibri" w:eastAsia="Calibri" w:hAnsi="Calibri"/>
                <w:szCs w:val="24"/>
              </w:rPr>
              <w:t>1907/2006</w:t>
            </w:r>
            <w:r w:rsidR="00520041" w:rsidRPr="00DE5199">
              <w:rPr>
                <w:rFonts w:ascii="Calibri" w:eastAsia="Calibri" w:hAnsi="Calibri"/>
                <w:szCs w:val="24"/>
              </w:rPr>
              <w:t xml:space="preserve"> and 1272/2008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284886" w:rsidP="00C24B9E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 xml:space="preserve">/B </w:t>
            </w:r>
            <w:r w:rsidR="00367AF3" w:rsidRPr="00520041">
              <w:rPr>
                <w:rFonts w:ascii="Calibri" w:eastAsia="Calibri" w:hAnsi="Calibri"/>
                <w:szCs w:val="24"/>
              </w:rPr>
              <w:t>Other chemicals (</w:t>
            </w:r>
            <w:r w:rsidR="00C24B9E">
              <w:rPr>
                <w:rFonts w:ascii="Calibri" w:eastAsia="Calibri" w:hAnsi="Calibri"/>
                <w:szCs w:val="24"/>
              </w:rPr>
              <w:t>d</w:t>
            </w:r>
            <w:r w:rsidR="00367AF3" w:rsidRPr="00520041">
              <w:rPr>
                <w:rFonts w:ascii="Calibri" w:eastAsia="Calibri" w:hAnsi="Calibri"/>
                <w:szCs w:val="24"/>
              </w:rPr>
              <w:t xml:space="preserve">etergents, </w:t>
            </w:r>
            <w:r w:rsidR="00C24B9E">
              <w:rPr>
                <w:rFonts w:ascii="Calibri" w:eastAsia="Calibri" w:hAnsi="Calibri"/>
                <w:szCs w:val="24"/>
              </w:rPr>
              <w:t>p</w:t>
            </w:r>
            <w:r w:rsidR="00367AF3" w:rsidRPr="00520041">
              <w:rPr>
                <w:rFonts w:ascii="Calibri" w:eastAsia="Calibri" w:hAnsi="Calibri"/>
                <w:szCs w:val="24"/>
              </w:rPr>
              <w:t>aints</w:t>
            </w:r>
            <w:r w:rsidR="00D773B7">
              <w:rPr>
                <w:rFonts w:ascii="Calibri" w:eastAsia="Calibri" w:hAnsi="Calibri"/>
                <w:szCs w:val="24"/>
              </w:rPr>
              <w:t>,</w:t>
            </w:r>
            <w:r w:rsidR="00520041">
              <w:rPr>
                <w:rFonts w:ascii="Calibri" w:eastAsia="Calibri" w:hAnsi="Calibri"/>
                <w:szCs w:val="24"/>
              </w:rPr>
              <w:t xml:space="preserve"> </w:t>
            </w:r>
            <w:r w:rsidR="00C24B9E">
              <w:rPr>
                <w:rFonts w:ascii="Calibri" w:eastAsia="Calibri" w:hAnsi="Calibri"/>
                <w:szCs w:val="24"/>
              </w:rPr>
              <w:t>p</w:t>
            </w:r>
            <w:r w:rsidR="00520041">
              <w:rPr>
                <w:rFonts w:ascii="Calibri" w:eastAsia="Calibri" w:hAnsi="Calibri"/>
                <w:szCs w:val="24"/>
              </w:rPr>
              <w:t xml:space="preserve">ersistent </w:t>
            </w:r>
            <w:r w:rsidR="00C24B9E">
              <w:rPr>
                <w:rFonts w:ascii="Calibri" w:eastAsia="Calibri" w:hAnsi="Calibri"/>
                <w:szCs w:val="24"/>
              </w:rPr>
              <w:t>o</w:t>
            </w:r>
            <w:r w:rsidR="00A72116">
              <w:rPr>
                <w:rFonts w:ascii="Calibri" w:eastAsia="Calibri" w:hAnsi="Calibri"/>
                <w:szCs w:val="24"/>
              </w:rPr>
              <w:t xml:space="preserve">rganic </w:t>
            </w:r>
            <w:r w:rsidR="00C24B9E">
              <w:rPr>
                <w:rFonts w:ascii="Calibri" w:eastAsia="Calibri" w:hAnsi="Calibri"/>
                <w:szCs w:val="24"/>
              </w:rPr>
              <w:t>p</w:t>
            </w:r>
            <w:r w:rsidR="00520041">
              <w:rPr>
                <w:rFonts w:ascii="Calibri" w:eastAsia="Calibri" w:hAnsi="Calibri"/>
                <w:szCs w:val="24"/>
              </w:rPr>
              <w:t>ollutants</w:t>
            </w:r>
            <w:r w:rsidR="00D773B7">
              <w:rPr>
                <w:rFonts w:ascii="Calibri" w:eastAsia="Calibri" w:hAnsi="Calibri"/>
                <w:szCs w:val="24"/>
              </w:rPr>
              <w:t xml:space="preserve">, </w:t>
            </w:r>
            <w:r w:rsidR="00C24B9E">
              <w:rPr>
                <w:rFonts w:ascii="Calibri" w:eastAsia="Calibri" w:hAnsi="Calibri"/>
                <w:szCs w:val="24"/>
              </w:rPr>
              <w:t>f</w:t>
            </w:r>
            <w:r w:rsidR="00D773B7" w:rsidRPr="00853CDD">
              <w:rPr>
                <w:rFonts w:ascii="Calibri" w:eastAsia="Calibri" w:hAnsi="Calibri"/>
                <w:szCs w:val="24"/>
              </w:rPr>
              <w:t>luorinated greenhouse gases</w:t>
            </w:r>
            <w:r w:rsidR="00F14901" w:rsidRPr="00F44C42">
              <w:rPr>
                <w:rFonts w:ascii="Calibri" w:eastAsia="Calibri" w:hAnsi="Calibri"/>
                <w:szCs w:val="24"/>
              </w:rPr>
              <w:t xml:space="preserve">, </w:t>
            </w:r>
            <w:r w:rsidR="00C24B9E">
              <w:rPr>
                <w:rFonts w:ascii="Calibri" w:eastAsia="Calibri" w:hAnsi="Calibri"/>
                <w:szCs w:val="24"/>
              </w:rPr>
              <w:t>o</w:t>
            </w:r>
            <w:r w:rsidR="00F14901" w:rsidRPr="00F44C42">
              <w:rPr>
                <w:rFonts w:ascii="Calibri" w:eastAsia="Calibri" w:hAnsi="Calibri"/>
                <w:szCs w:val="24"/>
              </w:rPr>
              <w:t>zone</w:t>
            </w:r>
            <w:r w:rsidR="00F14901" w:rsidRPr="00C05A25">
              <w:rPr>
                <w:rFonts w:ascii="Calibri" w:eastAsia="Calibri" w:hAnsi="Calibri"/>
                <w:szCs w:val="24"/>
              </w:rPr>
              <w:t xml:space="preserve"> </w:t>
            </w:r>
            <w:r w:rsidR="00F14901" w:rsidRPr="00C05A25">
              <w:rPr>
                <w:rFonts w:ascii="Calibri" w:eastAsia="Calibri" w:hAnsi="Calibri"/>
                <w:szCs w:val="24"/>
              </w:rPr>
              <w:lastRenderedPageBreak/>
              <w:t>Depleting Substances</w:t>
            </w:r>
            <w:r w:rsidR="00F14901" w:rsidRPr="00A72116">
              <w:rPr>
                <w:rFonts w:ascii="Calibri" w:eastAsia="Calibri" w:hAnsi="Calibri"/>
                <w:szCs w:val="24"/>
              </w:rPr>
              <w:t>, etc.</w:t>
            </w:r>
            <w:r w:rsidR="00367AF3" w:rsidRPr="00A72116">
              <w:rPr>
                <w:rFonts w:ascii="Calibri" w:eastAsia="Calibri" w:hAnsi="Calibri"/>
                <w:szCs w:val="24"/>
              </w:rPr>
              <w:t>)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95704C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lastRenderedPageBreak/>
              <w:t>Regulation</w:t>
            </w:r>
            <w:r w:rsidR="00F72430">
              <w:rPr>
                <w:rFonts w:ascii="Calibri" w:eastAsia="Calibri" w:hAnsi="Calibri"/>
                <w:szCs w:val="24"/>
              </w:rPr>
              <w:t xml:space="preserve"> (EC)</w:t>
            </w:r>
            <w:r w:rsidRPr="00DE5199">
              <w:rPr>
                <w:rFonts w:ascii="Calibri" w:eastAsia="Calibri" w:hAnsi="Calibri"/>
                <w:szCs w:val="24"/>
              </w:rPr>
              <w:t xml:space="preserve"> </w:t>
            </w:r>
            <w:r w:rsidR="00763936">
              <w:rPr>
                <w:rFonts w:ascii="Calibri" w:eastAsia="Calibri" w:hAnsi="Calibri"/>
                <w:szCs w:val="24"/>
              </w:rPr>
              <w:t xml:space="preserve">No </w:t>
            </w:r>
            <w:r w:rsidRPr="00DE5199">
              <w:rPr>
                <w:rFonts w:ascii="Calibri" w:eastAsia="Calibri" w:hAnsi="Calibri"/>
                <w:szCs w:val="24"/>
              </w:rPr>
              <w:t>648/2004, Directive 2004/42/EC</w:t>
            </w:r>
            <w:r w:rsidR="00F14901">
              <w:rPr>
                <w:rFonts w:ascii="Calibri" w:eastAsia="Calibri" w:hAnsi="Calibri"/>
                <w:szCs w:val="24"/>
              </w:rPr>
              <w:t>,</w:t>
            </w:r>
            <w:r w:rsidR="00520041">
              <w:rPr>
                <w:rFonts w:ascii="Calibri" w:eastAsia="Calibri" w:hAnsi="Calibri"/>
                <w:szCs w:val="24"/>
              </w:rPr>
              <w:t xml:space="preserve"> Regulation</w:t>
            </w:r>
            <w:r w:rsidR="0095704C">
              <w:rPr>
                <w:rFonts w:ascii="Calibri" w:eastAsia="Calibri" w:hAnsi="Calibri"/>
                <w:szCs w:val="24"/>
              </w:rPr>
              <w:t>s</w:t>
            </w:r>
            <w:r w:rsidR="00520041">
              <w:rPr>
                <w:rFonts w:ascii="Calibri" w:eastAsia="Calibri" w:hAnsi="Calibri"/>
                <w:szCs w:val="24"/>
              </w:rPr>
              <w:t xml:space="preserve"> </w:t>
            </w:r>
            <w:r w:rsidR="00F72430">
              <w:rPr>
                <w:rFonts w:ascii="Calibri" w:eastAsia="Calibri" w:hAnsi="Calibri"/>
                <w:szCs w:val="24"/>
              </w:rPr>
              <w:t xml:space="preserve">(EC) </w:t>
            </w:r>
            <w:r w:rsidR="00763936">
              <w:rPr>
                <w:rFonts w:ascii="Calibri" w:eastAsia="Calibri" w:hAnsi="Calibri"/>
                <w:szCs w:val="24"/>
              </w:rPr>
              <w:t>No</w:t>
            </w:r>
            <w:r w:rsidR="0095704C">
              <w:rPr>
                <w:rFonts w:ascii="Calibri" w:eastAsia="Calibri" w:hAnsi="Calibri"/>
                <w:szCs w:val="24"/>
              </w:rPr>
              <w:t>s</w:t>
            </w:r>
            <w:r w:rsidR="00763936">
              <w:rPr>
                <w:rFonts w:ascii="Calibri" w:eastAsia="Calibri" w:hAnsi="Calibri"/>
                <w:szCs w:val="24"/>
              </w:rPr>
              <w:t xml:space="preserve"> </w:t>
            </w:r>
            <w:r w:rsidR="00520041">
              <w:rPr>
                <w:rFonts w:ascii="Calibri" w:eastAsia="Calibri" w:hAnsi="Calibri"/>
                <w:szCs w:val="24"/>
              </w:rPr>
              <w:t>850/2004</w:t>
            </w:r>
            <w:r w:rsidR="00F14901">
              <w:rPr>
                <w:rFonts w:ascii="Calibri" w:eastAsia="Calibri" w:hAnsi="Calibri"/>
                <w:szCs w:val="24"/>
              </w:rPr>
              <w:t>, 842/2006</w:t>
            </w:r>
            <w:r w:rsidR="0095704C">
              <w:rPr>
                <w:rFonts w:ascii="Calibri" w:eastAsia="Calibri" w:hAnsi="Calibri"/>
                <w:szCs w:val="24"/>
              </w:rPr>
              <w:t>,</w:t>
            </w:r>
            <w:r w:rsidR="00F72430">
              <w:rPr>
                <w:rFonts w:ascii="Calibri" w:eastAsia="Calibri" w:hAnsi="Calibri"/>
                <w:szCs w:val="24"/>
              </w:rPr>
              <w:t xml:space="preserve"> </w:t>
            </w:r>
            <w:r w:rsidR="00F14901">
              <w:rPr>
                <w:rFonts w:ascii="Calibri" w:eastAsia="Calibri" w:hAnsi="Calibri"/>
                <w:szCs w:val="24"/>
              </w:rPr>
              <w:t xml:space="preserve">517/2014 </w:t>
            </w:r>
            <w:r w:rsidR="0095704C">
              <w:rPr>
                <w:rFonts w:ascii="Calibri" w:eastAsia="Calibri" w:hAnsi="Calibri"/>
                <w:szCs w:val="24"/>
              </w:rPr>
              <w:t xml:space="preserve">and </w:t>
            </w:r>
            <w:r w:rsidR="00F14901">
              <w:rPr>
                <w:rFonts w:ascii="Calibri" w:eastAsia="Calibri" w:hAnsi="Calibri"/>
                <w:szCs w:val="24"/>
              </w:rPr>
              <w:lastRenderedPageBreak/>
              <w:t>1005/2009</w:t>
            </w:r>
          </w:p>
        </w:tc>
      </w:tr>
      <w:tr w:rsidR="00367AF3" w:rsidRPr="00C96F3E" w:rsidTr="00520041">
        <w:tc>
          <w:tcPr>
            <w:tcW w:w="4430" w:type="dxa"/>
            <w:shd w:val="clear" w:color="auto" w:fill="auto"/>
          </w:tcPr>
          <w:p w:rsidR="00367AF3" w:rsidRPr="00520041" w:rsidRDefault="00367AF3" w:rsidP="00C24B9E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lastRenderedPageBreak/>
              <w:t xml:space="preserve">Eco-design and </w:t>
            </w:r>
            <w:r w:rsidR="00C24B9E">
              <w:rPr>
                <w:rFonts w:ascii="Calibri" w:eastAsia="Calibri" w:hAnsi="Calibri"/>
                <w:szCs w:val="24"/>
              </w:rPr>
              <w:t>e</w:t>
            </w:r>
            <w:r w:rsidRPr="00520041">
              <w:rPr>
                <w:rFonts w:ascii="Calibri" w:eastAsia="Calibri" w:hAnsi="Calibri"/>
                <w:szCs w:val="24"/>
              </w:rPr>
              <w:t xml:space="preserve">nergy </w:t>
            </w:r>
            <w:r w:rsidR="00C24B9E">
              <w:rPr>
                <w:rFonts w:ascii="Calibri" w:eastAsia="Calibri" w:hAnsi="Calibri"/>
                <w:szCs w:val="24"/>
              </w:rPr>
              <w:t>l</w:t>
            </w:r>
            <w:r w:rsidRPr="00520041">
              <w:rPr>
                <w:rFonts w:ascii="Calibri" w:eastAsia="Calibri" w:hAnsi="Calibri"/>
                <w:szCs w:val="24"/>
              </w:rPr>
              <w:t>abelling</w:t>
            </w:r>
            <w:r w:rsidR="00DC6DF4">
              <w:rPr>
                <w:rFonts w:ascii="Calibri" w:eastAsia="Calibri" w:hAnsi="Calibri"/>
                <w:szCs w:val="24"/>
              </w:rPr>
              <w:t xml:space="preserve">; </w:t>
            </w:r>
            <w:r w:rsidR="00DC6DF4" w:rsidRPr="00520041">
              <w:rPr>
                <w:rFonts w:ascii="Calibri" w:eastAsia="Calibri" w:hAnsi="Calibri"/>
                <w:szCs w:val="24"/>
              </w:rPr>
              <w:t xml:space="preserve">Efficiency requirements for </w:t>
            </w:r>
            <w:r w:rsidR="0095704C">
              <w:rPr>
                <w:rFonts w:ascii="Calibri" w:eastAsia="Calibri" w:hAnsi="Calibri"/>
                <w:szCs w:val="24"/>
              </w:rPr>
              <w:t xml:space="preserve">new </w:t>
            </w:r>
            <w:r w:rsidR="00DC6DF4" w:rsidRPr="00520041">
              <w:rPr>
                <w:rFonts w:ascii="Calibri" w:eastAsia="Calibri" w:hAnsi="Calibri"/>
                <w:szCs w:val="24"/>
              </w:rPr>
              <w:t>hot-</w:t>
            </w:r>
            <w:r w:rsidR="0095704C">
              <w:rPr>
                <w:rFonts w:ascii="Calibri" w:eastAsia="Calibri" w:hAnsi="Calibri"/>
                <w:szCs w:val="24"/>
              </w:rPr>
              <w:t xml:space="preserve">water </w:t>
            </w:r>
            <w:r w:rsidR="00DC6DF4" w:rsidRPr="00520041">
              <w:rPr>
                <w:rFonts w:ascii="Calibri" w:eastAsia="Calibri" w:hAnsi="Calibri"/>
                <w:szCs w:val="24"/>
              </w:rPr>
              <w:t>boilers fired with liquid or gaseous fuels</w:t>
            </w:r>
          </w:p>
        </w:tc>
        <w:tc>
          <w:tcPr>
            <w:tcW w:w="4404" w:type="dxa"/>
            <w:shd w:val="clear" w:color="auto" w:fill="auto"/>
          </w:tcPr>
          <w:p w:rsidR="00367AF3" w:rsidRPr="00853CDD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  <w:lang w:val="fr-BE"/>
              </w:rPr>
            </w:pPr>
            <w:r w:rsidRPr="00853CDD">
              <w:rPr>
                <w:rFonts w:ascii="Calibri" w:eastAsia="Calibri" w:hAnsi="Calibri"/>
                <w:szCs w:val="24"/>
                <w:lang w:val="fr-BE"/>
              </w:rPr>
              <w:t>Directives 2009/125/EC and 2010/30/EU</w:t>
            </w:r>
            <w:r w:rsidR="00DC6DF4" w:rsidRPr="00853CDD">
              <w:rPr>
                <w:rFonts w:ascii="Calibri" w:eastAsia="Calibri" w:hAnsi="Calibri"/>
                <w:szCs w:val="24"/>
                <w:lang w:val="fr-BE"/>
              </w:rPr>
              <w:t>; Directive 1992/42/EEC</w:t>
            </w:r>
          </w:p>
        </w:tc>
      </w:tr>
      <w:tr w:rsidR="00520041" w:rsidRPr="00853CDD" w:rsidTr="00520041">
        <w:tc>
          <w:tcPr>
            <w:tcW w:w="4430" w:type="dxa"/>
            <w:shd w:val="clear" w:color="auto" w:fill="auto"/>
          </w:tcPr>
          <w:p w:rsidR="00520041" w:rsidRPr="00853CDD" w:rsidRDefault="00DC6DF4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  <w:lang w:val="fr-BE"/>
              </w:rPr>
            </w:pPr>
            <w:r w:rsidRPr="00520041">
              <w:rPr>
                <w:rFonts w:ascii="Calibri" w:eastAsia="Calibri" w:hAnsi="Calibri"/>
                <w:szCs w:val="24"/>
              </w:rPr>
              <w:t>Tyre</w:t>
            </w:r>
            <w:r w:rsidRPr="00853CDD" w:rsidDel="00DC6DF4">
              <w:rPr>
                <w:rFonts w:ascii="Calibri" w:eastAsia="Calibri" w:hAnsi="Calibri"/>
                <w:szCs w:val="24"/>
                <w:lang w:val="fr-BE"/>
              </w:rPr>
              <w:t xml:space="preserve"> </w:t>
            </w:r>
            <w:r>
              <w:rPr>
                <w:rFonts w:ascii="Calibri" w:eastAsia="Calibri" w:hAnsi="Calibri"/>
                <w:szCs w:val="24"/>
                <w:lang w:val="fr-BE"/>
              </w:rPr>
              <w:t>labelling</w:t>
            </w:r>
          </w:p>
        </w:tc>
        <w:tc>
          <w:tcPr>
            <w:tcW w:w="4404" w:type="dxa"/>
            <w:shd w:val="clear" w:color="auto" w:fill="auto"/>
          </w:tcPr>
          <w:p w:rsidR="00520041" w:rsidRPr="00853CDD" w:rsidRDefault="00DC6DF4" w:rsidP="00520041">
            <w:pPr>
              <w:spacing w:after="0"/>
              <w:rPr>
                <w:rFonts w:ascii="Calibri" w:eastAsia="Calibri" w:hAnsi="Calibri"/>
                <w:szCs w:val="24"/>
                <w:lang w:val="fr-BE"/>
              </w:rPr>
            </w:pPr>
            <w:r w:rsidRPr="00DE5199">
              <w:rPr>
                <w:rFonts w:ascii="Calibri" w:eastAsia="Calibri" w:hAnsi="Calibri"/>
                <w:szCs w:val="24"/>
              </w:rPr>
              <w:t>Regulation</w:t>
            </w:r>
            <w:r>
              <w:rPr>
                <w:rFonts w:ascii="Calibri" w:eastAsia="Calibri" w:hAnsi="Calibri"/>
                <w:szCs w:val="24"/>
              </w:rPr>
              <w:t xml:space="preserve"> (EC)</w:t>
            </w:r>
            <w:r w:rsidRPr="00DE5199">
              <w:rPr>
                <w:rFonts w:ascii="Calibri" w:eastAsia="Calibri" w:hAnsi="Calibri"/>
                <w:szCs w:val="24"/>
              </w:rPr>
              <w:t xml:space="preserve"> </w:t>
            </w:r>
            <w:r w:rsidR="0095704C">
              <w:rPr>
                <w:rFonts w:ascii="Calibri" w:eastAsia="Calibri" w:hAnsi="Calibri"/>
                <w:szCs w:val="24"/>
              </w:rPr>
              <w:t xml:space="preserve">No </w:t>
            </w:r>
            <w:r w:rsidRPr="00DE5199">
              <w:rPr>
                <w:rFonts w:ascii="Calibri" w:eastAsia="Calibri" w:hAnsi="Calibri"/>
                <w:szCs w:val="24"/>
              </w:rPr>
              <w:t>1222/2009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Recreational crafts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1994/25/EC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Marine equipment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520041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>Directive 96/98/EC</w:t>
            </w:r>
          </w:p>
        </w:tc>
      </w:tr>
      <w:tr w:rsidR="00367AF3" w:rsidRPr="00DE5199" w:rsidTr="00520041">
        <w:tc>
          <w:tcPr>
            <w:tcW w:w="4430" w:type="dxa"/>
            <w:shd w:val="clear" w:color="auto" w:fill="auto"/>
          </w:tcPr>
          <w:p w:rsidR="00367AF3" w:rsidRPr="00520041" w:rsidRDefault="00367AF3" w:rsidP="00853CDD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 xml:space="preserve">Motor vehicles </w:t>
            </w:r>
          </w:p>
        </w:tc>
        <w:tc>
          <w:tcPr>
            <w:tcW w:w="4404" w:type="dxa"/>
            <w:shd w:val="clear" w:color="auto" w:fill="auto"/>
          </w:tcPr>
          <w:p w:rsidR="00367AF3" w:rsidRPr="00DE5199" w:rsidRDefault="00367AF3" w:rsidP="00853CDD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 xml:space="preserve">Directives 2002/24/EC and 2007/46/EC </w:t>
            </w:r>
          </w:p>
        </w:tc>
      </w:tr>
      <w:tr w:rsidR="00520041" w:rsidRPr="00DE5199" w:rsidTr="00520041">
        <w:tc>
          <w:tcPr>
            <w:tcW w:w="4430" w:type="dxa"/>
            <w:shd w:val="clear" w:color="auto" w:fill="auto"/>
          </w:tcPr>
          <w:p w:rsidR="00520041" w:rsidRPr="00520041" w:rsidRDefault="00520041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Non-road mobile machinery</w:t>
            </w:r>
          </w:p>
        </w:tc>
        <w:tc>
          <w:tcPr>
            <w:tcW w:w="4404" w:type="dxa"/>
            <w:shd w:val="clear" w:color="auto" w:fill="auto"/>
          </w:tcPr>
          <w:p w:rsidR="00520041" w:rsidRPr="00520041" w:rsidRDefault="00520041" w:rsidP="00520041">
            <w:pPr>
              <w:spacing w:after="0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Directive 97/68/EC</w:t>
            </w:r>
          </w:p>
        </w:tc>
      </w:tr>
      <w:tr w:rsidR="00284886" w:rsidRPr="00DE5199" w:rsidTr="0083089F">
        <w:tc>
          <w:tcPr>
            <w:tcW w:w="4430" w:type="dxa"/>
            <w:shd w:val="clear" w:color="auto" w:fill="auto"/>
          </w:tcPr>
          <w:p w:rsidR="00284886" w:rsidRPr="00520041" w:rsidRDefault="00284886" w:rsidP="007D25BC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>Fertili</w:t>
            </w:r>
            <w:r w:rsidR="007D25BC">
              <w:rPr>
                <w:rFonts w:ascii="Calibri" w:eastAsia="Calibri" w:hAnsi="Calibri"/>
                <w:szCs w:val="24"/>
              </w:rPr>
              <w:t>s</w:t>
            </w:r>
            <w:r w:rsidRPr="00520041">
              <w:rPr>
                <w:rFonts w:ascii="Calibri" w:eastAsia="Calibri" w:hAnsi="Calibri"/>
                <w:szCs w:val="24"/>
              </w:rPr>
              <w:t>ers</w:t>
            </w:r>
          </w:p>
        </w:tc>
        <w:tc>
          <w:tcPr>
            <w:tcW w:w="4404" w:type="dxa"/>
            <w:shd w:val="clear" w:color="auto" w:fill="auto"/>
          </w:tcPr>
          <w:p w:rsidR="00284886" w:rsidRPr="00DE5199" w:rsidRDefault="00284886" w:rsidP="00853CDD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 xml:space="preserve">Regulation </w:t>
            </w:r>
            <w:r w:rsidR="00F72430">
              <w:rPr>
                <w:rFonts w:ascii="Calibri" w:eastAsia="Calibri" w:hAnsi="Calibri"/>
                <w:szCs w:val="24"/>
              </w:rPr>
              <w:t xml:space="preserve">(EC) </w:t>
            </w:r>
            <w:r w:rsidR="0095704C">
              <w:rPr>
                <w:rFonts w:ascii="Calibri" w:eastAsia="Calibri" w:hAnsi="Calibri"/>
                <w:szCs w:val="24"/>
              </w:rPr>
              <w:t xml:space="preserve">No </w:t>
            </w:r>
            <w:r w:rsidRPr="00DE5199">
              <w:rPr>
                <w:rFonts w:ascii="Calibri" w:eastAsia="Calibri" w:hAnsi="Calibri"/>
                <w:szCs w:val="24"/>
              </w:rPr>
              <w:t>2003/2003</w:t>
            </w:r>
          </w:p>
        </w:tc>
      </w:tr>
      <w:tr w:rsidR="00520041" w:rsidRPr="00DE5199" w:rsidTr="00520041">
        <w:tc>
          <w:tcPr>
            <w:tcW w:w="4430" w:type="dxa"/>
            <w:shd w:val="clear" w:color="auto" w:fill="auto"/>
          </w:tcPr>
          <w:p w:rsidR="00520041" w:rsidRPr="00003B39" w:rsidRDefault="00520041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003B39">
              <w:rPr>
                <w:rFonts w:ascii="Calibri" w:eastAsia="Calibri" w:hAnsi="Calibri"/>
                <w:szCs w:val="24"/>
              </w:rPr>
              <w:t>Other consumer products under GPSD (optional)</w:t>
            </w:r>
          </w:p>
        </w:tc>
        <w:tc>
          <w:tcPr>
            <w:tcW w:w="4404" w:type="dxa"/>
            <w:shd w:val="clear" w:color="auto" w:fill="auto"/>
          </w:tcPr>
          <w:p w:rsidR="00520041" w:rsidRPr="00343FB0" w:rsidRDefault="00520041" w:rsidP="0017380A">
            <w:pPr>
              <w:spacing w:after="0"/>
            </w:pPr>
            <w:r w:rsidRPr="00003B39">
              <w:rPr>
                <w:rFonts w:ascii="Calibri" w:eastAsia="Calibri" w:hAnsi="Calibri"/>
                <w:szCs w:val="24"/>
              </w:rPr>
              <w:t xml:space="preserve">Directive </w:t>
            </w:r>
            <w:r w:rsidR="00640B9C" w:rsidRPr="00003B39">
              <w:rPr>
                <w:rFonts w:ascii="Calibri" w:eastAsia="Calibri" w:hAnsi="Calibri"/>
                <w:szCs w:val="24"/>
              </w:rPr>
              <w:t>20</w:t>
            </w:r>
            <w:r w:rsidR="00640B9C">
              <w:rPr>
                <w:rFonts w:ascii="Calibri" w:eastAsia="Calibri" w:hAnsi="Calibri"/>
                <w:szCs w:val="24"/>
              </w:rPr>
              <w:t>0</w:t>
            </w:r>
            <w:r w:rsidR="00640B9C" w:rsidRPr="00003B39">
              <w:rPr>
                <w:rFonts w:ascii="Calibri" w:eastAsia="Calibri" w:hAnsi="Calibri"/>
                <w:szCs w:val="24"/>
              </w:rPr>
              <w:t>1</w:t>
            </w:r>
            <w:r w:rsidRPr="00003B39">
              <w:rPr>
                <w:rFonts w:ascii="Calibri" w:eastAsia="Calibri" w:hAnsi="Calibri"/>
                <w:szCs w:val="24"/>
              </w:rPr>
              <w:t>/95/EC</w:t>
            </w:r>
          </w:p>
        </w:tc>
      </w:tr>
      <w:tr w:rsidR="004F230B" w:rsidRPr="00DE5199" w:rsidTr="00526F2D">
        <w:tc>
          <w:tcPr>
            <w:tcW w:w="4430" w:type="dxa"/>
            <w:shd w:val="clear" w:color="auto" w:fill="auto"/>
          </w:tcPr>
          <w:p w:rsidR="004F230B" w:rsidRPr="00520041" w:rsidRDefault="004F230B" w:rsidP="00526F2D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520041">
              <w:rPr>
                <w:rFonts w:ascii="Calibri" w:eastAsia="Calibri" w:hAnsi="Calibri"/>
                <w:szCs w:val="24"/>
              </w:rPr>
              <w:t xml:space="preserve">Biocides </w:t>
            </w:r>
          </w:p>
        </w:tc>
        <w:tc>
          <w:tcPr>
            <w:tcW w:w="4404" w:type="dxa"/>
            <w:shd w:val="clear" w:color="auto" w:fill="auto"/>
          </w:tcPr>
          <w:p w:rsidR="004F230B" w:rsidRPr="00DE5199" w:rsidRDefault="004F230B" w:rsidP="00853CDD">
            <w:p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DE5199">
              <w:rPr>
                <w:rFonts w:ascii="Calibri" w:eastAsia="Calibri" w:hAnsi="Calibri"/>
                <w:szCs w:val="24"/>
              </w:rPr>
              <w:t xml:space="preserve">Regulation </w:t>
            </w:r>
            <w:r w:rsidR="00F72430">
              <w:rPr>
                <w:rFonts w:ascii="Calibri" w:eastAsia="Calibri" w:hAnsi="Calibri"/>
                <w:szCs w:val="24"/>
              </w:rPr>
              <w:t xml:space="preserve">(EU) </w:t>
            </w:r>
            <w:r w:rsidR="0095704C">
              <w:rPr>
                <w:rFonts w:ascii="Calibri" w:eastAsia="Calibri" w:hAnsi="Calibri"/>
                <w:szCs w:val="24"/>
              </w:rPr>
              <w:t xml:space="preserve">No </w:t>
            </w:r>
            <w:r w:rsidRPr="00DE5199">
              <w:rPr>
                <w:rFonts w:ascii="Calibri" w:eastAsia="Calibri" w:hAnsi="Calibri"/>
                <w:szCs w:val="24"/>
              </w:rPr>
              <w:t xml:space="preserve">2012/528 </w:t>
            </w:r>
          </w:p>
        </w:tc>
      </w:tr>
      <w:tr w:rsidR="00520041" w:rsidRPr="00DE5199" w:rsidTr="00520041">
        <w:tc>
          <w:tcPr>
            <w:tcW w:w="4430" w:type="dxa"/>
            <w:shd w:val="clear" w:color="auto" w:fill="auto"/>
          </w:tcPr>
          <w:p w:rsidR="00520041" w:rsidRPr="00003B39" w:rsidRDefault="00F14901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Textile labelling</w:t>
            </w:r>
          </w:p>
        </w:tc>
        <w:tc>
          <w:tcPr>
            <w:tcW w:w="4404" w:type="dxa"/>
            <w:shd w:val="clear" w:color="auto" w:fill="auto"/>
          </w:tcPr>
          <w:p w:rsidR="00520041" w:rsidRPr="00343FB0" w:rsidRDefault="00F14901" w:rsidP="00853CDD">
            <w:pPr>
              <w:spacing w:after="0"/>
            </w:pPr>
            <w:r w:rsidRPr="00853CDD">
              <w:rPr>
                <w:rFonts w:ascii="Calibri" w:eastAsia="Calibri" w:hAnsi="Calibri"/>
                <w:szCs w:val="24"/>
              </w:rPr>
              <w:t xml:space="preserve">Regulation </w:t>
            </w:r>
            <w:r w:rsidR="00F72430">
              <w:rPr>
                <w:rFonts w:ascii="Calibri" w:eastAsia="Calibri" w:hAnsi="Calibri"/>
                <w:szCs w:val="24"/>
              </w:rPr>
              <w:t xml:space="preserve">(EC) </w:t>
            </w:r>
            <w:r w:rsidR="0095704C">
              <w:rPr>
                <w:rFonts w:ascii="Calibri" w:eastAsia="Calibri" w:hAnsi="Calibri"/>
                <w:szCs w:val="24"/>
              </w:rPr>
              <w:t xml:space="preserve">No </w:t>
            </w:r>
            <w:r w:rsidRPr="00853CDD">
              <w:rPr>
                <w:rFonts w:ascii="Calibri" w:eastAsia="Calibri" w:hAnsi="Calibri"/>
                <w:szCs w:val="24"/>
              </w:rPr>
              <w:t>1007/2011</w:t>
            </w:r>
          </w:p>
        </w:tc>
      </w:tr>
      <w:tr w:rsidR="00F14901" w:rsidRPr="00DE5199" w:rsidTr="00520041">
        <w:tc>
          <w:tcPr>
            <w:tcW w:w="4430" w:type="dxa"/>
            <w:shd w:val="clear" w:color="auto" w:fill="auto"/>
          </w:tcPr>
          <w:p w:rsidR="00F14901" w:rsidRPr="00003B39" w:rsidRDefault="00F14901" w:rsidP="00425240">
            <w:pPr>
              <w:numPr>
                <w:ilvl w:val="0"/>
                <w:numId w:val="29"/>
              </w:numPr>
              <w:spacing w:after="0"/>
              <w:contextualSpacing/>
              <w:jc w:val="left"/>
              <w:rPr>
                <w:rFonts w:ascii="Calibri" w:eastAsia="Calibri" w:hAnsi="Calibri"/>
                <w:szCs w:val="24"/>
              </w:rPr>
            </w:pPr>
            <w:r w:rsidRPr="00003B39">
              <w:rPr>
                <w:rFonts w:ascii="Calibri" w:eastAsia="Calibri" w:hAnsi="Calibri"/>
                <w:szCs w:val="24"/>
              </w:rPr>
              <w:t>…. (Additional sectors – please specify</w:t>
            </w:r>
            <w:r>
              <w:rPr>
                <w:rFonts w:ascii="Calibri" w:eastAsia="Calibri" w:hAnsi="Calibri"/>
                <w:szCs w:val="24"/>
              </w:rPr>
              <w:t>)</w:t>
            </w:r>
          </w:p>
        </w:tc>
        <w:tc>
          <w:tcPr>
            <w:tcW w:w="4404" w:type="dxa"/>
            <w:shd w:val="clear" w:color="auto" w:fill="auto"/>
          </w:tcPr>
          <w:p w:rsidR="00F14901" w:rsidRPr="00343FB0" w:rsidRDefault="00F14901" w:rsidP="005021E0">
            <w:pPr>
              <w:spacing w:after="0"/>
            </w:pPr>
          </w:p>
        </w:tc>
      </w:tr>
    </w:tbl>
    <w:p w:rsidR="00367AF3" w:rsidRPr="00DE5199" w:rsidRDefault="00367AF3" w:rsidP="00367AF3">
      <w:pPr>
        <w:rPr>
          <w:szCs w:val="24"/>
        </w:rPr>
      </w:pPr>
    </w:p>
    <w:sectPr w:rsidR="00367AF3" w:rsidRPr="00DE5199" w:rsidSect="00505B38">
      <w:footerReference w:type="default" r:id="rId9"/>
      <w:headerReference w:type="first" r:id="rId10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53" w:rsidRDefault="00E23353" w:rsidP="0018281A">
      <w:pPr>
        <w:spacing w:after="0"/>
      </w:pPr>
      <w:r>
        <w:separator/>
      </w:r>
    </w:p>
  </w:endnote>
  <w:endnote w:type="continuationSeparator" w:id="0">
    <w:p w:rsidR="00E23353" w:rsidRDefault="00E23353" w:rsidP="00182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9F" w:rsidRDefault="000E629F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9D0C6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53" w:rsidRDefault="00E23353" w:rsidP="0018281A">
      <w:pPr>
        <w:spacing w:after="0"/>
      </w:pPr>
      <w:r>
        <w:separator/>
      </w:r>
    </w:p>
  </w:footnote>
  <w:footnote w:type="continuationSeparator" w:id="0">
    <w:p w:rsidR="00E23353" w:rsidRDefault="00E23353" w:rsidP="0018281A">
      <w:pPr>
        <w:spacing w:after="0"/>
      </w:pPr>
      <w:r>
        <w:continuationSeparator/>
      </w:r>
    </w:p>
  </w:footnote>
  <w:footnote w:id="1">
    <w:p w:rsidR="000E629F" w:rsidRPr="005F5809" w:rsidRDefault="000E629F" w:rsidP="00367A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For ease of reference this table indicates established EU legislation. New legislation replac</w:t>
      </w:r>
      <w:r w:rsidR="007D25BC">
        <w:t>ing</w:t>
      </w:r>
      <w:r>
        <w:t xml:space="preserve"> that listed in the table should also </w:t>
      </w:r>
      <w:r w:rsidR="00763936">
        <w:t xml:space="preserve">be </w:t>
      </w:r>
      <w:r>
        <w:t>taken into account for the relevant per</w:t>
      </w:r>
      <w:r w:rsidR="001D6176">
        <w:t>iod in which it is applicable.</w:t>
      </w:r>
    </w:p>
  </w:footnote>
  <w:footnote w:id="2">
    <w:p w:rsidR="000E629F" w:rsidRPr="00367AF3" w:rsidRDefault="000E629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  <w:t>For ease of reference in some cases (e. g. eco-design, energy labelling), this table only indicates EU framework legislation, but is intended to cover also product</w:t>
      </w:r>
      <w:r w:rsidR="007D25BC">
        <w:t>-</w:t>
      </w:r>
      <w:r>
        <w:t>specific EU legislative acts.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9F" w:rsidRDefault="000E629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4542AD8"/>
    <w:multiLevelType w:val="hybridMultilevel"/>
    <w:tmpl w:val="1D5E0800"/>
    <w:lvl w:ilvl="0" w:tplc="9A1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727F6"/>
    <w:multiLevelType w:val="hybridMultilevel"/>
    <w:tmpl w:val="74266DD4"/>
    <w:lvl w:ilvl="0" w:tplc="9A1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42763"/>
    <w:multiLevelType w:val="hybridMultilevel"/>
    <w:tmpl w:val="5F72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C5363"/>
    <w:multiLevelType w:val="hybridMultilevel"/>
    <w:tmpl w:val="6818D730"/>
    <w:lvl w:ilvl="0" w:tplc="9A1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D291F"/>
    <w:multiLevelType w:val="hybridMultilevel"/>
    <w:tmpl w:val="960E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F734306"/>
    <w:multiLevelType w:val="multilevel"/>
    <w:tmpl w:val="0F9877B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2280"/>
        </w:tabs>
        <w:ind w:left="22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973"/>
        </w:tabs>
        <w:ind w:left="4973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40A16AA"/>
    <w:multiLevelType w:val="hybridMultilevel"/>
    <w:tmpl w:val="704800A8"/>
    <w:lvl w:ilvl="0" w:tplc="9A1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3B735F2C"/>
    <w:multiLevelType w:val="hybridMultilevel"/>
    <w:tmpl w:val="EA7C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498960B3"/>
    <w:multiLevelType w:val="hybridMultilevel"/>
    <w:tmpl w:val="F0B28552"/>
    <w:lvl w:ilvl="0" w:tplc="9A1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D34D5"/>
    <w:multiLevelType w:val="hybridMultilevel"/>
    <w:tmpl w:val="15EC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847DE"/>
    <w:multiLevelType w:val="hybridMultilevel"/>
    <w:tmpl w:val="AB18668E"/>
    <w:lvl w:ilvl="0" w:tplc="9A1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920A0"/>
    <w:multiLevelType w:val="hybridMultilevel"/>
    <w:tmpl w:val="BDACFF14"/>
    <w:lvl w:ilvl="0" w:tplc="2B244E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>
    <w:nsid w:val="55236281"/>
    <w:multiLevelType w:val="hybridMultilevel"/>
    <w:tmpl w:val="7276A02E"/>
    <w:lvl w:ilvl="0" w:tplc="9A1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E35D5"/>
    <w:multiLevelType w:val="hybridMultilevel"/>
    <w:tmpl w:val="F4C8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910BB"/>
    <w:multiLevelType w:val="hybridMultilevel"/>
    <w:tmpl w:val="341A41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C33610"/>
    <w:multiLevelType w:val="hybridMultilevel"/>
    <w:tmpl w:val="8240384A"/>
    <w:lvl w:ilvl="0" w:tplc="9B7A10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C4A4E"/>
    <w:multiLevelType w:val="hybridMultilevel"/>
    <w:tmpl w:val="B5389D28"/>
    <w:lvl w:ilvl="0" w:tplc="9A1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7"/>
  </w:num>
  <w:num w:numId="5">
    <w:abstractNumId w:val="10"/>
  </w:num>
  <w:num w:numId="6">
    <w:abstractNumId w:val="15"/>
  </w:num>
  <w:num w:numId="7">
    <w:abstractNumId w:val="29"/>
  </w:num>
  <w:num w:numId="8">
    <w:abstractNumId w:val="30"/>
  </w:num>
  <w:num w:numId="9">
    <w:abstractNumId w:val="13"/>
  </w:num>
  <w:num w:numId="10">
    <w:abstractNumId w:val="28"/>
  </w:num>
  <w:num w:numId="11">
    <w:abstractNumId w:val="27"/>
  </w:num>
  <w:num w:numId="12">
    <w:abstractNumId w:val="18"/>
  </w:num>
  <w:num w:numId="13">
    <w:abstractNumId w:val="23"/>
  </w:num>
  <w:num w:numId="14">
    <w:abstractNumId w:val="9"/>
  </w:num>
  <w:num w:numId="15">
    <w:abstractNumId w:val="14"/>
  </w:num>
  <w:num w:numId="16">
    <w:abstractNumId w:val="7"/>
  </w:num>
  <w:num w:numId="17">
    <w:abstractNumId w:val="11"/>
  </w:num>
  <w:num w:numId="18">
    <w:abstractNumId w:val="31"/>
  </w:num>
  <w:num w:numId="19">
    <w:abstractNumId w:val="33"/>
  </w:num>
  <w:num w:numId="20">
    <w:abstractNumId w:val="2"/>
  </w:num>
  <w:num w:numId="21">
    <w:abstractNumId w:val="3"/>
  </w:num>
  <w:num w:numId="22">
    <w:abstractNumId w:val="19"/>
  </w:num>
  <w:num w:numId="23">
    <w:abstractNumId w:val="12"/>
  </w:num>
  <w:num w:numId="24">
    <w:abstractNumId w:val="5"/>
  </w:num>
  <w:num w:numId="25">
    <w:abstractNumId w:val="21"/>
  </w:num>
  <w:num w:numId="26">
    <w:abstractNumId w:val="24"/>
  </w:num>
  <w:num w:numId="27">
    <w:abstractNumId w:val="1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2"/>
  </w:num>
  <w:num w:numId="34">
    <w:abstractNumId w:val="20"/>
  </w:num>
  <w:num w:numId="35">
    <w:abstractNumId w:val="4"/>
  </w:num>
  <w:num w:numId="36">
    <w:abstractNumId w:val="25"/>
  </w:num>
  <w:num w:numId="37">
    <w:abstractNumId w:val="6"/>
  </w:num>
  <w:num w:numId="38">
    <w:abstractNumId w:val="32"/>
  </w:num>
  <w:num w:numId="3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REP"/>
  </w:docVars>
  <w:rsids>
    <w:rsidRoot w:val="0018281A"/>
    <w:rsid w:val="00003B39"/>
    <w:rsid w:val="00020C7D"/>
    <w:rsid w:val="0005105C"/>
    <w:rsid w:val="00052C75"/>
    <w:rsid w:val="00067ACB"/>
    <w:rsid w:val="00070C99"/>
    <w:rsid w:val="00081317"/>
    <w:rsid w:val="00085499"/>
    <w:rsid w:val="00091349"/>
    <w:rsid w:val="00091B57"/>
    <w:rsid w:val="0009359B"/>
    <w:rsid w:val="000944B4"/>
    <w:rsid w:val="00097D50"/>
    <w:rsid w:val="000A4601"/>
    <w:rsid w:val="000B08F2"/>
    <w:rsid w:val="000B2193"/>
    <w:rsid w:val="000C034F"/>
    <w:rsid w:val="000D711B"/>
    <w:rsid w:val="000E22B0"/>
    <w:rsid w:val="000E5A7C"/>
    <w:rsid w:val="000E629F"/>
    <w:rsid w:val="000E6C2D"/>
    <w:rsid w:val="0010113F"/>
    <w:rsid w:val="001043AF"/>
    <w:rsid w:val="00114EA8"/>
    <w:rsid w:val="001210E0"/>
    <w:rsid w:val="001212A5"/>
    <w:rsid w:val="001225C5"/>
    <w:rsid w:val="001231E8"/>
    <w:rsid w:val="00125479"/>
    <w:rsid w:val="00136301"/>
    <w:rsid w:val="00142F3D"/>
    <w:rsid w:val="00154326"/>
    <w:rsid w:val="0017380A"/>
    <w:rsid w:val="00173E3D"/>
    <w:rsid w:val="0018281A"/>
    <w:rsid w:val="001958AC"/>
    <w:rsid w:val="001A1C36"/>
    <w:rsid w:val="001A34BF"/>
    <w:rsid w:val="001B023C"/>
    <w:rsid w:val="001B72B4"/>
    <w:rsid w:val="001C6354"/>
    <w:rsid w:val="001C7A14"/>
    <w:rsid w:val="001D2D70"/>
    <w:rsid w:val="001D42D0"/>
    <w:rsid w:val="001D4CDA"/>
    <w:rsid w:val="001D6176"/>
    <w:rsid w:val="001D65C2"/>
    <w:rsid w:val="001F65D1"/>
    <w:rsid w:val="002078EF"/>
    <w:rsid w:val="00220E8B"/>
    <w:rsid w:val="002212BB"/>
    <w:rsid w:val="0024065A"/>
    <w:rsid w:val="00241F5E"/>
    <w:rsid w:val="00244BC4"/>
    <w:rsid w:val="0026138D"/>
    <w:rsid w:val="00262C30"/>
    <w:rsid w:val="00283395"/>
    <w:rsid w:val="00284886"/>
    <w:rsid w:val="002849D5"/>
    <w:rsid w:val="0028541F"/>
    <w:rsid w:val="00293B0A"/>
    <w:rsid w:val="00293ED0"/>
    <w:rsid w:val="002949B0"/>
    <w:rsid w:val="002B0D48"/>
    <w:rsid w:val="002B1C4F"/>
    <w:rsid w:val="002C1DDB"/>
    <w:rsid w:val="002D6B15"/>
    <w:rsid w:val="002D6D2D"/>
    <w:rsid w:val="002D6EC0"/>
    <w:rsid w:val="002E5045"/>
    <w:rsid w:val="002F1A76"/>
    <w:rsid w:val="00301242"/>
    <w:rsid w:val="00302B7B"/>
    <w:rsid w:val="003111C1"/>
    <w:rsid w:val="00327EDA"/>
    <w:rsid w:val="00330904"/>
    <w:rsid w:val="00335F28"/>
    <w:rsid w:val="00342152"/>
    <w:rsid w:val="003434B8"/>
    <w:rsid w:val="00343690"/>
    <w:rsid w:val="00351AD8"/>
    <w:rsid w:val="00366B36"/>
    <w:rsid w:val="00367AF3"/>
    <w:rsid w:val="00370093"/>
    <w:rsid w:val="00371FB2"/>
    <w:rsid w:val="00397C48"/>
    <w:rsid w:val="003B602E"/>
    <w:rsid w:val="003C5B83"/>
    <w:rsid w:val="003D17CF"/>
    <w:rsid w:val="003E0E87"/>
    <w:rsid w:val="003E4E2A"/>
    <w:rsid w:val="00402A33"/>
    <w:rsid w:val="00402A5E"/>
    <w:rsid w:val="00406B08"/>
    <w:rsid w:val="00407010"/>
    <w:rsid w:val="00416B42"/>
    <w:rsid w:val="00417C93"/>
    <w:rsid w:val="0042018D"/>
    <w:rsid w:val="00425240"/>
    <w:rsid w:val="00432DF0"/>
    <w:rsid w:val="0044372F"/>
    <w:rsid w:val="00460AF9"/>
    <w:rsid w:val="00466ED9"/>
    <w:rsid w:val="0046729E"/>
    <w:rsid w:val="00467325"/>
    <w:rsid w:val="00473D0D"/>
    <w:rsid w:val="00480C36"/>
    <w:rsid w:val="00487A7F"/>
    <w:rsid w:val="0049671E"/>
    <w:rsid w:val="004A314E"/>
    <w:rsid w:val="004A67A0"/>
    <w:rsid w:val="004A7DFD"/>
    <w:rsid w:val="004C7639"/>
    <w:rsid w:val="004D4390"/>
    <w:rsid w:val="004E6B90"/>
    <w:rsid w:val="004F1F23"/>
    <w:rsid w:val="004F230B"/>
    <w:rsid w:val="00501E55"/>
    <w:rsid w:val="005021E0"/>
    <w:rsid w:val="00505B38"/>
    <w:rsid w:val="00516067"/>
    <w:rsid w:val="00520041"/>
    <w:rsid w:val="00526F2D"/>
    <w:rsid w:val="00546B94"/>
    <w:rsid w:val="00555CDD"/>
    <w:rsid w:val="005657AD"/>
    <w:rsid w:val="00567BDB"/>
    <w:rsid w:val="00572C38"/>
    <w:rsid w:val="00574152"/>
    <w:rsid w:val="00577A5B"/>
    <w:rsid w:val="00585838"/>
    <w:rsid w:val="00594925"/>
    <w:rsid w:val="005A0A7B"/>
    <w:rsid w:val="005A5EF9"/>
    <w:rsid w:val="005A69D0"/>
    <w:rsid w:val="005B1FAF"/>
    <w:rsid w:val="005B3193"/>
    <w:rsid w:val="005E14DC"/>
    <w:rsid w:val="005E19F1"/>
    <w:rsid w:val="005E59D3"/>
    <w:rsid w:val="005F31E3"/>
    <w:rsid w:val="00600BD0"/>
    <w:rsid w:val="006016CD"/>
    <w:rsid w:val="00601C6D"/>
    <w:rsid w:val="00611E87"/>
    <w:rsid w:val="00640B9C"/>
    <w:rsid w:val="00650C45"/>
    <w:rsid w:val="00652007"/>
    <w:rsid w:val="006530F0"/>
    <w:rsid w:val="00673CB7"/>
    <w:rsid w:val="006814D8"/>
    <w:rsid w:val="00697796"/>
    <w:rsid w:val="006A0341"/>
    <w:rsid w:val="006B4F79"/>
    <w:rsid w:val="006C064B"/>
    <w:rsid w:val="006D6333"/>
    <w:rsid w:val="006E3A70"/>
    <w:rsid w:val="00715144"/>
    <w:rsid w:val="00725317"/>
    <w:rsid w:val="007254E9"/>
    <w:rsid w:val="0072607E"/>
    <w:rsid w:val="00736DBE"/>
    <w:rsid w:val="00740B26"/>
    <w:rsid w:val="00746686"/>
    <w:rsid w:val="00751146"/>
    <w:rsid w:val="007511AE"/>
    <w:rsid w:val="00756009"/>
    <w:rsid w:val="00762A01"/>
    <w:rsid w:val="00763936"/>
    <w:rsid w:val="007760F7"/>
    <w:rsid w:val="00785E16"/>
    <w:rsid w:val="007907D4"/>
    <w:rsid w:val="00794399"/>
    <w:rsid w:val="0079620D"/>
    <w:rsid w:val="007A5144"/>
    <w:rsid w:val="007B40BB"/>
    <w:rsid w:val="007C0413"/>
    <w:rsid w:val="007C39AF"/>
    <w:rsid w:val="007D25BC"/>
    <w:rsid w:val="008201F0"/>
    <w:rsid w:val="00820FAC"/>
    <w:rsid w:val="00826A29"/>
    <w:rsid w:val="0083089F"/>
    <w:rsid w:val="0084151E"/>
    <w:rsid w:val="00843B3D"/>
    <w:rsid w:val="0085080B"/>
    <w:rsid w:val="00852C8A"/>
    <w:rsid w:val="008539A6"/>
    <w:rsid w:val="00853CDD"/>
    <w:rsid w:val="00855338"/>
    <w:rsid w:val="00870A9B"/>
    <w:rsid w:val="00872412"/>
    <w:rsid w:val="0088671C"/>
    <w:rsid w:val="00887739"/>
    <w:rsid w:val="008942B2"/>
    <w:rsid w:val="008A68AA"/>
    <w:rsid w:val="008B64DF"/>
    <w:rsid w:val="008B74A5"/>
    <w:rsid w:val="008C0024"/>
    <w:rsid w:val="008C5692"/>
    <w:rsid w:val="008D0A81"/>
    <w:rsid w:val="008D25BF"/>
    <w:rsid w:val="008D7BA1"/>
    <w:rsid w:val="008E0404"/>
    <w:rsid w:val="008F245B"/>
    <w:rsid w:val="008F449F"/>
    <w:rsid w:val="008F7F64"/>
    <w:rsid w:val="00900809"/>
    <w:rsid w:val="0090285A"/>
    <w:rsid w:val="00902D22"/>
    <w:rsid w:val="00913012"/>
    <w:rsid w:val="009251B7"/>
    <w:rsid w:val="009256C0"/>
    <w:rsid w:val="009303A7"/>
    <w:rsid w:val="00933154"/>
    <w:rsid w:val="00954387"/>
    <w:rsid w:val="0095557B"/>
    <w:rsid w:val="0095704C"/>
    <w:rsid w:val="00976625"/>
    <w:rsid w:val="00986C01"/>
    <w:rsid w:val="0098771A"/>
    <w:rsid w:val="009919BE"/>
    <w:rsid w:val="009B2441"/>
    <w:rsid w:val="009B56BA"/>
    <w:rsid w:val="009B6905"/>
    <w:rsid w:val="009B7BAC"/>
    <w:rsid w:val="009C4414"/>
    <w:rsid w:val="009C5126"/>
    <w:rsid w:val="009D0C68"/>
    <w:rsid w:val="009D4A8F"/>
    <w:rsid w:val="009D6F5E"/>
    <w:rsid w:val="009E36CA"/>
    <w:rsid w:val="009E498E"/>
    <w:rsid w:val="009F6CF0"/>
    <w:rsid w:val="00A147BD"/>
    <w:rsid w:val="00A16E3E"/>
    <w:rsid w:val="00A342A0"/>
    <w:rsid w:val="00A41B34"/>
    <w:rsid w:val="00A466EA"/>
    <w:rsid w:val="00A53C2E"/>
    <w:rsid w:val="00A60167"/>
    <w:rsid w:val="00A72116"/>
    <w:rsid w:val="00A73398"/>
    <w:rsid w:val="00A73B44"/>
    <w:rsid w:val="00A754A2"/>
    <w:rsid w:val="00A805CC"/>
    <w:rsid w:val="00A973CC"/>
    <w:rsid w:val="00A978C3"/>
    <w:rsid w:val="00AB7F98"/>
    <w:rsid w:val="00AE2076"/>
    <w:rsid w:val="00AE6BB3"/>
    <w:rsid w:val="00AE6C0F"/>
    <w:rsid w:val="00AF7936"/>
    <w:rsid w:val="00B067F4"/>
    <w:rsid w:val="00B1165C"/>
    <w:rsid w:val="00B24A77"/>
    <w:rsid w:val="00B44B8E"/>
    <w:rsid w:val="00B50BFD"/>
    <w:rsid w:val="00B51719"/>
    <w:rsid w:val="00B6051B"/>
    <w:rsid w:val="00B63E6B"/>
    <w:rsid w:val="00B65BEE"/>
    <w:rsid w:val="00B67B55"/>
    <w:rsid w:val="00B70067"/>
    <w:rsid w:val="00B72D60"/>
    <w:rsid w:val="00B72E62"/>
    <w:rsid w:val="00B8557C"/>
    <w:rsid w:val="00B9132B"/>
    <w:rsid w:val="00BA75BD"/>
    <w:rsid w:val="00BB1CF6"/>
    <w:rsid w:val="00BC0941"/>
    <w:rsid w:val="00BC293A"/>
    <w:rsid w:val="00BC7A26"/>
    <w:rsid w:val="00BD2353"/>
    <w:rsid w:val="00BE2AEE"/>
    <w:rsid w:val="00BE32D0"/>
    <w:rsid w:val="00BE3FCF"/>
    <w:rsid w:val="00BE5282"/>
    <w:rsid w:val="00BF1DEB"/>
    <w:rsid w:val="00BF574A"/>
    <w:rsid w:val="00C050F7"/>
    <w:rsid w:val="00C05A25"/>
    <w:rsid w:val="00C06933"/>
    <w:rsid w:val="00C06F96"/>
    <w:rsid w:val="00C24B9E"/>
    <w:rsid w:val="00C35241"/>
    <w:rsid w:val="00C50259"/>
    <w:rsid w:val="00C517F1"/>
    <w:rsid w:val="00C571E4"/>
    <w:rsid w:val="00C66461"/>
    <w:rsid w:val="00C96F3E"/>
    <w:rsid w:val="00CA3008"/>
    <w:rsid w:val="00CC00FD"/>
    <w:rsid w:val="00CD0037"/>
    <w:rsid w:val="00CD17AC"/>
    <w:rsid w:val="00CD495E"/>
    <w:rsid w:val="00CD56D1"/>
    <w:rsid w:val="00CD5DA4"/>
    <w:rsid w:val="00CF5F6A"/>
    <w:rsid w:val="00D1640B"/>
    <w:rsid w:val="00D22824"/>
    <w:rsid w:val="00D351D3"/>
    <w:rsid w:val="00D47205"/>
    <w:rsid w:val="00D51FBD"/>
    <w:rsid w:val="00D5282A"/>
    <w:rsid w:val="00D55D61"/>
    <w:rsid w:val="00D64A88"/>
    <w:rsid w:val="00D71E77"/>
    <w:rsid w:val="00D773B7"/>
    <w:rsid w:val="00D87566"/>
    <w:rsid w:val="00D90773"/>
    <w:rsid w:val="00D93901"/>
    <w:rsid w:val="00DA4E3A"/>
    <w:rsid w:val="00DA512D"/>
    <w:rsid w:val="00DA7316"/>
    <w:rsid w:val="00DB08B4"/>
    <w:rsid w:val="00DB0B8A"/>
    <w:rsid w:val="00DC48B4"/>
    <w:rsid w:val="00DC4DB9"/>
    <w:rsid w:val="00DC6DF4"/>
    <w:rsid w:val="00DD5626"/>
    <w:rsid w:val="00DE1133"/>
    <w:rsid w:val="00DE5199"/>
    <w:rsid w:val="00DF4ECA"/>
    <w:rsid w:val="00DF5A9E"/>
    <w:rsid w:val="00DF5F7E"/>
    <w:rsid w:val="00DF7F6B"/>
    <w:rsid w:val="00E20FE9"/>
    <w:rsid w:val="00E23353"/>
    <w:rsid w:val="00E23F5C"/>
    <w:rsid w:val="00E25A60"/>
    <w:rsid w:val="00E413BA"/>
    <w:rsid w:val="00E459B6"/>
    <w:rsid w:val="00E51FAD"/>
    <w:rsid w:val="00E531CF"/>
    <w:rsid w:val="00E5565B"/>
    <w:rsid w:val="00E637C5"/>
    <w:rsid w:val="00E800E3"/>
    <w:rsid w:val="00E90AA7"/>
    <w:rsid w:val="00EA0318"/>
    <w:rsid w:val="00EA5A45"/>
    <w:rsid w:val="00EA7BAC"/>
    <w:rsid w:val="00EC60D5"/>
    <w:rsid w:val="00EC6E1F"/>
    <w:rsid w:val="00ED22EB"/>
    <w:rsid w:val="00EE0420"/>
    <w:rsid w:val="00F0063B"/>
    <w:rsid w:val="00F01BFA"/>
    <w:rsid w:val="00F03270"/>
    <w:rsid w:val="00F0747A"/>
    <w:rsid w:val="00F14901"/>
    <w:rsid w:val="00F1548E"/>
    <w:rsid w:val="00F1740F"/>
    <w:rsid w:val="00F17A3F"/>
    <w:rsid w:val="00F34741"/>
    <w:rsid w:val="00F42CB4"/>
    <w:rsid w:val="00F44C42"/>
    <w:rsid w:val="00F44E9B"/>
    <w:rsid w:val="00F462DB"/>
    <w:rsid w:val="00F5021E"/>
    <w:rsid w:val="00F506A3"/>
    <w:rsid w:val="00F5235E"/>
    <w:rsid w:val="00F60AEA"/>
    <w:rsid w:val="00F67893"/>
    <w:rsid w:val="00F72430"/>
    <w:rsid w:val="00F814BC"/>
    <w:rsid w:val="00F84AF8"/>
    <w:rsid w:val="00F92017"/>
    <w:rsid w:val="00F93E41"/>
    <w:rsid w:val="00FC08BC"/>
    <w:rsid w:val="00FD40D0"/>
    <w:rsid w:val="00FD5CE4"/>
    <w:rsid w:val="00FD61EB"/>
    <w:rsid w:val="00FD646B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D25BF"/>
    <w:pPr>
      <w:spacing w:after="240"/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35F28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uiPriority w:val="99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3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link w:val="Footer"/>
    <w:uiPriority w:val="99"/>
    <w:rsid w:val="0018281A"/>
    <w:rPr>
      <w:rFonts w:ascii="Arial" w:hAnsi="Arial"/>
      <w:sz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18281A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18281A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HeaderChar">
    <w:name w:val="Header Char"/>
    <w:link w:val="Header"/>
    <w:uiPriority w:val="99"/>
    <w:rsid w:val="0018281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A7"/>
    <w:pPr>
      <w:spacing w:after="0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AA7"/>
    <w:rPr>
      <w:rFonts w:ascii="Arial" w:hAnsi="Arial" w:cs="Arial"/>
      <w:sz w:val="16"/>
      <w:szCs w:val="16"/>
      <w:lang w:eastAsia="en-US"/>
    </w:rPr>
  </w:style>
  <w:style w:type="character" w:styleId="FootnoteReference">
    <w:name w:val="footnote reference"/>
    <w:uiPriority w:val="99"/>
    <w:semiHidden/>
    <w:unhideWhenUsed/>
    <w:rsid w:val="00B067F4"/>
    <w:rPr>
      <w:vertAlign w:val="superscript"/>
    </w:rPr>
  </w:style>
  <w:style w:type="character" w:styleId="Hyperlink">
    <w:name w:val="Hyperlink"/>
    <w:uiPriority w:val="99"/>
    <w:unhideWhenUsed/>
    <w:rsid w:val="002E5045"/>
    <w:rPr>
      <w:color w:val="0000FF"/>
      <w:u w:val="single"/>
    </w:rPr>
  </w:style>
  <w:style w:type="table" w:styleId="TableGrid">
    <w:name w:val="Table Grid"/>
    <w:basedOn w:val="TableNormal"/>
    <w:uiPriority w:val="59"/>
    <w:rsid w:val="00367A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AF3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/>
      <w:sz w:val="22"/>
      <w:szCs w:val="22"/>
    </w:rPr>
  </w:style>
  <w:style w:type="character" w:customStyle="1" w:styleId="FootnoteTextChar">
    <w:name w:val="Footnote Text Char"/>
    <w:link w:val="FootnoteText"/>
    <w:uiPriority w:val="99"/>
    <w:semiHidden/>
    <w:rsid w:val="00367AF3"/>
    <w:rPr>
      <w:lang w:eastAsia="en-US"/>
    </w:rPr>
  </w:style>
  <w:style w:type="character" w:customStyle="1" w:styleId="DateChar">
    <w:name w:val="Date Char"/>
    <w:link w:val="Date"/>
    <w:uiPriority w:val="99"/>
    <w:rsid w:val="00F01BFA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01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18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2018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18D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91BF-E754-4596-945E-7DAF91C8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396</TotalTime>
  <Pages>8</Pages>
  <Words>1602</Words>
  <Characters>10189</Characters>
  <Application>Microsoft Office Word</Application>
  <DocSecurity>0</DocSecurity>
  <PresentationFormat>Microsoft Word 14.0</PresentationFormat>
  <Lines>226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11729</CharactersWithSpaces>
  <SharedDoc>false</SharedDoc>
  <HLinks>
    <vt:vector size="96" baseType="variant"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_Toc392679031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_Toc392679030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_Toc392679029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_Toc392679028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_Toc392679027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_Toc392679026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_Toc392679025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_Toc392679024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_Toc392679023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_Toc392679022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_Toc392679021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_Toc392679020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_Toc392679019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_Toc392679018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_Toc392679017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_Toc392679016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Brykman</dc:creator>
  <cp:keywords>EL4</cp:keywords>
  <cp:lastModifiedBy>LUBEGA Jacqueline</cp:lastModifiedBy>
  <cp:revision>17</cp:revision>
  <cp:lastPrinted>2015-07-30T13:31:00Z</cp:lastPrinted>
  <dcterms:created xsi:type="dcterms:W3CDTF">2014-07-11T10:20:00Z</dcterms:created>
  <dcterms:modified xsi:type="dcterms:W3CDTF">2015-08-03T13:10:00Z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4.6.2.4290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34000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34000</vt:lpwstr>
  </property>
  <property fmtid="{D5CDD505-2E9C-101B-9397-08002B2CF9AE}" pid="9" name="EL_Author">
    <vt:lpwstr>Liliana Brykman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