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CCED0" w14:textId="77777777" w:rsidR="001937E6" w:rsidRPr="00E56AC4" w:rsidRDefault="001937E6" w:rsidP="001937E6">
      <w:pPr>
        <w:pStyle w:val="Annexetitre"/>
        <w:rPr>
          <w:rStyle w:val="Marker"/>
        </w:rPr>
      </w:pPr>
      <w:r w:rsidRPr="00E56AC4">
        <w:t>ANNESS II</w:t>
      </w:r>
    </w:p>
    <w:p w14:paraId="06D6C0A8" w14:textId="77777777" w:rsidR="001937E6" w:rsidRPr="00E56AC4" w:rsidRDefault="001937E6" w:rsidP="001937E6">
      <w:pPr>
        <w:spacing w:before="720" w:after="720"/>
        <w:jc w:val="center"/>
        <w:rPr>
          <w:rFonts w:eastAsia="Times New Roman"/>
          <w:b/>
          <w:smallCaps/>
          <w:szCs w:val="20"/>
        </w:rPr>
      </w:pPr>
      <w:r w:rsidRPr="00E56AC4">
        <w:rPr>
          <w:b/>
        </w:rPr>
        <w:t xml:space="preserve">Mudell għall-Iskeda tas-Sommarju tal-Monitoraġġ tal-Konformità f’konformità mal-Artikolu 26 tar-Regolament (UE) </w:t>
      </w:r>
      <w:r>
        <w:rPr>
          <w:b/>
        </w:rPr>
        <w:t>2022/1616</w:t>
      </w:r>
    </w:p>
    <w:p w14:paraId="77A99E42" w14:textId="77777777" w:rsidR="001937E6" w:rsidRPr="00E56AC4" w:rsidRDefault="001937E6" w:rsidP="001937E6">
      <w:pPr>
        <w:widowControl w:val="0"/>
        <w:spacing w:before="0" w:after="0"/>
        <w:rPr>
          <w:rFonts w:eastAsia="Calibri"/>
          <w:color w:val="000000"/>
          <w:szCs w:val="24"/>
        </w:rPr>
      </w:pPr>
      <w:r w:rsidRPr="00E56AC4">
        <w:rPr>
          <w:color w:val="000000"/>
          <w:szCs w:val="24"/>
        </w:rPr>
        <w:t>Il-mudell għandu jimtela filwaqt li jitqiesu d-definizzjonijiet stabbiliti fir-Regolament (KE) Nru 2023/2006 dwar prassi tajba ta’ manifattura, u fl-Anness B tiegħu.</w:t>
      </w:r>
    </w:p>
    <w:p w14:paraId="412930C7" w14:textId="77777777" w:rsidR="001937E6" w:rsidRPr="00E56AC4" w:rsidRDefault="001937E6" w:rsidP="001937E6">
      <w:pPr>
        <w:widowControl w:val="0"/>
        <w:spacing w:before="0" w:after="0"/>
        <w:rPr>
          <w:rFonts w:eastAsia="Calibri"/>
          <w:color w:val="000000"/>
          <w:szCs w:val="24"/>
          <w:lang w:bidi="en-US"/>
        </w:rPr>
      </w:pPr>
    </w:p>
    <w:p w14:paraId="64412439" w14:textId="77777777" w:rsidR="001937E6" w:rsidRPr="00E56AC4" w:rsidRDefault="001937E6" w:rsidP="001937E6">
      <w:pPr>
        <w:widowControl w:val="0"/>
        <w:spacing w:before="0" w:after="0"/>
        <w:rPr>
          <w:rFonts w:eastAsia="Calibri"/>
          <w:color w:val="000000"/>
          <w:szCs w:val="24"/>
        </w:rPr>
      </w:pPr>
      <w:r w:rsidRPr="00E56AC4">
        <w:rPr>
          <w:color w:val="000000"/>
          <w:szCs w:val="24"/>
        </w:rPr>
        <w:t>Abbrevjazzjonijiet użati f’dan id-dokument f’konformità mar-Regolament (KE) Nru 2023/2006:</w:t>
      </w:r>
    </w:p>
    <w:p w14:paraId="3217880F" w14:textId="77777777" w:rsidR="001937E6" w:rsidRPr="00E56AC4" w:rsidRDefault="001937E6" w:rsidP="001937E6">
      <w:pPr>
        <w:widowControl w:val="0"/>
        <w:spacing w:before="0" w:after="0"/>
        <w:rPr>
          <w:rFonts w:eastAsia="Calibri"/>
          <w:color w:val="000000"/>
          <w:szCs w:val="24"/>
          <w:lang w:bidi="en-US"/>
        </w:rPr>
      </w:pPr>
    </w:p>
    <w:p w14:paraId="4BCB69C3" w14:textId="77777777" w:rsidR="001937E6" w:rsidRPr="00E56AC4" w:rsidRDefault="001937E6" w:rsidP="001937E6">
      <w:pPr>
        <w:widowControl w:val="0"/>
        <w:spacing w:before="0" w:after="0"/>
        <w:rPr>
          <w:rFonts w:eastAsia="Times New Roman"/>
          <w:color w:val="000000"/>
          <w:szCs w:val="24"/>
        </w:rPr>
      </w:pPr>
      <w:r w:rsidRPr="00E56AC4">
        <w:rPr>
          <w:color w:val="000000"/>
          <w:szCs w:val="24"/>
        </w:rPr>
        <w:t>QA:</w:t>
      </w:r>
      <w:r w:rsidRPr="00E56AC4">
        <w:tab/>
      </w:r>
      <w:r w:rsidRPr="00E56AC4">
        <w:tab/>
      </w:r>
      <w:r w:rsidRPr="00E56AC4">
        <w:rPr>
          <w:color w:val="000000"/>
          <w:szCs w:val="24"/>
        </w:rPr>
        <w:t>Valutazzjoni tal-Kwalità</w:t>
      </w:r>
    </w:p>
    <w:p w14:paraId="55A52E29" w14:textId="77777777" w:rsidR="001937E6" w:rsidRPr="00E56AC4" w:rsidRDefault="001937E6" w:rsidP="001937E6">
      <w:pPr>
        <w:widowControl w:val="0"/>
        <w:spacing w:before="0" w:after="0"/>
        <w:rPr>
          <w:rFonts w:eastAsia="Times New Roman"/>
          <w:color w:val="000000"/>
          <w:szCs w:val="24"/>
        </w:rPr>
      </w:pPr>
      <w:r w:rsidRPr="00E56AC4">
        <w:rPr>
          <w:color w:val="000000"/>
          <w:szCs w:val="24"/>
        </w:rPr>
        <w:t>SOP:</w:t>
      </w:r>
      <w:r w:rsidRPr="00E56AC4">
        <w:tab/>
      </w:r>
      <w:r w:rsidRPr="00E56AC4">
        <w:tab/>
      </w:r>
      <w:r w:rsidRPr="00E56AC4">
        <w:rPr>
          <w:color w:val="000000"/>
          <w:szCs w:val="24"/>
        </w:rPr>
        <w:t>Proċedura Operattiva Standard</w:t>
      </w:r>
    </w:p>
    <w:p w14:paraId="3CE8D04F" w14:textId="77777777" w:rsidR="001937E6" w:rsidRPr="00E56AC4" w:rsidRDefault="001937E6" w:rsidP="001937E6">
      <w:pPr>
        <w:widowControl w:val="0"/>
        <w:spacing w:before="0" w:after="0"/>
        <w:ind w:left="1440" w:hanging="1440"/>
        <w:rPr>
          <w:rFonts w:eastAsia="Times New Roman"/>
          <w:color w:val="000000"/>
          <w:szCs w:val="24"/>
        </w:rPr>
      </w:pPr>
      <w:r w:rsidRPr="00E56AC4">
        <w:rPr>
          <w:color w:val="000000"/>
          <w:szCs w:val="24"/>
        </w:rPr>
        <w:t>Kodiċi tal-SOP:</w:t>
      </w:r>
      <w:r w:rsidRPr="00E56AC4">
        <w:tab/>
      </w:r>
      <w:r w:rsidRPr="00E56AC4">
        <w:rPr>
          <w:color w:val="000000"/>
          <w:szCs w:val="24"/>
        </w:rPr>
        <w:t>kodiċi tal-SOP huwa magħmul minn żewġ numri, in-numru tal-SOP u n-numru tad-dokument li fih huwa deskritt fil-format SOPNr – DocNr; in-numru tad-dokument għandu jikkorrispondi man-numru tad-dokument elenkat fit-Taqsima 2.3, in-numru tal-SOP mas-sistema ta’ numerazzjoni tar-riċiklatur.</w:t>
      </w:r>
    </w:p>
    <w:p w14:paraId="4A8C3260" w14:textId="77777777" w:rsidR="001937E6" w:rsidRPr="00E56AC4" w:rsidRDefault="001937E6" w:rsidP="001937E6">
      <w:pPr>
        <w:pStyle w:val="ManualHeading1"/>
      </w:pPr>
      <w:r w:rsidRPr="00E56AC4">
        <w:t>1.</w:t>
      </w:r>
      <w:r w:rsidRPr="00E56AC4">
        <w:tab/>
        <w:t>Taqsima 1: Identifikazzjoni</w:t>
      </w:r>
    </w:p>
    <w:p w14:paraId="7F75783E" w14:textId="77777777" w:rsidR="001937E6" w:rsidRPr="00E56AC4" w:rsidRDefault="001937E6" w:rsidP="001937E6">
      <w:pPr>
        <w:pStyle w:val="Text1"/>
      </w:pPr>
      <w:r w:rsidRPr="00E56AC4">
        <w:t xml:space="preserve">In-numri (RIN, RFN, RON, RAN, NTN) imsemmijin f’din it-taqsima għandhom jikkorrispondu man-numri fir-Reġistru tal-Unjoni stabbiliti f’konformità mal-Artikolu 24 tar-Regolament (UE) </w:t>
      </w:r>
      <w:r>
        <w:t>2022/1616</w:t>
      </w:r>
    </w:p>
    <w:p w14:paraId="5892EDE4" w14:textId="77777777" w:rsidR="001937E6" w:rsidRPr="00E56AC4" w:rsidRDefault="001937E6" w:rsidP="001937E6">
      <w:pPr>
        <w:pStyle w:val="ManualHeading2"/>
      </w:pPr>
      <w:r w:rsidRPr="00E56AC4">
        <w:t>1.1</w:t>
      </w:r>
      <w:r w:rsidRPr="00E56AC4">
        <w:tab/>
        <w:t>Identifikazzjoni tal-installazzjoni tar-riċiklaġġ</w:t>
      </w:r>
    </w:p>
    <w:tbl>
      <w:tblPr>
        <w:tblW w:w="8221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5244"/>
      </w:tblGrid>
      <w:tr w:rsidR="001937E6" w:rsidRPr="00E56AC4" w14:paraId="54E5A772" w14:textId="77777777" w:rsidTr="00932C2F">
        <w:trPr>
          <w:trHeight w:val="44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D17FA" w14:textId="77777777" w:rsidR="001937E6" w:rsidRPr="00E56AC4" w:rsidRDefault="001937E6" w:rsidP="00932C2F">
            <w:pPr>
              <w:spacing w:before="40" w:after="40"/>
              <w:rPr>
                <w:rFonts w:eastAsia="Calibri" w:cs="Iskoola Pota"/>
                <w:b/>
              </w:rPr>
            </w:pPr>
            <w:r w:rsidRPr="00E56AC4">
              <w:rPr>
                <w:b/>
              </w:rPr>
              <w:t>Isem l-installazzjoni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D849F" w14:textId="77777777" w:rsidR="001937E6" w:rsidRPr="00E56AC4" w:rsidRDefault="001937E6" w:rsidP="00932C2F">
            <w:pPr>
              <w:widowControl w:val="0"/>
              <w:spacing w:before="0" w:after="0"/>
              <w:rPr>
                <w:rFonts w:ascii="Calibri" w:eastAsia="Calibri" w:hAnsi="Calibri"/>
                <w:color w:val="1F4E79"/>
                <w:szCs w:val="24"/>
              </w:rPr>
            </w:pPr>
          </w:p>
        </w:tc>
      </w:tr>
      <w:tr w:rsidR="001937E6" w:rsidRPr="00E56AC4" w14:paraId="5018236C" w14:textId="77777777" w:rsidTr="00932C2F">
        <w:trPr>
          <w:trHeight w:val="4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59889" w14:textId="77777777" w:rsidR="001937E6" w:rsidRPr="00E56AC4" w:rsidRDefault="001937E6" w:rsidP="00932C2F">
            <w:pPr>
              <w:spacing w:before="40" w:after="40"/>
              <w:rPr>
                <w:rFonts w:eastAsia="Calibri" w:cs="Iskoola Pota"/>
                <w:b/>
              </w:rPr>
            </w:pPr>
            <w:r w:rsidRPr="00E56AC4">
              <w:rPr>
                <w:b/>
              </w:rPr>
              <w:t>Teknoloġija tar-riċiklaġġ applikata f’konformità mal-Anness 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96443" w14:textId="77777777" w:rsidR="001937E6" w:rsidRPr="00E56AC4" w:rsidRDefault="001937E6" w:rsidP="00932C2F">
            <w:pPr>
              <w:widowControl w:val="0"/>
              <w:spacing w:before="0" w:after="0"/>
              <w:rPr>
                <w:rFonts w:ascii="Calibri" w:eastAsia="Calibri" w:hAnsi="Calibri"/>
                <w:color w:val="1F4E79"/>
                <w:szCs w:val="24"/>
              </w:rPr>
            </w:pPr>
          </w:p>
        </w:tc>
      </w:tr>
      <w:tr w:rsidR="001937E6" w:rsidRPr="00E56AC4" w14:paraId="36E17C55" w14:textId="77777777" w:rsidTr="00932C2F">
        <w:trPr>
          <w:trHeight w:val="4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3D235" w14:textId="77777777" w:rsidR="001937E6" w:rsidRPr="00E56AC4" w:rsidRDefault="001937E6" w:rsidP="00932C2F">
            <w:pPr>
              <w:spacing w:before="40" w:after="40"/>
              <w:rPr>
                <w:rFonts w:eastAsia="Calibri" w:cs="Iskoola Pota"/>
                <w:b/>
              </w:rPr>
            </w:pPr>
            <w:r w:rsidRPr="00E56AC4">
              <w:rPr>
                <w:b/>
              </w:rPr>
              <w:t>Numru tar-reġistru tal-UE (in-numru tal-installazzjoni tar-riċiklaġġ, “RIN”)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40B48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</w:rPr>
            </w:pPr>
          </w:p>
        </w:tc>
      </w:tr>
      <w:tr w:rsidR="001937E6" w:rsidRPr="00E56AC4" w14:paraId="5647F9F4" w14:textId="77777777" w:rsidTr="00932C2F">
        <w:trPr>
          <w:trHeight w:val="4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BA50B" w14:textId="77777777" w:rsidR="001937E6" w:rsidRPr="00E56AC4" w:rsidRDefault="001937E6" w:rsidP="00932C2F">
            <w:pPr>
              <w:spacing w:before="40" w:after="40"/>
              <w:rPr>
                <w:rFonts w:eastAsia="Calibri" w:cs="Iskoola Pota"/>
                <w:b/>
              </w:rPr>
            </w:pPr>
            <w:r w:rsidRPr="00E56AC4">
              <w:rPr>
                <w:b/>
              </w:rPr>
              <w:t>Indirizz tal-Faċilità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75A81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Calibri" w:hAnsi="Courier New" w:cs="Iskoola Pota"/>
                <w:sz w:val="22"/>
              </w:rPr>
            </w:pPr>
          </w:p>
        </w:tc>
      </w:tr>
      <w:tr w:rsidR="001937E6" w:rsidRPr="00E56AC4" w14:paraId="28F2D373" w14:textId="77777777" w:rsidTr="00932C2F">
        <w:trPr>
          <w:trHeight w:val="4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CDF7B" w14:textId="77777777" w:rsidR="001937E6" w:rsidRPr="00E56AC4" w:rsidRDefault="001937E6" w:rsidP="00932C2F">
            <w:pPr>
              <w:spacing w:before="40" w:after="40"/>
              <w:rPr>
                <w:rFonts w:eastAsia="Calibri" w:cs="Iskoola Pota"/>
                <w:b/>
              </w:rPr>
            </w:pPr>
            <w:r w:rsidRPr="00E56AC4">
              <w:rPr>
                <w:b/>
              </w:rPr>
              <w:t>Numru tal-Faċilità tar-Riċiklaġġ (“RFN”)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6435A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</w:rPr>
            </w:pPr>
          </w:p>
        </w:tc>
      </w:tr>
      <w:tr w:rsidR="001937E6" w:rsidRPr="00E56AC4" w14:paraId="218597C5" w14:textId="77777777" w:rsidTr="00932C2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6B115" w14:textId="77777777" w:rsidR="001937E6" w:rsidRPr="00E56AC4" w:rsidRDefault="001937E6" w:rsidP="00932C2F">
            <w:pPr>
              <w:spacing w:before="40" w:after="40"/>
              <w:rPr>
                <w:rFonts w:eastAsia="Calibri" w:cs="Iskoola Pota"/>
                <w:b/>
              </w:rPr>
            </w:pPr>
            <w:r w:rsidRPr="00E56AC4">
              <w:rPr>
                <w:b/>
              </w:rPr>
              <w:t>Dettalji ta’ kuntatt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41EFD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</w:rPr>
            </w:pPr>
          </w:p>
        </w:tc>
      </w:tr>
      <w:tr w:rsidR="001937E6" w:rsidRPr="00E56AC4" w14:paraId="3C1C5BB0" w14:textId="77777777" w:rsidTr="00932C2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C1B76" w14:textId="77777777" w:rsidR="001937E6" w:rsidRPr="00E56AC4" w:rsidRDefault="001937E6" w:rsidP="00932C2F">
            <w:pPr>
              <w:spacing w:before="40" w:after="40"/>
              <w:rPr>
                <w:rFonts w:eastAsia="Calibri" w:cs="Iskoola Pota"/>
                <w:b/>
              </w:rPr>
            </w:pPr>
            <w:r w:rsidRPr="00E56AC4">
              <w:rPr>
                <w:b/>
              </w:rPr>
              <w:t>Pożizzjoni/Rwol tal-persuni ta’ kuntatt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64EDD" w14:textId="77777777" w:rsidR="001937E6" w:rsidRPr="00E56AC4" w:rsidRDefault="001937E6" w:rsidP="00932C2F">
            <w:pPr>
              <w:widowControl w:val="0"/>
              <w:spacing w:before="0" w:after="0"/>
              <w:rPr>
                <w:rFonts w:ascii="Calibri" w:eastAsia="Calibri" w:hAnsi="Calibri"/>
                <w:color w:val="1F4E79"/>
                <w:szCs w:val="24"/>
              </w:rPr>
            </w:pPr>
          </w:p>
        </w:tc>
      </w:tr>
      <w:tr w:rsidR="001937E6" w:rsidRPr="00E56AC4" w14:paraId="591876ED" w14:textId="77777777" w:rsidTr="00932C2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63BE4" w14:textId="77777777" w:rsidR="001937E6" w:rsidRPr="00E56AC4" w:rsidRDefault="001937E6" w:rsidP="00932C2F">
            <w:pPr>
              <w:spacing w:before="40" w:after="40"/>
              <w:rPr>
                <w:rFonts w:eastAsia="Calibri" w:cs="Iskoola Pota"/>
                <w:b/>
              </w:rPr>
            </w:pPr>
            <w:r w:rsidRPr="00E56AC4">
              <w:rPr>
                <w:b/>
              </w:rPr>
              <w:t>Numri tar-reġistru nazzjonali rilevanti, jekk ikun hemm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46235" w14:textId="77777777" w:rsidR="001937E6" w:rsidRPr="00E56AC4" w:rsidRDefault="001937E6" w:rsidP="00932C2F">
            <w:pPr>
              <w:widowControl w:val="0"/>
              <w:spacing w:before="0" w:after="0"/>
              <w:rPr>
                <w:rFonts w:ascii="Calibri" w:eastAsia="Calibri" w:hAnsi="Calibri"/>
                <w:color w:val="1F4E79"/>
                <w:szCs w:val="24"/>
              </w:rPr>
            </w:pPr>
          </w:p>
        </w:tc>
      </w:tr>
      <w:tr w:rsidR="001937E6" w:rsidRPr="00E56AC4" w14:paraId="265C8554" w14:textId="77777777" w:rsidTr="00932C2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3C9D" w14:textId="77777777" w:rsidR="001937E6" w:rsidRPr="00E56AC4" w:rsidRDefault="001937E6" w:rsidP="00932C2F">
            <w:pPr>
              <w:spacing w:before="40" w:after="40"/>
              <w:rPr>
                <w:rFonts w:eastAsia="Calibri" w:cs="Iskoola Pota"/>
                <w:b/>
              </w:rPr>
            </w:pPr>
            <w:r w:rsidRPr="00E56AC4">
              <w:rPr>
                <w:b/>
              </w:rPr>
              <w:t>Data tan-notifika (l-</w:t>
            </w:r>
            <w:r w:rsidRPr="00E56AC4">
              <w:rPr>
                <w:b/>
              </w:rPr>
              <w:lastRenderedPageBreak/>
              <w:t>Artikolu 25(1)(a))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D16B2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</w:rPr>
            </w:pPr>
          </w:p>
        </w:tc>
      </w:tr>
    </w:tbl>
    <w:p w14:paraId="4673B91D" w14:textId="77777777" w:rsidR="001937E6" w:rsidRPr="00E56AC4" w:rsidRDefault="001937E6" w:rsidP="001937E6">
      <w:pPr>
        <w:pStyle w:val="ManualHeading2"/>
        <w:rPr>
          <w:rFonts w:eastAsia="Times New Roman"/>
          <w:bCs/>
          <w:szCs w:val="24"/>
        </w:rPr>
      </w:pPr>
      <w:r w:rsidRPr="00E56AC4">
        <w:t>1.2.</w:t>
      </w:r>
      <w:r w:rsidRPr="00E56AC4">
        <w:tab/>
        <w:t>Identifikazzjoni tar-riċiklatur</w:t>
      </w:r>
    </w:p>
    <w:tbl>
      <w:tblPr>
        <w:tblW w:w="8221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5244"/>
      </w:tblGrid>
      <w:tr w:rsidR="001937E6" w:rsidRPr="00E56AC4" w14:paraId="5CB5A412" w14:textId="77777777" w:rsidTr="00932C2F">
        <w:trPr>
          <w:trHeight w:val="4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15FF4" w14:textId="77777777" w:rsidR="001937E6" w:rsidRPr="00E56AC4" w:rsidRDefault="001937E6" w:rsidP="00932C2F">
            <w:pPr>
              <w:spacing w:before="40" w:after="40"/>
              <w:rPr>
                <w:rFonts w:eastAsia="Calibri" w:cs="Iskoola Pota"/>
                <w:b/>
              </w:rPr>
            </w:pPr>
            <w:r w:rsidRPr="00E56AC4">
              <w:rPr>
                <w:b/>
              </w:rPr>
              <w:t>Isem il-Kumpanija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B0C5A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</w:rPr>
            </w:pPr>
          </w:p>
        </w:tc>
      </w:tr>
      <w:tr w:rsidR="001937E6" w:rsidRPr="00E56AC4" w14:paraId="2F974925" w14:textId="77777777" w:rsidTr="00932C2F">
        <w:trPr>
          <w:trHeight w:val="4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43C67" w14:textId="77777777" w:rsidR="001937E6" w:rsidRPr="00E56AC4" w:rsidRDefault="001937E6" w:rsidP="00932C2F">
            <w:pPr>
              <w:spacing w:before="40" w:after="40"/>
              <w:rPr>
                <w:rFonts w:eastAsia="Calibri" w:cs="Iskoola Pota"/>
                <w:b/>
              </w:rPr>
            </w:pPr>
            <w:r w:rsidRPr="00E56AC4">
              <w:rPr>
                <w:b/>
              </w:rPr>
              <w:t>Numru tar-reġistru tal-UE (in-Numru tal-Operatur Riċiklatur, “RON”)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E0A8C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</w:rPr>
            </w:pPr>
          </w:p>
        </w:tc>
      </w:tr>
      <w:tr w:rsidR="001937E6" w:rsidRPr="00E56AC4" w14:paraId="7D28E9D0" w14:textId="77777777" w:rsidTr="00932C2F">
        <w:trPr>
          <w:trHeight w:val="4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DD154" w14:textId="77777777" w:rsidR="001937E6" w:rsidRPr="00E56AC4" w:rsidRDefault="001937E6" w:rsidP="00932C2F">
            <w:pPr>
              <w:spacing w:before="40" w:after="40"/>
              <w:rPr>
                <w:rFonts w:eastAsia="Calibri" w:cs="Iskoola Pota"/>
                <w:b/>
              </w:rPr>
            </w:pPr>
            <w:r w:rsidRPr="00E56AC4">
              <w:rPr>
                <w:b/>
              </w:rPr>
              <w:t>Indirizz tal-uffiċċju prinċipali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468E5" w14:textId="77777777" w:rsidR="001937E6" w:rsidRPr="00E56AC4" w:rsidRDefault="001937E6" w:rsidP="00932C2F">
            <w:pPr>
              <w:widowControl w:val="0"/>
              <w:spacing w:before="0" w:after="0"/>
              <w:rPr>
                <w:rFonts w:ascii="Calibri" w:eastAsia="Calibri" w:hAnsi="Calibri"/>
                <w:color w:val="1F4E79"/>
                <w:szCs w:val="24"/>
              </w:rPr>
            </w:pPr>
          </w:p>
        </w:tc>
      </w:tr>
      <w:tr w:rsidR="001937E6" w:rsidRPr="00E56AC4" w14:paraId="5FC891AF" w14:textId="77777777" w:rsidTr="00932C2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EBB7D" w14:textId="77777777" w:rsidR="001937E6" w:rsidRPr="00E56AC4" w:rsidRDefault="001937E6" w:rsidP="00932C2F">
            <w:pPr>
              <w:spacing w:before="40" w:after="40"/>
              <w:rPr>
                <w:rFonts w:eastAsia="Calibri" w:cs="Iskoola Pota"/>
                <w:b/>
              </w:rPr>
            </w:pPr>
            <w:r w:rsidRPr="00E56AC4">
              <w:rPr>
                <w:b/>
              </w:rPr>
              <w:t>Dettalji ta’ kuntatt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B65AD" w14:textId="77777777" w:rsidR="001937E6" w:rsidRPr="00E56AC4" w:rsidRDefault="001937E6" w:rsidP="00932C2F">
            <w:pPr>
              <w:widowControl w:val="0"/>
              <w:spacing w:before="0" w:after="0"/>
              <w:rPr>
                <w:rFonts w:ascii="Calibri" w:eastAsia="Calibri" w:hAnsi="Calibri"/>
                <w:color w:val="1F4E79"/>
                <w:szCs w:val="24"/>
              </w:rPr>
            </w:pPr>
          </w:p>
        </w:tc>
      </w:tr>
      <w:tr w:rsidR="001937E6" w:rsidRPr="00E56AC4" w14:paraId="3119C866" w14:textId="77777777" w:rsidTr="00932C2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9DFBC" w14:textId="77777777" w:rsidR="001937E6" w:rsidRPr="00E56AC4" w:rsidRDefault="001937E6" w:rsidP="00932C2F">
            <w:pPr>
              <w:spacing w:before="40" w:after="40"/>
              <w:rPr>
                <w:rFonts w:eastAsia="Calibri" w:cs="Iskoola Pota"/>
                <w:b/>
              </w:rPr>
            </w:pPr>
            <w:r w:rsidRPr="00E56AC4">
              <w:rPr>
                <w:b/>
              </w:rPr>
              <w:t>Pożizzjoni/rwol tal-persuna ewlenija ta’ kuntatt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8FE1F" w14:textId="77777777" w:rsidR="001937E6" w:rsidRPr="00E56AC4" w:rsidRDefault="001937E6" w:rsidP="00932C2F">
            <w:pPr>
              <w:widowControl w:val="0"/>
              <w:spacing w:before="0" w:after="0"/>
              <w:rPr>
                <w:rFonts w:ascii="Calibri" w:eastAsia="Calibri" w:hAnsi="Calibri"/>
                <w:color w:val="1F4E79"/>
                <w:szCs w:val="24"/>
              </w:rPr>
            </w:pPr>
          </w:p>
        </w:tc>
      </w:tr>
      <w:tr w:rsidR="001937E6" w:rsidRPr="00E56AC4" w14:paraId="2B362E08" w14:textId="77777777" w:rsidTr="00932C2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9C26D" w14:textId="77777777" w:rsidR="001937E6" w:rsidRPr="00E56AC4" w:rsidRDefault="001937E6" w:rsidP="00932C2F">
            <w:pPr>
              <w:spacing w:before="40" w:after="40"/>
              <w:rPr>
                <w:rFonts w:eastAsia="Calibri" w:cs="Iskoola Pota"/>
                <w:b/>
              </w:rPr>
            </w:pPr>
            <w:r w:rsidRPr="00E56AC4">
              <w:rPr>
                <w:b/>
              </w:rPr>
              <w:t>Numri tar-reġistru nazzjonali rilevanti, jekk ikun hemm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4B379" w14:textId="77777777" w:rsidR="001937E6" w:rsidRPr="00E56AC4" w:rsidRDefault="001937E6" w:rsidP="00932C2F">
            <w:pPr>
              <w:widowControl w:val="0"/>
              <w:spacing w:before="0" w:after="0"/>
              <w:rPr>
                <w:rFonts w:ascii="Calibri" w:eastAsia="Calibri" w:hAnsi="Calibri"/>
                <w:color w:val="1F4E79"/>
                <w:szCs w:val="24"/>
              </w:rPr>
            </w:pPr>
          </w:p>
        </w:tc>
      </w:tr>
      <w:tr w:rsidR="001937E6" w:rsidRPr="00E56AC4" w14:paraId="2D8F6E95" w14:textId="77777777" w:rsidTr="00932C2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0B329" w14:textId="77777777" w:rsidR="001937E6" w:rsidRPr="00E56AC4" w:rsidRDefault="001937E6" w:rsidP="00932C2F">
            <w:pPr>
              <w:spacing w:before="40" w:after="40"/>
              <w:rPr>
                <w:rFonts w:eastAsia="Calibri" w:cs="Iskoola Pota"/>
                <w:b/>
              </w:rPr>
            </w:pPr>
            <w:r w:rsidRPr="00E56AC4">
              <w:rPr>
                <w:b/>
              </w:rPr>
              <w:t>Detentur tal-awtorizzazzjoni? (Iva/Le/ Ma japplikax)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605F5" w14:textId="77777777" w:rsidR="001937E6" w:rsidRPr="00E56AC4" w:rsidRDefault="001937E6" w:rsidP="00932C2F">
            <w:pPr>
              <w:widowControl w:val="0"/>
              <w:spacing w:before="0" w:after="0"/>
              <w:rPr>
                <w:rFonts w:ascii="Calibri" w:eastAsia="Calibri" w:hAnsi="Calibri"/>
                <w:color w:val="1F4E79"/>
                <w:szCs w:val="24"/>
              </w:rPr>
            </w:pPr>
          </w:p>
        </w:tc>
      </w:tr>
    </w:tbl>
    <w:p w14:paraId="72921727" w14:textId="77777777" w:rsidR="001937E6" w:rsidRPr="00E56AC4" w:rsidRDefault="001937E6" w:rsidP="001937E6">
      <w:pPr>
        <w:pStyle w:val="ManualHeading2"/>
        <w:rPr>
          <w:rFonts w:eastAsia="Times New Roman"/>
          <w:bCs/>
          <w:szCs w:val="24"/>
        </w:rPr>
      </w:pPr>
      <w:r w:rsidRPr="00E56AC4">
        <w:t>1.3.</w:t>
      </w:r>
      <w:r w:rsidRPr="00E56AC4">
        <w:tab/>
        <w:t>Deċiżjoni ta’ awtorizzazzjoni tal-proċess tar-riċiklaġġ jew ta’ teknoloġija ġdida</w:t>
      </w:r>
    </w:p>
    <w:p w14:paraId="698F28E1" w14:textId="77777777" w:rsidR="001937E6" w:rsidRPr="00E56AC4" w:rsidRDefault="001937E6" w:rsidP="001937E6">
      <w:pPr>
        <w:pStyle w:val="Text1"/>
        <w:rPr>
          <w:rFonts w:eastAsia="Calibri"/>
        </w:rPr>
      </w:pPr>
      <w:r w:rsidRPr="00E56AC4">
        <w:t>A: identifikazzjoni tad-Deċiżjoni ta’ awtorizzazzjoni jew tat-teknoloġija ġdida użata mill-proċess li tapplika l-installazzjoni:</w:t>
      </w:r>
    </w:p>
    <w:tbl>
      <w:tblPr>
        <w:tblW w:w="8221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9"/>
        <w:gridCol w:w="2232"/>
      </w:tblGrid>
      <w:tr w:rsidR="001937E6" w:rsidRPr="00E56AC4" w14:paraId="31F301F6" w14:textId="77777777" w:rsidTr="00932C2F"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0275D" w14:textId="77777777" w:rsidR="001937E6" w:rsidRPr="00E56AC4" w:rsidRDefault="001937E6" w:rsidP="00932C2F">
            <w:pPr>
              <w:spacing w:before="40" w:after="40"/>
              <w:rPr>
                <w:rFonts w:eastAsia="Calibri" w:cs="Iskoola Pota"/>
                <w:b/>
              </w:rPr>
            </w:pPr>
            <w:r w:rsidRPr="00E56AC4">
              <w:rPr>
                <w:b/>
              </w:rPr>
              <w:t>Numru tar-reġistru tal-UE, jiġifieri n-Numru tal-Awtorizzazzjoni tal-Proċess tar-Riċiklaġġ (“RAN”), Numru tat-Teknoloġija l-Ġdida (“NTN”)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2FCA4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</w:rPr>
            </w:pPr>
          </w:p>
        </w:tc>
      </w:tr>
    </w:tbl>
    <w:p w14:paraId="529F00CD" w14:textId="77777777" w:rsidR="001937E6" w:rsidRPr="00E56AC4" w:rsidRDefault="001937E6" w:rsidP="001937E6">
      <w:pPr>
        <w:pStyle w:val="Text1"/>
        <w:rPr>
          <w:rFonts w:ascii="Calibri" w:eastAsia="Calibri" w:hAnsi="Calibri"/>
          <w:sz w:val="22"/>
        </w:rPr>
      </w:pPr>
      <w:r w:rsidRPr="00E56AC4">
        <w:t>B: detentur tal-awtorizzazzjoni jew żviluppatur tat-teknoloġija l-ġdida –</w:t>
      </w:r>
    </w:p>
    <w:tbl>
      <w:tblPr>
        <w:tblW w:w="8221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5244"/>
      </w:tblGrid>
      <w:tr w:rsidR="001937E6" w:rsidRPr="00E56AC4" w14:paraId="088BE41F" w14:textId="77777777" w:rsidTr="00932C2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E886C" w14:textId="77777777" w:rsidR="001937E6" w:rsidRPr="00E56AC4" w:rsidRDefault="001937E6" w:rsidP="00932C2F">
            <w:pPr>
              <w:spacing w:before="40" w:after="40"/>
              <w:rPr>
                <w:rFonts w:eastAsia="Calibri" w:cs="Iskoola Pota"/>
                <w:b/>
              </w:rPr>
            </w:pPr>
            <w:r w:rsidRPr="00E56AC4">
              <w:rPr>
                <w:b/>
              </w:rPr>
              <w:t>Isem tad-detentur tal-awtorizzazzjoni* / tal-iżviluppatur tat-teknoloġija** skont kif japplika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469CE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Calibri" w:hAnsi="Courier New" w:cs="Iskoola Pota"/>
                <w:sz w:val="22"/>
              </w:rPr>
            </w:pPr>
          </w:p>
        </w:tc>
      </w:tr>
      <w:tr w:rsidR="001937E6" w:rsidRPr="00E56AC4" w14:paraId="3351A97E" w14:textId="77777777" w:rsidTr="00932C2F">
        <w:trPr>
          <w:trHeight w:val="4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B3C65" w14:textId="77777777" w:rsidR="001937E6" w:rsidRPr="00E56AC4" w:rsidRDefault="001937E6" w:rsidP="00932C2F">
            <w:pPr>
              <w:spacing w:before="40" w:after="40"/>
              <w:rPr>
                <w:rFonts w:eastAsia="Calibri" w:cs="Iskoola Pota"/>
                <w:b/>
              </w:rPr>
            </w:pPr>
            <w:r w:rsidRPr="00E56AC4">
              <w:rPr>
                <w:b/>
              </w:rPr>
              <w:t>Indirizz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8E54E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Calibri" w:hAnsi="Courier New" w:cs="Iskoola Pota"/>
                <w:sz w:val="22"/>
              </w:rPr>
            </w:pPr>
          </w:p>
        </w:tc>
      </w:tr>
      <w:tr w:rsidR="001937E6" w:rsidRPr="00E56AC4" w14:paraId="08BE1BA1" w14:textId="77777777" w:rsidTr="00932C2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01D8A" w14:textId="77777777" w:rsidR="001937E6" w:rsidRPr="00E56AC4" w:rsidRDefault="001937E6" w:rsidP="00932C2F">
            <w:pPr>
              <w:spacing w:before="40" w:after="40"/>
              <w:rPr>
                <w:rFonts w:eastAsia="Calibri" w:cs="Iskoola Pota"/>
                <w:b/>
              </w:rPr>
            </w:pPr>
            <w:r w:rsidRPr="00E56AC4">
              <w:rPr>
                <w:b/>
              </w:rPr>
              <w:t>Dettalji ta’ kuntatt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A1E02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</w:rPr>
            </w:pPr>
          </w:p>
        </w:tc>
      </w:tr>
      <w:tr w:rsidR="001937E6" w:rsidRPr="00E56AC4" w14:paraId="3A22BB31" w14:textId="77777777" w:rsidTr="00932C2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6AE5B" w14:textId="77777777" w:rsidR="001937E6" w:rsidRPr="00E56AC4" w:rsidRDefault="001937E6" w:rsidP="00932C2F">
            <w:pPr>
              <w:spacing w:before="40" w:after="40"/>
              <w:rPr>
                <w:rFonts w:eastAsia="Calibri" w:cs="Iskoola Pota"/>
                <w:b/>
              </w:rPr>
            </w:pPr>
            <w:r w:rsidRPr="00E56AC4">
              <w:rPr>
                <w:b/>
              </w:rPr>
              <w:t>Pożizzjoni/Rwol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9BBF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</w:rPr>
            </w:pPr>
          </w:p>
        </w:tc>
      </w:tr>
    </w:tbl>
    <w:p w14:paraId="61740FA1" w14:textId="77777777" w:rsidR="001937E6" w:rsidRPr="00E56AC4" w:rsidRDefault="001937E6" w:rsidP="001937E6">
      <w:pPr>
        <w:pStyle w:val="Text1"/>
      </w:pPr>
      <w:r w:rsidRPr="00E56AC4">
        <w:t>* isem id-detentur tal-awtorizzazzjoni u l-indirizz tiegħu jridu jkunu l-istess bħal dawk fuq id-Deċiżjoni ta’ awtorizzazzjoni</w:t>
      </w:r>
    </w:p>
    <w:p w14:paraId="3C88829C" w14:textId="77777777" w:rsidR="001937E6" w:rsidRPr="00E56AC4" w:rsidRDefault="001937E6" w:rsidP="001937E6">
      <w:pPr>
        <w:pStyle w:val="Text1"/>
      </w:pPr>
      <w:r w:rsidRPr="00E56AC4">
        <w:t xml:space="preserve">** L-iżviluppatur tat-teknoloġija li nnotifika t-teknoloġija l-ġdida użata mill-proċess li tapplika l-installazzjoni, f’konformità mal-Artikolu 10(2) </w:t>
      </w:r>
    </w:p>
    <w:p w14:paraId="5C075C75" w14:textId="77777777" w:rsidR="001937E6" w:rsidRPr="00E56AC4" w:rsidRDefault="001937E6" w:rsidP="001937E6">
      <w:pPr>
        <w:pStyle w:val="ManualHeading2"/>
        <w:rPr>
          <w:rFonts w:eastAsia="Times New Roman"/>
          <w:bCs/>
          <w:szCs w:val="24"/>
        </w:rPr>
      </w:pPr>
      <w:r w:rsidRPr="00E56AC4">
        <w:t>1.4.</w:t>
      </w:r>
      <w:r w:rsidRPr="00E56AC4">
        <w:tab/>
        <w:t>Referenzi għad-dokumenti użati mill-Awtorità Ewropea dwar is-Sigurtà fl-Ikel (“EFSA”)</w:t>
      </w:r>
    </w:p>
    <w:tbl>
      <w:tblPr>
        <w:tblW w:w="8221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5244"/>
      </w:tblGrid>
      <w:tr w:rsidR="001937E6" w:rsidRPr="00E56AC4" w14:paraId="7EA14911" w14:textId="77777777" w:rsidTr="00932C2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2E0C7" w14:textId="77777777" w:rsidR="001937E6" w:rsidRPr="00E56AC4" w:rsidRDefault="001937E6" w:rsidP="00932C2F">
            <w:pPr>
              <w:spacing w:before="40" w:after="40"/>
              <w:rPr>
                <w:rFonts w:eastAsia="Calibri" w:cs="Iskoola Pota"/>
                <w:b/>
              </w:rPr>
            </w:pPr>
            <w:r w:rsidRPr="00E56AC4">
              <w:rPr>
                <w:b/>
              </w:rPr>
              <w:t>Numru tal-mistoqsija tal-</w:t>
            </w:r>
            <w:r w:rsidRPr="00E56AC4">
              <w:rPr>
                <w:b/>
              </w:rPr>
              <w:lastRenderedPageBreak/>
              <w:t>EFSA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5F7D3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</w:rPr>
            </w:pPr>
          </w:p>
        </w:tc>
      </w:tr>
      <w:tr w:rsidR="001937E6" w:rsidRPr="00E56AC4" w14:paraId="4E47A733" w14:textId="77777777" w:rsidTr="00932C2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D1534" w14:textId="77777777" w:rsidR="001937E6" w:rsidRPr="00E56AC4" w:rsidRDefault="001937E6" w:rsidP="00932C2F">
            <w:pPr>
              <w:spacing w:before="40" w:after="40"/>
              <w:rPr>
                <w:rFonts w:eastAsia="Calibri" w:cs="Iskoola Pota"/>
                <w:b/>
              </w:rPr>
            </w:pPr>
            <w:r w:rsidRPr="00E56AC4">
              <w:rPr>
                <w:b/>
              </w:rPr>
              <w:t xml:space="preserve">Data tal-pubblikazzjoni tal-opinjoni tal-EFSA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32177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</w:rPr>
            </w:pPr>
          </w:p>
        </w:tc>
      </w:tr>
      <w:tr w:rsidR="001937E6" w:rsidRPr="00E56AC4" w14:paraId="30774AC6" w14:textId="77777777" w:rsidTr="00932C2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6289E" w14:textId="77777777" w:rsidR="001937E6" w:rsidRPr="00E56AC4" w:rsidRDefault="001937E6" w:rsidP="00932C2F">
            <w:pPr>
              <w:spacing w:before="40" w:after="40"/>
              <w:rPr>
                <w:rFonts w:eastAsia="Calibri" w:cs="Iskoola Pota"/>
                <w:b/>
              </w:rPr>
            </w:pPr>
            <w:r w:rsidRPr="00E56AC4">
              <w:rPr>
                <w:b/>
              </w:rPr>
              <w:t>Numru tal-pubblikazzjoni tal-EFSA (in-numru tal-output)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10E1C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</w:rPr>
            </w:pPr>
          </w:p>
        </w:tc>
      </w:tr>
      <w:tr w:rsidR="001937E6" w:rsidRPr="00E56AC4" w14:paraId="77FD1600" w14:textId="77777777" w:rsidTr="00932C2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C587B" w14:textId="77777777" w:rsidR="001937E6" w:rsidRPr="00E56AC4" w:rsidRDefault="001937E6" w:rsidP="00932C2F">
            <w:pPr>
              <w:spacing w:before="40" w:after="40"/>
              <w:rPr>
                <w:rFonts w:eastAsia="Calibri" w:cs="Iskoola Pota"/>
                <w:b/>
              </w:rPr>
            </w:pPr>
            <w:r w:rsidRPr="00E56AC4">
              <w:rPr>
                <w:b/>
              </w:rPr>
              <w:t>Kunfidenzjalità Numru tad-deċiżjoni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B5CA0" w14:textId="77777777" w:rsidR="001937E6" w:rsidRPr="00E56AC4" w:rsidRDefault="001937E6" w:rsidP="00932C2F">
            <w:pPr>
              <w:widowControl w:val="0"/>
              <w:spacing w:before="0" w:after="0"/>
              <w:rPr>
                <w:rFonts w:ascii="Calibri" w:eastAsia="Calibri" w:hAnsi="Calibri"/>
                <w:color w:val="1F4E79"/>
                <w:szCs w:val="24"/>
              </w:rPr>
            </w:pPr>
          </w:p>
        </w:tc>
      </w:tr>
      <w:tr w:rsidR="001937E6" w:rsidRPr="00E56AC4" w14:paraId="1DC3C19E" w14:textId="77777777" w:rsidTr="00932C2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200D3" w14:textId="77777777" w:rsidR="001937E6" w:rsidRPr="00E56AC4" w:rsidRDefault="001937E6" w:rsidP="00932C2F">
            <w:pPr>
              <w:spacing w:before="40" w:after="40"/>
              <w:rPr>
                <w:rFonts w:eastAsia="Calibri" w:cs="Iskoola Pota"/>
                <w:b/>
              </w:rPr>
            </w:pPr>
            <w:r w:rsidRPr="00E56AC4">
              <w:rPr>
                <w:b/>
              </w:rPr>
              <w:t>Kunfidenzjalità Data tad-deċiżjoni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67E2F" w14:textId="77777777" w:rsidR="001937E6" w:rsidRPr="00E56AC4" w:rsidRDefault="001937E6" w:rsidP="00932C2F">
            <w:pPr>
              <w:widowControl w:val="0"/>
              <w:spacing w:before="0" w:after="0"/>
              <w:rPr>
                <w:rFonts w:ascii="Calibri" w:eastAsia="Calibri" w:hAnsi="Calibri"/>
                <w:color w:val="1F4E79"/>
                <w:szCs w:val="24"/>
              </w:rPr>
            </w:pPr>
          </w:p>
        </w:tc>
      </w:tr>
    </w:tbl>
    <w:p w14:paraId="79E79D7E" w14:textId="77777777" w:rsidR="001937E6" w:rsidRPr="00E56AC4" w:rsidRDefault="001937E6" w:rsidP="001937E6">
      <w:pPr>
        <w:pStyle w:val="ManualHeading2"/>
        <w:rPr>
          <w:rFonts w:eastAsia="Times New Roman"/>
          <w:bCs/>
          <w:szCs w:val="24"/>
        </w:rPr>
      </w:pPr>
      <w:r w:rsidRPr="00E56AC4">
        <w:t>1.5.</w:t>
      </w:r>
      <w:r w:rsidRPr="00E56AC4">
        <w:tab/>
        <w:t>Persuna/i responsabbli addizzjonali għat-tħaddim tal-installazzjoni tar-riċiklaġġ</w:t>
      </w:r>
    </w:p>
    <w:tbl>
      <w:tblPr>
        <w:tblW w:w="8221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1"/>
        <w:gridCol w:w="2443"/>
        <w:gridCol w:w="3517"/>
      </w:tblGrid>
      <w:tr w:rsidR="001937E6" w:rsidRPr="00E56AC4" w14:paraId="631A384A" w14:textId="77777777" w:rsidTr="00932C2F"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1D579" w14:textId="77777777" w:rsidR="001937E6" w:rsidRPr="00E56AC4" w:rsidRDefault="001937E6" w:rsidP="00932C2F">
            <w:pPr>
              <w:spacing w:before="40" w:after="40"/>
              <w:rPr>
                <w:rFonts w:eastAsia="Calibri" w:cs="Iskoola Pota"/>
                <w:b/>
              </w:rPr>
            </w:pPr>
            <w:r w:rsidRPr="00E56AC4">
              <w:rPr>
                <w:b/>
              </w:rPr>
              <w:t xml:space="preserve">Isem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74F9D" w14:textId="77777777" w:rsidR="001937E6" w:rsidRPr="00E56AC4" w:rsidRDefault="001937E6" w:rsidP="00932C2F">
            <w:pPr>
              <w:spacing w:before="40" w:after="40"/>
              <w:rPr>
                <w:rFonts w:eastAsia="Calibri" w:cs="Iskoola Pota"/>
              </w:rPr>
            </w:pPr>
            <w:r w:rsidRPr="00E56AC4">
              <w:rPr>
                <w:b/>
              </w:rPr>
              <w:t>Pożizzjoni/Rwol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5E68B" w14:textId="77777777" w:rsidR="001937E6" w:rsidRPr="00E56AC4" w:rsidRDefault="001937E6" w:rsidP="00932C2F">
            <w:pPr>
              <w:spacing w:before="40" w:after="40"/>
              <w:rPr>
                <w:rFonts w:eastAsia="Calibri" w:cs="Iskoola Pota"/>
              </w:rPr>
            </w:pPr>
            <w:r w:rsidRPr="00E56AC4">
              <w:rPr>
                <w:b/>
              </w:rPr>
              <w:t>dettalji ta’ kuntatt</w:t>
            </w:r>
          </w:p>
        </w:tc>
      </w:tr>
      <w:tr w:rsidR="001937E6" w:rsidRPr="00E56AC4" w14:paraId="76DB9CED" w14:textId="77777777" w:rsidTr="00932C2F"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E47E5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9144C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</w:rPr>
            </w:pP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CAE68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</w:rPr>
            </w:pPr>
          </w:p>
        </w:tc>
      </w:tr>
    </w:tbl>
    <w:p w14:paraId="6220256F" w14:textId="77777777" w:rsidR="001937E6" w:rsidRPr="00E56AC4" w:rsidRDefault="001937E6" w:rsidP="001937E6">
      <w:pPr>
        <w:pStyle w:val="ManualHeading1"/>
        <w:rPr>
          <w:rFonts w:eastAsia="Times New Roman"/>
          <w:bCs/>
          <w:smallCaps w:val="0"/>
          <w:szCs w:val="24"/>
        </w:rPr>
      </w:pPr>
      <w:r w:rsidRPr="00E56AC4">
        <w:rPr>
          <w:bCs/>
          <w:smallCaps w:val="0"/>
          <w:szCs w:val="28"/>
        </w:rPr>
        <w:t>2.</w:t>
      </w:r>
      <w:r w:rsidRPr="00E56AC4">
        <w:tab/>
      </w:r>
      <w:r w:rsidRPr="00E56AC4">
        <w:rPr>
          <w:bCs/>
          <w:smallCaps w:val="0"/>
          <w:szCs w:val="28"/>
        </w:rPr>
        <w:t>Taqsima 2: Tħaddim tal-installazzjoni tar-riċiklaġġ</w:t>
      </w:r>
    </w:p>
    <w:p w14:paraId="0648FE8D" w14:textId="77777777" w:rsidR="001937E6" w:rsidRPr="00E56AC4" w:rsidRDefault="001937E6" w:rsidP="001937E6">
      <w:pPr>
        <w:pStyle w:val="ManualHeading2"/>
        <w:rPr>
          <w:rFonts w:eastAsia="Times New Roman"/>
          <w:bCs/>
          <w:szCs w:val="26"/>
        </w:rPr>
      </w:pPr>
      <w:r w:rsidRPr="00E56AC4">
        <w:t>2.1.</w:t>
      </w:r>
      <w:r w:rsidRPr="00E56AC4">
        <w:tab/>
        <w:t>Dikjarazzjonijiet bil-miktub</w:t>
      </w:r>
    </w:p>
    <w:p w14:paraId="395A17ED" w14:textId="77777777" w:rsidR="001937E6" w:rsidRPr="00E56AC4" w:rsidRDefault="001937E6" w:rsidP="001937E6">
      <w:pPr>
        <w:pStyle w:val="Text1"/>
      </w:pPr>
      <w:r w:rsidRPr="00E56AC4">
        <w:t xml:space="preserve">Massimu ta’ 3000 karattru inklużi l-ispazji għandhom japplikaw kemm għat-Taqsima 2.1.1 kif ukoll għat-Taqsima 2.1.2 </w:t>
      </w:r>
    </w:p>
    <w:p w14:paraId="5054BB7C" w14:textId="77777777" w:rsidR="001937E6" w:rsidRPr="00E56AC4" w:rsidRDefault="001937E6" w:rsidP="001937E6">
      <w:pPr>
        <w:pStyle w:val="ManualHeading3"/>
      </w:pPr>
      <w:r w:rsidRPr="00E56AC4">
        <w:t>2.1.1</w:t>
      </w:r>
      <w:r w:rsidRPr="00E56AC4">
        <w:tab/>
        <w:t xml:space="preserve">Dikjarazzjoni tar-riċiklaturi li tispjega l-produzzjoni u l-kwalità tal-plastik riċiklat </w:t>
      </w:r>
    </w:p>
    <w:p w14:paraId="5DA95C76" w14:textId="77777777" w:rsidR="001937E6" w:rsidRPr="00E56AC4" w:rsidRDefault="001937E6" w:rsidP="001937E6">
      <w:pPr>
        <w:pStyle w:val="ManualHeading3"/>
        <w:rPr>
          <w:rFonts w:eastAsia="Times New Roman"/>
          <w:bCs/>
        </w:rPr>
      </w:pPr>
      <w:r w:rsidRPr="00E56AC4">
        <w:t>2.1.2.</w:t>
      </w:r>
      <w:r w:rsidRPr="00E56AC4">
        <w:tab/>
        <w:t>Dikjarazzjoni tar-riċiklatur li tispjega l-korrispondenza mal-proċess awtorizzat</w:t>
      </w:r>
    </w:p>
    <w:p w14:paraId="454D0198" w14:textId="77777777" w:rsidR="001937E6" w:rsidRPr="00E56AC4" w:rsidRDefault="001937E6" w:rsidP="001937E6">
      <w:pPr>
        <w:pStyle w:val="Text1"/>
        <w:rPr>
          <w:rFonts w:eastAsia="Times New Roman"/>
          <w:color w:val="000000"/>
          <w:szCs w:val="24"/>
        </w:rPr>
      </w:pPr>
      <w:r w:rsidRPr="00E56AC4">
        <w:rPr>
          <w:color w:val="000000"/>
          <w:szCs w:val="24"/>
        </w:rPr>
        <w:t>Din it-taqsima tapplika biss għal proċessi awtorizzati.</w:t>
      </w:r>
    </w:p>
    <w:p w14:paraId="3642FF2F" w14:textId="77777777" w:rsidR="001937E6" w:rsidRPr="00E56AC4" w:rsidRDefault="001937E6" w:rsidP="001937E6">
      <w:pPr>
        <w:pStyle w:val="ManualHeading2"/>
        <w:rPr>
          <w:rFonts w:eastAsia="Times New Roman"/>
          <w:bCs/>
          <w:szCs w:val="24"/>
        </w:rPr>
      </w:pPr>
      <w:r w:rsidRPr="00E56AC4">
        <w:t>2.2</w:t>
      </w:r>
      <w:r w:rsidRPr="00E56AC4">
        <w:tab/>
        <w:t>Operazzjonijiet ta’ riċiklaġġ fil-faċilità tar-riċiklaġġ</w:t>
      </w:r>
    </w:p>
    <w:p w14:paraId="4344752E" w14:textId="77777777" w:rsidR="001937E6" w:rsidRPr="00E56AC4" w:rsidRDefault="001937E6" w:rsidP="001937E6">
      <w:pPr>
        <w:pStyle w:val="Text1"/>
        <w:rPr>
          <w:rFonts w:eastAsia="Times New Roman"/>
          <w:bCs/>
          <w:szCs w:val="26"/>
        </w:rPr>
      </w:pPr>
      <w:r w:rsidRPr="00E56AC4">
        <w:t>L-informazzjoni li ġejja għandha tiġi pprovduta f’din it-taqsima:</w:t>
      </w:r>
    </w:p>
    <w:p w14:paraId="34504E03" w14:textId="77777777" w:rsidR="001937E6" w:rsidRPr="00E56AC4" w:rsidRDefault="001937E6" w:rsidP="001937E6">
      <w:pPr>
        <w:pStyle w:val="Tiret1"/>
      </w:pPr>
      <w:r w:rsidRPr="00E56AC4">
        <w:t>Dijagramma tal-istadji ewlenin tal-manifattura li huma parti mill-proċess tar-riċiklaġġ u li jinsabu fil-faċilità tar-riċiklaġġ (“dijagramma tas-sit”);</w:t>
      </w:r>
    </w:p>
    <w:p w14:paraId="07CD9CF0" w14:textId="77777777" w:rsidR="001937E6" w:rsidRPr="00E56AC4" w:rsidRDefault="001937E6" w:rsidP="001937E6">
      <w:pPr>
        <w:pStyle w:val="Tiret1"/>
        <w:rPr>
          <w:rFonts w:eastAsia="Calibri"/>
          <w:b/>
          <w:bCs/>
          <w:szCs w:val="24"/>
        </w:rPr>
      </w:pPr>
      <w:r w:rsidRPr="00E56AC4">
        <w:t>Tabella li tiddeskrivi dawk l-istadji tal-manifattura u l-flussi tal-materjali li jgħaqqduhom li jitwettqu fil-faċilità tar-riċiklaġġ u li jikkorrispondu ma’ dik id-dijagramma.</w:t>
      </w:r>
    </w:p>
    <w:p w14:paraId="760A607A" w14:textId="77777777" w:rsidR="001937E6" w:rsidRPr="00E56AC4" w:rsidRDefault="001937E6" w:rsidP="001937E6">
      <w:pPr>
        <w:pStyle w:val="ManualHeading3"/>
        <w:rPr>
          <w:rFonts w:eastAsia="Times New Roman"/>
          <w:bCs/>
        </w:rPr>
      </w:pPr>
      <w:r w:rsidRPr="00E56AC4">
        <w:t>2.2.1.</w:t>
      </w:r>
      <w:r w:rsidRPr="00E56AC4">
        <w:tab/>
        <w:t>Dijagramma tal-istadji ewlenin tal-manifattura li jitwettqu fil-faċilità tar-riċiklaġġ (dijagramma tas-sit)</w:t>
      </w:r>
    </w:p>
    <w:p w14:paraId="0724187E" w14:textId="77777777" w:rsidR="001937E6" w:rsidRPr="00E56AC4" w:rsidRDefault="001937E6" w:rsidP="001937E6">
      <w:pPr>
        <w:pStyle w:val="ManualHeading3"/>
        <w:rPr>
          <w:rFonts w:eastAsia="Times New Roman"/>
          <w:bCs/>
        </w:rPr>
      </w:pPr>
      <w:r w:rsidRPr="00E56AC4">
        <w:rPr>
          <w:snapToGrid w:val="0"/>
          <w:szCs w:val="24"/>
        </w:rPr>
        <w:t>2.2.2.</w:t>
      </w:r>
      <w:r w:rsidRPr="00E56AC4">
        <w:tab/>
      </w:r>
      <w:r w:rsidRPr="00E56AC4">
        <w:rPr>
          <w:snapToGrid w:val="0"/>
          <w:szCs w:val="24"/>
        </w:rPr>
        <w:t>Deskrizzjoni tal-istadji ewlenin tal-manifattura li jitwettqu fil-faċilità tar-riċiklaġġ u l-flussi li jgħaqqduhom</w:t>
      </w:r>
    </w:p>
    <w:tbl>
      <w:tblPr>
        <w:tblW w:w="49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6"/>
        <w:gridCol w:w="1618"/>
        <w:gridCol w:w="4464"/>
        <w:gridCol w:w="1965"/>
      </w:tblGrid>
      <w:tr w:rsidR="001937E6" w:rsidRPr="00E56AC4" w14:paraId="19D0CA74" w14:textId="77777777" w:rsidTr="00932C2F">
        <w:tc>
          <w:tcPr>
            <w:tcW w:w="594" w:type="pct"/>
            <w:shd w:val="clear" w:color="auto" w:fill="auto"/>
          </w:tcPr>
          <w:p w14:paraId="0ECC4A1B" w14:textId="77777777" w:rsidR="001937E6" w:rsidRPr="00E56AC4" w:rsidRDefault="001937E6" w:rsidP="00932C2F">
            <w:pPr>
              <w:spacing w:before="40" w:after="40"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56AC4">
              <w:rPr>
                <w:b/>
                <w:sz w:val="20"/>
                <w:szCs w:val="20"/>
              </w:rPr>
              <w:t>Numru tal-Istadju</w:t>
            </w:r>
          </w:p>
        </w:tc>
        <w:tc>
          <w:tcPr>
            <w:tcW w:w="886" w:type="pct"/>
            <w:shd w:val="clear" w:color="auto" w:fill="auto"/>
          </w:tcPr>
          <w:p w14:paraId="4E43A75A" w14:textId="77777777" w:rsidR="001937E6" w:rsidRPr="00E56AC4" w:rsidRDefault="001937E6" w:rsidP="00932C2F">
            <w:pPr>
              <w:spacing w:before="40" w:after="40"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56AC4">
              <w:rPr>
                <w:b/>
                <w:sz w:val="20"/>
                <w:szCs w:val="20"/>
              </w:rPr>
              <w:t>Isem</w:t>
            </w:r>
          </w:p>
        </w:tc>
        <w:tc>
          <w:tcPr>
            <w:tcW w:w="2444" w:type="pct"/>
            <w:shd w:val="clear" w:color="auto" w:fill="auto"/>
          </w:tcPr>
          <w:p w14:paraId="147814B8" w14:textId="77777777" w:rsidR="001937E6" w:rsidRPr="00E56AC4" w:rsidDel="002473C3" w:rsidRDefault="001937E6" w:rsidP="00932C2F">
            <w:pPr>
              <w:spacing w:before="40" w:after="40"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56AC4">
              <w:rPr>
                <w:b/>
                <w:sz w:val="20"/>
                <w:szCs w:val="20"/>
              </w:rPr>
              <w:t>Deskrizzjoni</w:t>
            </w:r>
          </w:p>
        </w:tc>
        <w:tc>
          <w:tcPr>
            <w:tcW w:w="1076" w:type="pct"/>
          </w:tcPr>
          <w:p w14:paraId="5DBF9555" w14:textId="77777777" w:rsidR="001937E6" w:rsidRPr="00E56AC4" w:rsidRDefault="001937E6" w:rsidP="00932C2F">
            <w:pPr>
              <w:spacing w:before="40" w:after="40"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56AC4">
              <w:rPr>
                <w:b/>
                <w:sz w:val="20"/>
                <w:szCs w:val="20"/>
              </w:rPr>
              <w:t>Tunnellaġġ Medju Pproċessat kull sena</w:t>
            </w:r>
          </w:p>
        </w:tc>
      </w:tr>
      <w:tr w:rsidR="001937E6" w:rsidRPr="00E56AC4" w14:paraId="43B4EAD9" w14:textId="77777777" w:rsidTr="00932C2F">
        <w:tc>
          <w:tcPr>
            <w:tcW w:w="594" w:type="pct"/>
            <w:shd w:val="clear" w:color="auto" w:fill="auto"/>
          </w:tcPr>
          <w:p w14:paraId="79F37F2E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</w:rPr>
            </w:pPr>
          </w:p>
        </w:tc>
        <w:tc>
          <w:tcPr>
            <w:tcW w:w="886" w:type="pct"/>
            <w:shd w:val="clear" w:color="auto" w:fill="auto"/>
          </w:tcPr>
          <w:p w14:paraId="0D630D03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</w:rPr>
            </w:pPr>
          </w:p>
        </w:tc>
        <w:tc>
          <w:tcPr>
            <w:tcW w:w="2444" w:type="pct"/>
            <w:shd w:val="clear" w:color="auto" w:fill="auto"/>
          </w:tcPr>
          <w:p w14:paraId="2BF6E4F6" w14:textId="77777777" w:rsidR="001937E6" w:rsidRPr="00E56AC4" w:rsidRDefault="001937E6" w:rsidP="00932C2F">
            <w:pPr>
              <w:widowControl w:val="0"/>
              <w:spacing w:before="0" w:after="0"/>
              <w:rPr>
                <w:rFonts w:ascii="Courier New" w:eastAsia="Calibri" w:hAnsi="Courier New"/>
                <w:color w:val="7030A0"/>
                <w:sz w:val="22"/>
                <w:szCs w:val="24"/>
              </w:rPr>
            </w:pPr>
          </w:p>
        </w:tc>
        <w:tc>
          <w:tcPr>
            <w:tcW w:w="1076" w:type="pct"/>
          </w:tcPr>
          <w:p w14:paraId="39BA8609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</w:rPr>
            </w:pPr>
          </w:p>
        </w:tc>
      </w:tr>
      <w:tr w:rsidR="001937E6" w:rsidRPr="00E56AC4" w14:paraId="4216E5D7" w14:textId="77777777" w:rsidTr="00932C2F">
        <w:tc>
          <w:tcPr>
            <w:tcW w:w="594" w:type="pct"/>
            <w:shd w:val="clear" w:color="auto" w:fill="auto"/>
          </w:tcPr>
          <w:p w14:paraId="0EA27009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</w:rPr>
            </w:pPr>
          </w:p>
        </w:tc>
        <w:tc>
          <w:tcPr>
            <w:tcW w:w="886" w:type="pct"/>
            <w:shd w:val="clear" w:color="auto" w:fill="auto"/>
          </w:tcPr>
          <w:p w14:paraId="08B0BDA6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</w:rPr>
            </w:pPr>
          </w:p>
        </w:tc>
        <w:tc>
          <w:tcPr>
            <w:tcW w:w="2444" w:type="pct"/>
            <w:shd w:val="clear" w:color="auto" w:fill="auto"/>
          </w:tcPr>
          <w:p w14:paraId="7F683B81" w14:textId="77777777" w:rsidR="001937E6" w:rsidRPr="00E56AC4" w:rsidRDefault="001937E6" w:rsidP="00932C2F">
            <w:pPr>
              <w:widowControl w:val="0"/>
              <w:spacing w:before="0" w:after="0"/>
              <w:rPr>
                <w:rFonts w:ascii="Courier New" w:eastAsia="Calibri" w:hAnsi="Courier New"/>
                <w:color w:val="7030A0"/>
                <w:sz w:val="22"/>
                <w:szCs w:val="24"/>
              </w:rPr>
            </w:pPr>
          </w:p>
        </w:tc>
        <w:tc>
          <w:tcPr>
            <w:tcW w:w="1076" w:type="pct"/>
          </w:tcPr>
          <w:p w14:paraId="5CBFB886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</w:rPr>
            </w:pPr>
          </w:p>
        </w:tc>
      </w:tr>
      <w:tr w:rsidR="001937E6" w:rsidRPr="00E56AC4" w14:paraId="309AA907" w14:textId="77777777" w:rsidTr="00932C2F">
        <w:tc>
          <w:tcPr>
            <w:tcW w:w="594" w:type="pct"/>
            <w:shd w:val="clear" w:color="auto" w:fill="auto"/>
          </w:tcPr>
          <w:p w14:paraId="037C37EF" w14:textId="77777777" w:rsidR="001937E6" w:rsidRPr="00E56AC4" w:rsidRDefault="001937E6" w:rsidP="00932C2F">
            <w:pPr>
              <w:spacing w:before="40" w:after="40" w:line="276" w:lineRule="auto"/>
              <w:jc w:val="left"/>
              <w:rPr>
                <w:rFonts w:eastAsia="Calibri"/>
                <w:sz w:val="20"/>
                <w:szCs w:val="20"/>
              </w:rPr>
            </w:pPr>
            <w:r w:rsidRPr="00E56AC4">
              <w:rPr>
                <w:b/>
                <w:sz w:val="20"/>
                <w:szCs w:val="20"/>
              </w:rPr>
              <w:t>Numru tal-Fluss</w:t>
            </w:r>
          </w:p>
        </w:tc>
        <w:tc>
          <w:tcPr>
            <w:tcW w:w="886" w:type="pct"/>
            <w:shd w:val="clear" w:color="auto" w:fill="auto"/>
          </w:tcPr>
          <w:p w14:paraId="4F7A8299" w14:textId="77777777" w:rsidR="001937E6" w:rsidRPr="00E56AC4" w:rsidRDefault="001937E6" w:rsidP="00932C2F">
            <w:pPr>
              <w:spacing w:before="40" w:after="40" w:line="276" w:lineRule="auto"/>
              <w:jc w:val="left"/>
              <w:rPr>
                <w:rFonts w:eastAsia="Calibri"/>
                <w:sz w:val="20"/>
                <w:szCs w:val="20"/>
              </w:rPr>
            </w:pPr>
            <w:r w:rsidRPr="00E56AC4">
              <w:rPr>
                <w:b/>
                <w:sz w:val="20"/>
                <w:szCs w:val="20"/>
              </w:rPr>
              <w:t>Isem</w:t>
            </w:r>
          </w:p>
        </w:tc>
        <w:tc>
          <w:tcPr>
            <w:tcW w:w="2444" w:type="pct"/>
            <w:shd w:val="clear" w:color="auto" w:fill="auto"/>
          </w:tcPr>
          <w:p w14:paraId="29F0F8F5" w14:textId="77777777" w:rsidR="001937E6" w:rsidRPr="00E56AC4" w:rsidRDefault="001937E6" w:rsidP="00932C2F">
            <w:pPr>
              <w:spacing w:before="40" w:after="40" w:line="276" w:lineRule="auto"/>
              <w:jc w:val="left"/>
              <w:rPr>
                <w:rFonts w:eastAsia="Calibri"/>
                <w:sz w:val="20"/>
                <w:szCs w:val="20"/>
              </w:rPr>
            </w:pPr>
            <w:r w:rsidRPr="00E56AC4">
              <w:rPr>
                <w:b/>
                <w:sz w:val="20"/>
                <w:szCs w:val="20"/>
              </w:rPr>
              <w:t>Deskrizzjoni</w:t>
            </w:r>
          </w:p>
        </w:tc>
        <w:tc>
          <w:tcPr>
            <w:tcW w:w="1076" w:type="pct"/>
          </w:tcPr>
          <w:p w14:paraId="1C8B8C86" w14:textId="77777777" w:rsidR="001937E6" w:rsidRPr="00E56AC4" w:rsidRDefault="001937E6" w:rsidP="00932C2F">
            <w:pPr>
              <w:spacing w:before="40" w:after="40" w:line="276" w:lineRule="auto"/>
              <w:jc w:val="left"/>
              <w:rPr>
                <w:rFonts w:eastAsia="Calibri"/>
                <w:sz w:val="20"/>
                <w:szCs w:val="20"/>
              </w:rPr>
            </w:pPr>
            <w:r w:rsidRPr="00E56AC4">
              <w:rPr>
                <w:b/>
                <w:sz w:val="20"/>
                <w:szCs w:val="20"/>
              </w:rPr>
              <w:t>Daqs Medju tal-Fluss</w:t>
            </w:r>
          </w:p>
        </w:tc>
      </w:tr>
      <w:tr w:rsidR="001937E6" w:rsidRPr="00E56AC4" w14:paraId="0A3D2AD4" w14:textId="77777777" w:rsidTr="00932C2F">
        <w:tc>
          <w:tcPr>
            <w:tcW w:w="594" w:type="pct"/>
            <w:shd w:val="clear" w:color="auto" w:fill="auto"/>
          </w:tcPr>
          <w:p w14:paraId="38533BCC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</w:rPr>
            </w:pPr>
          </w:p>
        </w:tc>
        <w:tc>
          <w:tcPr>
            <w:tcW w:w="886" w:type="pct"/>
            <w:shd w:val="clear" w:color="auto" w:fill="auto"/>
          </w:tcPr>
          <w:p w14:paraId="6C29DB2C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</w:rPr>
            </w:pPr>
          </w:p>
        </w:tc>
        <w:tc>
          <w:tcPr>
            <w:tcW w:w="2444" w:type="pct"/>
            <w:shd w:val="clear" w:color="auto" w:fill="auto"/>
          </w:tcPr>
          <w:p w14:paraId="1CCA0D90" w14:textId="77777777" w:rsidR="001937E6" w:rsidRPr="00E56AC4" w:rsidRDefault="001937E6" w:rsidP="00932C2F">
            <w:pPr>
              <w:widowControl w:val="0"/>
              <w:spacing w:before="0" w:after="0"/>
              <w:rPr>
                <w:rFonts w:ascii="Courier New" w:eastAsia="Calibri" w:hAnsi="Courier New"/>
                <w:color w:val="7030A0"/>
                <w:sz w:val="22"/>
                <w:szCs w:val="24"/>
              </w:rPr>
            </w:pPr>
          </w:p>
        </w:tc>
        <w:tc>
          <w:tcPr>
            <w:tcW w:w="1076" w:type="pct"/>
          </w:tcPr>
          <w:p w14:paraId="0E771A6B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b/>
                <w:color w:val="7030A0"/>
                <w:sz w:val="22"/>
                <w:szCs w:val="24"/>
              </w:rPr>
            </w:pPr>
          </w:p>
        </w:tc>
      </w:tr>
      <w:tr w:rsidR="001937E6" w:rsidRPr="00E56AC4" w14:paraId="14C0F0CD" w14:textId="77777777" w:rsidTr="00932C2F">
        <w:tc>
          <w:tcPr>
            <w:tcW w:w="594" w:type="pct"/>
            <w:shd w:val="clear" w:color="auto" w:fill="auto"/>
          </w:tcPr>
          <w:p w14:paraId="67A0C415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</w:rPr>
            </w:pPr>
          </w:p>
        </w:tc>
        <w:tc>
          <w:tcPr>
            <w:tcW w:w="886" w:type="pct"/>
            <w:shd w:val="clear" w:color="auto" w:fill="auto"/>
          </w:tcPr>
          <w:p w14:paraId="1D8F34E5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</w:rPr>
            </w:pPr>
          </w:p>
        </w:tc>
        <w:tc>
          <w:tcPr>
            <w:tcW w:w="2444" w:type="pct"/>
            <w:shd w:val="clear" w:color="auto" w:fill="auto"/>
          </w:tcPr>
          <w:p w14:paraId="19ECF1D0" w14:textId="77777777" w:rsidR="001937E6" w:rsidRPr="00E56AC4" w:rsidRDefault="001937E6" w:rsidP="00932C2F">
            <w:pPr>
              <w:widowControl w:val="0"/>
              <w:spacing w:before="0" w:after="0"/>
              <w:rPr>
                <w:rFonts w:ascii="Courier New" w:eastAsia="Calibri" w:hAnsi="Courier New"/>
                <w:color w:val="7030A0"/>
                <w:sz w:val="22"/>
                <w:szCs w:val="24"/>
              </w:rPr>
            </w:pPr>
          </w:p>
        </w:tc>
        <w:tc>
          <w:tcPr>
            <w:tcW w:w="1076" w:type="pct"/>
          </w:tcPr>
          <w:p w14:paraId="32056A04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</w:rPr>
            </w:pPr>
          </w:p>
        </w:tc>
      </w:tr>
    </w:tbl>
    <w:p w14:paraId="48E297AD" w14:textId="77777777" w:rsidR="001937E6" w:rsidRPr="00E56AC4" w:rsidRDefault="001937E6" w:rsidP="001937E6">
      <w:pPr>
        <w:spacing w:before="0" w:after="200" w:line="276" w:lineRule="auto"/>
        <w:jc w:val="left"/>
        <w:rPr>
          <w:rFonts w:ascii="Calibri" w:eastAsia="Calibri" w:hAnsi="Calibri"/>
          <w:sz w:val="22"/>
        </w:rPr>
      </w:pPr>
    </w:p>
    <w:p w14:paraId="37E1B252" w14:textId="77777777" w:rsidR="001937E6" w:rsidRPr="00E56AC4" w:rsidRDefault="001937E6" w:rsidP="001937E6">
      <w:pPr>
        <w:pStyle w:val="ManualHeading2"/>
        <w:rPr>
          <w:rFonts w:eastAsia="Times New Roman"/>
          <w:bCs/>
          <w:szCs w:val="26"/>
        </w:rPr>
      </w:pPr>
      <w:r w:rsidRPr="00E56AC4">
        <w:t>2.3.</w:t>
      </w:r>
      <w:r w:rsidRPr="00E56AC4">
        <w:tab/>
        <w:t>Dokumenti Interni</w:t>
      </w:r>
    </w:p>
    <w:p w14:paraId="6882D1E6" w14:textId="77777777" w:rsidR="001937E6" w:rsidRPr="00E56AC4" w:rsidRDefault="001937E6" w:rsidP="001937E6">
      <w:pPr>
        <w:pStyle w:val="Text1"/>
        <w:rPr>
          <w:rFonts w:eastAsia="Calibri"/>
        </w:rPr>
      </w:pPr>
      <w:r w:rsidRPr="00E56AC4">
        <w:t>Ipprovdi lista komprensiva ta’ dokumenti rilevanti għat-tħaddim tal-proċess u l-ġestjoni tal-kwalità u proċeduri amministrattivi oħrajn relatati miegħu, kif ukoll dokumenti relatati mal-awtorizzazzjoni. Id-dokumenti għandhom ikunu nnumerati u dawn in-numri għandhom jintużaw fit-Taqsima 3 sabiex jirreferu għal dawn id-dokumenti. Ir-riċiklatur</w:t>
      </w:r>
      <w:r w:rsidRPr="00E56AC4">
        <w:rPr>
          <w:i/>
        </w:rPr>
        <w:t xml:space="preserve"> </w:t>
      </w:r>
      <w:r w:rsidRPr="00E56AC4">
        <w:t>jista’ japplika sistema ta’ numerazzjoni tiegħu.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6"/>
        <w:gridCol w:w="1117"/>
        <w:gridCol w:w="1584"/>
        <w:gridCol w:w="1584"/>
        <w:gridCol w:w="2000"/>
        <w:gridCol w:w="1841"/>
      </w:tblGrid>
      <w:tr w:rsidR="001937E6" w:rsidRPr="00E56AC4" w14:paraId="275EE9F8" w14:textId="77777777" w:rsidTr="00932C2F">
        <w:tc>
          <w:tcPr>
            <w:tcW w:w="604" w:type="pct"/>
          </w:tcPr>
          <w:p w14:paraId="7DBB43C9" w14:textId="77777777" w:rsidR="001937E6" w:rsidRPr="00E56AC4" w:rsidRDefault="001937E6" w:rsidP="00932C2F">
            <w:pPr>
              <w:widowControl w:val="0"/>
              <w:spacing w:before="40" w:after="40"/>
              <w:jc w:val="center"/>
              <w:rPr>
                <w:rFonts w:eastAsia="Times New Roman" w:cs="Iskoola Pota"/>
                <w:b/>
                <w:color w:val="000000"/>
                <w:sz w:val="20"/>
                <w:szCs w:val="20"/>
              </w:rPr>
            </w:pPr>
            <w:r w:rsidRPr="00E56AC4">
              <w:rPr>
                <w:b/>
                <w:color w:val="000000"/>
                <w:sz w:val="20"/>
                <w:szCs w:val="20"/>
              </w:rPr>
              <w:t>Tip ta’ dokument</w:t>
            </w:r>
          </w:p>
        </w:tc>
        <w:tc>
          <w:tcPr>
            <w:tcW w:w="604" w:type="pct"/>
            <w:shd w:val="clear" w:color="auto" w:fill="auto"/>
          </w:tcPr>
          <w:p w14:paraId="1424710E" w14:textId="77777777" w:rsidR="001937E6" w:rsidRPr="00E56AC4" w:rsidRDefault="001937E6" w:rsidP="00932C2F">
            <w:pPr>
              <w:widowControl w:val="0"/>
              <w:spacing w:before="40" w:after="40"/>
              <w:jc w:val="center"/>
              <w:rPr>
                <w:rFonts w:eastAsia="Times New Roman" w:cs="Iskoola Pota"/>
                <w:b/>
                <w:color w:val="000000"/>
                <w:sz w:val="20"/>
                <w:szCs w:val="20"/>
              </w:rPr>
            </w:pPr>
            <w:r w:rsidRPr="00E56AC4">
              <w:rPr>
                <w:b/>
                <w:color w:val="000000"/>
                <w:sz w:val="20"/>
                <w:szCs w:val="20"/>
              </w:rPr>
              <w:t>Numru tad-Dokument</w:t>
            </w:r>
          </w:p>
        </w:tc>
        <w:tc>
          <w:tcPr>
            <w:tcW w:w="857" w:type="pct"/>
          </w:tcPr>
          <w:p w14:paraId="5511E374" w14:textId="77777777" w:rsidR="001937E6" w:rsidRPr="00E56AC4" w:rsidRDefault="001937E6" w:rsidP="00932C2F">
            <w:pPr>
              <w:widowControl w:val="0"/>
              <w:spacing w:before="40" w:after="40"/>
              <w:jc w:val="center"/>
              <w:rPr>
                <w:rFonts w:eastAsia="Times New Roman" w:cs="Iskoola Pota"/>
                <w:b/>
                <w:color w:val="000000"/>
                <w:sz w:val="20"/>
                <w:szCs w:val="20"/>
              </w:rPr>
            </w:pPr>
            <w:r w:rsidRPr="00E56AC4">
              <w:rPr>
                <w:b/>
                <w:color w:val="000000"/>
                <w:sz w:val="20"/>
                <w:szCs w:val="20"/>
              </w:rPr>
              <w:t>Stadju ta’ produzzjoni relatat</w:t>
            </w:r>
          </w:p>
        </w:tc>
        <w:tc>
          <w:tcPr>
            <w:tcW w:w="857" w:type="pct"/>
            <w:shd w:val="clear" w:color="auto" w:fill="auto"/>
          </w:tcPr>
          <w:p w14:paraId="2A4FA9EA" w14:textId="77777777" w:rsidR="001937E6" w:rsidRPr="00E56AC4" w:rsidRDefault="001937E6" w:rsidP="00932C2F">
            <w:pPr>
              <w:widowControl w:val="0"/>
              <w:spacing w:before="40" w:after="40"/>
              <w:jc w:val="center"/>
              <w:rPr>
                <w:rFonts w:eastAsia="Times New Roman" w:cs="Iskoola Pota"/>
                <w:b/>
                <w:color w:val="000000"/>
                <w:sz w:val="20"/>
                <w:szCs w:val="20"/>
              </w:rPr>
            </w:pPr>
            <w:r w:rsidRPr="00E56AC4">
              <w:rPr>
                <w:b/>
                <w:color w:val="000000"/>
                <w:sz w:val="20"/>
                <w:szCs w:val="20"/>
              </w:rPr>
              <w:t>Titolu</w:t>
            </w:r>
          </w:p>
        </w:tc>
        <w:tc>
          <w:tcPr>
            <w:tcW w:w="1082" w:type="pct"/>
            <w:shd w:val="clear" w:color="auto" w:fill="auto"/>
          </w:tcPr>
          <w:p w14:paraId="4D364881" w14:textId="77777777" w:rsidR="001937E6" w:rsidRPr="00E56AC4" w:rsidDel="002473C3" w:rsidRDefault="001937E6" w:rsidP="00932C2F">
            <w:pPr>
              <w:widowControl w:val="0"/>
              <w:spacing w:before="40" w:after="40"/>
              <w:jc w:val="center"/>
              <w:rPr>
                <w:rFonts w:eastAsia="Times New Roman" w:cs="Iskoola Pota"/>
                <w:b/>
                <w:color w:val="000000"/>
                <w:sz w:val="20"/>
                <w:szCs w:val="20"/>
              </w:rPr>
            </w:pPr>
            <w:r w:rsidRPr="00E56AC4">
              <w:rPr>
                <w:b/>
                <w:color w:val="000000"/>
                <w:sz w:val="20"/>
                <w:szCs w:val="20"/>
              </w:rPr>
              <w:t>Deskrizzjoni</w:t>
            </w:r>
          </w:p>
        </w:tc>
        <w:tc>
          <w:tcPr>
            <w:tcW w:w="997" w:type="pct"/>
          </w:tcPr>
          <w:p w14:paraId="3688562E" w14:textId="77777777" w:rsidR="001937E6" w:rsidRPr="00E56AC4" w:rsidRDefault="001937E6" w:rsidP="00932C2F">
            <w:pPr>
              <w:widowControl w:val="0"/>
              <w:spacing w:before="40" w:after="40"/>
              <w:jc w:val="center"/>
              <w:rPr>
                <w:rFonts w:eastAsia="Times New Roman" w:cs="Iskoola Pota"/>
                <w:b/>
                <w:color w:val="000000"/>
                <w:sz w:val="20"/>
                <w:szCs w:val="20"/>
              </w:rPr>
            </w:pPr>
            <w:r w:rsidRPr="00E56AC4">
              <w:rPr>
                <w:b/>
                <w:color w:val="000000"/>
                <w:sz w:val="20"/>
                <w:szCs w:val="20"/>
              </w:rPr>
              <w:t>Data, verżjoni, awtur</w:t>
            </w:r>
          </w:p>
        </w:tc>
      </w:tr>
      <w:tr w:rsidR="001937E6" w:rsidRPr="00E56AC4" w14:paraId="0F9BBA6A" w14:textId="77777777" w:rsidTr="00932C2F">
        <w:tc>
          <w:tcPr>
            <w:tcW w:w="604" w:type="pct"/>
          </w:tcPr>
          <w:p w14:paraId="7F429EF7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Times New Roman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604" w:type="pct"/>
            <w:shd w:val="clear" w:color="auto" w:fill="auto"/>
          </w:tcPr>
          <w:p w14:paraId="39D95BB2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Times New Roman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857" w:type="pct"/>
          </w:tcPr>
          <w:p w14:paraId="629FA024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Times New Roman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857" w:type="pct"/>
            <w:shd w:val="clear" w:color="auto" w:fill="auto"/>
          </w:tcPr>
          <w:p w14:paraId="20CF752C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Times New Roman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1082" w:type="pct"/>
            <w:shd w:val="clear" w:color="auto" w:fill="auto"/>
          </w:tcPr>
          <w:p w14:paraId="51CEE8A2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Times New Roman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997" w:type="pct"/>
          </w:tcPr>
          <w:p w14:paraId="09BF6BEB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Times New Roman" w:hAnsi="Courier New"/>
                <w:color w:val="7030A0"/>
                <w:sz w:val="22"/>
                <w:szCs w:val="24"/>
                <w:lang w:bidi="en-US"/>
              </w:rPr>
            </w:pPr>
          </w:p>
        </w:tc>
      </w:tr>
      <w:tr w:rsidR="001937E6" w:rsidRPr="00E56AC4" w14:paraId="7BE48D0B" w14:textId="77777777" w:rsidTr="00932C2F">
        <w:tc>
          <w:tcPr>
            <w:tcW w:w="604" w:type="pct"/>
          </w:tcPr>
          <w:p w14:paraId="644B3625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Times New Roman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604" w:type="pct"/>
            <w:shd w:val="clear" w:color="auto" w:fill="auto"/>
          </w:tcPr>
          <w:p w14:paraId="346907C7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Times New Roman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857" w:type="pct"/>
          </w:tcPr>
          <w:p w14:paraId="3C5C2B12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Times New Roman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857" w:type="pct"/>
            <w:shd w:val="clear" w:color="auto" w:fill="auto"/>
          </w:tcPr>
          <w:p w14:paraId="36ED19D9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Times New Roman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1082" w:type="pct"/>
            <w:shd w:val="clear" w:color="auto" w:fill="auto"/>
          </w:tcPr>
          <w:p w14:paraId="4105582C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Times New Roman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997" w:type="pct"/>
          </w:tcPr>
          <w:p w14:paraId="05146E9F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Times New Roman" w:hAnsi="Courier New"/>
                <w:color w:val="7030A0"/>
                <w:sz w:val="22"/>
                <w:szCs w:val="24"/>
                <w:lang w:bidi="en-US"/>
              </w:rPr>
            </w:pPr>
          </w:p>
        </w:tc>
      </w:tr>
    </w:tbl>
    <w:p w14:paraId="0A03E38C" w14:textId="77777777" w:rsidR="001937E6" w:rsidRPr="00E56AC4" w:rsidRDefault="001937E6" w:rsidP="001937E6">
      <w:pPr>
        <w:rPr>
          <w:rFonts w:ascii="Calibri" w:eastAsia="Calibri" w:hAnsi="Calibri"/>
          <w:sz w:val="22"/>
        </w:rPr>
      </w:pPr>
    </w:p>
    <w:p w14:paraId="523D31C6" w14:textId="77777777" w:rsidR="001937E6" w:rsidRPr="00E56AC4" w:rsidRDefault="001937E6" w:rsidP="001937E6">
      <w:pPr>
        <w:pStyle w:val="ManualHeading2"/>
        <w:rPr>
          <w:rFonts w:eastAsia="Times New Roman"/>
          <w:bCs/>
          <w:szCs w:val="26"/>
        </w:rPr>
      </w:pPr>
      <w:r w:rsidRPr="00E56AC4">
        <w:t>2.4.</w:t>
      </w:r>
      <w:r w:rsidRPr="00E56AC4">
        <w:tab/>
        <w:t>Definizzjonijiet tal-lott</w:t>
      </w:r>
    </w:p>
    <w:p w14:paraId="10AB5073" w14:textId="77777777" w:rsidR="001937E6" w:rsidRPr="00E56AC4" w:rsidRDefault="001937E6" w:rsidP="001937E6">
      <w:pPr>
        <w:pStyle w:val="Text1"/>
        <w:rPr>
          <w:rFonts w:eastAsia="Times New Roman"/>
          <w:snapToGrid w:val="0"/>
          <w:szCs w:val="24"/>
        </w:rPr>
      </w:pPr>
      <w:r w:rsidRPr="00E56AC4">
        <w:rPr>
          <w:snapToGrid w:val="0"/>
          <w:szCs w:val="24"/>
        </w:rPr>
        <w:t>Il-lottijiet li ġejjin għandhom jiġu ddefiniti f’konformità mat-tabella ta’ hawn taħt:</w:t>
      </w:r>
    </w:p>
    <w:p w14:paraId="173A0540" w14:textId="77777777" w:rsidR="001937E6" w:rsidRPr="00E56AC4" w:rsidRDefault="001937E6" w:rsidP="001937E6">
      <w:pPr>
        <w:pStyle w:val="Tiret1"/>
        <w:rPr>
          <w:snapToGrid w:val="0"/>
        </w:rPr>
      </w:pPr>
      <w:r w:rsidRPr="00E56AC4">
        <w:rPr>
          <w:b/>
          <w:snapToGrid w:val="0"/>
        </w:rPr>
        <w:t>Lott tad-Dħul</w:t>
      </w:r>
      <w:r w:rsidRPr="00E56AC4">
        <w:rPr>
          <w:snapToGrid w:val="0"/>
        </w:rPr>
        <w:t>: il-plastik mhux ipproċessat li jidħol fil-faċilità tar-riċiklaġġ mill-fornituri;</w:t>
      </w:r>
    </w:p>
    <w:p w14:paraId="27E827F1" w14:textId="77777777" w:rsidR="001937E6" w:rsidRPr="00E56AC4" w:rsidRDefault="001937E6" w:rsidP="001937E6">
      <w:pPr>
        <w:pStyle w:val="Tiret1"/>
        <w:rPr>
          <w:rFonts w:eastAsia="Times New Roman"/>
          <w:snapToGrid w:val="0"/>
          <w:szCs w:val="24"/>
        </w:rPr>
      </w:pPr>
      <w:r w:rsidRPr="00E56AC4">
        <w:rPr>
          <w:b/>
          <w:snapToGrid w:val="0"/>
          <w:szCs w:val="24"/>
        </w:rPr>
        <w:t>Lott tal-Input</w:t>
      </w:r>
      <w:r w:rsidRPr="00E56AC4">
        <w:rPr>
          <w:snapToGrid w:val="0"/>
          <w:szCs w:val="24"/>
        </w:rPr>
        <w:t>: il-plastik tal-input ipproċessat fil-faċilità li jiddaħħal fl-istadju ta’ dekontaminazzjoni;</w:t>
      </w:r>
    </w:p>
    <w:p w14:paraId="10510B2A" w14:textId="77777777" w:rsidR="001937E6" w:rsidRPr="00E56AC4" w:rsidRDefault="001937E6" w:rsidP="001937E6">
      <w:pPr>
        <w:pStyle w:val="Tiret1"/>
        <w:rPr>
          <w:rFonts w:eastAsia="Times New Roman"/>
          <w:snapToGrid w:val="0"/>
          <w:szCs w:val="24"/>
        </w:rPr>
      </w:pPr>
      <w:r w:rsidRPr="00E56AC4">
        <w:rPr>
          <w:b/>
          <w:snapToGrid w:val="0"/>
          <w:szCs w:val="24"/>
        </w:rPr>
        <w:t>Lott tal-Output</w:t>
      </w:r>
      <w:r w:rsidRPr="00E56AC4">
        <w:rPr>
          <w:snapToGrid w:val="0"/>
          <w:szCs w:val="24"/>
        </w:rPr>
        <w:t>: il-plastik riċiklat li jirriżulta mill-istadju ta’ dekontaminazzjoni; u,</w:t>
      </w:r>
    </w:p>
    <w:p w14:paraId="10261018" w14:textId="77777777" w:rsidR="001937E6" w:rsidRPr="00E56AC4" w:rsidRDefault="001937E6" w:rsidP="001937E6">
      <w:pPr>
        <w:pStyle w:val="Tiret1"/>
        <w:rPr>
          <w:rFonts w:eastAsia="Times New Roman"/>
          <w:snapToGrid w:val="0"/>
          <w:szCs w:val="24"/>
        </w:rPr>
      </w:pPr>
      <w:r w:rsidRPr="00E56AC4">
        <w:rPr>
          <w:b/>
          <w:snapToGrid w:val="0"/>
          <w:szCs w:val="24"/>
        </w:rPr>
        <w:t>Lott tal-Ħruġ</w:t>
      </w:r>
      <w:r w:rsidRPr="00E56AC4">
        <w:rPr>
          <w:snapToGrid w:val="0"/>
          <w:szCs w:val="24"/>
        </w:rPr>
        <w:t>: il-plastik riċiklat (jew il-materjali u l-oġġetti tal-plastik riċiklat) li joħroġ mill-faċilità għal aktar ipproċessar jew użu.</w:t>
      </w:r>
    </w:p>
    <w:p w14:paraId="1F442749" w14:textId="77777777" w:rsidR="001937E6" w:rsidRPr="00E56AC4" w:rsidRDefault="001937E6" w:rsidP="001937E6">
      <w:pPr>
        <w:pStyle w:val="Tiret1"/>
        <w:rPr>
          <w:rFonts w:eastAsia="Times New Roman"/>
          <w:snapToGrid w:val="0"/>
          <w:szCs w:val="24"/>
        </w:rPr>
      </w:pPr>
      <w:r w:rsidRPr="00E56AC4">
        <w:rPr>
          <w:snapToGrid w:val="0"/>
          <w:szCs w:val="24"/>
        </w:rPr>
        <w:t>Kwalunkwe lott intermedju ieħor li jikkorrispondi għal kontroll tal-QA.</w:t>
      </w:r>
    </w:p>
    <w:p w14:paraId="14A3E8B3" w14:textId="77777777" w:rsidR="001937E6" w:rsidRPr="00E56AC4" w:rsidRDefault="001937E6" w:rsidP="001937E6">
      <w:pPr>
        <w:pStyle w:val="Text1"/>
        <w:rPr>
          <w:rFonts w:eastAsia="Times New Roman"/>
          <w:snapToGrid w:val="0"/>
          <w:szCs w:val="24"/>
        </w:rPr>
      </w:pPr>
      <w:r w:rsidRPr="00E56AC4">
        <w:rPr>
          <w:snapToGrid w:val="0"/>
          <w:szCs w:val="24"/>
        </w:rPr>
        <w:t>Meta l-lott tad-dħul jew tal-input ikun l-istess minħabba li ma jsir l-ebda kontroll ulterjuri tal-QA, għandu jiġi ddefinit biss il-lott tal-input. Għandu jintuża l-istess approċċ għal-lottijiet tal-output u tal-ħruġ. Meta jkun hemm tipi differenti ta’ lottijiet ta’ dħul jew ta’ ħruġ, dawn għandhom jiġu ddefiniti separatament, u jingħataw isem sinifikattiv.</w:t>
      </w:r>
    </w:p>
    <w:p w14:paraId="6F22D1F2" w14:textId="77777777" w:rsidR="001937E6" w:rsidRPr="00E56AC4" w:rsidRDefault="001937E6" w:rsidP="001937E6">
      <w:pPr>
        <w:pStyle w:val="Text1"/>
        <w:rPr>
          <w:rFonts w:eastAsia="Times New Roman"/>
          <w:snapToGrid w:val="0"/>
          <w:szCs w:val="24"/>
        </w:rPr>
      </w:pPr>
      <w:r w:rsidRPr="00E56AC4">
        <w:rPr>
          <w:snapToGrid w:val="0"/>
          <w:szCs w:val="24"/>
        </w:rPr>
        <w:t>Il-QA għandha tiġi enumerata bl-istess mod bħal dak tad-dijagramma tas-sit (it-Taqsima 2.2.1)</w:t>
      </w:r>
    </w:p>
    <w:p w14:paraId="25DD3697" w14:textId="77777777" w:rsidR="001937E6" w:rsidRPr="00E56AC4" w:rsidRDefault="001937E6" w:rsidP="001937E6">
      <w:pPr>
        <w:widowControl w:val="0"/>
        <w:spacing w:before="0" w:after="0"/>
        <w:rPr>
          <w:rFonts w:ascii="Calibri" w:eastAsia="Times New Roman" w:hAnsi="Calibri"/>
          <w:color w:val="1F4E79"/>
          <w:szCs w:val="24"/>
          <w:lang w:bidi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1"/>
        <w:gridCol w:w="1251"/>
        <w:gridCol w:w="1218"/>
        <w:gridCol w:w="2749"/>
        <w:gridCol w:w="1163"/>
        <w:gridCol w:w="1660"/>
      </w:tblGrid>
      <w:tr w:rsidR="001937E6" w:rsidRPr="00E56AC4" w14:paraId="75C9F4EC" w14:textId="77777777" w:rsidTr="00932C2F">
        <w:tc>
          <w:tcPr>
            <w:tcW w:w="650" w:type="pct"/>
            <w:shd w:val="clear" w:color="auto" w:fill="auto"/>
          </w:tcPr>
          <w:p w14:paraId="3283F421" w14:textId="77777777" w:rsidR="001937E6" w:rsidRPr="00E56AC4" w:rsidRDefault="001937E6" w:rsidP="00932C2F">
            <w:pPr>
              <w:widowControl w:val="0"/>
              <w:spacing w:before="40" w:after="40"/>
              <w:jc w:val="center"/>
              <w:rPr>
                <w:rFonts w:eastAsia="Times New Roman" w:cs="Iskoola Pota"/>
                <w:b/>
                <w:color w:val="000000"/>
                <w:sz w:val="20"/>
                <w:szCs w:val="20"/>
              </w:rPr>
            </w:pPr>
            <w:r w:rsidRPr="00E56AC4">
              <w:rPr>
                <w:b/>
                <w:color w:val="000000"/>
                <w:sz w:val="20"/>
                <w:szCs w:val="20"/>
              </w:rPr>
              <w:t>Tip tal-lott</w:t>
            </w:r>
          </w:p>
        </w:tc>
        <w:tc>
          <w:tcPr>
            <w:tcW w:w="677" w:type="pct"/>
          </w:tcPr>
          <w:p w14:paraId="0B397573" w14:textId="77777777" w:rsidR="001937E6" w:rsidRPr="00E56AC4" w:rsidRDefault="001937E6" w:rsidP="00932C2F">
            <w:pPr>
              <w:widowControl w:val="0"/>
              <w:spacing w:before="40" w:after="40"/>
              <w:jc w:val="center"/>
              <w:rPr>
                <w:rFonts w:eastAsia="Times New Roman" w:cs="Iskoola Pota"/>
                <w:b/>
                <w:color w:val="000000"/>
                <w:sz w:val="20"/>
                <w:szCs w:val="20"/>
              </w:rPr>
            </w:pPr>
            <w:r w:rsidRPr="00E56AC4">
              <w:rPr>
                <w:b/>
                <w:color w:val="000000"/>
                <w:sz w:val="20"/>
                <w:szCs w:val="20"/>
              </w:rPr>
              <w:t>Isem</w:t>
            </w:r>
          </w:p>
          <w:p w14:paraId="365B7FFD" w14:textId="77777777" w:rsidR="001937E6" w:rsidRPr="00E56AC4" w:rsidRDefault="001937E6" w:rsidP="00932C2F">
            <w:pPr>
              <w:widowControl w:val="0"/>
              <w:spacing w:before="40" w:after="40"/>
              <w:jc w:val="center"/>
              <w:rPr>
                <w:rFonts w:eastAsia="Times New Roman" w:cs="Iskoola Pota"/>
                <w:b/>
                <w:color w:val="000000"/>
                <w:sz w:val="20"/>
                <w:szCs w:val="20"/>
              </w:rPr>
            </w:pPr>
            <w:r w:rsidRPr="00E56AC4">
              <w:rPr>
                <w:b/>
                <w:color w:val="000000"/>
                <w:sz w:val="20"/>
                <w:szCs w:val="20"/>
              </w:rPr>
              <w:t>Intern tal-lott</w:t>
            </w:r>
          </w:p>
        </w:tc>
        <w:tc>
          <w:tcPr>
            <w:tcW w:w="659" w:type="pct"/>
          </w:tcPr>
          <w:p w14:paraId="6F49E420" w14:textId="77777777" w:rsidR="001937E6" w:rsidRPr="00E56AC4" w:rsidRDefault="001937E6" w:rsidP="00932C2F">
            <w:pPr>
              <w:widowControl w:val="0"/>
              <w:spacing w:before="40" w:after="40"/>
              <w:jc w:val="center"/>
              <w:rPr>
                <w:rFonts w:eastAsia="Times New Roman" w:cs="Iskoola Pota"/>
                <w:b/>
                <w:color w:val="000000"/>
                <w:sz w:val="20"/>
                <w:szCs w:val="20"/>
              </w:rPr>
            </w:pPr>
            <w:r w:rsidRPr="00E56AC4">
              <w:rPr>
                <w:b/>
                <w:color w:val="000000"/>
                <w:sz w:val="20"/>
                <w:szCs w:val="20"/>
              </w:rPr>
              <w:t>Nru tal-Fluss/tal-QA</w:t>
            </w:r>
          </w:p>
        </w:tc>
        <w:tc>
          <w:tcPr>
            <w:tcW w:w="1487" w:type="pct"/>
            <w:shd w:val="clear" w:color="auto" w:fill="auto"/>
          </w:tcPr>
          <w:p w14:paraId="00C189F4" w14:textId="77777777" w:rsidR="001937E6" w:rsidRPr="00E56AC4" w:rsidRDefault="001937E6" w:rsidP="00932C2F">
            <w:pPr>
              <w:widowControl w:val="0"/>
              <w:spacing w:before="40" w:after="40"/>
              <w:jc w:val="center"/>
              <w:rPr>
                <w:rFonts w:eastAsia="Times New Roman" w:cs="Iskoola Pota"/>
                <w:b/>
                <w:color w:val="000000"/>
                <w:sz w:val="20"/>
                <w:szCs w:val="20"/>
              </w:rPr>
            </w:pPr>
            <w:r w:rsidRPr="00E56AC4">
              <w:rPr>
                <w:b/>
                <w:color w:val="000000"/>
                <w:sz w:val="20"/>
                <w:szCs w:val="20"/>
              </w:rPr>
              <w:t>Definizzjoni/Deskrizzjoni</w:t>
            </w:r>
          </w:p>
        </w:tc>
        <w:tc>
          <w:tcPr>
            <w:tcW w:w="629" w:type="pct"/>
            <w:shd w:val="clear" w:color="auto" w:fill="auto"/>
          </w:tcPr>
          <w:p w14:paraId="1BD5FF87" w14:textId="77777777" w:rsidR="001937E6" w:rsidRPr="00E56AC4" w:rsidDel="002473C3" w:rsidRDefault="001937E6" w:rsidP="00932C2F">
            <w:pPr>
              <w:widowControl w:val="0"/>
              <w:spacing w:before="40" w:after="40"/>
              <w:jc w:val="center"/>
              <w:rPr>
                <w:rFonts w:eastAsia="Times New Roman" w:cs="Iskoola Pota"/>
                <w:b/>
                <w:color w:val="000000"/>
                <w:sz w:val="20"/>
                <w:szCs w:val="20"/>
              </w:rPr>
            </w:pPr>
            <w:r w:rsidRPr="00E56AC4">
              <w:rPr>
                <w:b/>
                <w:color w:val="000000"/>
                <w:sz w:val="20"/>
                <w:szCs w:val="20"/>
              </w:rPr>
              <w:t>Medda tipika ta’ daqsijiet</w:t>
            </w:r>
          </w:p>
        </w:tc>
        <w:tc>
          <w:tcPr>
            <w:tcW w:w="898" w:type="pct"/>
          </w:tcPr>
          <w:p w14:paraId="7BB8A61F" w14:textId="77777777" w:rsidR="001937E6" w:rsidRPr="00E56AC4" w:rsidRDefault="001937E6" w:rsidP="00932C2F">
            <w:pPr>
              <w:widowControl w:val="0"/>
              <w:spacing w:before="40" w:after="40"/>
              <w:jc w:val="center"/>
              <w:rPr>
                <w:rFonts w:eastAsia="Times New Roman" w:cs="Iskoola Pota"/>
                <w:b/>
                <w:color w:val="000000"/>
                <w:sz w:val="20"/>
                <w:szCs w:val="20"/>
              </w:rPr>
            </w:pPr>
            <w:r w:rsidRPr="00E56AC4">
              <w:rPr>
                <w:b/>
                <w:color w:val="000000"/>
                <w:sz w:val="20"/>
                <w:szCs w:val="20"/>
              </w:rPr>
              <w:t>Regola dwar it-traċċabbiltà</w:t>
            </w:r>
          </w:p>
        </w:tc>
      </w:tr>
      <w:tr w:rsidR="001937E6" w:rsidRPr="00E56AC4" w14:paraId="18D9EE62" w14:textId="77777777" w:rsidTr="00932C2F">
        <w:tc>
          <w:tcPr>
            <w:tcW w:w="650" w:type="pct"/>
            <w:shd w:val="clear" w:color="auto" w:fill="auto"/>
          </w:tcPr>
          <w:p w14:paraId="5FC5FB7E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Times New Roman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677" w:type="pct"/>
          </w:tcPr>
          <w:p w14:paraId="494DF10E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Times New Roman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659" w:type="pct"/>
          </w:tcPr>
          <w:p w14:paraId="4E258F96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Times New Roman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1487" w:type="pct"/>
            <w:shd w:val="clear" w:color="auto" w:fill="auto"/>
          </w:tcPr>
          <w:p w14:paraId="12023DBE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Times New Roman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629" w:type="pct"/>
            <w:shd w:val="clear" w:color="auto" w:fill="auto"/>
          </w:tcPr>
          <w:p w14:paraId="7B076A1A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Times New Roman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898" w:type="pct"/>
          </w:tcPr>
          <w:p w14:paraId="667E5D9B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Times New Roman" w:hAnsi="Courier New"/>
                <w:color w:val="7030A0"/>
                <w:sz w:val="22"/>
                <w:szCs w:val="24"/>
                <w:lang w:bidi="en-US"/>
              </w:rPr>
            </w:pPr>
          </w:p>
        </w:tc>
      </w:tr>
      <w:tr w:rsidR="001937E6" w:rsidRPr="00E56AC4" w14:paraId="6F6B5A73" w14:textId="77777777" w:rsidTr="00932C2F">
        <w:tc>
          <w:tcPr>
            <w:tcW w:w="650" w:type="pct"/>
            <w:shd w:val="clear" w:color="auto" w:fill="auto"/>
          </w:tcPr>
          <w:p w14:paraId="7B9AEEBA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Times New Roman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677" w:type="pct"/>
          </w:tcPr>
          <w:p w14:paraId="01C56091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Times New Roman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659" w:type="pct"/>
          </w:tcPr>
          <w:p w14:paraId="0C164C0F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Times New Roman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1487" w:type="pct"/>
            <w:shd w:val="clear" w:color="auto" w:fill="auto"/>
          </w:tcPr>
          <w:p w14:paraId="4E708376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Times New Roman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629" w:type="pct"/>
            <w:shd w:val="clear" w:color="auto" w:fill="auto"/>
          </w:tcPr>
          <w:p w14:paraId="4D70368D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Times New Roman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898" w:type="pct"/>
          </w:tcPr>
          <w:p w14:paraId="64E990F8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Times New Roman" w:hAnsi="Courier New"/>
                <w:color w:val="7030A0"/>
                <w:sz w:val="22"/>
                <w:szCs w:val="24"/>
                <w:lang w:bidi="en-US"/>
              </w:rPr>
            </w:pPr>
          </w:p>
        </w:tc>
      </w:tr>
    </w:tbl>
    <w:p w14:paraId="0479DE40" w14:textId="77777777" w:rsidR="001937E6" w:rsidRPr="00E56AC4" w:rsidRDefault="001937E6" w:rsidP="001937E6">
      <w:pPr>
        <w:rPr>
          <w:rFonts w:ascii="Calibri" w:eastAsia="Calibri" w:hAnsi="Calibri"/>
          <w:sz w:val="22"/>
        </w:rPr>
      </w:pPr>
    </w:p>
    <w:p w14:paraId="524FE317" w14:textId="77777777" w:rsidR="001937E6" w:rsidRPr="00E56AC4" w:rsidRDefault="001937E6" w:rsidP="001937E6">
      <w:pPr>
        <w:pStyle w:val="ManualHeading2"/>
        <w:rPr>
          <w:rFonts w:eastAsia="Times New Roman"/>
          <w:bCs/>
          <w:szCs w:val="26"/>
        </w:rPr>
      </w:pPr>
      <w:r w:rsidRPr="00E56AC4">
        <w:t>2.5.</w:t>
      </w:r>
      <w:r w:rsidRPr="00E56AC4">
        <w:tab/>
        <w:t>Dijagramma tal-proċess tal-installazzjoni ta’ dekontaminazzjoni</w:t>
      </w:r>
    </w:p>
    <w:p w14:paraId="5DC7B8C7" w14:textId="77777777" w:rsidR="001937E6" w:rsidRPr="00E56AC4" w:rsidRDefault="001937E6" w:rsidP="001937E6">
      <w:pPr>
        <w:pStyle w:val="Text1"/>
        <w:rPr>
          <w:rFonts w:eastAsia="Calibri"/>
        </w:rPr>
      </w:pPr>
      <w:r w:rsidRPr="00E56AC4">
        <w:t>Żid dijagramma tal-pajpijiet u tal-istrumentazzjoni f’konformità mat-Taqsima 4.4 tal-ISO 10628-1:2014, filwaqt li tqis l-ISO 10628-2.</w:t>
      </w:r>
    </w:p>
    <w:p w14:paraId="520898D0" w14:textId="77777777" w:rsidR="001937E6" w:rsidRPr="00E56AC4" w:rsidRDefault="001937E6" w:rsidP="001937E6">
      <w:pPr>
        <w:pStyle w:val="ManualHeading2"/>
        <w:rPr>
          <w:rFonts w:eastAsia="Times New Roman"/>
          <w:bCs/>
          <w:szCs w:val="26"/>
        </w:rPr>
      </w:pPr>
      <w:r w:rsidRPr="00E56AC4">
        <w:lastRenderedPageBreak/>
        <w:t>2.6.</w:t>
      </w:r>
      <w:r w:rsidRPr="00E56AC4">
        <w:tab/>
        <w:t xml:space="preserve">Kontroll ta’ operazzjonijiet kritiċi ta’ dekontaminazzjoni </w:t>
      </w:r>
    </w:p>
    <w:p w14:paraId="2EDB3A55" w14:textId="77777777" w:rsidR="001937E6" w:rsidRPr="00E56AC4" w:rsidRDefault="001937E6" w:rsidP="001937E6">
      <w:pPr>
        <w:pStyle w:val="Text1"/>
        <w:rPr>
          <w:rFonts w:eastAsia="Calibri"/>
        </w:rPr>
      </w:pPr>
      <w:r w:rsidRPr="00E56AC4">
        <w:t>It-tabella ta’ hawn taħt għandha tinkludi referenza għall-passi, għall-istadji, jew għall-operazzjonijiet li l-EFSA identifikat bħala kritiċi, kriterju ta’ kontroll għal kull parametru kritiku, l-istrumenti ta’ kontroll involuti, u d-deskrizzjoni ta’ azzjonijiet korrettivi f’każ li l-kriterju ta’ kontroll ma jaħdimx. Għandha tiżdied aktar informazzjoni dwar l-evalwazzjoni ta’ regoli kumplessi ta’ kontroll, jekk tkun rilevanti.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417"/>
        <w:gridCol w:w="1560"/>
        <w:gridCol w:w="3117"/>
        <w:gridCol w:w="1702"/>
      </w:tblGrid>
      <w:tr w:rsidR="001937E6" w:rsidRPr="00E56AC4" w14:paraId="2555B0B7" w14:textId="77777777" w:rsidTr="00932C2F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98F65" w14:textId="77777777" w:rsidR="001937E6" w:rsidRPr="00E56AC4" w:rsidRDefault="001937E6" w:rsidP="00932C2F">
            <w:pPr>
              <w:spacing w:before="40" w:after="40"/>
              <w:jc w:val="center"/>
              <w:rPr>
                <w:rFonts w:eastAsia="Calibri" w:cs="Iskoola Pota"/>
                <w:b/>
                <w:sz w:val="20"/>
              </w:rPr>
            </w:pPr>
            <w:r w:rsidRPr="00E56AC4">
              <w:rPr>
                <w:b/>
                <w:sz w:val="20"/>
              </w:rPr>
              <w:t>Operazzjoni kritika (u ref għall-opinjoni tal-EFSA)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ED83B" w14:textId="77777777" w:rsidR="001937E6" w:rsidRPr="00E56AC4" w:rsidRDefault="001937E6" w:rsidP="00932C2F">
            <w:pPr>
              <w:spacing w:before="40" w:after="40"/>
              <w:jc w:val="center"/>
              <w:rPr>
                <w:rFonts w:eastAsia="Calibri" w:cs="Iskoola Pota"/>
                <w:b/>
                <w:sz w:val="20"/>
              </w:rPr>
            </w:pPr>
            <w:r w:rsidRPr="00E56AC4">
              <w:rPr>
                <w:b/>
                <w:sz w:val="20"/>
              </w:rPr>
              <w:t>Kriterju ta’ kontroll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A0E4C" w14:textId="77777777" w:rsidR="001937E6" w:rsidRPr="00E56AC4" w:rsidRDefault="001937E6" w:rsidP="00932C2F">
            <w:pPr>
              <w:spacing w:before="40" w:after="40"/>
              <w:jc w:val="center"/>
              <w:rPr>
                <w:rFonts w:eastAsia="Calibri" w:cs="Iskoola Pota"/>
                <w:b/>
                <w:i/>
                <w:sz w:val="20"/>
              </w:rPr>
            </w:pPr>
            <w:r w:rsidRPr="00E56AC4">
              <w:rPr>
                <w:b/>
                <w:sz w:val="20"/>
              </w:rPr>
              <w:t>Strument ta’</w:t>
            </w:r>
            <w:r w:rsidRPr="00E56AC4">
              <w:t xml:space="preserve"> </w:t>
            </w:r>
            <w:r w:rsidRPr="00E56AC4">
              <w:br/>
            </w:r>
            <w:r w:rsidRPr="00E56AC4">
              <w:rPr>
                <w:b/>
                <w:sz w:val="20"/>
              </w:rPr>
              <w:t>Kejl jew Kontroll (referenza għal 2.5)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362AA" w14:textId="77777777" w:rsidR="001937E6" w:rsidRPr="00E56AC4" w:rsidRDefault="001937E6" w:rsidP="00932C2F">
            <w:pPr>
              <w:spacing w:before="40" w:after="40"/>
              <w:jc w:val="center"/>
              <w:rPr>
                <w:rFonts w:eastAsia="Calibri" w:cs="Iskoola Pota"/>
                <w:b/>
                <w:sz w:val="20"/>
              </w:rPr>
            </w:pPr>
            <w:r w:rsidRPr="00E56AC4">
              <w:rPr>
                <w:b/>
                <w:sz w:val="20"/>
              </w:rPr>
              <w:t>Deskrizzjoni qasira tal-azzjonijiet korrettivi jekk ir-regola tal-kontroll ma tiġix issodisfata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CBA59" w14:textId="77777777" w:rsidR="001937E6" w:rsidRPr="00E56AC4" w:rsidRDefault="001937E6" w:rsidP="00932C2F">
            <w:pPr>
              <w:spacing w:before="40" w:after="40"/>
              <w:jc w:val="center"/>
              <w:rPr>
                <w:rFonts w:eastAsia="Calibri" w:cs="Iskoola Pota"/>
                <w:b/>
                <w:sz w:val="20"/>
              </w:rPr>
            </w:pPr>
            <w:r w:rsidRPr="00E56AC4">
              <w:rPr>
                <w:b/>
                <w:sz w:val="20"/>
              </w:rPr>
              <w:t>Kodiċi tal-SOP</w:t>
            </w:r>
            <w:r w:rsidRPr="00E56AC4">
              <w:t xml:space="preserve"> </w:t>
            </w:r>
            <w:r w:rsidRPr="00E56AC4">
              <w:br/>
            </w:r>
            <w:r w:rsidRPr="00E56AC4">
              <w:rPr>
                <w:b/>
                <w:sz w:val="20"/>
              </w:rPr>
              <w:t xml:space="preserve">(SOPNr – DocNr) </w:t>
            </w:r>
          </w:p>
        </w:tc>
      </w:tr>
      <w:tr w:rsidR="001937E6" w:rsidRPr="00E56AC4" w14:paraId="69EFDA8D" w14:textId="77777777" w:rsidTr="00932C2F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921CA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b/>
                <w:color w:val="7030A0"/>
                <w:sz w:val="22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21CE5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B6737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0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383A6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E228A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  <w:lang w:bidi="en-US"/>
              </w:rPr>
            </w:pPr>
          </w:p>
        </w:tc>
      </w:tr>
      <w:tr w:rsidR="001937E6" w:rsidRPr="00E56AC4" w14:paraId="137A6409" w14:textId="77777777" w:rsidTr="00932C2F"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A04BEF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b/>
                <w:color w:val="7030A0"/>
                <w:sz w:val="22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DDB33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F2963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0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3B088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804BB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  <w:lang w:bidi="en-US"/>
              </w:rPr>
            </w:pPr>
          </w:p>
        </w:tc>
      </w:tr>
    </w:tbl>
    <w:p w14:paraId="595C6889" w14:textId="77777777" w:rsidR="001937E6" w:rsidRPr="00E56AC4" w:rsidRDefault="001937E6" w:rsidP="001937E6">
      <w:pPr>
        <w:pStyle w:val="ManualHeading3"/>
        <w:rPr>
          <w:rFonts w:eastAsia="Times New Roman"/>
          <w:bCs/>
        </w:rPr>
      </w:pPr>
      <w:r w:rsidRPr="00E56AC4">
        <w:t>2.6.1.</w:t>
      </w:r>
      <w:r w:rsidRPr="00E56AC4">
        <w:tab/>
        <w:t>Aktar informazzjoni dwar ir-regoli kumplessi ta’ kontroll, fejn rilevanti</w:t>
      </w:r>
    </w:p>
    <w:p w14:paraId="4923439C" w14:textId="77777777" w:rsidR="001937E6" w:rsidRPr="00E56AC4" w:rsidRDefault="001937E6" w:rsidP="001937E6">
      <w:pPr>
        <w:pStyle w:val="ManualHeading2"/>
        <w:rPr>
          <w:rFonts w:eastAsia="Times New Roman"/>
          <w:bCs/>
          <w:szCs w:val="26"/>
        </w:rPr>
      </w:pPr>
      <w:r w:rsidRPr="00E56AC4">
        <w:t>2.7.</w:t>
      </w:r>
      <w:r w:rsidRPr="00E56AC4">
        <w:tab/>
        <w:t>Proċedura operattiva standard rilevanti għall-Operazzjoni</w:t>
      </w:r>
    </w:p>
    <w:p w14:paraId="68E58A77" w14:textId="77777777" w:rsidR="001937E6" w:rsidRPr="00E56AC4" w:rsidRDefault="001937E6" w:rsidP="001937E6">
      <w:pPr>
        <w:pStyle w:val="Text1"/>
        <w:rPr>
          <w:rFonts w:eastAsia="Calibri"/>
        </w:rPr>
      </w:pPr>
      <w:r w:rsidRPr="00E56AC4">
        <w:t>It-tabella ta’ hawn taħt għandha tipprovdi referenza għal kull SOP użata għat-tħaddim tal-installazzjoni, tipprovdi deskrizzjoni qasira tagħha, u tindika l-post fejn titwettaq.</w:t>
      </w:r>
    </w:p>
    <w:tbl>
      <w:tblPr>
        <w:tblW w:w="80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6"/>
        <w:gridCol w:w="4988"/>
        <w:gridCol w:w="1669"/>
      </w:tblGrid>
      <w:tr w:rsidR="001937E6" w:rsidRPr="00E56AC4" w14:paraId="6C1CBAF6" w14:textId="77777777" w:rsidTr="00932C2F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DEC6B" w14:textId="77777777" w:rsidR="001937E6" w:rsidRPr="00E56AC4" w:rsidRDefault="001937E6" w:rsidP="00932C2F">
            <w:pPr>
              <w:spacing w:before="40" w:after="40"/>
              <w:jc w:val="center"/>
              <w:rPr>
                <w:rFonts w:eastAsia="Calibri" w:cs="Iskoola Pota"/>
                <w:b/>
                <w:sz w:val="22"/>
              </w:rPr>
            </w:pPr>
            <w:r w:rsidRPr="00E56AC4">
              <w:rPr>
                <w:sz w:val="20"/>
                <w:szCs w:val="20"/>
              </w:rPr>
              <w:t>Kodiċi tal-SOP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3A202" w14:textId="77777777" w:rsidR="001937E6" w:rsidRPr="00E56AC4" w:rsidRDefault="001937E6" w:rsidP="00932C2F">
            <w:pPr>
              <w:spacing w:before="40" w:after="40"/>
              <w:jc w:val="center"/>
              <w:rPr>
                <w:rFonts w:eastAsia="Calibri" w:cs="Iskoola Pota"/>
                <w:sz w:val="20"/>
                <w:szCs w:val="20"/>
              </w:rPr>
            </w:pPr>
            <w:r w:rsidRPr="00E56AC4">
              <w:rPr>
                <w:sz w:val="20"/>
                <w:szCs w:val="20"/>
              </w:rPr>
              <w:t>Deskrizzjoni qasira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AF81A" w14:textId="77777777" w:rsidR="001937E6" w:rsidRPr="00E56AC4" w:rsidRDefault="001937E6" w:rsidP="00932C2F">
            <w:pPr>
              <w:spacing w:before="40" w:after="40"/>
              <w:jc w:val="center"/>
              <w:rPr>
                <w:rFonts w:eastAsia="Calibri" w:cs="Iskoola Pota"/>
                <w:sz w:val="20"/>
                <w:szCs w:val="20"/>
              </w:rPr>
            </w:pPr>
            <w:r w:rsidRPr="00E56AC4">
              <w:rPr>
                <w:sz w:val="20"/>
                <w:szCs w:val="20"/>
              </w:rPr>
              <w:t>Post</w:t>
            </w:r>
          </w:p>
        </w:tc>
      </w:tr>
      <w:tr w:rsidR="001937E6" w:rsidRPr="00E56AC4" w14:paraId="1AA06ED1" w14:textId="77777777" w:rsidTr="00932C2F">
        <w:trPr>
          <w:trHeight w:val="528"/>
        </w:trPr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D4E14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91F85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B0B61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  <w:lang w:bidi="en-US"/>
              </w:rPr>
            </w:pPr>
          </w:p>
        </w:tc>
      </w:tr>
    </w:tbl>
    <w:p w14:paraId="17C81508" w14:textId="77777777" w:rsidR="001937E6" w:rsidRPr="00E56AC4" w:rsidRDefault="001937E6" w:rsidP="001937E6">
      <w:pPr>
        <w:rPr>
          <w:rFonts w:eastAsia="Calibri"/>
          <w:szCs w:val="24"/>
          <w:lang w:eastAsia="en-GB"/>
        </w:rPr>
      </w:pPr>
    </w:p>
    <w:p w14:paraId="71DB83DC" w14:textId="77777777" w:rsidR="001937E6" w:rsidRPr="00E56AC4" w:rsidRDefault="001937E6" w:rsidP="001937E6">
      <w:pPr>
        <w:pStyle w:val="ManualHeading1"/>
        <w:rPr>
          <w:rFonts w:eastAsia="Times New Roman"/>
          <w:bCs/>
          <w:smallCaps w:val="0"/>
          <w:szCs w:val="28"/>
        </w:rPr>
      </w:pPr>
      <w:r w:rsidRPr="00E56AC4">
        <w:rPr>
          <w:bCs/>
          <w:smallCaps w:val="0"/>
          <w:szCs w:val="28"/>
        </w:rPr>
        <w:t>3.</w:t>
      </w:r>
      <w:r w:rsidRPr="00E56AC4">
        <w:tab/>
      </w:r>
      <w:r w:rsidRPr="00E56AC4">
        <w:rPr>
          <w:bCs/>
          <w:smallCaps w:val="0"/>
          <w:szCs w:val="28"/>
        </w:rPr>
        <w:t xml:space="preserve">Taqsima 3: </w:t>
      </w:r>
      <w:r w:rsidRPr="00E56AC4">
        <w:rPr>
          <w:smallCaps w:val="0"/>
        </w:rPr>
        <w:t>Valutazzjoni tal-Kwalità</w:t>
      </w:r>
      <w:r w:rsidRPr="00E56AC4">
        <w:rPr>
          <w:bCs/>
          <w:smallCaps w:val="0"/>
          <w:szCs w:val="28"/>
        </w:rPr>
        <w:t xml:space="preserve"> </w:t>
      </w:r>
    </w:p>
    <w:p w14:paraId="0D5E725B" w14:textId="77777777" w:rsidR="001937E6" w:rsidRPr="00E56AC4" w:rsidRDefault="001937E6" w:rsidP="001937E6">
      <w:pPr>
        <w:pStyle w:val="ManualHeading2"/>
        <w:rPr>
          <w:rFonts w:eastAsia="Times New Roman"/>
          <w:bCs/>
          <w:szCs w:val="26"/>
        </w:rPr>
      </w:pPr>
      <w:r w:rsidRPr="00E56AC4">
        <w:t>3.1.</w:t>
      </w:r>
      <w:r w:rsidRPr="00E56AC4">
        <w:tab/>
        <w:t xml:space="preserve">Lista tal-istadji tal-valutazzjoni tal-kwalità </w:t>
      </w:r>
    </w:p>
    <w:p w14:paraId="7B55C208" w14:textId="77777777" w:rsidR="001937E6" w:rsidRPr="00E56AC4" w:rsidRDefault="001937E6" w:rsidP="001937E6">
      <w:pPr>
        <w:pStyle w:val="Text1"/>
        <w:rPr>
          <w:rFonts w:eastAsia="Calibri"/>
        </w:rPr>
      </w:pPr>
      <w:r w:rsidRPr="00E56AC4">
        <w:t>Kull stadju tal-QA għandu jiġi deskritt bl-użu tat-tabella ta’ hawn taħt:</w:t>
      </w:r>
    </w:p>
    <w:tbl>
      <w:tblPr>
        <w:tblpPr w:leftFromText="180" w:rightFromText="180" w:vertAnchor="text" w:horzAnchor="margin" w:tblpY="25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2"/>
        <w:gridCol w:w="1261"/>
        <w:gridCol w:w="2996"/>
        <w:gridCol w:w="1064"/>
        <w:gridCol w:w="1733"/>
        <w:gridCol w:w="1286"/>
      </w:tblGrid>
      <w:tr w:rsidR="001937E6" w:rsidRPr="00E56AC4" w14:paraId="1881E854" w14:textId="77777777" w:rsidTr="00932C2F"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196DB" w14:textId="77777777" w:rsidR="001937E6" w:rsidRPr="00E56AC4" w:rsidRDefault="001937E6" w:rsidP="00932C2F">
            <w:pPr>
              <w:spacing w:before="40" w:after="40"/>
              <w:jc w:val="center"/>
              <w:rPr>
                <w:rFonts w:eastAsia="Calibri" w:cs="Iskoola Pota"/>
                <w:b/>
                <w:sz w:val="20"/>
                <w:szCs w:val="20"/>
              </w:rPr>
            </w:pPr>
            <w:r w:rsidRPr="00E56AC4">
              <w:rPr>
                <w:b/>
                <w:sz w:val="20"/>
                <w:szCs w:val="20"/>
              </w:rPr>
              <w:t>Stadju u numru tal-QA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52367" w14:textId="77777777" w:rsidR="001937E6" w:rsidRPr="00E56AC4" w:rsidRDefault="001937E6" w:rsidP="00932C2F">
            <w:pPr>
              <w:spacing w:before="40" w:after="40"/>
              <w:jc w:val="center"/>
              <w:rPr>
                <w:rFonts w:eastAsia="Calibri" w:cs="Iskoola Pota"/>
                <w:b/>
                <w:sz w:val="20"/>
                <w:szCs w:val="20"/>
              </w:rPr>
            </w:pPr>
            <w:r w:rsidRPr="00E56AC4">
              <w:rPr>
                <w:b/>
                <w:sz w:val="20"/>
                <w:szCs w:val="20"/>
              </w:rPr>
              <w:t>Isem il-valutazzjoni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C0A13" w14:textId="77777777" w:rsidR="001937E6" w:rsidRPr="00E56AC4" w:rsidRDefault="001937E6" w:rsidP="00932C2F">
            <w:pPr>
              <w:spacing w:before="40" w:after="40"/>
              <w:jc w:val="center"/>
              <w:rPr>
                <w:rFonts w:eastAsia="Calibri" w:cs="Iskoola Pota"/>
                <w:b/>
                <w:sz w:val="20"/>
                <w:szCs w:val="20"/>
              </w:rPr>
            </w:pPr>
            <w:r w:rsidRPr="00E56AC4">
              <w:rPr>
                <w:b/>
                <w:sz w:val="20"/>
                <w:szCs w:val="20"/>
              </w:rPr>
              <w:t>Definizzjoni/Deskrizzjoni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B44DB" w14:textId="77777777" w:rsidR="001937E6" w:rsidRPr="00E56AC4" w:rsidRDefault="001937E6" w:rsidP="00932C2F">
            <w:pPr>
              <w:spacing w:before="40" w:after="40"/>
              <w:jc w:val="center"/>
              <w:rPr>
                <w:rFonts w:eastAsia="Calibri" w:cs="Iskoola Pota"/>
                <w:b/>
                <w:sz w:val="20"/>
                <w:szCs w:val="20"/>
              </w:rPr>
            </w:pPr>
            <w:r w:rsidRPr="00E56AC4">
              <w:rPr>
                <w:b/>
                <w:sz w:val="20"/>
                <w:szCs w:val="20"/>
              </w:rPr>
              <w:t>Kriterju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D6A1C" w14:textId="77777777" w:rsidR="001937E6" w:rsidRPr="00E56AC4" w:rsidRDefault="001937E6" w:rsidP="00932C2F">
            <w:pPr>
              <w:spacing w:before="40" w:after="40"/>
              <w:jc w:val="center"/>
              <w:rPr>
                <w:rFonts w:eastAsia="Calibri" w:cs="Iskoola Pota"/>
                <w:b/>
                <w:sz w:val="20"/>
                <w:szCs w:val="20"/>
              </w:rPr>
            </w:pPr>
            <w:r w:rsidRPr="00E56AC4">
              <w:rPr>
                <w:b/>
                <w:sz w:val="20"/>
                <w:szCs w:val="20"/>
              </w:rPr>
              <w:t>Rekords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CAB3C" w14:textId="77777777" w:rsidR="001937E6" w:rsidRPr="00E56AC4" w:rsidRDefault="001937E6" w:rsidP="00932C2F">
            <w:pPr>
              <w:spacing w:before="40" w:after="40"/>
              <w:jc w:val="center"/>
              <w:rPr>
                <w:rFonts w:eastAsia="Calibri" w:cs="Iskoola Pota"/>
                <w:b/>
                <w:sz w:val="20"/>
                <w:szCs w:val="20"/>
              </w:rPr>
            </w:pPr>
            <w:r w:rsidRPr="00E56AC4">
              <w:rPr>
                <w:b/>
                <w:sz w:val="20"/>
                <w:szCs w:val="20"/>
              </w:rPr>
              <w:t>Kodiċi tal-SOP</w:t>
            </w:r>
            <w:r w:rsidRPr="00E56AC4">
              <w:t xml:space="preserve"> </w:t>
            </w:r>
            <w:r w:rsidRPr="00E56AC4">
              <w:br/>
            </w:r>
            <w:r w:rsidRPr="00E56AC4">
              <w:rPr>
                <w:b/>
                <w:sz w:val="20"/>
              </w:rPr>
              <w:t>(SOPNr – DocNr)</w:t>
            </w:r>
          </w:p>
        </w:tc>
      </w:tr>
      <w:tr w:rsidR="001937E6" w:rsidRPr="00E56AC4" w14:paraId="66D001AB" w14:textId="77777777" w:rsidTr="00932C2F"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A9596" w14:textId="77777777" w:rsidR="001937E6" w:rsidRPr="00E56AC4" w:rsidRDefault="001937E6" w:rsidP="00932C2F">
            <w:pPr>
              <w:spacing w:before="40" w:after="40"/>
              <w:rPr>
                <w:rFonts w:eastAsia="Calibri" w:cs="Iskoola Pota"/>
                <w:sz w:val="20"/>
                <w:szCs w:val="20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988BC" w14:textId="77777777" w:rsidR="001937E6" w:rsidRPr="00E56AC4" w:rsidRDefault="001937E6" w:rsidP="00932C2F">
            <w:pPr>
              <w:spacing w:before="40" w:after="40"/>
              <w:rPr>
                <w:rFonts w:eastAsia="Calibri" w:cs="Iskoola Pota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F8E0E" w14:textId="77777777" w:rsidR="001937E6" w:rsidRPr="00E56AC4" w:rsidRDefault="001937E6" w:rsidP="00932C2F">
            <w:pPr>
              <w:spacing w:before="40" w:after="40"/>
              <w:rPr>
                <w:rFonts w:eastAsia="Calibri" w:cs="Iskoola Pota"/>
                <w:sz w:val="20"/>
                <w:szCs w:val="20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98F5E" w14:textId="77777777" w:rsidR="001937E6" w:rsidRPr="00E56AC4" w:rsidRDefault="001937E6" w:rsidP="00932C2F">
            <w:pPr>
              <w:spacing w:before="40" w:after="40"/>
              <w:rPr>
                <w:rFonts w:eastAsia="Calibri" w:cs="Iskoola Pota"/>
                <w:sz w:val="20"/>
                <w:szCs w:val="20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DF2A7" w14:textId="77777777" w:rsidR="001937E6" w:rsidRPr="00E56AC4" w:rsidRDefault="001937E6" w:rsidP="00932C2F">
            <w:pPr>
              <w:spacing w:before="40" w:after="40"/>
              <w:rPr>
                <w:rFonts w:eastAsia="Calibri" w:cs="Iskoola Pota"/>
                <w:sz w:val="20"/>
                <w:szCs w:val="20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29A8D" w14:textId="77777777" w:rsidR="001937E6" w:rsidRPr="00E56AC4" w:rsidRDefault="001937E6" w:rsidP="00932C2F">
            <w:pPr>
              <w:spacing w:before="40" w:after="40"/>
              <w:rPr>
                <w:rFonts w:eastAsia="Calibri" w:cs="Iskoola Pota"/>
                <w:sz w:val="20"/>
                <w:szCs w:val="20"/>
              </w:rPr>
            </w:pPr>
          </w:p>
        </w:tc>
      </w:tr>
    </w:tbl>
    <w:p w14:paraId="54DCDB4E" w14:textId="77777777" w:rsidR="001937E6" w:rsidRPr="00E56AC4" w:rsidRDefault="001937E6" w:rsidP="001937E6">
      <w:pPr>
        <w:rPr>
          <w:rFonts w:eastAsia="Calibri"/>
        </w:rPr>
      </w:pPr>
    </w:p>
    <w:p w14:paraId="37D6258A" w14:textId="77777777" w:rsidR="001937E6" w:rsidRPr="00E56AC4" w:rsidRDefault="001937E6" w:rsidP="001937E6">
      <w:pPr>
        <w:pStyle w:val="Text1"/>
        <w:rPr>
          <w:rFonts w:eastAsia="Calibri"/>
        </w:rPr>
      </w:pPr>
      <w:r w:rsidRPr="00E56AC4">
        <w:t>Għandu jkun hemm tal-anqas erba’ stadji (sakemm ma jkun hemm l-ebda differenza bejn id-dħul u l-input jew l-output u l-ħruġ – ara t-taqsima 2.4):</w:t>
      </w:r>
    </w:p>
    <w:p w14:paraId="2D6AEFAF" w14:textId="77777777" w:rsidR="001937E6" w:rsidRPr="00E56AC4" w:rsidRDefault="001937E6" w:rsidP="001937E6">
      <w:pPr>
        <w:pStyle w:val="Tiret1"/>
      </w:pPr>
      <w:r w:rsidRPr="00E56AC4">
        <w:t>l-istadju tad-dħul (l-ewwel stadju tal-QA meta l-materjal jidħol fil-faċilità),</w:t>
      </w:r>
    </w:p>
    <w:p w14:paraId="7A79CA29" w14:textId="77777777" w:rsidR="001937E6" w:rsidRPr="00E56AC4" w:rsidRDefault="001937E6" w:rsidP="001937E6">
      <w:pPr>
        <w:pStyle w:val="Tiret1"/>
        <w:rPr>
          <w:rFonts w:eastAsia="Calibri"/>
        </w:rPr>
      </w:pPr>
      <w:r w:rsidRPr="00E56AC4">
        <w:t xml:space="preserve">l-istadju tal-input (meta l-input tal-plastik jidħol fil-proċess ta’ dekontaminazzjoni) </w:t>
      </w:r>
    </w:p>
    <w:p w14:paraId="2D4D92F0" w14:textId="77777777" w:rsidR="001937E6" w:rsidRPr="00E56AC4" w:rsidRDefault="001937E6" w:rsidP="001937E6">
      <w:pPr>
        <w:pStyle w:val="Tiret1"/>
        <w:rPr>
          <w:rFonts w:eastAsia="Calibri"/>
        </w:rPr>
      </w:pPr>
      <w:r w:rsidRPr="00E56AC4">
        <w:t>l-istadju tal-output (meta l-materjal joħroġ mill-proċess ta’ dekontaminazzjoni)</w:t>
      </w:r>
    </w:p>
    <w:p w14:paraId="140AC766" w14:textId="77777777" w:rsidR="001937E6" w:rsidRPr="00E56AC4" w:rsidRDefault="001937E6" w:rsidP="001937E6">
      <w:pPr>
        <w:pStyle w:val="Tiret1"/>
        <w:rPr>
          <w:rFonts w:eastAsia="Calibri"/>
        </w:rPr>
      </w:pPr>
      <w:r w:rsidRPr="00E56AC4">
        <w:t>l-istadju tal-ħruġ (meta l-plastik riċiklat jew il-materjali u l-oġġetti tal-plastik riċiklat joħorġu mill-faċilità)</w:t>
      </w:r>
    </w:p>
    <w:p w14:paraId="7C904F18" w14:textId="77777777" w:rsidR="001937E6" w:rsidRPr="00E56AC4" w:rsidRDefault="001937E6" w:rsidP="001937E6">
      <w:pPr>
        <w:pStyle w:val="Text1"/>
        <w:rPr>
          <w:rFonts w:eastAsia="Calibri"/>
        </w:rPr>
      </w:pPr>
      <w:r w:rsidRPr="00E56AC4">
        <w:lastRenderedPageBreak/>
        <w:t xml:space="preserve">Fejn rilevanti, għandhom jiżdiedu stadji intermedji addizzjonali għall-kwalità tal-materjal fi stadji oħrajn. Dawk l-istadji intermedji għandhom jingħataw isem sinifikattiv. </w:t>
      </w:r>
    </w:p>
    <w:p w14:paraId="47375104" w14:textId="77777777" w:rsidR="001937E6" w:rsidRPr="00E56AC4" w:rsidRDefault="001937E6" w:rsidP="001937E6">
      <w:pPr>
        <w:rPr>
          <w:rFonts w:eastAsia="Calibri"/>
        </w:rPr>
      </w:pPr>
    </w:p>
    <w:p w14:paraId="302BE5B0" w14:textId="77777777" w:rsidR="001937E6" w:rsidRPr="00E56AC4" w:rsidRDefault="001937E6" w:rsidP="001937E6">
      <w:pPr>
        <w:pStyle w:val="ManualHeading2"/>
        <w:rPr>
          <w:rFonts w:eastAsia="Times New Roman"/>
          <w:bCs/>
          <w:szCs w:val="26"/>
        </w:rPr>
      </w:pPr>
      <w:r w:rsidRPr="00E56AC4">
        <w:t>3.2.</w:t>
      </w:r>
      <w:r w:rsidRPr="00E56AC4">
        <w:tab/>
        <w:t>Proċeduri operattivi standard rilevanti applikati fl-istadji tal-QA</w:t>
      </w:r>
    </w:p>
    <w:p w14:paraId="1F17659C" w14:textId="77777777" w:rsidR="001937E6" w:rsidRPr="00E56AC4" w:rsidRDefault="001937E6" w:rsidP="001937E6">
      <w:pPr>
        <w:ind w:left="850"/>
        <w:rPr>
          <w:rFonts w:eastAsia="Calibri"/>
        </w:rPr>
      </w:pPr>
      <w:r w:rsidRPr="00E56AC4">
        <w:t>It-tabella ta’ hawn taħt għandha tipprovdi referenza għal kull proċedura operattiva standard użata fl-istadji tal-QA, tipprovdi deskrizzjoni qasira tagħha, u tindika l-post fejn titwettaq.</w:t>
      </w:r>
    </w:p>
    <w:tbl>
      <w:tblPr>
        <w:tblW w:w="93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1371"/>
        <w:gridCol w:w="5027"/>
        <w:gridCol w:w="1620"/>
      </w:tblGrid>
      <w:tr w:rsidR="001937E6" w:rsidRPr="00E56AC4" w14:paraId="6F25EAB0" w14:textId="77777777" w:rsidTr="00932C2F"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1CEE3" w14:textId="77777777" w:rsidR="001937E6" w:rsidRPr="00E56AC4" w:rsidRDefault="001937E6" w:rsidP="00932C2F">
            <w:pPr>
              <w:spacing w:before="40" w:after="40"/>
              <w:jc w:val="center"/>
              <w:rPr>
                <w:rFonts w:eastAsia="Calibri" w:cs="Iskoola Pota"/>
                <w:sz w:val="20"/>
                <w:szCs w:val="20"/>
              </w:rPr>
            </w:pPr>
            <w:r w:rsidRPr="00E56AC4">
              <w:rPr>
                <w:b/>
                <w:sz w:val="20"/>
                <w:szCs w:val="20"/>
              </w:rPr>
              <w:t>Nru tal-Valutazzjoni tal-Kwalità (QA) (ref 3.1)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AC3AA" w14:textId="77777777" w:rsidR="001937E6" w:rsidRPr="00E56AC4" w:rsidRDefault="001937E6" w:rsidP="00932C2F">
            <w:pPr>
              <w:spacing w:before="40" w:after="40"/>
              <w:jc w:val="center"/>
              <w:rPr>
                <w:rFonts w:eastAsia="Calibri" w:cs="Iskoola Pota"/>
                <w:b/>
                <w:sz w:val="22"/>
              </w:rPr>
            </w:pPr>
            <w:r w:rsidRPr="00E56AC4">
              <w:rPr>
                <w:sz w:val="20"/>
                <w:szCs w:val="20"/>
              </w:rPr>
              <w:t>Kodiċi tal-SOP</w:t>
            </w:r>
            <w:r w:rsidRPr="00E56AC4">
              <w:t xml:space="preserve"> </w:t>
            </w:r>
            <w:r w:rsidRPr="00E56AC4">
              <w:br/>
            </w:r>
            <w:r w:rsidRPr="00E56AC4">
              <w:rPr>
                <w:b/>
                <w:sz w:val="20"/>
              </w:rPr>
              <w:t>(SOPNr – DocNr)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12B7F" w14:textId="77777777" w:rsidR="001937E6" w:rsidRPr="00E56AC4" w:rsidRDefault="001937E6" w:rsidP="00932C2F">
            <w:pPr>
              <w:spacing w:before="40" w:after="40"/>
              <w:jc w:val="center"/>
              <w:rPr>
                <w:rFonts w:eastAsia="Calibri" w:cs="Iskoola Pota"/>
                <w:sz w:val="20"/>
                <w:szCs w:val="20"/>
              </w:rPr>
            </w:pPr>
            <w:r w:rsidRPr="00E56AC4">
              <w:rPr>
                <w:sz w:val="20"/>
                <w:szCs w:val="20"/>
              </w:rPr>
              <w:t>Deskrizzjoni qasira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E7FB5" w14:textId="77777777" w:rsidR="001937E6" w:rsidRPr="00E56AC4" w:rsidRDefault="001937E6" w:rsidP="00932C2F">
            <w:pPr>
              <w:spacing w:before="40" w:after="40"/>
              <w:jc w:val="center"/>
              <w:rPr>
                <w:rFonts w:eastAsia="Calibri" w:cs="Iskoola Pota"/>
                <w:sz w:val="20"/>
                <w:szCs w:val="20"/>
              </w:rPr>
            </w:pPr>
            <w:r w:rsidRPr="00E56AC4">
              <w:rPr>
                <w:sz w:val="20"/>
                <w:szCs w:val="20"/>
              </w:rPr>
              <w:t>Post (tal-QA)</w:t>
            </w:r>
          </w:p>
        </w:tc>
      </w:tr>
      <w:tr w:rsidR="001937E6" w:rsidRPr="00E56AC4" w14:paraId="6DE9FE08" w14:textId="77777777" w:rsidTr="00932C2F">
        <w:trPr>
          <w:trHeight w:val="528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95B06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5BD0A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1E386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2830B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  <w:lang w:bidi="en-US"/>
              </w:rPr>
            </w:pPr>
          </w:p>
        </w:tc>
      </w:tr>
      <w:tr w:rsidR="001937E6" w:rsidRPr="00E56AC4" w14:paraId="4A600F5E" w14:textId="77777777" w:rsidTr="00932C2F">
        <w:trPr>
          <w:trHeight w:val="528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36C39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Times New Roman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B8F2A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Times New Roman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00A88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Times New Roman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1002A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Times New Roman" w:hAnsi="Courier New"/>
                <w:color w:val="7030A0"/>
                <w:sz w:val="22"/>
                <w:szCs w:val="24"/>
                <w:lang w:bidi="en-US"/>
              </w:rPr>
            </w:pPr>
          </w:p>
        </w:tc>
      </w:tr>
    </w:tbl>
    <w:p w14:paraId="623A6742" w14:textId="77777777" w:rsidR="001937E6" w:rsidRPr="00E56AC4" w:rsidRDefault="001937E6" w:rsidP="001937E6">
      <w:pPr>
        <w:pStyle w:val="ManualHeading1"/>
        <w:rPr>
          <w:rFonts w:eastAsia="Times New Roman"/>
          <w:bCs/>
          <w:smallCaps w:val="0"/>
          <w:szCs w:val="24"/>
        </w:rPr>
      </w:pPr>
      <w:r w:rsidRPr="00E56AC4">
        <w:rPr>
          <w:bCs/>
          <w:smallCaps w:val="0"/>
          <w:szCs w:val="28"/>
        </w:rPr>
        <w:t>4.</w:t>
      </w:r>
      <w:r w:rsidRPr="00E56AC4">
        <w:tab/>
      </w:r>
      <w:r w:rsidRPr="00E56AC4">
        <w:rPr>
          <w:bCs/>
          <w:smallCaps w:val="0"/>
          <w:szCs w:val="28"/>
        </w:rPr>
        <w:t>Taqsima 4: Repożitorju tar-rekords</w:t>
      </w:r>
    </w:p>
    <w:p w14:paraId="75982E35" w14:textId="77777777" w:rsidR="001937E6" w:rsidRPr="00E56AC4" w:rsidRDefault="001937E6" w:rsidP="001937E6">
      <w:pPr>
        <w:pStyle w:val="ManualHeading2"/>
      </w:pPr>
      <w:r w:rsidRPr="00E56AC4">
        <w:t>4.1</w:t>
      </w:r>
      <w:r w:rsidRPr="00E56AC4">
        <w:tab/>
        <w:t>Sistemi ta’ reġistrazzjoni tal-valutazzjoni tal-kwalità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1647"/>
        <w:gridCol w:w="2383"/>
        <w:gridCol w:w="892"/>
        <w:gridCol w:w="872"/>
        <w:gridCol w:w="905"/>
        <w:gridCol w:w="1238"/>
      </w:tblGrid>
      <w:tr w:rsidR="001937E6" w:rsidRPr="00E56AC4" w14:paraId="151FE99F" w14:textId="77777777" w:rsidTr="00932C2F"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1A249" w14:textId="77777777" w:rsidR="001937E6" w:rsidRPr="00E56AC4" w:rsidRDefault="001937E6" w:rsidP="00932C2F">
            <w:pPr>
              <w:spacing w:before="40" w:after="40"/>
              <w:jc w:val="center"/>
              <w:rPr>
                <w:rFonts w:eastAsia="Calibri" w:cs="Iskoola Pota"/>
                <w:b/>
                <w:sz w:val="20"/>
                <w:szCs w:val="20"/>
              </w:rPr>
            </w:pPr>
            <w:r w:rsidRPr="00E56AC4">
              <w:rPr>
                <w:b/>
                <w:sz w:val="20"/>
                <w:szCs w:val="20"/>
              </w:rPr>
              <w:t>Nru tal-Valutazzjoni tal-Kwalità (ref 3.1)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BAE41" w14:textId="77777777" w:rsidR="001937E6" w:rsidRPr="00E56AC4" w:rsidRDefault="001937E6" w:rsidP="00932C2F">
            <w:pPr>
              <w:spacing w:before="40" w:after="40"/>
              <w:jc w:val="center"/>
              <w:rPr>
                <w:rFonts w:eastAsia="Calibri" w:cs="Iskoola Pota"/>
                <w:b/>
                <w:sz w:val="20"/>
                <w:szCs w:val="20"/>
              </w:rPr>
            </w:pPr>
            <w:r w:rsidRPr="00E56AC4">
              <w:rPr>
                <w:b/>
                <w:sz w:val="20"/>
                <w:szCs w:val="20"/>
              </w:rPr>
              <w:t>Isem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89E05" w14:textId="77777777" w:rsidR="001937E6" w:rsidRPr="00E56AC4" w:rsidRDefault="001937E6" w:rsidP="00932C2F">
            <w:pPr>
              <w:spacing w:before="40" w:after="40"/>
              <w:jc w:val="center"/>
              <w:rPr>
                <w:rFonts w:eastAsia="Calibri" w:cs="Iskoola Pota"/>
                <w:b/>
                <w:sz w:val="20"/>
                <w:szCs w:val="20"/>
              </w:rPr>
            </w:pPr>
            <w:r w:rsidRPr="00E56AC4">
              <w:rPr>
                <w:b/>
                <w:sz w:val="20"/>
                <w:szCs w:val="20"/>
              </w:rPr>
              <w:t>Definizzjoni/Deskrizzjoni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31EAD" w14:textId="77777777" w:rsidR="001937E6" w:rsidRPr="00E56AC4" w:rsidRDefault="001937E6" w:rsidP="00932C2F">
            <w:pPr>
              <w:spacing w:before="40" w:after="40"/>
              <w:jc w:val="center"/>
              <w:rPr>
                <w:rFonts w:eastAsia="Calibri" w:cs="Iskoola Pota"/>
                <w:b/>
                <w:sz w:val="20"/>
                <w:szCs w:val="20"/>
              </w:rPr>
            </w:pPr>
            <w:r w:rsidRPr="00E56AC4">
              <w:rPr>
                <w:b/>
                <w:sz w:val="20"/>
                <w:szCs w:val="20"/>
              </w:rPr>
              <w:t>Post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CAC2A" w14:textId="77777777" w:rsidR="001937E6" w:rsidRPr="00E56AC4" w:rsidRDefault="001937E6" w:rsidP="00932C2F">
            <w:pPr>
              <w:spacing w:before="40" w:after="40"/>
              <w:jc w:val="center"/>
              <w:rPr>
                <w:rFonts w:eastAsia="Calibri" w:cs="Iskoola Pota"/>
                <w:b/>
                <w:sz w:val="20"/>
                <w:szCs w:val="20"/>
              </w:rPr>
            </w:pPr>
            <w:r w:rsidRPr="00E56AC4">
              <w:rPr>
                <w:b/>
                <w:sz w:val="20"/>
                <w:szCs w:val="20"/>
              </w:rPr>
              <w:t>Backup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58E84" w14:textId="77777777" w:rsidR="001937E6" w:rsidRPr="00E56AC4" w:rsidRDefault="001937E6" w:rsidP="00932C2F">
            <w:pPr>
              <w:spacing w:before="40" w:after="40"/>
              <w:jc w:val="center"/>
              <w:rPr>
                <w:rFonts w:eastAsia="Calibri" w:cs="Iskoola Pota"/>
                <w:b/>
                <w:sz w:val="20"/>
                <w:szCs w:val="20"/>
              </w:rPr>
            </w:pPr>
            <w:r w:rsidRPr="00E56AC4">
              <w:rPr>
                <w:b/>
                <w:sz w:val="20"/>
                <w:szCs w:val="20"/>
              </w:rPr>
              <w:t>Kodiċi tal-SOP</w:t>
            </w:r>
            <w:r w:rsidRPr="00E56AC4">
              <w:t xml:space="preserve"> </w:t>
            </w:r>
            <w:r w:rsidRPr="00E56AC4">
              <w:br/>
            </w:r>
            <w:r w:rsidRPr="00E56AC4">
              <w:rPr>
                <w:b/>
                <w:sz w:val="20"/>
              </w:rPr>
              <w:t>(SOPNr – DocNr)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92DD5" w14:textId="77777777" w:rsidR="001937E6" w:rsidRPr="00E56AC4" w:rsidRDefault="001937E6" w:rsidP="00932C2F">
            <w:pPr>
              <w:spacing w:before="40" w:after="40"/>
              <w:jc w:val="center"/>
              <w:rPr>
                <w:rFonts w:eastAsia="Calibri" w:cs="Iskoola Pota"/>
                <w:b/>
                <w:sz w:val="20"/>
                <w:szCs w:val="20"/>
              </w:rPr>
            </w:pPr>
            <w:r w:rsidRPr="00E56AC4">
              <w:rPr>
                <w:b/>
                <w:sz w:val="20"/>
                <w:szCs w:val="20"/>
              </w:rPr>
              <w:t>Prevenzjoni ta’ modifika</w:t>
            </w:r>
          </w:p>
        </w:tc>
      </w:tr>
      <w:tr w:rsidR="001937E6" w:rsidRPr="00E56AC4" w14:paraId="67647772" w14:textId="77777777" w:rsidTr="00932C2F"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36CF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sz w:val="22"/>
                <w:szCs w:val="24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D5699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sz w:val="22"/>
                <w:szCs w:val="24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01CA6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sz w:val="22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7E9D2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sz w:val="22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1C4C7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sz w:val="22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6D592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sz w:val="22"/>
                <w:szCs w:val="24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C09E6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sz w:val="22"/>
                <w:szCs w:val="24"/>
              </w:rPr>
            </w:pPr>
          </w:p>
        </w:tc>
      </w:tr>
      <w:tr w:rsidR="001937E6" w:rsidRPr="00E56AC4" w14:paraId="0970D772" w14:textId="77777777" w:rsidTr="00932C2F"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747C7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Times New Roman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95E56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Times New Roman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4AFD4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Times New Roman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A46C2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Times New Roman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96C27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Times New Roman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6C852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Times New Roman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FB574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Times New Roman" w:hAnsi="Courier New"/>
                <w:color w:val="7030A0"/>
                <w:sz w:val="22"/>
                <w:szCs w:val="24"/>
                <w:lang w:bidi="en-US"/>
              </w:rPr>
            </w:pPr>
          </w:p>
        </w:tc>
      </w:tr>
    </w:tbl>
    <w:p w14:paraId="4905DBA6" w14:textId="77777777" w:rsidR="001937E6" w:rsidRPr="00E56AC4" w:rsidRDefault="001937E6" w:rsidP="001937E6">
      <w:pPr>
        <w:rPr>
          <w:rFonts w:eastAsia="Times New Roman"/>
          <w:bCs/>
          <w:szCs w:val="24"/>
          <w:lang w:eastAsia="en-GB"/>
        </w:rPr>
      </w:pPr>
    </w:p>
    <w:p w14:paraId="00C841BB" w14:textId="77777777" w:rsidR="001937E6" w:rsidRPr="00E56AC4" w:rsidRDefault="001937E6" w:rsidP="001937E6">
      <w:pPr>
        <w:pStyle w:val="ManualHeading2"/>
        <w:rPr>
          <w:rFonts w:eastAsia="Times New Roman"/>
          <w:bCs/>
          <w:szCs w:val="24"/>
        </w:rPr>
      </w:pPr>
      <w:r w:rsidRPr="00E56AC4">
        <w:t>4.2.</w:t>
      </w:r>
      <w:r w:rsidRPr="00E56AC4">
        <w:tab/>
        <w:t>Lista ta’ kodiċijiet standard tal-proċeduri operattivi għas-sistema ta’ reġistrazzjoni</w:t>
      </w:r>
    </w:p>
    <w:tbl>
      <w:tblPr>
        <w:tblW w:w="93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1370"/>
        <w:gridCol w:w="5027"/>
        <w:gridCol w:w="1621"/>
      </w:tblGrid>
      <w:tr w:rsidR="001937E6" w:rsidRPr="00E56AC4" w14:paraId="6855C68B" w14:textId="77777777" w:rsidTr="00932C2F"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E4EEB" w14:textId="77777777" w:rsidR="001937E6" w:rsidRPr="00E56AC4" w:rsidRDefault="001937E6" w:rsidP="00932C2F">
            <w:pPr>
              <w:spacing w:before="40" w:after="40"/>
              <w:jc w:val="center"/>
              <w:rPr>
                <w:rFonts w:eastAsia="Calibri" w:cs="Iskoola Pota"/>
                <w:sz w:val="20"/>
                <w:szCs w:val="20"/>
              </w:rPr>
            </w:pPr>
            <w:r w:rsidRPr="00E56AC4">
              <w:rPr>
                <w:b/>
                <w:sz w:val="20"/>
                <w:szCs w:val="20"/>
              </w:rPr>
              <w:t>Nru tal-Valutazzjoni tal-Kwalità (ref 3.1)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658BF" w14:textId="77777777" w:rsidR="001937E6" w:rsidRPr="00E56AC4" w:rsidRDefault="001937E6" w:rsidP="00932C2F">
            <w:pPr>
              <w:spacing w:before="40" w:after="40"/>
              <w:jc w:val="center"/>
              <w:rPr>
                <w:rFonts w:eastAsia="Calibri" w:cs="Iskoola Pota"/>
                <w:b/>
                <w:sz w:val="22"/>
              </w:rPr>
            </w:pPr>
            <w:r w:rsidRPr="00E56AC4">
              <w:rPr>
                <w:b/>
                <w:sz w:val="20"/>
                <w:szCs w:val="20"/>
              </w:rPr>
              <w:t>Kodiċi tal-SOP</w:t>
            </w:r>
            <w:r w:rsidRPr="00E56AC4">
              <w:t xml:space="preserve"> </w:t>
            </w:r>
            <w:r w:rsidRPr="00E56AC4">
              <w:br/>
            </w:r>
            <w:r w:rsidRPr="00E56AC4">
              <w:rPr>
                <w:b/>
                <w:sz w:val="20"/>
              </w:rPr>
              <w:t>(SOPNr – DocNr)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798C1" w14:textId="77777777" w:rsidR="001937E6" w:rsidRPr="00E56AC4" w:rsidRDefault="001937E6" w:rsidP="00932C2F">
            <w:pPr>
              <w:spacing w:before="40" w:after="40"/>
              <w:jc w:val="center"/>
              <w:rPr>
                <w:rFonts w:eastAsia="Calibri" w:cs="Iskoola Pota"/>
                <w:b/>
                <w:sz w:val="20"/>
                <w:szCs w:val="20"/>
              </w:rPr>
            </w:pPr>
            <w:r w:rsidRPr="00E56AC4">
              <w:rPr>
                <w:b/>
                <w:sz w:val="20"/>
                <w:szCs w:val="20"/>
              </w:rPr>
              <w:t>Deskrizzjoni qasira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BDBA2" w14:textId="77777777" w:rsidR="001937E6" w:rsidRPr="00E56AC4" w:rsidRDefault="001937E6" w:rsidP="00932C2F">
            <w:pPr>
              <w:spacing w:before="40" w:after="40"/>
              <w:jc w:val="center"/>
              <w:rPr>
                <w:rFonts w:eastAsia="Calibri" w:cs="Iskoola Pota"/>
                <w:b/>
                <w:sz w:val="20"/>
                <w:szCs w:val="20"/>
              </w:rPr>
            </w:pPr>
            <w:r w:rsidRPr="00E56AC4">
              <w:rPr>
                <w:b/>
                <w:sz w:val="20"/>
                <w:szCs w:val="20"/>
              </w:rPr>
              <w:t>Post (tat-tidħil fis-sistema ta’ reġistrazzjoni)</w:t>
            </w:r>
          </w:p>
        </w:tc>
      </w:tr>
      <w:tr w:rsidR="001937E6" w:rsidRPr="00E56AC4" w14:paraId="7EDC2E33" w14:textId="77777777" w:rsidTr="00932C2F">
        <w:trPr>
          <w:trHeight w:val="528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A387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4547F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7FE6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98CD3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  <w:lang w:bidi="en-US"/>
              </w:rPr>
            </w:pPr>
          </w:p>
        </w:tc>
      </w:tr>
    </w:tbl>
    <w:p w14:paraId="5FE55987" w14:textId="77777777" w:rsidR="001937E6" w:rsidRPr="00E56AC4" w:rsidRDefault="001937E6" w:rsidP="001937E6">
      <w:pPr>
        <w:rPr>
          <w:rFonts w:eastAsia="Times New Roman"/>
          <w:bCs/>
          <w:szCs w:val="26"/>
        </w:rPr>
      </w:pPr>
    </w:p>
    <w:p w14:paraId="7CA88BBF" w14:textId="77777777" w:rsidR="001937E6" w:rsidRPr="00E56AC4" w:rsidRDefault="001937E6" w:rsidP="001937E6">
      <w:pPr>
        <w:pStyle w:val="ManualHeading2"/>
        <w:rPr>
          <w:rFonts w:eastAsia="Times New Roman"/>
          <w:bCs/>
          <w:szCs w:val="24"/>
        </w:rPr>
      </w:pPr>
      <w:r w:rsidRPr="00E56AC4">
        <w:t>4.3.</w:t>
      </w:r>
      <w:r w:rsidRPr="00E56AC4">
        <w:tab/>
        <w:t>Rekords/sistemi rilevanti oħrajn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229"/>
      </w:tblGrid>
      <w:tr w:rsidR="001937E6" w:rsidRPr="00E56AC4" w14:paraId="08393869" w14:textId="77777777" w:rsidTr="00932C2F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61A51" w14:textId="77777777" w:rsidR="001937E6" w:rsidRPr="00E56AC4" w:rsidRDefault="001937E6" w:rsidP="00932C2F">
            <w:pPr>
              <w:keepNext/>
              <w:keepLines/>
              <w:spacing w:before="40" w:after="40"/>
              <w:jc w:val="center"/>
              <w:rPr>
                <w:rFonts w:eastAsia="Calibri" w:cs="Iskoola Pota"/>
              </w:rPr>
            </w:pPr>
            <w:r w:rsidRPr="00E56AC4">
              <w:rPr>
                <w:b/>
              </w:rPr>
              <w:t>Proċedura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C800D" w14:textId="77777777" w:rsidR="001937E6" w:rsidRPr="00E56AC4" w:rsidRDefault="001937E6" w:rsidP="00932C2F">
            <w:pPr>
              <w:keepNext/>
              <w:keepLines/>
              <w:spacing w:before="40" w:after="40"/>
              <w:jc w:val="center"/>
              <w:rPr>
                <w:rFonts w:eastAsia="Calibri" w:cs="Iskoola Pota"/>
                <w:b/>
              </w:rPr>
            </w:pPr>
            <w:r w:rsidRPr="00E56AC4">
              <w:rPr>
                <w:b/>
              </w:rPr>
              <w:t>Deskrizzjoni / Dokumentazzjoni</w:t>
            </w:r>
          </w:p>
        </w:tc>
      </w:tr>
      <w:tr w:rsidR="001937E6" w:rsidRPr="00E56AC4" w14:paraId="269BF3DF" w14:textId="77777777" w:rsidTr="00932C2F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5C4C7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  <w:lang w:bidi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AB55A" w14:textId="77777777" w:rsidR="001937E6" w:rsidRPr="00E56AC4" w:rsidRDefault="001937E6" w:rsidP="00932C2F">
            <w:pPr>
              <w:widowControl w:val="0"/>
              <w:spacing w:before="0" w:after="0"/>
              <w:jc w:val="left"/>
              <w:rPr>
                <w:rFonts w:ascii="Courier New" w:eastAsia="Calibri" w:hAnsi="Courier New"/>
                <w:color w:val="7030A0"/>
                <w:sz w:val="22"/>
                <w:szCs w:val="24"/>
                <w:lang w:bidi="en-US"/>
              </w:rPr>
            </w:pPr>
          </w:p>
        </w:tc>
      </w:tr>
    </w:tbl>
    <w:p w14:paraId="4E099546" w14:textId="77777777" w:rsidR="004A1473" w:rsidRDefault="004A1473"/>
    <w:sectPr w:rsidR="004A14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EA0A5" w14:textId="77777777" w:rsidR="001937E6" w:rsidRDefault="001937E6" w:rsidP="001937E6">
      <w:pPr>
        <w:spacing w:before="0" w:after="0"/>
      </w:pPr>
      <w:r>
        <w:separator/>
      </w:r>
    </w:p>
  </w:endnote>
  <w:endnote w:type="continuationSeparator" w:id="0">
    <w:p w14:paraId="25AB1877" w14:textId="77777777" w:rsidR="001937E6" w:rsidRDefault="001937E6" w:rsidP="001937E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skoola Pota">
    <w:charset w:val="00"/>
    <w:family w:val="swiss"/>
    <w:pitch w:val="variable"/>
    <w:sig w:usb0="00000003" w:usb1="00000000" w:usb2="000002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C1142" w14:textId="77777777" w:rsidR="001937E6" w:rsidRDefault="001937E6" w:rsidP="001937E6">
      <w:pPr>
        <w:spacing w:before="0" w:after="0"/>
      </w:pPr>
      <w:r>
        <w:separator/>
      </w:r>
    </w:p>
  </w:footnote>
  <w:footnote w:type="continuationSeparator" w:id="0">
    <w:p w14:paraId="2EB82EE2" w14:textId="77777777" w:rsidR="001937E6" w:rsidRDefault="001937E6" w:rsidP="001937E6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7E6"/>
    <w:rsid w:val="001937E6"/>
    <w:rsid w:val="004A1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97FFCB"/>
  <w15:chartTrackingRefBased/>
  <w15:docId w15:val="{F51E55CE-F9E7-42F5-A5E5-A3673E78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37E6"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mt-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1937E6"/>
    <w:pPr>
      <w:ind w:left="850"/>
    </w:pPr>
  </w:style>
  <w:style w:type="paragraph" w:customStyle="1" w:styleId="Tiret1">
    <w:name w:val="Tiret 1"/>
    <w:basedOn w:val="Normal"/>
    <w:rsid w:val="001937E6"/>
    <w:pPr>
      <w:numPr>
        <w:numId w:val="1"/>
      </w:numPr>
    </w:pPr>
  </w:style>
  <w:style w:type="paragraph" w:customStyle="1" w:styleId="ManualHeading1">
    <w:name w:val="Manual Heading 1"/>
    <w:basedOn w:val="Normal"/>
    <w:next w:val="Text1"/>
    <w:rsid w:val="001937E6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1937E6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1937E6"/>
    <w:pPr>
      <w:keepNext/>
      <w:tabs>
        <w:tab w:val="left" w:pos="850"/>
      </w:tabs>
      <w:ind w:left="850" w:hanging="850"/>
      <w:outlineLvl w:val="2"/>
    </w:pPr>
    <w:rPr>
      <w:i/>
    </w:rPr>
  </w:style>
  <w:style w:type="character" w:customStyle="1" w:styleId="Marker">
    <w:name w:val="Marker"/>
    <w:basedOn w:val="DefaultParagraphFont"/>
    <w:rsid w:val="001937E6"/>
    <w:rPr>
      <w:color w:val="0000FF"/>
      <w:shd w:val="clear" w:color="auto" w:fill="auto"/>
    </w:rPr>
  </w:style>
  <w:style w:type="paragraph" w:customStyle="1" w:styleId="Annexetitre">
    <w:name w:val="Annexe titre"/>
    <w:basedOn w:val="Normal"/>
    <w:next w:val="Normal"/>
    <w:rsid w:val="001937E6"/>
    <w:pPr>
      <w:jc w:val="center"/>
    </w:pPr>
    <w:rPr>
      <w:b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1127</Words>
  <Characters>8311</Characters>
  <DocSecurity>0</DocSecurity>
  <Lines>415</Lines>
  <Paragraphs>154</Paragraphs>
  <ScaleCrop>false</ScaleCrop>
  <Company>European Commission </Company>
  <LinksUpToDate>false</LinksUpToDate>
  <CharactersWithSpaces>9284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2022-09-27T14:35:00Z</dcterms:created>
  <dcterms:modified xsi:type="dcterms:W3CDTF">2022-09-27T14:36:00Z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2022-09-27T14:35:28Z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7d7f7a82-5434-4824-b8eb-1382910920bd</vt:lpwstr>
  </property>
  <property fmtid="{D5CDD505-2E9C-101B-9397-08002B2CF9AE}" pid="8" name="MSIP_Label_6bd9ddd1-4d20-43f6-abfa-fc3c07406f94_ContentBits">
    <vt:lpwstr>0</vt:lpwstr>
  </property>
</Properties>
</file>