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BF6" w:rsidRPr="0056156A" w:rsidRDefault="009C2BF6" w:rsidP="009C2BF6">
      <w:pPr>
        <w:pStyle w:val="Annexetitre"/>
        <w:rPr>
          <w:rStyle w:val="Marker"/>
        </w:rPr>
      </w:pPr>
      <w:r w:rsidRPr="0056156A">
        <w:t>ANNEX II</w:t>
      </w:r>
    </w:p>
    <w:p w:rsidR="009C2BF6" w:rsidRPr="0056156A" w:rsidRDefault="009C2BF6" w:rsidP="009C2BF6">
      <w:pPr>
        <w:spacing w:before="720" w:after="720"/>
        <w:jc w:val="center"/>
        <w:rPr>
          <w:rFonts w:eastAsia="Times New Roman"/>
          <w:b/>
          <w:smallCaps/>
          <w:szCs w:val="20"/>
        </w:rPr>
      </w:pPr>
      <w:r w:rsidRPr="0056156A">
        <w:rPr>
          <w:rFonts w:eastAsia="Calibri"/>
          <w:b/>
        </w:rPr>
        <w:t xml:space="preserve">Template for the Compliance Monitoring Summary Sheet in accordance with Article 26 of Regulation (EU) </w:t>
      </w:r>
      <w:r>
        <w:rPr>
          <w:rFonts w:eastAsia="Calibri"/>
          <w:b/>
        </w:rPr>
        <w:t>2022/1616</w:t>
      </w:r>
    </w:p>
    <w:p w:rsidR="009C2BF6" w:rsidRPr="0056156A" w:rsidRDefault="009C2BF6" w:rsidP="009C2BF6">
      <w:pPr>
        <w:widowControl w:val="0"/>
        <w:spacing w:before="0" w:after="0"/>
        <w:rPr>
          <w:rFonts w:eastAsia="Calibri"/>
          <w:color w:val="000000"/>
          <w:szCs w:val="24"/>
          <w:lang w:bidi="en-US"/>
        </w:rPr>
      </w:pPr>
      <w:r w:rsidRPr="0056156A">
        <w:rPr>
          <w:rFonts w:eastAsia="Calibri"/>
          <w:color w:val="000000"/>
          <w:szCs w:val="24"/>
          <w:lang w:bidi="en-US"/>
        </w:rPr>
        <w:t>The template shall be completed taking account of the definitions set out in Regulation (EC) No 2023/2006 on good manufacturing practices, and Annex B thereof.</w:t>
      </w:r>
    </w:p>
    <w:p w:rsidR="009C2BF6" w:rsidRPr="0056156A" w:rsidRDefault="009C2BF6" w:rsidP="009C2BF6">
      <w:pPr>
        <w:widowControl w:val="0"/>
        <w:spacing w:before="0" w:after="0"/>
        <w:rPr>
          <w:rFonts w:eastAsia="Calibri"/>
          <w:color w:val="000000"/>
          <w:szCs w:val="24"/>
          <w:lang w:bidi="en-US"/>
        </w:rPr>
      </w:pPr>
    </w:p>
    <w:p w:rsidR="009C2BF6" w:rsidRPr="0056156A" w:rsidRDefault="009C2BF6" w:rsidP="009C2BF6">
      <w:pPr>
        <w:widowControl w:val="0"/>
        <w:spacing w:before="0" w:after="0"/>
        <w:rPr>
          <w:rFonts w:eastAsia="Calibri"/>
          <w:color w:val="000000"/>
          <w:szCs w:val="24"/>
          <w:lang w:bidi="en-US"/>
        </w:rPr>
      </w:pPr>
      <w:r w:rsidRPr="0056156A">
        <w:rPr>
          <w:rFonts w:eastAsia="Calibri"/>
          <w:color w:val="000000"/>
          <w:szCs w:val="24"/>
          <w:lang w:bidi="en-US"/>
        </w:rPr>
        <w:t>Abbreviations used in this document in accordance with Regulation (EC) No 2023/2006:</w:t>
      </w:r>
    </w:p>
    <w:p w:rsidR="009C2BF6" w:rsidRPr="0056156A" w:rsidRDefault="009C2BF6" w:rsidP="009C2BF6">
      <w:pPr>
        <w:widowControl w:val="0"/>
        <w:spacing w:before="0" w:after="0"/>
        <w:rPr>
          <w:rFonts w:eastAsia="Calibri"/>
          <w:color w:val="000000"/>
          <w:szCs w:val="24"/>
          <w:lang w:bidi="en-US"/>
        </w:rPr>
      </w:pPr>
    </w:p>
    <w:p w:rsidR="009C2BF6" w:rsidRPr="0056156A" w:rsidRDefault="009C2BF6" w:rsidP="009C2BF6">
      <w:pPr>
        <w:widowControl w:val="0"/>
        <w:spacing w:before="0" w:after="0"/>
        <w:rPr>
          <w:rFonts w:eastAsia="Times New Roman"/>
          <w:color w:val="000000"/>
          <w:szCs w:val="24"/>
          <w:lang w:bidi="en-US"/>
        </w:rPr>
      </w:pPr>
      <w:r w:rsidRPr="0056156A">
        <w:rPr>
          <w:rFonts w:eastAsia="Times New Roman"/>
          <w:color w:val="000000"/>
          <w:szCs w:val="24"/>
          <w:lang w:bidi="en-US"/>
        </w:rPr>
        <w:t>QA:</w:t>
      </w:r>
      <w:r w:rsidRPr="0056156A">
        <w:rPr>
          <w:rFonts w:eastAsia="Times New Roman"/>
          <w:color w:val="000000"/>
          <w:szCs w:val="24"/>
          <w:lang w:bidi="en-US"/>
        </w:rPr>
        <w:tab/>
      </w:r>
      <w:r w:rsidRPr="0056156A">
        <w:rPr>
          <w:rFonts w:eastAsia="Times New Roman"/>
          <w:color w:val="000000"/>
          <w:szCs w:val="24"/>
          <w:lang w:bidi="en-US"/>
        </w:rPr>
        <w:tab/>
        <w:t>Quality Assessment</w:t>
      </w:r>
    </w:p>
    <w:p w:rsidR="009C2BF6" w:rsidRPr="0056156A" w:rsidRDefault="009C2BF6" w:rsidP="009C2BF6">
      <w:pPr>
        <w:widowControl w:val="0"/>
        <w:spacing w:before="0" w:after="0"/>
        <w:rPr>
          <w:rFonts w:eastAsia="Times New Roman"/>
          <w:color w:val="000000"/>
          <w:szCs w:val="24"/>
          <w:lang w:bidi="en-US"/>
        </w:rPr>
      </w:pPr>
      <w:r w:rsidRPr="0056156A">
        <w:rPr>
          <w:rFonts w:eastAsia="Times New Roman"/>
          <w:color w:val="000000"/>
          <w:szCs w:val="24"/>
          <w:lang w:bidi="en-US"/>
        </w:rPr>
        <w:t>SOP:</w:t>
      </w:r>
      <w:r w:rsidRPr="0056156A">
        <w:rPr>
          <w:rFonts w:eastAsia="Times New Roman"/>
          <w:color w:val="000000"/>
          <w:szCs w:val="24"/>
          <w:lang w:bidi="en-US"/>
        </w:rPr>
        <w:tab/>
      </w:r>
      <w:r w:rsidRPr="0056156A">
        <w:rPr>
          <w:rFonts w:eastAsia="Times New Roman"/>
          <w:color w:val="000000"/>
          <w:szCs w:val="24"/>
          <w:lang w:bidi="en-US"/>
        </w:rPr>
        <w:tab/>
        <w:t>Standard Operating Procedure</w:t>
      </w:r>
    </w:p>
    <w:p w:rsidR="009C2BF6" w:rsidRPr="0056156A" w:rsidRDefault="009C2BF6" w:rsidP="009C2BF6">
      <w:pPr>
        <w:widowControl w:val="0"/>
        <w:spacing w:before="0" w:after="0"/>
        <w:ind w:left="1440" w:hanging="1440"/>
        <w:rPr>
          <w:rFonts w:eastAsia="Times New Roman"/>
          <w:color w:val="000000"/>
          <w:szCs w:val="24"/>
          <w:lang w:bidi="en-US"/>
        </w:rPr>
      </w:pPr>
      <w:r w:rsidRPr="0056156A">
        <w:rPr>
          <w:rFonts w:eastAsia="Times New Roman"/>
          <w:color w:val="000000"/>
          <w:szCs w:val="24"/>
          <w:lang w:bidi="en-US"/>
        </w:rPr>
        <w:t>SOP code:</w:t>
      </w:r>
      <w:r w:rsidRPr="0056156A">
        <w:rPr>
          <w:rFonts w:eastAsia="Times New Roman"/>
          <w:color w:val="000000"/>
          <w:szCs w:val="24"/>
          <w:lang w:bidi="en-US"/>
        </w:rPr>
        <w:tab/>
        <w:t xml:space="preserve">a SOP code is comprised of two numbers, the number of the SOP and the number of the document in which it </w:t>
      </w:r>
      <w:proofErr w:type="gramStart"/>
      <w:r w:rsidRPr="0056156A">
        <w:rPr>
          <w:rFonts w:eastAsia="Times New Roman"/>
          <w:color w:val="000000"/>
          <w:szCs w:val="24"/>
          <w:lang w:bidi="en-US"/>
        </w:rPr>
        <w:t>is described</w:t>
      </w:r>
      <w:proofErr w:type="gramEnd"/>
      <w:r w:rsidRPr="0056156A">
        <w:rPr>
          <w:rFonts w:eastAsia="Times New Roman"/>
          <w:color w:val="000000"/>
          <w:szCs w:val="24"/>
          <w:lang w:bidi="en-US"/>
        </w:rPr>
        <w:t xml:space="preserve"> in the format </w:t>
      </w:r>
      <w:proofErr w:type="spellStart"/>
      <w:r w:rsidRPr="0056156A">
        <w:rPr>
          <w:rFonts w:eastAsia="Times New Roman"/>
          <w:color w:val="000000"/>
          <w:szCs w:val="24"/>
          <w:lang w:bidi="en-US"/>
        </w:rPr>
        <w:t>SOPNr</w:t>
      </w:r>
      <w:proofErr w:type="spellEnd"/>
      <w:r w:rsidRPr="0056156A">
        <w:rPr>
          <w:rFonts w:eastAsia="Times New Roman"/>
          <w:color w:val="000000"/>
          <w:szCs w:val="24"/>
          <w:lang w:bidi="en-US"/>
        </w:rPr>
        <w:t xml:space="preserve"> – </w:t>
      </w:r>
      <w:proofErr w:type="spellStart"/>
      <w:r w:rsidRPr="0056156A">
        <w:rPr>
          <w:rFonts w:eastAsia="Times New Roman"/>
          <w:color w:val="000000"/>
          <w:szCs w:val="24"/>
          <w:lang w:bidi="en-US"/>
        </w:rPr>
        <w:t>DocNr</w:t>
      </w:r>
      <w:proofErr w:type="spellEnd"/>
      <w:r w:rsidRPr="0056156A">
        <w:rPr>
          <w:rFonts w:eastAsia="Times New Roman"/>
          <w:color w:val="000000"/>
          <w:szCs w:val="24"/>
          <w:lang w:bidi="en-US"/>
        </w:rPr>
        <w:t xml:space="preserve">; the document number shall correspond to the document number listed in section 2.3, the SOP number </w:t>
      </w:r>
      <w:r>
        <w:rPr>
          <w:rFonts w:eastAsia="Times New Roman"/>
          <w:color w:val="000000"/>
          <w:szCs w:val="24"/>
          <w:lang w:bidi="en-US"/>
        </w:rPr>
        <w:t>to</w:t>
      </w:r>
      <w:r w:rsidRPr="0056156A">
        <w:rPr>
          <w:rFonts w:eastAsia="Times New Roman"/>
          <w:color w:val="000000"/>
          <w:szCs w:val="24"/>
          <w:lang w:bidi="en-US"/>
        </w:rPr>
        <w:t xml:space="preserve"> the numbering system of the recycler.</w:t>
      </w:r>
    </w:p>
    <w:p w:rsidR="009C2BF6" w:rsidRPr="0056156A" w:rsidRDefault="009C2BF6" w:rsidP="009C2BF6">
      <w:pPr>
        <w:pStyle w:val="ManualHeading1"/>
        <w:rPr>
          <w:lang w:val="en-IE"/>
        </w:rPr>
      </w:pPr>
      <w:r w:rsidRPr="0056156A">
        <w:rPr>
          <w:lang w:val="en-IE"/>
        </w:rPr>
        <w:t>1.</w:t>
      </w:r>
      <w:r w:rsidRPr="0056156A">
        <w:rPr>
          <w:lang w:val="en-IE"/>
        </w:rPr>
        <w:tab/>
        <w:t>Section 1: Identification</w:t>
      </w:r>
    </w:p>
    <w:p w:rsidR="009C2BF6" w:rsidRPr="007238B9" w:rsidRDefault="009C2BF6" w:rsidP="009C2BF6">
      <w:pPr>
        <w:pStyle w:val="Text1"/>
      </w:pPr>
      <w:r w:rsidRPr="0056156A">
        <w:t xml:space="preserve">The numbers (RIN, RFN, RON, RAN, NTN) referred to in this section shall correspond to the numbers in the Union Register laid down in accordance with Article 24 </w:t>
      </w:r>
      <w:r w:rsidRPr="0056156A">
        <w:rPr>
          <w:rFonts w:eastAsia="Calibri"/>
        </w:rPr>
        <w:t xml:space="preserve">of Regulation (EU) </w:t>
      </w:r>
      <w:r>
        <w:rPr>
          <w:rFonts w:eastAsia="Calibri"/>
        </w:rPr>
        <w:t>2022/1616</w:t>
      </w:r>
    </w:p>
    <w:p w:rsidR="009C2BF6" w:rsidRPr="0056156A" w:rsidRDefault="009C2BF6" w:rsidP="009C2BF6">
      <w:pPr>
        <w:pStyle w:val="ManualHeading2"/>
      </w:pPr>
      <w:r w:rsidRPr="0056156A">
        <w:t>1.1</w:t>
      </w:r>
      <w:r w:rsidRPr="0056156A">
        <w:tab/>
        <w:t>Identification of the recycling installation</w:t>
      </w:r>
    </w:p>
    <w:tbl>
      <w:tblPr>
        <w:tblW w:w="822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244"/>
      </w:tblGrid>
      <w:tr w:rsidR="009C2BF6" w:rsidRPr="0056156A" w:rsidTr="004206BA">
        <w:trPr>
          <w:trHeight w:val="44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Installation name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  <w:tr w:rsidR="009C2BF6" w:rsidRPr="0056156A" w:rsidTr="004206BA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Applied recycling technology in accordance with Annex 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  <w:tr w:rsidR="009C2BF6" w:rsidRPr="0056156A" w:rsidTr="004206BA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EU Register number (recycling installation number, ‘RIN’)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9C2BF6" w:rsidRPr="0056156A" w:rsidTr="004206BA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Facility Address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 w:cs="Iskoola Pota"/>
                <w:sz w:val="22"/>
              </w:rPr>
            </w:pPr>
          </w:p>
        </w:tc>
      </w:tr>
      <w:tr w:rsidR="009C2BF6" w:rsidRPr="0056156A" w:rsidTr="004206BA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Recycling Facility Number (‘RFN’)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9C2BF6" w:rsidRPr="0056156A" w:rsidTr="004206B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Contact details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9C2BF6" w:rsidRPr="0056156A" w:rsidTr="004206B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Position/Role of contact persons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  <w:tr w:rsidR="009C2BF6" w:rsidRPr="0056156A" w:rsidTr="004206B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Relevant national register numbers, if any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  <w:tr w:rsidR="009C2BF6" w:rsidRPr="0056156A" w:rsidTr="004206B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 xml:space="preserve">Notification date (Article </w:t>
            </w:r>
            <w:r w:rsidRPr="0056156A">
              <w:rPr>
                <w:rFonts w:eastAsia="Calibri" w:cs="Iskoola Pota"/>
                <w:b/>
              </w:rPr>
              <w:lastRenderedPageBreak/>
              <w:t>25(1)(a))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</w:tbl>
    <w:p w:rsidR="009C2BF6" w:rsidRPr="0056156A" w:rsidRDefault="009C2BF6" w:rsidP="009C2BF6">
      <w:pPr>
        <w:pStyle w:val="ManualHeading2"/>
        <w:rPr>
          <w:rFonts w:eastAsia="Times New Roman"/>
          <w:bCs/>
          <w:szCs w:val="24"/>
          <w:lang w:eastAsia="en-GB"/>
        </w:rPr>
      </w:pPr>
      <w:r w:rsidRPr="0056156A">
        <w:rPr>
          <w:rFonts w:eastAsia="Times New Roman"/>
          <w:bCs/>
          <w:szCs w:val="26"/>
        </w:rPr>
        <w:t>1.2.</w:t>
      </w:r>
      <w:r w:rsidRPr="0056156A">
        <w:rPr>
          <w:rFonts w:eastAsia="Times New Roman"/>
          <w:bCs/>
          <w:szCs w:val="26"/>
        </w:rPr>
        <w:tab/>
        <w:t>Identification of the recycler</w:t>
      </w:r>
    </w:p>
    <w:tbl>
      <w:tblPr>
        <w:tblW w:w="822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244"/>
      </w:tblGrid>
      <w:tr w:rsidR="009C2BF6" w:rsidRPr="0056156A" w:rsidTr="004206BA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Company Name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9C2BF6" w:rsidRPr="0056156A" w:rsidTr="004206BA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  <w:lang w:val="de-DE"/>
              </w:rPr>
            </w:pPr>
            <w:r w:rsidRPr="0056156A">
              <w:rPr>
                <w:rFonts w:eastAsia="Calibri" w:cs="Iskoola Pota"/>
                <w:b/>
                <w:lang w:val="de-DE"/>
              </w:rPr>
              <w:t xml:space="preserve">EU Register </w:t>
            </w:r>
            <w:proofErr w:type="spellStart"/>
            <w:r w:rsidRPr="0056156A">
              <w:rPr>
                <w:rFonts w:eastAsia="Calibri" w:cs="Iskoola Pota"/>
                <w:b/>
                <w:lang w:val="de-DE"/>
              </w:rPr>
              <w:t>number</w:t>
            </w:r>
            <w:proofErr w:type="spellEnd"/>
            <w:r w:rsidRPr="0056156A">
              <w:rPr>
                <w:rFonts w:eastAsia="Calibri" w:cs="Iskoola Pota"/>
                <w:b/>
                <w:lang w:val="de-DE"/>
              </w:rPr>
              <w:t xml:space="preserve"> (</w:t>
            </w:r>
            <w:proofErr w:type="spellStart"/>
            <w:r w:rsidRPr="0056156A">
              <w:rPr>
                <w:rFonts w:eastAsia="Calibri" w:cs="Iskoola Pota"/>
                <w:b/>
                <w:lang w:val="de-DE"/>
              </w:rPr>
              <w:t>Recycler</w:t>
            </w:r>
            <w:proofErr w:type="spellEnd"/>
            <w:r w:rsidRPr="0056156A">
              <w:rPr>
                <w:rFonts w:eastAsia="Calibri" w:cs="Iskoola Pota"/>
                <w:b/>
                <w:lang w:val="de-DE"/>
              </w:rPr>
              <w:t xml:space="preserve"> Operator </w:t>
            </w:r>
            <w:proofErr w:type="spellStart"/>
            <w:r w:rsidRPr="0056156A">
              <w:rPr>
                <w:rFonts w:eastAsia="Calibri" w:cs="Iskoola Pota"/>
                <w:b/>
                <w:lang w:val="de-DE"/>
              </w:rPr>
              <w:t>Number</w:t>
            </w:r>
            <w:proofErr w:type="spellEnd"/>
            <w:r w:rsidRPr="0056156A">
              <w:rPr>
                <w:rFonts w:eastAsia="Calibri" w:cs="Iskoola Pota"/>
                <w:b/>
                <w:lang w:val="de-DE"/>
              </w:rPr>
              <w:t>, ‘RON’)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val="de-DE"/>
              </w:rPr>
            </w:pPr>
          </w:p>
        </w:tc>
      </w:tr>
      <w:tr w:rsidR="009C2BF6" w:rsidRPr="0056156A" w:rsidTr="004206BA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Address of the head office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  <w:tr w:rsidR="009C2BF6" w:rsidRPr="0056156A" w:rsidTr="004206B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Contact details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  <w:tr w:rsidR="009C2BF6" w:rsidRPr="0056156A" w:rsidTr="004206B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Position/Role of main contact person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  <w:tr w:rsidR="009C2BF6" w:rsidRPr="0056156A" w:rsidTr="004206B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Relevant national register numbers, if any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  <w:tr w:rsidR="009C2BF6" w:rsidRPr="0056156A" w:rsidTr="004206B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Authorisation holder? (Yes/No/ Not applicable)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</w:tbl>
    <w:p w:rsidR="009C2BF6" w:rsidRPr="0056156A" w:rsidRDefault="009C2BF6" w:rsidP="009C2BF6">
      <w:pPr>
        <w:pStyle w:val="ManualHeading2"/>
        <w:rPr>
          <w:rFonts w:eastAsia="Times New Roman"/>
          <w:bCs/>
          <w:szCs w:val="24"/>
          <w:lang w:eastAsia="en-GB"/>
        </w:rPr>
      </w:pPr>
      <w:r w:rsidRPr="0056156A">
        <w:rPr>
          <w:rFonts w:eastAsia="Times New Roman"/>
          <w:bCs/>
          <w:szCs w:val="26"/>
        </w:rPr>
        <w:t>1.3.</w:t>
      </w:r>
      <w:r w:rsidRPr="0056156A">
        <w:rPr>
          <w:rFonts w:eastAsia="Times New Roman"/>
          <w:bCs/>
          <w:szCs w:val="26"/>
        </w:rPr>
        <w:tab/>
        <w:t>Recycling process authorisation Decision</w:t>
      </w:r>
      <w:r w:rsidRPr="0056156A">
        <w:rPr>
          <w:rFonts w:eastAsia="Times New Roman"/>
          <w:szCs w:val="26"/>
        </w:rPr>
        <w:t xml:space="preserve"> or novel technology</w:t>
      </w:r>
    </w:p>
    <w:p w:rsidR="009C2BF6" w:rsidRPr="0056156A" w:rsidRDefault="009C2BF6" w:rsidP="009C2BF6">
      <w:pPr>
        <w:pStyle w:val="Text1"/>
        <w:rPr>
          <w:rFonts w:eastAsia="Calibri"/>
        </w:rPr>
      </w:pPr>
      <w:r w:rsidRPr="0056156A">
        <w:rPr>
          <w:rFonts w:eastAsia="Calibri"/>
        </w:rPr>
        <w:t xml:space="preserve">A: identification of the authorisation Decision or novel technology used </w:t>
      </w:r>
      <w:proofErr w:type="gramStart"/>
      <w:r w:rsidRPr="0056156A">
        <w:rPr>
          <w:rFonts w:eastAsia="Calibri"/>
        </w:rPr>
        <w:t>by  the</w:t>
      </w:r>
      <w:proofErr w:type="gramEnd"/>
      <w:r w:rsidRPr="0056156A">
        <w:rPr>
          <w:rFonts w:eastAsia="Calibri"/>
        </w:rPr>
        <w:t xml:space="preserve"> process that the installation applies:</w:t>
      </w:r>
    </w:p>
    <w:tbl>
      <w:tblPr>
        <w:tblW w:w="822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9"/>
        <w:gridCol w:w="2232"/>
      </w:tblGrid>
      <w:tr w:rsidR="009C2BF6" w:rsidRPr="0056156A" w:rsidTr="004206BA"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EU Register number, i.e. Recycling Process Authorisation Number (‘RAN’), Novel Technology Number (‘NTN’)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</w:tbl>
    <w:p w:rsidR="009C2BF6" w:rsidRPr="0056156A" w:rsidRDefault="009C2BF6" w:rsidP="009C2BF6">
      <w:pPr>
        <w:pStyle w:val="Text1"/>
        <w:rPr>
          <w:rFonts w:ascii="Calibri" w:eastAsia="Calibri" w:hAnsi="Calibri"/>
          <w:sz w:val="22"/>
        </w:rPr>
      </w:pPr>
      <w:r w:rsidRPr="0056156A">
        <w:rPr>
          <w:rFonts w:eastAsia="Calibri"/>
        </w:rPr>
        <w:t>B: authorisation holder or novel technology developer –</w:t>
      </w:r>
    </w:p>
    <w:tbl>
      <w:tblPr>
        <w:tblW w:w="822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244"/>
      </w:tblGrid>
      <w:tr w:rsidR="009C2BF6" w:rsidRPr="0056156A" w:rsidTr="004206B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Name of authorisation holder* / of the technology developer** as applicable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 w:cs="Iskoola Pota"/>
                <w:sz w:val="22"/>
              </w:rPr>
            </w:pPr>
          </w:p>
        </w:tc>
      </w:tr>
      <w:tr w:rsidR="009C2BF6" w:rsidRPr="0056156A" w:rsidTr="004206BA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Address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 w:cs="Iskoola Pota"/>
                <w:sz w:val="22"/>
              </w:rPr>
            </w:pPr>
          </w:p>
        </w:tc>
      </w:tr>
      <w:tr w:rsidR="009C2BF6" w:rsidRPr="0056156A" w:rsidTr="004206B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Contact details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9C2BF6" w:rsidRPr="0056156A" w:rsidTr="004206B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Position/Role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</w:tbl>
    <w:p w:rsidR="009C2BF6" w:rsidRPr="0056156A" w:rsidRDefault="009C2BF6" w:rsidP="009C2BF6">
      <w:pPr>
        <w:pStyle w:val="Text1"/>
      </w:pPr>
      <w:r w:rsidRPr="0056156A">
        <w:t xml:space="preserve">* </w:t>
      </w:r>
      <w:proofErr w:type="gramStart"/>
      <w:r w:rsidRPr="0056156A">
        <w:rPr>
          <w:rFonts w:eastAsia="Calibri"/>
        </w:rPr>
        <w:t>the</w:t>
      </w:r>
      <w:proofErr w:type="gramEnd"/>
      <w:r w:rsidRPr="0056156A">
        <w:rPr>
          <w:rFonts w:eastAsia="Calibri"/>
        </w:rPr>
        <w:t xml:space="preserve"> name of the authorisation holder and its address must be the same as on the authorisation Decision</w:t>
      </w:r>
    </w:p>
    <w:p w:rsidR="009C2BF6" w:rsidRPr="0056156A" w:rsidRDefault="009C2BF6" w:rsidP="009C2BF6">
      <w:pPr>
        <w:pStyle w:val="Text1"/>
      </w:pPr>
      <w:r w:rsidRPr="0056156A">
        <w:t xml:space="preserve">**The technology developer that notified the novel technology used by the </w:t>
      </w:r>
      <w:proofErr w:type="gramStart"/>
      <w:r w:rsidRPr="0056156A">
        <w:t>process which</w:t>
      </w:r>
      <w:proofErr w:type="gramEnd"/>
      <w:r w:rsidRPr="0056156A">
        <w:t xml:space="preserve"> the installation applies, in accordance with Article 10(2) </w:t>
      </w:r>
    </w:p>
    <w:p w:rsidR="009C2BF6" w:rsidRPr="0056156A" w:rsidRDefault="009C2BF6" w:rsidP="009C2BF6">
      <w:pPr>
        <w:pStyle w:val="ManualHeading2"/>
        <w:rPr>
          <w:rFonts w:eastAsia="Times New Roman"/>
          <w:bCs/>
          <w:szCs w:val="24"/>
          <w:lang w:eastAsia="en-GB"/>
        </w:rPr>
      </w:pPr>
      <w:r w:rsidRPr="0056156A">
        <w:rPr>
          <w:rFonts w:eastAsia="Times New Roman"/>
          <w:bCs/>
          <w:szCs w:val="26"/>
        </w:rPr>
        <w:t>1.4.</w:t>
      </w:r>
      <w:r w:rsidRPr="0056156A">
        <w:rPr>
          <w:rFonts w:eastAsia="Times New Roman"/>
          <w:bCs/>
          <w:szCs w:val="26"/>
        </w:rPr>
        <w:tab/>
        <w:t>Document references used by the European Food Safety Authority (‘EFSA’)</w:t>
      </w:r>
    </w:p>
    <w:tbl>
      <w:tblPr>
        <w:tblW w:w="822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244"/>
      </w:tblGrid>
      <w:tr w:rsidR="009C2BF6" w:rsidRPr="0056156A" w:rsidTr="004206B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EFSA Question number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9C2BF6" w:rsidRPr="0056156A" w:rsidTr="004206B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 xml:space="preserve">EFSA Publication date of the opinion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9C2BF6" w:rsidRPr="0056156A" w:rsidTr="004206B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 xml:space="preserve">EFSA Publication number </w:t>
            </w:r>
            <w:r w:rsidRPr="0056156A">
              <w:rPr>
                <w:rFonts w:eastAsia="Calibri" w:cs="Iskoola Pota"/>
                <w:b/>
              </w:rPr>
              <w:lastRenderedPageBreak/>
              <w:t>(output number)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9C2BF6" w:rsidRPr="0056156A" w:rsidTr="004206B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Confidentiality Decision number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  <w:tr w:rsidR="009C2BF6" w:rsidRPr="0056156A" w:rsidTr="004206B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Confidentiality Decision date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</w:tbl>
    <w:p w:rsidR="009C2BF6" w:rsidRPr="0056156A" w:rsidRDefault="009C2BF6" w:rsidP="009C2BF6">
      <w:pPr>
        <w:pStyle w:val="ManualHeading2"/>
        <w:rPr>
          <w:rFonts w:eastAsia="Times New Roman"/>
          <w:bCs/>
          <w:szCs w:val="24"/>
          <w:lang w:eastAsia="en-GB"/>
        </w:rPr>
      </w:pPr>
      <w:r w:rsidRPr="0056156A">
        <w:rPr>
          <w:rFonts w:eastAsia="Times New Roman"/>
          <w:bCs/>
          <w:szCs w:val="26"/>
        </w:rPr>
        <w:t>1.5.</w:t>
      </w:r>
      <w:r w:rsidRPr="0056156A">
        <w:rPr>
          <w:rFonts w:eastAsia="Times New Roman"/>
          <w:bCs/>
          <w:szCs w:val="26"/>
        </w:rPr>
        <w:tab/>
        <w:t>Additional responsible person(s) for the operation of the recycling installation</w:t>
      </w:r>
    </w:p>
    <w:tbl>
      <w:tblPr>
        <w:tblW w:w="822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1"/>
        <w:gridCol w:w="2443"/>
        <w:gridCol w:w="3517"/>
      </w:tblGrid>
      <w:tr w:rsidR="009C2BF6" w:rsidRPr="0056156A" w:rsidTr="004206BA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 xml:space="preserve">Name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</w:rPr>
            </w:pPr>
            <w:r w:rsidRPr="0056156A">
              <w:rPr>
                <w:rFonts w:eastAsia="Calibri" w:cs="Iskoola Pota"/>
                <w:b/>
              </w:rPr>
              <w:t>Position/Role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</w:rPr>
            </w:pPr>
            <w:r w:rsidRPr="0056156A">
              <w:rPr>
                <w:rFonts w:eastAsia="Calibri" w:cs="Iskoola Pota"/>
                <w:b/>
              </w:rPr>
              <w:t>contact details</w:t>
            </w:r>
          </w:p>
        </w:tc>
      </w:tr>
      <w:tr w:rsidR="009C2BF6" w:rsidRPr="0056156A" w:rsidTr="004206BA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</w:tbl>
    <w:p w:rsidR="009C2BF6" w:rsidRPr="0056156A" w:rsidRDefault="009C2BF6" w:rsidP="009C2BF6">
      <w:pPr>
        <w:pStyle w:val="ManualHeading1"/>
        <w:rPr>
          <w:rFonts w:eastAsia="Times New Roman"/>
          <w:bCs/>
          <w:smallCaps w:val="0"/>
          <w:szCs w:val="24"/>
          <w:lang w:eastAsia="en-GB"/>
        </w:rPr>
      </w:pPr>
      <w:r w:rsidRPr="0056156A">
        <w:rPr>
          <w:rFonts w:eastAsia="Times New Roman"/>
          <w:bCs/>
          <w:smallCaps w:val="0"/>
          <w:szCs w:val="28"/>
        </w:rPr>
        <w:t>2.</w:t>
      </w:r>
      <w:r w:rsidRPr="0056156A">
        <w:rPr>
          <w:rFonts w:eastAsia="Times New Roman"/>
          <w:bCs/>
          <w:smallCaps w:val="0"/>
          <w:szCs w:val="28"/>
        </w:rPr>
        <w:tab/>
        <w:t>Section 2: Operation of the recycling installation</w:t>
      </w:r>
    </w:p>
    <w:p w:rsidR="009C2BF6" w:rsidRPr="0056156A" w:rsidRDefault="009C2BF6" w:rsidP="009C2BF6">
      <w:pPr>
        <w:pStyle w:val="ManualHeading2"/>
        <w:rPr>
          <w:rFonts w:eastAsia="Times New Roman"/>
          <w:bCs/>
          <w:szCs w:val="26"/>
        </w:rPr>
      </w:pPr>
      <w:r w:rsidRPr="0056156A">
        <w:rPr>
          <w:rFonts w:eastAsia="Times New Roman"/>
          <w:bCs/>
          <w:szCs w:val="26"/>
        </w:rPr>
        <w:t>2.1.</w:t>
      </w:r>
      <w:r w:rsidRPr="0056156A">
        <w:rPr>
          <w:rFonts w:eastAsia="Times New Roman"/>
          <w:bCs/>
          <w:szCs w:val="26"/>
        </w:rPr>
        <w:tab/>
        <w:t>Written Statements</w:t>
      </w:r>
    </w:p>
    <w:p w:rsidR="009C2BF6" w:rsidRPr="0056156A" w:rsidRDefault="009C2BF6" w:rsidP="009C2BF6">
      <w:pPr>
        <w:pStyle w:val="Text1"/>
      </w:pPr>
      <w:r w:rsidRPr="0056156A">
        <w:t xml:space="preserve">A maximum of 3000 characters including spaces shall apply </w:t>
      </w:r>
      <w:proofErr w:type="gramStart"/>
      <w:r w:rsidRPr="0056156A">
        <w:t>both to sections 2.1.1 and 2.1.2</w:t>
      </w:r>
      <w:proofErr w:type="gramEnd"/>
      <w:r w:rsidRPr="0056156A">
        <w:t xml:space="preserve"> </w:t>
      </w:r>
    </w:p>
    <w:p w:rsidR="009C2BF6" w:rsidRPr="0056156A" w:rsidRDefault="009C2BF6" w:rsidP="009C2BF6">
      <w:pPr>
        <w:pStyle w:val="ManualHeading3"/>
      </w:pPr>
      <w:r w:rsidRPr="0056156A">
        <w:t>2.1.1</w:t>
      </w:r>
      <w:r w:rsidRPr="0056156A">
        <w:tab/>
        <w:t xml:space="preserve">Recyclers’ statement explaining the production and quality of the recycled plastic </w:t>
      </w:r>
    </w:p>
    <w:p w:rsidR="009C2BF6" w:rsidRPr="0056156A" w:rsidRDefault="009C2BF6" w:rsidP="009C2BF6">
      <w:pPr>
        <w:pStyle w:val="ManualHeading3"/>
        <w:rPr>
          <w:rFonts w:eastAsia="Times New Roman"/>
          <w:bCs/>
        </w:rPr>
      </w:pPr>
      <w:r w:rsidRPr="0056156A">
        <w:rPr>
          <w:rFonts w:eastAsia="Times New Roman"/>
          <w:bCs/>
        </w:rPr>
        <w:t>2.1.2.</w:t>
      </w:r>
      <w:r w:rsidRPr="0056156A">
        <w:rPr>
          <w:rFonts w:eastAsia="Times New Roman"/>
          <w:bCs/>
        </w:rPr>
        <w:tab/>
        <w:t>Recycler’s statement explaining correspondence to the authorised process</w:t>
      </w:r>
    </w:p>
    <w:p w:rsidR="009C2BF6" w:rsidRPr="0056156A" w:rsidRDefault="009C2BF6" w:rsidP="009C2BF6">
      <w:pPr>
        <w:pStyle w:val="Text1"/>
        <w:rPr>
          <w:rFonts w:eastAsia="Times New Roman"/>
          <w:color w:val="000000"/>
          <w:szCs w:val="24"/>
          <w:lang w:bidi="en-US"/>
        </w:rPr>
      </w:pPr>
      <w:r w:rsidRPr="0056156A">
        <w:rPr>
          <w:rFonts w:eastAsia="Times New Roman"/>
          <w:color w:val="000000"/>
          <w:szCs w:val="24"/>
          <w:lang w:bidi="en-US"/>
        </w:rPr>
        <w:t>This section is applicable only to authorised processes.</w:t>
      </w:r>
    </w:p>
    <w:p w:rsidR="009C2BF6" w:rsidRPr="0056156A" w:rsidRDefault="009C2BF6" w:rsidP="009C2BF6">
      <w:pPr>
        <w:pStyle w:val="ManualHeading2"/>
        <w:rPr>
          <w:rFonts w:eastAsia="Times New Roman"/>
          <w:bCs/>
          <w:szCs w:val="24"/>
          <w:lang w:eastAsia="en-GB"/>
        </w:rPr>
      </w:pPr>
      <w:r w:rsidRPr="0056156A">
        <w:rPr>
          <w:rFonts w:eastAsia="Times New Roman"/>
          <w:bCs/>
          <w:szCs w:val="26"/>
        </w:rPr>
        <w:t>2.2</w:t>
      </w:r>
      <w:r w:rsidRPr="0056156A">
        <w:rPr>
          <w:rFonts w:eastAsia="Times New Roman"/>
          <w:bCs/>
          <w:szCs w:val="26"/>
        </w:rPr>
        <w:tab/>
        <w:t>Recycling operations at the recycling facility</w:t>
      </w:r>
    </w:p>
    <w:p w:rsidR="009C2BF6" w:rsidRPr="0056156A" w:rsidRDefault="009C2BF6" w:rsidP="009C2BF6">
      <w:pPr>
        <w:pStyle w:val="Text1"/>
        <w:rPr>
          <w:rFonts w:eastAsia="Times New Roman"/>
          <w:bCs/>
          <w:szCs w:val="26"/>
        </w:rPr>
      </w:pPr>
      <w:r w:rsidRPr="0056156A">
        <w:rPr>
          <w:rFonts w:eastAsia="Times New Roman"/>
          <w:bCs/>
          <w:szCs w:val="26"/>
        </w:rPr>
        <w:t xml:space="preserve">The following information </w:t>
      </w:r>
      <w:proofErr w:type="gramStart"/>
      <w:r w:rsidRPr="0056156A">
        <w:rPr>
          <w:rFonts w:eastAsia="Times New Roman"/>
          <w:bCs/>
          <w:szCs w:val="26"/>
        </w:rPr>
        <w:t>shall be provided</w:t>
      </w:r>
      <w:proofErr w:type="gramEnd"/>
      <w:r w:rsidRPr="0056156A">
        <w:rPr>
          <w:rFonts w:eastAsia="Times New Roman"/>
          <w:bCs/>
          <w:szCs w:val="26"/>
        </w:rPr>
        <w:t xml:space="preserve"> in this section:</w:t>
      </w:r>
    </w:p>
    <w:p w:rsidR="009C2BF6" w:rsidRPr="0056156A" w:rsidRDefault="009C2BF6" w:rsidP="009C2BF6">
      <w:pPr>
        <w:pStyle w:val="Tiret1"/>
        <w:rPr>
          <w:lang w:eastAsia="en-GB"/>
        </w:rPr>
      </w:pPr>
      <w:r w:rsidRPr="0056156A">
        <w:rPr>
          <w:lang w:eastAsia="en-GB"/>
        </w:rPr>
        <w:t xml:space="preserve">A diagram of the main manufacturing stages that are part of the recycling process and which are </w:t>
      </w:r>
      <w:r>
        <w:rPr>
          <w:lang w:eastAsia="en-GB"/>
        </w:rPr>
        <w:t>carried out</w:t>
      </w:r>
      <w:r w:rsidRPr="0056156A">
        <w:rPr>
          <w:lang w:eastAsia="en-GB"/>
        </w:rPr>
        <w:t xml:space="preserve"> </w:t>
      </w:r>
      <w:r>
        <w:rPr>
          <w:lang w:eastAsia="en-GB"/>
        </w:rPr>
        <w:t xml:space="preserve">at </w:t>
      </w:r>
      <w:r w:rsidRPr="0056156A">
        <w:rPr>
          <w:lang w:eastAsia="en-GB"/>
        </w:rPr>
        <w:t>the recycling facility</w:t>
      </w:r>
      <w:r>
        <w:rPr>
          <w:lang w:eastAsia="en-GB"/>
        </w:rPr>
        <w:t xml:space="preserve"> (‘site diagram’)</w:t>
      </w:r>
      <w:r w:rsidRPr="0056156A">
        <w:rPr>
          <w:lang w:eastAsia="en-GB"/>
        </w:rPr>
        <w:t>;</w:t>
      </w:r>
    </w:p>
    <w:p w:rsidR="009C2BF6" w:rsidRPr="0056156A" w:rsidRDefault="009C2BF6" w:rsidP="009C2BF6">
      <w:pPr>
        <w:pStyle w:val="Tiret1"/>
        <w:rPr>
          <w:rFonts w:eastAsia="Calibri"/>
          <w:b/>
          <w:bCs/>
          <w:szCs w:val="24"/>
          <w:lang w:eastAsia="en-GB"/>
        </w:rPr>
      </w:pPr>
      <w:r w:rsidRPr="0056156A">
        <w:rPr>
          <w:rFonts w:eastAsia="Calibri"/>
          <w:bCs/>
          <w:szCs w:val="24"/>
          <w:lang w:eastAsia="en-GB"/>
        </w:rPr>
        <w:t xml:space="preserve">A table describing those manufacturing stages and the material streams connecting them </w:t>
      </w:r>
      <w:r>
        <w:rPr>
          <w:rFonts w:eastAsia="Calibri"/>
          <w:bCs/>
          <w:szCs w:val="24"/>
          <w:lang w:eastAsia="en-GB"/>
        </w:rPr>
        <w:t>carried out</w:t>
      </w:r>
      <w:r w:rsidRPr="0056156A">
        <w:rPr>
          <w:rFonts w:eastAsia="Calibri"/>
          <w:bCs/>
          <w:szCs w:val="24"/>
          <w:lang w:eastAsia="en-GB"/>
        </w:rPr>
        <w:t xml:space="preserve"> at the recycling facility and corresponding to that diagram.</w:t>
      </w:r>
    </w:p>
    <w:p w:rsidR="009C2BF6" w:rsidRPr="0056156A" w:rsidRDefault="009C2BF6" w:rsidP="009C2BF6">
      <w:pPr>
        <w:pStyle w:val="ManualHeading3"/>
        <w:rPr>
          <w:rFonts w:eastAsia="Times New Roman"/>
          <w:bCs/>
        </w:rPr>
      </w:pPr>
      <w:r w:rsidRPr="0056156A">
        <w:rPr>
          <w:rFonts w:eastAsia="Times New Roman"/>
          <w:bCs/>
        </w:rPr>
        <w:t>2.2.1.</w:t>
      </w:r>
      <w:r w:rsidRPr="0056156A">
        <w:rPr>
          <w:rFonts w:eastAsia="Times New Roman"/>
          <w:bCs/>
        </w:rPr>
        <w:tab/>
        <w:t xml:space="preserve">Diagram of the main manufacturing stages </w:t>
      </w:r>
      <w:r>
        <w:rPr>
          <w:rFonts w:eastAsia="Times New Roman"/>
          <w:bCs/>
        </w:rPr>
        <w:t>carried out at</w:t>
      </w:r>
      <w:r w:rsidRPr="0056156A">
        <w:rPr>
          <w:rFonts w:eastAsia="Times New Roman"/>
          <w:bCs/>
        </w:rPr>
        <w:t xml:space="preserve"> the recycling facility</w:t>
      </w:r>
      <w:r>
        <w:rPr>
          <w:rFonts w:eastAsia="Times New Roman"/>
          <w:bCs/>
        </w:rPr>
        <w:t xml:space="preserve"> (site diagram)</w:t>
      </w:r>
    </w:p>
    <w:p w:rsidR="009C2BF6" w:rsidRPr="0056156A" w:rsidRDefault="009C2BF6" w:rsidP="009C2BF6">
      <w:pPr>
        <w:pStyle w:val="ManualHeading3"/>
        <w:rPr>
          <w:rFonts w:eastAsia="Times New Roman"/>
          <w:bCs/>
        </w:rPr>
      </w:pPr>
      <w:r w:rsidRPr="0056156A">
        <w:rPr>
          <w:rFonts w:eastAsia="Times New Roman"/>
          <w:snapToGrid w:val="0"/>
          <w:szCs w:val="24"/>
          <w:lang w:eastAsia="en-GB"/>
        </w:rPr>
        <w:t>2.2.2.</w:t>
      </w:r>
      <w:r w:rsidRPr="0056156A">
        <w:rPr>
          <w:rFonts w:eastAsia="Times New Roman"/>
          <w:snapToGrid w:val="0"/>
          <w:szCs w:val="24"/>
          <w:lang w:eastAsia="en-GB"/>
        </w:rPr>
        <w:tab/>
        <w:t xml:space="preserve">Description of the main manufacturing stages </w:t>
      </w:r>
      <w:r>
        <w:rPr>
          <w:rFonts w:eastAsia="Times New Roman"/>
          <w:snapToGrid w:val="0"/>
          <w:szCs w:val="24"/>
          <w:lang w:eastAsia="en-GB"/>
        </w:rPr>
        <w:t>carried out at</w:t>
      </w:r>
      <w:r w:rsidRPr="0056156A">
        <w:rPr>
          <w:rFonts w:eastAsia="Times New Roman"/>
          <w:snapToGrid w:val="0"/>
          <w:szCs w:val="24"/>
          <w:lang w:eastAsia="en-GB"/>
        </w:rPr>
        <w:t xml:space="preserve"> the recycling facility and the streams connecting them</w:t>
      </w: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1677"/>
        <w:gridCol w:w="4626"/>
        <w:gridCol w:w="2036"/>
      </w:tblGrid>
      <w:tr w:rsidR="009C2BF6" w:rsidRPr="0056156A" w:rsidTr="004206BA">
        <w:tc>
          <w:tcPr>
            <w:tcW w:w="594" w:type="pct"/>
            <w:shd w:val="clear" w:color="auto" w:fill="auto"/>
          </w:tcPr>
          <w:p w:rsidR="009C2BF6" w:rsidRPr="0056156A" w:rsidRDefault="009C2BF6" w:rsidP="004206BA">
            <w:pPr>
              <w:spacing w:before="40" w:after="4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156A">
              <w:rPr>
                <w:rFonts w:eastAsia="Calibri"/>
                <w:b/>
                <w:sz w:val="20"/>
                <w:szCs w:val="20"/>
              </w:rPr>
              <w:t>Stage Number</w:t>
            </w:r>
          </w:p>
        </w:tc>
        <w:tc>
          <w:tcPr>
            <w:tcW w:w="886" w:type="pct"/>
            <w:shd w:val="clear" w:color="auto" w:fill="auto"/>
          </w:tcPr>
          <w:p w:rsidR="009C2BF6" w:rsidRPr="0056156A" w:rsidRDefault="009C2BF6" w:rsidP="004206BA">
            <w:pPr>
              <w:spacing w:before="40" w:after="4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156A">
              <w:rPr>
                <w:rFonts w:eastAsia="Calibri"/>
                <w:b/>
                <w:sz w:val="20"/>
                <w:szCs w:val="20"/>
              </w:rPr>
              <w:t>Name</w:t>
            </w:r>
          </w:p>
        </w:tc>
        <w:tc>
          <w:tcPr>
            <w:tcW w:w="2444" w:type="pct"/>
            <w:shd w:val="clear" w:color="auto" w:fill="auto"/>
          </w:tcPr>
          <w:p w:rsidR="009C2BF6" w:rsidRPr="0056156A" w:rsidDel="002473C3" w:rsidRDefault="009C2BF6" w:rsidP="004206BA">
            <w:pPr>
              <w:spacing w:before="40" w:after="4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56156A">
              <w:rPr>
                <w:rFonts w:eastAsia="Calibri"/>
                <w:b/>
                <w:sz w:val="20"/>
                <w:szCs w:val="20"/>
              </w:rPr>
              <w:t>Descripion</w:t>
            </w:r>
            <w:proofErr w:type="spellEnd"/>
          </w:p>
        </w:tc>
        <w:tc>
          <w:tcPr>
            <w:tcW w:w="1076" w:type="pct"/>
          </w:tcPr>
          <w:p w:rsidR="009C2BF6" w:rsidRPr="0056156A" w:rsidRDefault="009C2BF6" w:rsidP="004206BA">
            <w:pPr>
              <w:spacing w:before="40" w:after="4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156A">
              <w:rPr>
                <w:rFonts w:eastAsia="Calibri"/>
                <w:b/>
                <w:sz w:val="20"/>
                <w:szCs w:val="20"/>
              </w:rPr>
              <w:t>Average Processed Tonnage</w:t>
            </w:r>
            <w:r>
              <w:rPr>
                <w:rFonts w:eastAsia="Calibri"/>
                <w:b/>
                <w:sz w:val="20"/>
                <w:szCs w:val="20"/>
              </w:rPr>
              <w:t xml:space="preserve"> per year</w:t>
            </w:r>
          </w:p>
        </w:tc>
      </w:tr>
      <w:tr w:rsidR="009C2BF6" w:rsidRPr="0056156A" w:rsidTr="004206BA">
        <w:tc>
          <w:tcPr>
            <w:tcW w:w="594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886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2444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1076" w:type="pct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9C2BF6" w:rsidRPr="0056156A" w:rsidTr="004206BA">
        <w:tc>
          <w:tcPr>
            <w:tcW w:w="594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886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2444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1076" w:type="pct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9C2BF6" w:rsidRPr="0056156A" w:rsidTr="004206BA">
        <w:tc>
          <w:tcPr>
            <w:tcW w:w="594" w:type="pct"/>
            <w:shd w:val="clear" w:color="auto" w:fill="auto"/>
          </w:tcPr>
          <w:p w:rsidR="009C2BF6" w:rsidRPr="0056156A" w:rsidRDefault="009C2BF6" w:rsidP="004206BA">
            <w:pPr>
              <w:spacing w:before="40" w:after="40" w:line="276" w:lineRule="auto"/>
              <w:jc w:val="left"/>
              <w:rPr>
                <w:rFonts w:eastAsia="Calibri"/>
                <w:sz w:val="20"/>
                <w:szCs w:val="20"/>
              </w:rPr>
            </w:pPr>
            <w:r w:rsidRPr="0056156A">
              <w:rPr>
                <w:rFonts w:eastAsia="Calibri"/>
                <w:b/>
                <w:sz w:val="20"/>
                <w:szCs w:val="20"/>
              </w:rPr>
              <w:t>Stream Number</w:t>
            </w:r>
          </w:p>
        </w:tc>
        <w:tc>
          <w:tcPr>
            <w:tcW w:w="886" w:type="pct"/>
            <w:shd w:val="clear" w:color="auto" w:fill="auto"/>
          </w:tcPr>
          <w:p w:rsidR="009C2BF6" w:rsidRPr="0056156A" w:rsidRDefault="009C2BF6" w:rsidP="004206BA">
            <w:pPr>
              <w:spacing w:before="40" w:after="40" w:line="276" w:lineRule="auto"/>
              <w:jc w:val="left"/>
              <w:rPr>
                <w:rFonts w:eastAsia="Calibri"/>
                <w:sz w:val="20"/>
                <w:szCs w:val="20"/>
              </w:rPr>
            </w:pPr>
            <w:r w:rsidRPr="0056156A">
              <w:rPr>
                <w:rFonts w:eastAsia="Calibri"/>
                <w:b/>
                <w:sz w:val="20"/>
                <w:szCs w:val="20"/>
              </w:rPr>
              <w:t>Name</w:t>
            </w:r>
          </w:p>
        </w:tc>
        <w:tc>
          <w:tcPr>
            <w:tcW w:w="2444" w:type="pct"/>
            <w:shd w:val="clear" w:color="auto" w:fill="auto"/>
          </w:tcPr>
          <w:p w:rsidR="009C2BF6" w:rsidRPr="0056156A" w:rsidRDefault="009C2BF6" w:rsidP="004206BA">
            <w:pPr>
              <w:spacing w:before="40" w:after="40" w:line="276" w:lineRule="auto"/>
              <w:jc w:val="left"/>
              <w:rPr>
                <w:rFonts w:eastAsia="Calibri"/>
                <w:sz w:val="20"/>
                <w:szCs w:val="20"/>
              </w:rPr>
            </w:pPr>
            <w:r w:rsidRPr="0056156A">
              <w:rPr>
                <w:rFonts w:eastAsia="Calibri"/>
                <w:b/>
                <w:sz w:val="20"/>
                <w:szCs w:val="20"/>
              </w:rPr>
              <w:t>Description</w:t>
            </w:r>
          </w:p>
        </w:tc>
        <w:tc>
          <w:tcPr>
            <w:tcW w:w="1076" w:type="pct"/>
          </w:tcPr>
          <w:p w:rsidR="009C2BF6" w:rsidRPr="0056156A" w:rsidRDefault="009C2BF6" w:rsidP="004206BA">
            <w:pPr>
              <w:spacing w:before="40" w:after="40" w:line="276" w:lineRule="auto"/>
              <w:jc w:val="left"/>
              <w:rPr>
                <w:rFonts w:eastAsia="Calibri"/>
                <w:sz w:val="20"/>
                <w:szCs w:val="20"/>
              </w:rPr>
            </w:pPr>
            <w:r w:rsidRPr="0056156A">
              <w:rPr>
                <w:rFonts w:eastAsia="Calibri"/>
                <w:b/>
                <w:sz w:val="20"/>
                <w:szCs w:val="20"/>
              </w:rPr>
              <w:t>Average Stream size</w:t>
            </w:r>
          </w:p>
        </w:tc>
      </w:tr>
      <w:tr w:rsidR="009C2BF6" w:rsidRPr="0056156A" w:rsidTr="004206BA">
        <w:tc>
          <w:tcPr>
            <w:tcW w:w="594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886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2444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1076" w:type="pct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b/>
                <w:color w:val="7030A0"/>
                <w:sz w:val="22"/>
                <w:szCs w:val="24"/>
              </w:rPr>
            </w:pPr>
          </w:p>
        </w:tc>
      </w:tr>
      <w:tr w:rsidR="009C2BF6" w:rsidRPr="0056156A" w:rsidTr="004206BA">
        <w:tc>
          <w:tcPr>
            <w:tcW w:w="594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886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2444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1076" w:type="pct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</w:tbl>
    <w:p w:rsidR="009C2BF6" w:rsidRPr="0056156A" w:rsidRDefault="009C2BF6" w:rsidP="009C2BF6">
      <w:pPr>
        <w:spacing w:before="0" w:after="200" w:line="276" w:lineRule="auto"/>
        <w:jc w:val="left"/>
        <w:rPr>
          <w:rFonts w:ascii="Calibri" w:eastAsia="Calibri" w:hAnsi="Calibri"/>
          <w:sz w:val="22"/>
        </w:rPr>
      </w:pPr>
    </w:p>
    <w:p w:rsidR="009C2BF6" w:rsidRPr="0056156A" w:rsidRDefault="009C2BF6" w:rsidP="009C2BF6">
      <w:pPr>
        <w:pStyle w:val="ManualHeading2"/>
        <w:rPr>
          <w:rFonts w:eastAsia="Times New Roman"/>
          <w:bCs/>
          <w:szCs w:val="26"/>
        </w:rPr>
      </w:pPr>
      <w:r w:rsidRPr="0056156A">
        <w:rPr>
          <w:rFonts w:eastAsia="Times New Roman"/>
          <w:bCs/>
          <w:szCs w:val="26"/>
        </w:rPr>
        <w:lastRenderedPageBreak/>
        <w:t>2.3.</w:t>
      </w:r>
      <w:r w:rsidRPr="0056156A">
        <w:rPr>
          <w:rFonts w:eastAsia="Times New Roman"/>
          <w:bCs/>
          <w:szCs w:val="26"/>
        </w:rPr>
        <w:tab/>
        <w:t>Internal Documents</w:t>
      </w:r>
    </w:p>
    <w:p w:rsidR="009C2BF6" w:rsidRPr="0056156A" w:rsidRDefault="009C2BF6" w:rsidP="009C2BF6">
      <w:pPr>
        <w:pStyle w:val="Text1"/>
        <w:rPr>
          <w:rFonts w:eastAsia="Calibri"/>
        </w:rPr>
      </w:pPr>
      <w:r w:rsidRPr="0056156A">
        <w:rPr>
          <w:rFonts w:eastAsia="Calibri"/>
        </w:rPr>
        <w:t xml:space="preserve">Provide a comprehensive list of documents relevant to the operation of the process and quality management and other administrative procedures related thereto, as well as documents related to the authorisation. The documents </w:t>
      </w:r>
      <w:proofErr w:type="gramStart"/>
      <w:r w:rsidRPr="0056156A">
        <w:rPr>
          <w:rFonts w:eastAsia="Calibri"/>
        </w:rPr>
        <w:t>shall be numbered</w:t>
      </w:r>
      <w:proofErr w:type="gramEnd"/>
      <w:r w:rsidRPr="0056156A">
        <w:rPr>
          <w:rFonts w:eastAsia="Calibri"/>
        </w:rPr>
        <w:t xml:space="preserve"> and these numbers shall be used in section 3 to refer to these documents. The recycler</w:t>
      </w:r>
      <w:r w:rsidRPr="0056156A">
        <w:rPr>
          <w:rFonts w:eastAsia="Calibri"/>
          <w:i/>
        </w:rPr>
        <w:t xml:space="preserve"> </w:t>
      </w:r>
      <w:r w:rsidRPr="0056156A">
        <w:rPr>
          <w:rFonts w:eastAsia="Calibri"/>
        </w:rPr>
        <w:t>may apply its own numbering system.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157"/>
        <w:gridCol w:w="1641"/>
        <w:gridCol w:w="1641"/>
        <w:gridCol w:w="2072"/>
        <w:gridCol w:w="1908"/>
      </w:tblGrid>
      <w:tr w:rsidR="009C2BF6" w:rsidRPr="0056156A" w:rsidTr="004206BA">
        <w:tc>
          <w:tcPr>
            <w:tcW w:w="604" w:type="pct"/>
          </w:tcPr>
          <w:p w:rsidR="009C2BF6" w:rsidRPr="0056156A" w:rsidRDefault="009C2BF6" w:rsidP="004206BA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</w:pPr>
            <w:r w:rsidRPr="0056156A"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  <w:t>Document type</w:t>
            </w:r>
          </w:p>
        </w:tc>
        <w:tc>
          <w:tcPr>
            <w:tcW w:w="604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</w:pPr>
            <w:r w:rsidRPr="0056156A"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  <w:t>Document Number</w:t>
            </w:r>
          </w:p>
        </w:tc>
        <w:tc>
          <w:tcPr>
            <w:tcW w:w="857" w:type="pct"/>
          </w:tcPr>
          <w:p w:rsidR="009C2BF6" w:rsidRPr="0056156A" w:rsidRDefault="009C2BF6" w:rsidP="004206BA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</w:pPr>
            <w:r w:rsidRPr="0056156A"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  <w:t>Related production stage</w:t>
            </w:r>
          </w:p>
        </w:tc>
        <w:tc>
          <w:tcPr>
            <w:tcW w:w="857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</w:pPr>
            <w:r w:rsidRPr="0056156A"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  <w:t>Title</w:t>
            </w:r>
          </w:p>
        </w:tc>
        <w:tc>
          <w:tcPr>
            <w:tcW w:w="1082" w:type="pct"/>
            <w:shd w:val="clear" w:color="auto" w:fill="auto"/>
          </w:tcPr>
          <w:p w:rsidR="009C2BF6" w:rsidRPr="0056156A" w:rsidDel="002473C3" w:rsidRDefault="009C2BF6" w:rsidP="004206BA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</w:pPr>
            <w:r w:rsidRPr="0056156A"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  <w:t>Description</w:t>
            </w:r>
          </w:p>
        </w:tc>
        <w:tc>
          <w:tcPr>
            <w:tcW w:w="997" w:type="pct"/>
          </w:tcPr>
          <w:p w:rsidR="009C2BF6" w:rsidRPr="0056156A" w:rsidRDefault="009C2BF6" w:rsidP="004206BA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</w:pPr>
            <w:r w:rsidRPr="0056156A"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  <w:t>Date, version, author</w:t>
            </w:r>
          </w:p>
        </w:tc>
      </w:tr>
      <w:tr w:rsidR="009C2BF6" w:rsidRPr="0056156A" w:rsidTr="004206BA">
        <w:tc>
          <w:tcPr>
            <w:tcW w:w="604" w:type="pct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604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857" w:type="pct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857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082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997" w:type="pct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</w:tr>
      <w:tr w:rsidR="009C2BF6" w:rsidRPr="0056156A" w:rsidTr="004206BA">
        <w:tc>
          <w:tcPr>
            <w:tcW w:w="604" w:type="pct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604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857" w:type="pct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857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082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997" w:type="pct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</w:tr>
    </w:tbl>
    <w:p w:rsidR="009C2BF6" w:rsidRPr="0056156A" w:rsidRDefault="009C2BF6" w:rsidP="009C2BF6">
      <w:pPr>
        <w:rPr>
          <w:rFonts w:ascii="Calibri" w:eastAsia="Calibri" w:hAnsi="Calibri"/>
          <w:sz w:val="22"/>
        </w:rPr>
      </w:pPr>
    </w:p>
    <w:p w:rsidR="009C2BF6" w:rsidRPr="0056156A" w:rsidRDefault="009C2BF6" w:rsidP="009C2BF6">
      <w:pPr>
        <w:pStyle w:val="ManualHeading2"/>
        <w:rPr>
          <w:rFonts w:eastAsia="Times New Roman"/>
          <w:bCs/>
          <w:szCs w:val="26"/>
        </w:rPr>
      </w:pPr>
      <w:r w:rsidRPr="0056156A">
        <w:rPr>
          <w:rFonts w:eastAsia="Times New Roman"/>
          <w:bCs/>
          <w:szCs w:val="26"/>
        </w:rPr>
        <w:t>2.4.</w:t>
      </w:r>
      <w:r w:rsidRPr="0056156A">
        <w:rPr>
          <w:rFonts w:eastAsia="Times New Roman"/>
          <w:bCs/>
          <w:szCs w:val="26"/>
        </w:rPr>
        <w:tab/>
        <w:t>Batch definitions</w:t>
      </w:r>
    </w:p>
    <w:p w:rsidR="009C2BF6" w:rsidRPr="0056156A" w:rsidRDefault="009C2BF6" w:rsidP="009C2BF6">
      <w:pPr>
        <w:pStyle w:val="Text1"/>
        <w:rPr>
          <w:rFonts w:eastAsia="Times New Roman"/>
          <w:snapToGrid w:val="0"/>
          <w:szCs w:val="24"/>
          <w:lang w:eastAsia="en-GB"/>
        </w:rPr>
      </w:pPr>
      <w:r w:rsidRPr="0056156A">
        <w:rPr>
          <w:rFonts w:eastAsia="Times New Roman"/>
          <w:snapToGrid w:val="0"/>
          <w:szCs w:val="24"/>
          <w:lang w:eastAsia="en-GB"/>
        </w:rPr>
        <w:t xml:space="preserve">The following batches </w:t>
      </w:r>
      <w:proofErr w:type="gramStart"/>
      <w:r w:rsidRPr="0056156A">
        <w:rPr>
          <w:rFonts w:eastAsia="Times New Roman"/>
          <w:snapToGrid w:val="0"/>
          <w:szCs w:val="24"/>
          <w:lang w:eastAsia="en-GB"/>
        </w:rPr>
        <w:t>shall be defined</w:t>
      </w:r>
      <w:proofErr w:type="gramEnd"/>
      <w:r w:rsidRPr="0056156A">
        <w:rPr>
          <w:rFonts w:eastAsia="Times New Roman"/>
          <w:snapToGrid w:val="0"/>
          <w:szCs w:val="24"/>
          <w:lang w:eastAsia="en-GB"/>
        </w:rPr>
        <w:t xml:space="preserve"> in accordance with the table below:</w:t>
      </w:r>
    </w:p>
    <w:p w:rsidR="009C2BF6" w:rsidRPr="0056156A" w:rsidRDefault="009C2BF6" w:rsidP="009C2BF6">
      <w:pPr>
        <w:pStyle w:val="Tiret1"/>
        <w:rPr>
          <w:snapToGrid w:val="0"/>
          <w:lang w:eastAsia="en-GB"/>
        </w:rPr>
      </w:pPr>
      <w:r w:rsidRPr="0056156A">
        <w:rPr>
          <w:b/>
          <w:snapToGrid w:val="0"/>
          <w:lang w:eastAsia="en-GB"/>
        </w:rPr>
        <w:t>Entry Batch</w:t>
      </w:r>
      <w:r w:rsidRPr="0056156A">
        <w:rPr>
          <w:snapToGrid w:val="0"/>
          <w:lang w:eastAsia="en-GB"/>
        </w:rPr>
        <w:t>: the unprocessed plastic entering the recycling facility from suppliers;</w:t>
      </w:r>
    </w:p>
    <w:p w:rsidR="009C2BF6" w:rsidRPr="0056156A" w:rsidRDefault="009C2BF6" w:rsidP="009C2BF6">
      <w:pPr>
        <w:pStyle w:val="Tiret1"/>
        <w:rPr>
          <w:rFonts w:eastAsia="Times New Roman"/>
          <w:snapToGrid w:val="0"/>
          <w:szCs w:val="24"/>
          <w:lang w:eastAsia="en-GB"/>
        </w:rPr>
      </w:pPr>
      <w:r w:rsidRPr="0056156A">
        <w:rPr>
          <w:rFonts w:eastAsia="Times New Roman"/>
          <w:b/>
          <w:snapToGrid w:val="0"/>
          <w:szCs w:val="24"/>
          <w:lang w:eastAsia="en-GB"/>
        </w:rPr>
        <w:t>Input Batch</w:t>
      </w:r>
      <w:r w:rsidRPr="0056156A">
        <w:rPr>
          <w:rFonts w:eastAsia="Times New Roman"/>
          <w:snapToGrid w:val="0"/>
          <w:szCs w:val="24"/>
          <w:lang w:eastAsia="en-GB"/>
        </w:rPr>
        <w:t>: input plastic processed at the facility entered at the decontamination stage;</w:t>
      </w:r>
    </w:p>
    <w:p w:rsidR="009C2BF6" w:rsidRPr="0056156A" w:rsidRDefault="009C2BF6" w:rsidP="009C2BF6">
      <w:pPr>
        <w:pStyle w:val="Tiret1"/>
        <w:rPr>
          <w:rFonts w:eastAsia="Times New Roman"/>
          <w:snapToGrid w:val="0"/>
          <w:szCs w:val="24"/>
          <w:lang w:eastAsia="en-GB"/>
        </w:rPr>
      </w:pPr>
      <w:r w:rsidRPr="0056156A">
        <w:rPr>
          <w:rFonts w:eastAsia="Times New Roman"/>
          <w:b/>
          <w:snapToGrid w:val="0"/>
          <w:szCs w:val="24"/>
          <w:lang w:eastAsia="en-GB"/>
        </w:rPr>
        <w:t>Output Batch</w:t>
      </w:r>
      <w:r w:rsidRPr="0056156A">
        <w:rPr>
          <w:rFonts w:eastAsia="Times New Roman"/>
          <w:snapToGrid w:val="0"/>
          <w:szCs w:val="24"/>
          <w:lang w:eastAsia="en-GB"/>
        </w:rPr>
        <w:t>: the recycled plastic resulting from the decontamination stage; and,</w:t>
      </w:r>
    </w:p>
    <w:p w:rsidR="009C2BF6" w:rsidRPr="0056156A" w:rsidRDefault="009C2BF6" w:rsidP="009C2BF6">
      <w:pPr>
        <w:pStyle w:val="Tiret1"/>
        <w:rPr>
          <w:rFonts w:eastAsia="Times New Roman"/>
          <w:snapToGrid w:val="0"/>
          <w:szCs w:val="24"/>
          <w:lang w:eastAsia="en-GB"/>
        </w:rPr>
      </w:pPr>
      <w:r w:rsidRPr="0056156A">
        <w:rPr>
          <w:rFonts w:eastAsia="Times New Roman"/>
          <w:b/>
          <w:snapToGrid w:val="0"/>
          <w:szCs w:val="24"/>
          <w:lang w:eastAsia="en-GB"/>
        </w:rPr>
        <w:t>Exit Batch</w:t>
      </w:r>
      <w:r w:rsidRPr="0056156A">
        <w:rPr>
          <w:rFonts w:eastAsia="Times New Roman"/>
          <w:snapToGrid w:val="0"/>
          <w:szCs w:val="24"/>
          <w:lang w:eastAsia="en-GB"/>
        </w:rPr>
        <w:t>: the recycled plastic (or recycled plastic materials and articles) leaving the facility for further processing or use.</w:t>
      </w:r>
    </w:p>
    <w:p w:rsidR="009C2BF6" w:rsidRPr="0056156A" w:rsidRDefault="009C2BF6" w:rsidP="009C2BF6">
      <w:pPr>
        <w:pStyle w:val="Tiret1"/>
        <w:rPr>
          <w:rFonts w:eastAsia="Times New Roman"/>
          <w:snapToGrid w:val="0"/>
          <w:szCs w:val="24"/>
          <w:lang w:eastAsia="en-GB"/>
        </w:rPr>
      </w:pPr>
      <w:r w:rsidRPr="0056156A">
        <w:rPr>
          <w:rFonts w:eastAsia="Times New Roman"/>
          <w:snapToGrid w:val="0"/>
          <w:szCs w:val="24"/>
          <w:lang w:eastAsia="en-GB"/>
        </w:rPr>
        <w:t>Any other intermediate batches corresponding to a QA check.</w:t>
      </w:r>
    </w:p>
    <w:p w:rsidR="009C2BF6" w:rsidRPr="0056156A" w:rsidRDefault="009C2BF6" w:rsidP="009C2BF6">
      <w:pPr>
        <w:pStyle w:val="Text1"/>
        <w:rPr>
          <w:rFonts w:eastAsia="Times New Roman"/>
          <w:snapToGrid w:val="0"/>
          <w:szCs w:val="24"/>
          <w:lang w:eastAsia="en-GB"/>
        </w:rPr>
      </w:pPr>
      <w:r w:rsidRPr="0056156A">
        <w:rPr>
          <w:rFonts w:eastAsia="Times New Roman"/>
          <w:snapToGrid w:val="0"/>
          <w:szCs w:val="24"/>
          <w:lang w:eastAsia="en-GB"/>
        </w:rPr>
        <w:t xml:space="preserve">Where either the entry or input batch is the same because no further QA checks take place, only the input batch </w:t>
      </w:r>
      <w:proofErr w:type="gramStart"/>
      <w:r w:rsidRPr="0056156A">
        <w:rPr>
          <w:rFonts w:eastAsia="Times New Roman"/>
          <w:snapToGrid w:val="0"/>
          <w:szCs w:val="24"/>
          <w:lang w:eastAsia="en-GB"/>
        </w:rPr>
        <w:t>shall be defined</w:t>
      </w:r>
      <w:proofErr w:type="gramEnd"/>
      <w:r w:rsidRPr="0056156A">
        <w:rPr>
          <w:rFonts w:eastAsia="Times New Roman"/>
          <w:snapToGrid w:val="0"/>
          <w:szCs w:val="24"/>
          <w:lang w:eastAsia="en-GB"/>
        </w:rPr>
        <w:t xml:space="preserve">. The same approach </w:t>
      </w:r>
      <w:proofErr w:type="gramStart"/>
      <w:r w:rsidRPr="0056156A">
        <w:rPr>
          <w:rFonts w:eastAsia="Times New Roman"/>
          <w:snapToGrid w:val="0"/>
          <w:szCs w:val="24"/>
          <w:lang w:eastAsia="en-GB"/>
        </w:rPr>
        <w:t>shall be used</w:t>
      </w:r>
      <w:proofErr w:type="gramEnd"/>
      <w:r w:rsidRPr="0056156A">
        <w:rPr>
          <w:rFonts w:eastAsia="Times New Roman"/>
          <w:snapToGrid w:val="0"/>
          <w:szCs w:val="24"/>
          <w:lang w:eastAsia="en-GB"/>
        </w:rPr>
        <w:t xml:space="preserve"> for the output and exit batches. Where there are different types of entry and or exit batches, these shall </w:t>
      </w:r>
      <w:proofErr w:type="gramStart"/>
      <w:r w:rsidRPr="0056156A">
        <w:rPr>
          <w:rFonts w:eastAsia="Times New Roman"/>
          <w:snapToGrid w:val="0"/>
          <w:szCs w:val="24"/>
          <w:lang w:eastAsia="en-GB"/>
        </w:rPr>
        <w:t>be defined</w:t>
      </w:r>
      <w:proofErr w:type="gramEnd"/>
      <w:r w:rsidRPr="0056156A">
        <w:rPr>
          <w:rFonts w:eastAsia="Times New Roman"/>
          <w:snapToGrid w:val="0"/>
          <w:szCs w:val="24"/>
          <w:lang w:eastAsia="en-GB"/>
        </w:rPr>
        <w:t xml:space="preserve"> separately, and be given a meaningful name.</w:t>
      </w:r>
    </w:p>
    <w:p w:rsidR="009C2BF6" w:rsidRPr="0056156A" w:rsidRDefault="009C2BF6" w:rsidP="009C2BF6">
      <w:pPr>
        <w:pStyle w:val="Text1"/>
        <w:rPr>
          <w:rFonts w:eastAsia="Times New Roman"/>
          <w:snapToGrid w:val="0"/>
          <w:szCs w:val="24"/>
          <w:lang w:eastAsia="en-GB"/>
        </w:rPr>
      </w:pPr>
      <w:r w:rsidRPr="0056156A">
        <w:rPr>
          <w:rFonts w:eastAsia="Times New Roman"/>
          <w:snapToGrid w:val="0"/>
          <w:szCs w:val="24"/>
          <w:lang w:eastAsia="en-GB"/>
        </w:rPr>
        <w:t xml:space="preserve">The QA </w:t>
      </w:r>
      <w:proofErr w:type="gramStart"/>
      <w:r w:rsidRPr="0056156A">
        <w:rPr>
          <w:rFonts w:eastAsia="Times New Roman"/>
          <w:snapToGrid w:val="0"/>
          <w:szCs w:val="24"/>
          <w:lang w:eastAsia="en-GB"/>
        </w:rPr>
        <w:t>shall be numbered</w:t>
      </w:r>
      <w:proofErr w:type="gramEnd"/>
      <w:r w:rsidRPr="0056156A">
        <w:rPr>
          <w:rFonts w:eastAsia="Times New Roman"/>
          <w:snapToGrid w:val="0"/>
          <w:szCs w:val="24"/>
          <w:lang w:eastAsia="en-GB"/>
        </w:rPr>
        <w:t xml:space="preserve"> in the same way </w:t>
      </w:r>
      <w:r>
        <w:rPr>
          <w:rFonts w:eastAsia="Times New Roman"/>
          <w:snapToGrid w:val="0"/>
          <w:szCs w:val="24"/>
          <w:lang w:eastAsia="en-GB"/>
        </w:rPr>
        <w:t>a</w:t>
      </w:r>
      <w:r w:rsidRPr="0056156A">
        <w:rPr>
          <w:rFonts w:eastAsia="Times New Roman"/>
          <w:snapToGrid w:val="0"/>
          <w:szCs w:val="24"/>
          <w:lang w:eastAsia="en-GB"/>
        </w:rPr>
        <w:t>s in the site diagram (section 2.2.1)</w:t>
      </w:r>
    </w:p>
    <w:p w:rsidR="009C2BF6" w:rsidRPr="0056156A" w:rsidRDefault="009C2BF6" w:rsidP="009C2BF6">
      <w:pPr>
        <w:widowControl w:val="0"/>
        <w:spacing w:before="0" w:after="0"/>
        <w:rPr>
          <w:rFonts w:ascii="Calibri" w:eastAsia="Times New Roman" w:hAnsi="Calibri"/>
          <w:color w:val="1F4E79"/>
          <w:szCs w:val="24"/>
          <w:lang w:bidi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4"/>
        <w:gridCol w:w="1297"/>
        <w:gridCol w:w="1262"/>
        <w:gridCol w:w="2848"/>
        <w:gridCol w:w="1205"/>
        <w:gridCol w:w="1720"/>
      </w:tblGrid>
      <w:tr w:rsidR="009C2BF6" w:rsidRPr="0056156A" w:rsidTr="004206BA">
        <w:tc>
          <w:tcPr>
            <w:tcW w:w="650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</w:pPr>
            <w:r w:rsidRPr="0056156A"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  <w:t>Batch type</w:t>
            </w:r>
          </w:p>
        </w:tc>
        <w:tc>
          <w:tcPr>
            <w:tcW w:w="677" w:type="pct"/>
          </w:tcPr>
          <w:p w:rsidR="009C2BF6" w:rsidRPr="0056156A" w:rsidRDefault="009C2BF6" w:rsidP="004206BA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</w:pPr>
            <w:r w:rsidRPr="0056156A"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  <w:t>Internal</w:t>
            </w:r>
          </w:p>
          <w:p w:rsidR="009C2BF6" w:rsidRPr="0056156A" w:rsidRDefault="009C2BF6" w:rsidP="004206BA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</w:pPr>
            <w:r w:rsidRPr="0056156A"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  <w:t>Batch name</w:t>
            </w:r>
          </w:p>
        </w:tc>
        <w:tc>
          <w:tcPr>
            <w:tcW w:w="659" w:type="pct"/>
          </w:tcPr>
          <w:p w:rsidR="009C2BF6" w:rsidRPr="0056156A" w:rsidRDefault="009C2BF6" w:rsidP="004206BA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</w:pPr>
            <w:r w:rsidRPr="0056156A"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  <w:t>Stream/QA No.</w:t>
            </w:r>
          </w:p>
        </w:tc>
        <w:tc>
          <w:tcPr>
            <w:tcW w:w="1487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</w:pPr>
            <w:r w:rsidRPr="0056156A"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  <w:t>Definition/Description</w:t>
            </w:r>
          </w:p>
        </w:tc>
        <w:tc>
          <w:tcPr>
            <w:tcW w:w="629" w:type="pct"/>
            <w:shd w:val="clear" w:color="auto" w:fill="auto"/>
          </w:tcPr>
          <w:p w:rsidR="009C2BF6" w:rsidRPr="0056156A" w:rsidDel="002473C3" w:rsidRDefault="009C2BF6" w:rsidP="004206BA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</w:pPr>
            <w:r w:rsidRPr="0056156A"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  <w:t>Typical size range</w:t>
            </w:r>
          </w:p>
        </w:tc>
        <w:tc>
          <w:tcPr>
            <w:tcW w:w="898" w:type="pct"/>
          </w:tcPr>
          <w:p w:rsidR="009C2BF6" w:rsidRPr="0056156A" w:rsidRDefault="009C2BF6" w:rsidP="004206BA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</w:pPr>
            <w:r w:rsidRPr="0056156A">
              <w:rPr>
                <w:rFonts w:eastAsia="Times New Roman" w:cs="Iskoola Pota"/>
                <w:b/>
                <w:color w:val="000000"/>
                <w:sz w:val="20"/>
                <w:szCs w:val="20"/>
                <w:lang w:bidi="en-US"/>
              </w:rPr>
              <w:t>Traceability rule</w:t>
            </w:r>
          </w:p>
        </w:tc>
      </w:tr>
      <w:tr w:rsidR="009C2BF6" w:rsidRPr="0056156A" w:rsidTr="004206BA">
        <w:tc>
          <w:tcPr>
            <w:tcW w:w="650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677" w:type="pct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659" w:type="pct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487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629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898" w:type="pct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</w:tr>
      <w:tr w:rsidR="009C2BF6" w:rsidRPr="0056156A" w:rsidTr="004206BA">
        <w:tc>
          <w:tcPr>
            <w:tcW w:w="650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677" w:type="pct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659" w:type="pct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487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629" w:type="pct"/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898" w:type="pct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</w:tr>
    </w:tbl>
    <w:p w:rsidR="009C2BF6" w:rsidRPr="0056156A" w:rsidRDefault="009C2BF6" w:rsidP="009C2BF6">
      <w:pPr>
        <w:rPr>
          <w:rFonts w:ascii="Calibri" w:eastAsia="Calibri" w:hAnsi="Calibri"/>
          <w:sz w:val="22"/>
        </w:rPr>
      </w:pPr>
    </w:p>
    <w:p w:rsidR="009C2BF6" w:rsidRPr="0056156A" w:rsidRDefault="009C2BF6" w:rsidP="009C2BF6">
      <w:pPr>
        <w:pStyle w:val="ManualHeading2"/>
        <w:rPr>
          <w:rFonts w:eastAsia="Times New Roman"/>
          <w:bCs/>
          <w:szCs w:val="26"/>
        </w:rPr>
      </w:pPr>
      <w:r w:rsidRPr="0056156A">
        <w:rPr>
          <w:rFonts w:eastAsia="Times New Roman"/>
          <w:bCs/>
          <w:szCs w:val="26"/>
        </w:rPr>
        <w:t>2.5.</w:t>
      </w:r>
      <w:r w:rsidRPr="0056156A">
        <w:rPr>
          <w:rFonts w:eastAsia="Times New Roman"/>
          <w:bCs/>
          <w:szCs w:val="26"/>
        </w:rPr>
        <w:tab/>
        <w:t>Process diagram of the decontamination installation</w:t>
      </w:r>
    </w:p>
    <w:p w:rsidR="009C2BF6" w:rsidRPr="0056156A" w:rsidRDefault="009C2BF6" w:rsidP="009C2BF6">
      <w:pPr>
        <w:pStyle w:val="Text1"/>
        <w:rPr>
          <w:rFonts w:eastAsia="Calibri"/>
        </w:rPr>
      </w:pPr>
      <w:r w:rsidRPr="0056156A">
        <w:rPr>
          <w:rFonts w:eastAsia="Calibri"/>
        </w:rPr>
        <w:t>Add a piping and instrumentation diagram in accordance with section 4.4 of ISO 10628-1:2014, taking account of ISO 10628-2.</w:t>
      </w:r>
    </w:p>
    <w:p w:rsidR="009C2BF6" w:rsidRPr="0056156A" w:rsidRDefault="009C2BF6" w:rsidP="009C2BF6">
      <w:pPr>
        <w:pStyle w:val="ManualHeading2"/>
        <w:rPr>
          <w:rFonts w:eastAsia="Times New Roman"/>
          <w:bCs/>
          <w:szCs w:val="26"/>
        </w:rPr>
      </w:pPr>
      <w:r w:rsidRPr="0056156A">
        <w:rPr>
          <w:rFonts w:eastAsia="Times New Roman"/>
          <w:bCs/>
          <w:szCs w:val="26"/>
        </w:rPr>
        <w:t>2.6.</w:t>
      </w:r>
      <w:r w:rsidRPr="0056156A">
        <w:rPr>
          <w:rFonts w:eastAsia="Times New Roman"/>
          <w:bCs/>
          <w:szCs w:val="26"/>
        </w:rPr>
        <w:tab/>
        <w:t xml:space="preserve">Control of critical decontamination operations </w:t>
      </w:r>
    </w:p>
    <w:p w:rsidR="009C2BF6" w:rsidRPr="0056156A" w:rsidRDefault="009C2BF6" w:rsidP="009C2BF6">
      <w:pPr>
        <w:pStyle w:val="Text1"/>
        <w:rPr>
          <w:rFonts w:eastAsia="Calibri"/>
        </w:rPr>
      </w:pPr>
      <w:r w:rsidRPr="0056156A">
        <w:rPr>
          <w:rFonts w:eastAsia="Calibri"/>
        </w:rPr>
        <w:t xml:space="preserve">The table below shall include a reference to steps, stages, or operations that EFSA identified as critical, a control criterion for each critical parameter, the involved control </w:t>
      </w:r>
      <w:r w:rsidRPr="0056156A">
        <w:rPr>
          <w:rFonts w:eastAsia="Calibri"/>
        </w:rPr>
        <w:lastRenderedPageBreak/>
        <w:t xml:space="preserve">instruments, and the description of corrective actions in case the control criterion fails. Further information of the evaluation of complex control rules </w:t>
      </w:r>
      <w:proofErr w:type="gramStart"/>
      <w:r w:rsidRPr="0056156A">
        <w:rPr>
          <w:rFonts w:eastAsia="Calibri"/>
        </w:rPr>
        <w:t>shall be added</w:t>
      </w:r>
      <w:proofErr w:type="gramEnd"/>
      <w:r w:rsidRPr="0056156A">
        <w:rPr>
          <w:rFonts w:eastAsia="Calibri"/>
        </w:rPr>
        <w:t xml:space="preserve"> if relevant.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560"/>
        <w:gridCol w:w="3117"/>
        <w:gridCol w:w="1702"/>
      </w:tblGrid>
      <w:tr w:rsidR="009C2BF6" w:rsidRPr="0056156A" w:rsidTr="004206B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0"/>
              </w:rPr>
            </w:pPr>
            <w:r w:rsidRPr="0056156A">
              <w:rPr>
                <w:rFonts w:eastAsia="Calibri" w:cs="Iskoola Pota"/>
                <w:b/>
                <w:sz w:val="20"/>
              </w:rPr>
              <w:t>Critical operation (and ref to EFSA opinion)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0"/>
              </w:rPr>
            </w:pPr>
            <w:r w:rsidRPr="0056156A">
              <w:rPr>
                <w:rFonts w:eastAsia="Calibri" w:cs="Iskoola Pota"/>
                <w:b/>
                <w:sz w:val="20"/>
              </w:rPr>
              <w:t>Control criterion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i/>
                <w:sz w:val="20"/>
              </w:rPr>
            </w:pPr>
            <w:r w:rsidRPr="0056156A">
              <w:rPr>
                <w:rFonts w:eastAsia="Calibri" w:cs="Iskoola Pota"/>
                <w:b/>
                <w:sz w:val="20"/>
              </w:rPr>
              <w:t>Measuring or Control</w:t>
            </w:r>
            <w:r w:rsidRPr="0056156A">
              <w:rPr>
                <w:rFonts w:eastAsia="Calibri" w:cs="Iskoola Pota"/>
                <w:b/>
                <w:sz w:val="20"/>
              </w:rPr>
              <w:br/>
              <w:t>Instrument (reference to 2.5)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0"/>
              </w:rPr>
            </w:pPr>
            <w:r w:rsidRPr="0056156A">
              <w:rPr>
                <w:rFonts w:eastAsia="Calibri" w:cs="Iskoola Pota"/>
                <w:b/>
                <w:sz w:val="20"/>
              </w:rPr>
              <w:t>Short description of corrective actions if control rule is not met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0"/>
              </w:rPr>
            </w:pPr>
            <w:r w:rsidRPr="0056156A">
              <w:rPr>
                <w:rFonts w:eastAsia="Calibri" w:cs="Iskoola Pota"/>
                <w:b/>
                <w:sz w:val="20"/>
              </w:rPr>
              <w:t>SOP code</w:t>
            </w:r>
            <w:r w:rsidRPr="0056156A">
              <w:rPr>
                <w:rFonts w:eastAsia="Calibri" w:cs="Iskoola Pota"/>
                <w:b/>
                <w:sz w:val="20"/>
              </w:rPr>
              <w:br/>
              <w:t>(</w:t>
            </w:r>
            <w:proofErr w:type="spellStart"/>
            <w:r w:rsidRPr="0056156A">
              <w:rPr>
                <w:rFonts w:eastAsia="Calibri" w:cs="Iskoola Pota"/>
                <w:b/>
                <w:sz w:val="20"/>
              </w:rPr>
              <w:t>SOPNr</w:t>
            </w:r>
            <w:proofErr w:type="spellEnd"/>
            <w:r w:rsidRPr="0056156A">
              <w:rPr>
                <w:rFonts w:eastAsia="Calibri" w:cs="Iskoola Pota"/>
                <w:b/>
                <w:sz w:val="20"/>
              </w:rPr>
              <w:t xml:space="preserve"> – </w:t>
            </w:r>
            <w:proofErr w:type="spellStart"/>
            <w:r w:rsidRPr="0056156A">
              <w:rPr>
                <w:rFonts w:eastAsia="Calibri" w:cs="Iskoola Pota"/>
                <w:b/>
                <w:sz w:val="20"/>
              </w:rPr>
              <w:t>DocNr</w:t>
            </w:r>
            <w:proofErr w:type="spellEnd"/>
            <w:r w:rsidRPr="0056156A">
              <w:rPr>
                <w:rFonts w:eastAsia="Calibri" w:cs="Iskoola Pota"/>
                <w:b/>
                <w:sz w:val="20"/>
              </w:rPr>
              <w:t xml:space="preserve">) </w:t>
            </w:r>
          </w:p>
        </w:tc>
      </w:tr>
      <w:tr w:rsidR="009C2BF6" w:rsidRPr="0056156A" w:rsidTr="004206B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b/>
                <w:color w:val="7030A0"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</w:tr>
      <w:tr w:rsidR="009C2BF6" w:rsidRPr="0056156A" w:rsidTr="004206BA"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b/>
                <w:color w:val="7030A0"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</w:tr>
    </w:tbl>
    <w:p w:rsidR="009C2BF6" w:rsidRPr="0056156A" w:rsidRDefault="009C2BF6" w:rsidP="009C2BF6">
      <w:pPr>
        <w:pStyle w:val="ManualHeading3"/>
        <w:rPr>
          <w:rFonts w:eastAsia="Times New Roman"/>
          <w:bCs/>
        </w:rPr>
      </w:pPr>
      <w:r w:rsidRPr="0056156A">
        <w:rPr>
          <w:rFonts w:eastAsia="Times New Roman"/>
          <w:bCs/>
        </w:rPr>
        <w:t>2.6.1.</w:t>
      </w:r>
      <w:r w:rsidRPr="0056156A">
        <w:rPr>
          <w:rFonts w:eastAsia="Times New Roman"/>
          <w:bCs/>
        </w:rPr>
        <w:tab/>
        <w:t>Further information on complex control rules, where relevant</w:t>
      </w:r>
    </w:p>
    <w:p w:rsidR="009C2BF6" w:rsidRPr="0056156A" w:rsidRDefault="009C2BF6" w:rsidP="009C2BF6">
      <w:pPr>
        <w:pStyle w:val="ManualHeading2"/>
        <w:rPr>
          <w:rFonts w:eastAsia="Times New Roman"/>
          <w:bCs/>
          <w:szCs w:val="26"/>
        </w:rPr>
      </w:pPr>
      <w:r w:rsidRPr="0056156A">
        <w:rPr>
          <w:rFonts w:eastAsia="Times New Roman"/>
          <w:bCs/>
          <w:szCs w:val="26"/>
        </w:rPr>
        <w:t>2.7.</w:t>
      </w:r>
      <w:r w:rsidRPr="0056156A">
        <w:rPr>
          <w:rFonts w:eastAsia="Times New Roman"/>
          <w:bCs/>
          <w:szCs w:val="26"/>
        </w:rPr>
        <w:tab/>
        <w:t>Relevant standard operating procedure for Operation</w:t>
      </w:r>
    </w:p>
    <w:p w:rsidR="009C2BF6" w:rsidRPr="0056156A" w:rsidRDefault="009C2BF6" w:rsidP="009C2BF6">
      <w:pPr>
        <w:pStyle w:val="Text1"/>
        <w:rPr>
          <w:rFonts w:eastAsia="Calibri"/>
        </w:rPr>
      </w:pPr>
      <w:r w:rsidRPr="0056156A">
        <w:rPr>
          <w:rFonts w:eastAsia="Calibri"/>
        </w:rPr>
        <w:t xml:space="preserve">The table below shall provide a reference to each SOP used for the operation of the installation, provide a short description thereof, and indicate the location where it </w:t>
      </w:r>
      <w:proofErr w:type="gramStart"/>
      <w:r w:rsidRPr="0056156A">
        <w:rPr>
          <w:rFonts w:eastAsia="Calibri"/>
        </w:rPr>
        <w:t>is carried out</w:t>
      </w:r>
      <w:proofErr w:type="gramEnd"/>
      <w:r w:rsidRPr="0056156A">
        <w:rPr>
          <w:rFonts w:eastAsia="Calibri"/>
        </w:rPr>
        <w:t>.</w:t>
      </w:r>
    </w:p>
    <w:tbl>
      <w:tblPr>
        <w:tblW w:w="80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6"/>
        <w:gridCol w:w="4988"/>
        <w:gridCol w:w="1669"/>
      </w:tblGrid>
      <w:tr w:rsidR="009C2BF6" w:rsidRPr="0056156A" w:rsidTr="004206BA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2"/>
              </w:rPr>
            </w:pPr>
            <w:r w:rsidRPr="0056156A">
              <w:rPr>
                <w:rFonts w:eastAsia="Calibri" w:cs="Iskoola Pota"/>
                <w:sz w:val="20"/>
                <w:szCs w:val="20"/>
              </w:rPr>
              <w:t>SOP code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sz w:val="20"/>
                <w:szCs w:val="20"/>
              </w:rPr>
            </w:pPr>
            <w:r w:rsidRPr="0056156A">
              <w:rPr>
                <w:rFonts w:eastAsia="Calibri" w:cs="Iskoola Pota"/>
                <w:sz w:val="20"/>
                <w:szCs w:val="20"/>
              </w:rPr>
              <w:t>Short description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sz w:val="20"/>
                <w:szCs w:val="20"/>
              </w:rPr>
            </w:pPr>
            <w:r w:rsidRPr="0056156A">
              <w:rPr>
                <w:rFonts w:eastAsia="Calibri" w:cs="Iskoola Pota"/>
                <w:sz w:val="20"/>
                <w:szCs w:val="20"/>
              </w:rPr>
              <w:t>Location)</w:t>
            </w:r>
          </w:p>
        </w:tc>
      </w:tr>
      <w:tr w:rsidR="009C2BF6" w:rsidRPr="0056156A" w:rsidTr="004206BA">
        <w:trPr>
          <w:trHeight w:val="528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</w:tr>
    </w:tbl>
    <w:p w:rsidR="009C2BF6" w:rsidRPr="0056156A" w:rsidRDefault="009C2BF6" w:rsidP="009C2BF6">
      <w:pPr>
        <w:rPr>
          <w:rFonts w:eastAsia="Calibri"/>
          <w:szCs w:val="24"/>
          <w:lang w:eastAsia="en-GB"/>
        </w:rPr>
      </w:pPr>
    </w:p>
    <w:p w:rsidR="009C2BF6" w:rsidRPr="0056156A" w:rsidRDefault="009C2BF6" w:rsidP="009C2BF6">
      <w:pPr>
        <w:pStyle w:val="ManualHeading1"/>
        <w:rPr>
          <w:rFonts w:eastAsia="Times New Roman"/>
          <w:bCs/>
          <w:smallCaps w:val="0"/>
          <w:szCs w:val="28"/>
        </w:rPr>
      </w:pPr>
      <w:r w:rsidRPr="0056156A">
        <w:rPr>
          <w:rFonts w:eastAsia="Times New Roman"/>
          <w:bCs/>
          <w:smallCaps w:val="0"/>
          <w:szCs w:val="28"/>
        </w:rPr>
        <w:t>3.</w:t>
      </w:r>
      <w:r w:rsidRPr="0056156A">
        <w:rPr>
          <w:rFonts w:eastAsia="Times New Roman"/>
          <w:bCs/>
          <w:smallCaps w:val="0"/>
          <w:szCs w:val="28"/>
        </w:rPr>
        <w:tab/>
        <w:t xml:space="preserve">Section 3: </w:t>
      </w:r>
      <w:r w:rsidRPr="0056156A">
        <w:rPr>
          <w:smallCaps w:val="0"/>
        </w:rPr>
        <w:t>Quality Assessment</w:t>
      </w:r>
      <w:r w:rsidRPr="0056156A">
        <w:rPr>
          <w:rFonts w:eastAsia="Times New Roman"/>
          <w:bCs/>
          <w:smallCaps w:val="0"/>
          <w:szCs w:val="28"/>
        </w:rPr>
        <w:t xml:space="preserve"> </w:t>
      </w:r>
    </w:p>
    <w:p w:rsidR="009C2BF6" w:rsidRPr="0056156A" w:rsidRDefault="009C2BF6" w:rsidP="009C2BF6">
      <w:pPr>
        <w:pStyle w:val="ManualHeading2"/>
        <w:rPr>
          <w:rFonts w:eastAsia="Times New Roman"/>
          <w:bCs/>
          <w:szCs w:val="26"/>
        </w:rPr>
      </w:pPr>
      <w:r w:rsidRPr="0056156A">
        <w:rPr>
          <w:rFonts w:eastAsia="Times New Roman"/>
          <w:bCs/>
          <w:szCs w:val="26"/>
        </w:rPr>
        <w:t>3.1.</w:t>
      </w:r>
      <w:r w:rsidRPr="0056156A">
        <w:rPr>
          <w:rFonts w:eastAsia="Times New Roman"/>
          <w:bCs/>
          <w:szCs w:val="26"/>
        </w:rPr>
        <w:tab/>
        <w:t xml:space="preserve">List of quality assessment stages </w:t>
      </w:r>
    </w:p>
    <w:p w:rsidR="009C2BF6" w:rsidRPr="0056156A" w:rsidRDefault="009C2BF6" w:rsidP="009C2BF6">
      <w:pPr>
        <w:pStyle w:val="Text1"/>
        <w:rPr>
          <w:rFonts w:eastAsia="Calibri"/>
        </w:rPr>
      </w:pPr>
      <w:r w:rsidRPr="0056156A">
        <w:rPr>
          <w:rFonts w:eastAsia="Calibri"/>
        </w:rPr>
        <w:t xml:space="preserve">Each QA stage </w:t>
      </w:r>
      <w:proofErr w:type="gramStart"/>
      <w:r w:rsidRPr="0056156A">
        <w:rPr>
          <w:rFonts w:eastAsia="Calibri"/>
        </w:rPr>
        <w:t>shall be described</w:t>
      </w:r>
      <w:proofErr w:type="gramEnd"/>
      <w:r w:rsidRPr="0056156A">
        <w:rPr>
          <w:rFonts w:eastAsia="Calibri"/>
        </w:rPr>
        <w:t xml:space="preserve"> using the table below:</w:t>
      </w:r>
    </w:p>
    <w:tbl>
      <w:tblPr>
        <w:tblpPr w:leftFromText="180" w:rightFromText="180" w:vertAnchor="text" w:horzAnchor="margin" w:tblpY="25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1262"/>
        <w:gridCol w:w="3114"/>
        <w:gridCol w:w="1111"/>
        <w:gridCol w:w="1804"/>
        <w:gridCol w:w="1341"/>
      </w:tblGrid>
      <w:tr w:rsidR="009C2BF6" w:rsidRPr="0056156A" w:rsidTr="004206BA"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56156A">
              <w:rPr>
                <w:rFonts w:eastAsia="Calibri"/>
                <w:b/>
                <w:sz w:val="20"/>
                <w:szCs w:val="20"/>
              </w:rPr>
              <w:t>QA stage and number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56156A">
              <w:rPr>
                <w:rFonts w:eastAsia="Calibri"/>
                <w:b/>
                <w:sz w:val="20"/>
                <w:szCs w:val="20"/>
              </w:rPr>
              <w:t>Assessment name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56156A">
              <w:rPr>
                <w:rFonts w:eastAsia="Calibri"/>
                <w:b/>
                <w:sz w:val="20"/>
                <w:szCs w:val="20"/>
              </w:rPr>
              <w:t>Definition/Description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56156A">
              <w:rPr>
                <w:rFonts w:eastAsia="Calibri"/>
                <w:b/>
                <w:sz w:val="20"/>
                <w:szCs w:val="20"/>
              </w:rPr>
              <w:t>Criterion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56156A">
              <w:rPr>
                <w:rFonts w:eastAsia="Calibri"/>
                <w:b/>
                <w:sz w:val="20"/>
                <w:szCs w:val="20"/>
              </w:rPr>
              <w:t>Records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56156A">
              <w:rPr>
                <w:rFonts w:eastAsia="Calibri"/>
                <w:b/>
                <w:sz w:val="20"/>
                <w:szCs w:val="20"/>
                <w:lang w:val="en-IE"/>
              </w:rPr>
              <w:t>SOP Code</w:t>
            </w:r>
            <w:r w:rsidRPr="0056156A">
              <w:rPr>
                <w:rFonts w:eastAsia="Calibri" w:cs="Iskoola Pota"/>
                <w:b/>
                <w:sz w:val="20"/>
              </w:rPr>
              <w:br/>
              <w:t>(</w:t>
            </w:r>
            <w:proofErr w:type="spellStart"/>
            <w:r w:rsidRPr="0056156A">
              <w:rPr>
                <w:rFonts w:eastAsia="Calibri" w:cs="Iskoola Pota"/>
                <w:b/>
                <w:sz w:val="20"/>
              </w:rPr>
              <w:t>SOPNr</w:t>
            </w:r>
            <w:proofErr w:type="spellEnd"/>
            <w:r w:rsidRPr="0056156A">
              <w:rPr>
                <w:rFonts w:eastAsia="Calibri" w:cs="Iskoola Pota"/>
                <w:b/>
                <w:sz w:val="20"/>
              </w:rPr>
              <w:t xml:space="preserve"> – </w:t>
            </w:r>
            <w:proofErr w:type="spellStart"/>
            <w:r w:rsidRPr="0056156A">
              <w:rPr>
                <w:rFonts w:eastAsia="Calibri" w:cs="Iskoola Pota"/>
                <w:b/>
                <w:sz w:val="20"/>
              </w:rPr>
              <w:t>DocNr</w:t>
            </w:r>
            <w:proofErr w:type="spellEnd"/>
            <w:r w:rsidRPr="0056156A">
              <w:rPr>
                <w:rFonts w:eastAsia="Calibri" w:cs="Iskoola Pota"/>
                <w:b/>
                <w:sz w:val="20"/>
              </w:rPr>
              <w:t>)</w:t>
            </w:r>
          </w:p>
        </w:tc>
      </w:tr>
      <w:tr w:rsidR="009C2BF6" w:rsidRPr="0056156A" w:rsidTr="004206BA"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spacing w:before="40" w:after="40"/>
              <w:rPr>
                <w:rFonts w:eastAsia="Calibri" w:cs="Iskoola Pota"/>
                <w:sz w:val="20"/>
                <w:szCs w:val="20"/>
              </w:rPr>
            </w:pPr>
          </w:p>
        </w:tc>
      </w:tr>
    </w:tbl>
    <w:p w:rsidR="009C2BF6" w:rsidRPr="0056156A" w:rsidRDefault="009C2BF6" w:rsidP="009C2BF6">
      <w:pPr>
        <w:rPr>
          <w:rFonts w:eastAsia="Calibri"/>
        </w:rPr>
      </w:pPr>
    </w:p>
    <w:p w:rsidR="009C2BF6" w:rsidRPr="0056156A" w:rsidRDefault="009C2BF6" w:rsidP="009C2BF6">
      <w:pPr>
        <w:pStyle w:val="Text1"/>
        <w:rPr>
          <w:rFonts w:eastAsia="Calibri"/>
        </w:rPr>
      </w:pPr>
      <w:r w:rsidRPr="0056156A">
        <w:rPr>
          <w:rFonts w:eastAsia="Calibri"/>
        </w:rPr>
        <w:t>There shall be at least four stages (unless there is no difference between entry and input or output and exit – see section 2.4):</w:t>
      </w:r>
    </w:p>
    <w:p w:rsidR="009C2BF6" w:rsidRPr="0056156A" w:rsidRDefault="009C2BF6" w:rsidP="009C2BF6">
      <w:pPr>
        <w:pStyle w:val="Tiret1"/>
      </w:pPr>
      <w:r w:rsidRPr="0056156A">
        <w:t>entry stage (the first QA stage where the material enters the facility),</w:t>
      </w:r>
    </w:p>
    <w:p w:rsidR="009C2BF6" w:rsidRPr="0056156A" w:rsidRDefault="009C2BF6" w:rsidP="009C2BF6">
      <w:pPr>
        <w:pStyle w:val="Tiret1"/>
        <w:rPr>
          <w:rFonts w:eastAsia="Calibri"/>
        </w:rPr>
      </w:pPr>
      <w:r w:rsidRPr="0056156A">
        <w:rPr>
          <w:rFonts w:eastAsia="Calibri"/>
        </w:rPr>
        <w:t xml:space="preserve">input stage (where the plastic input enters the decontamination process) </w:t>
      </w:r>
    </w:p>
    <w:p w:rsidR="009C2BF6" w:rsidRPr="0056156A" w:rsidRDefault="009C2BF6" w:rsidP="009C2BF6">
      <w:pPr>
        <w:pStyle w:val="Tiret1"/>
        <w:rPr>
          <w:rFonts w:eastAsia="Calibri"/>
        </w:rPr>
      </w:pPr>
      <w:r w:rsidRPr="0056156A">
        <w:rPr>
          <w:rFonts w:eastAsia="Calibri"/>
        </w:rPr>
        <w:t>output stage (where the material leaves the decontamination process)</w:t>
      </w:r>
    </w:p>
    <w:p w:rsidR="009C2BF6" w:rsidRPr="0056156A" w:rsidRDefault="009C2BF6" w:rsidP="009C2BF6">
      <w:pPr>
        <w:pStyle w:val="Tiret1"/>
        <w:rPr>
          <w:rFonts w:eastAsia="Calibri"/>
        </w:rPr>
      </w:pPr>
      <w:r w:rsidRPr="0056156A">
        <w:rPr>
          <w:rFonts w:eastAsia="Calibri"/>
        </w:rPr>
        <w:t>exit stage (where the recycled plastic or the recycled plastic materials and articles leave the facility)</w:t>
      </w:r>
    </w:p>
    <w:p w:rsidR="009C2BF6" w:rsidRPr="0056156A" w:rsidRDefault="009C2BF6" w:rsidP="009C2BF6">
      <w:pPr>
        <w:pStyle w:val="Text1"/>
        <w:rPr>
          <w:rFonts w:eastAsia="Calibri"/>
        </w:rPr>
      </w:pPr>
      <w:r w:rsidRPr="0056156A">
        <w:rPr>
          <w:rFonts w:eastAsia="Calibri"/>
        </w:rPr>
        <w:t xml:space="preserve">Additional intermediate stages </w:t>
      </w:r>
      <w:proofErr w:type="gramStart"/>
      <w:r w:rsidRPr="0056156A">
        <w:rPr>
          <w:rFonts w:eastAsia="Calibri"/>
        </w:rPr>
        <w:t>shall be added</w:t>
      </w:r>
      <w:proofErr w:type="gramEnd"/>
      <w:r w:rsidRPr="0056156A">
        <w:rPr>
          <w:rFonts w:eastAsia="Calibri"/>
        </w:rPr>
        <w:t xml:space="preserve"> where relevant for the quality of the material in other stages. Those intermediate stages </w:t>
      </w:r>
      <w:proofErr w:type="gramStart"/>
      <w:r w:rsidRPr="0056156A">
        <w:rPr>
          <w:rFonts w:eastAsia="Calibri"/>
        </w:rPr>
        <w:t>shall be given</w:t>
      </w:r>
      <w:proofErr w:type="gramEnd"/>
      <w:r w:rsidRPr="0056156A">
        <w:rPr>
          <w:rFonts w:eastAsia="Calibri"/>
        </w:rPr>
        <w:t xml:space="preserve"> a meaningful name. </w:t>
      </w:r>
    </w:p>
    <w:p w:rsidR="009C2BF6" w:rsidRPr="0056156A" w:rsidRDefault="009C2BF6" w:rsidP="009C2BF6">
      <w:pPr>
        <w:rPr>
          <w:rFonts w:eastAsia="Calibri"/>
        </w:rPr>
      </w:pPr>
    </w:p>
    <w:p w:rsidR="009C2BF6" w:rsidRPr="0056156A" w:rsidRDefault="009C2BF6" w:rsidP="009C2BF6">
      <w:pPr>
        <w:pStyle w:val="ManualHeading2"/>
        <w:rPr>
          <w:rFonts w:eastAsia="Times New Roman"/>
          <w:bCs/>
          <w:szCs w:val="26"/>
        </w:rPr>
      </w:pPr>
      <w:r w:rsidRPr="0056156A">
        <w:rPr>
          <w:rFonts w:eastAsia="Times New Roman"/>
          <w:bCs/>
          <w:szCs w:val="26"/>
        </w:rPr>
        <w:t>3.2.</w:t>
      </w:r>
      <w:r w:rsidRPr="0056156A">
        <w:rPr>
          <w:rFonts w:eastAsia="Times New Roman"/>
          <w:bCs/>
          <w:szCs w:val="26"/>
        </w:rPr>
        <w:tab/>
        <w:t>Relevant standard operating procedures applied at QA stages</w:t>
      </w:r>
    </w:p>
    <w:p w:rsidR="009C2BF6" w:rsidRPr="0056156A" w:rsidRDefault="009C2BF6" w:rsidP="009C2BF6">
      <w:pPr>
        <w:ind w:left="850"/>
        <w:rPr>
          <w:rFonts w:eastAsia="Calibri"/>
        </w:rPr>
      </w:pPr>
      <w:r w:rsidRPr="0056156A">
        <w:rPr>
          <w:rFonts w:eastAsia="Calibri"/>
        </w:rPr>
        <w:t xml:space="preserve">The table below shall provide a reference to each standard operating procedure used at QA stages, provide a short description thereof, and indicate the location where it </w:t>
      </w:r>
      <w:proofErr w:type="gramStart"/>
      <w:r w:rsidRPr="0056156A">
        <w:rPr>
          <w:rFonts w:eastAsia="Calibri"/>
        </w:rPr>
        <w:t>is carried out</w:t>
      </w:r>
      <w:proofErr w:type="gramEnd"/>
      <w:r w:rsidRPr="0056156A">
        <w:rPr>
          <w:rFonts w:eastAsia="Calibri"/>
        </w:rPr>
        <w:t>.</w:t>
      </w:r>
    </w:p>
    <w:tbl>
      <w:tblPr>
        <w:tblW w:w="93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1"/>
        <w:gridCol w:w="1371"/>
        <w:gridCol w:w="5030"/>
        <w:gridCol w:w="1621"/>
      </w:tblGrid>
      <w:tr w:rsidR="009C2BF6" w:rsidRPr="0056156A" w:rsidTr="004206BA"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sz w:val="20"/>
                <w:szCs w:val="20"/>
              </w:rPr>
            </w:pPr>
            <w:r w:rsidRPr="0056156A">
              <w:rPr>
                <w:rFonts w:eastAsia="Calibri" w:cs="Iskoola Pota"/>
                <w:b/>
                <w:sz w:val="20"/>
                <w:szCs w:val="20"/>
              </w:rPr>
              <w:t>Quality Assessment  (QA) No (ref 3.1)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2"/>
              </w:rPr>
            </w:pPr>
            <w:r w:rsidRPr="0056156A">
              <w:rPr>
                <w:rFonts w:eastAsia="Calibri" w:cs="Iskoola Pota"/>
                <w:sz w:val="20"/>
                <w:szCs w:val="20"/>
              </w:rPr>
              <w:t>SOP code</w:t>
            </w:r>
            <w:r w:rsidRPr="0056156A">
              <w:rPr>
                <w:rFonts w:eastAsia="Calibri" w:cs="Iskoola Pota"/>
                <w:b/>
                <w:sz w:val="20"/>
              </w:rPr>
              <w:br/>
              <w:t>(</w:t>
            </w:r>
            <w:proofErr w:type="spellStart"/>
            <w:r w:rsidRPr="0056156A">
              <w:rPr>
                <w:rFonts w:eastAsia="Calibri" w:cs="Iskoola Pota"/>
                <w:b/>
                <w:sz w:val="20"/>
              </w:rPr>
              <w:t>SOPNr</w:t>
            </w:r>
            <w:proofErr w:type="spellEnd"/>
            <w:r w:rsidRPr="0056156A">
              <w:rPr>
                <w:rFonts w:eastAsia="Calibri" w:cs="Iskoola Pota"/>
                <w:b/>
                <w:sz w:val="20"/>
              </w:rPr>
              <w:t xml:space="preserve"> – </w:t>
            </w:r>
            <w:proofErr w:type="spellStart"/>
            <w:r w:rsidRPr="0056156A">
              <w:rPr>
                <w:rFonts w:eastAsia="Calibri" w:cs="Iskoola Pota"/>
                <w:b/>
                <w:sz w:val="20"/>
              </w:rPr>
              <w:t>DocNr</w:t>
            </w:r>
            <w:proofErr w:type="spellEnd"/>
            <w:r w:rsidRPr="0056156A">
              <w:rPr>
                <w:rFonts w:eastAsia="Calibri" w:cs="Iskoola Pota"/>
                <w:b/>
                <w:sz w:val="20"/>
              </w:rPr>
              <w:t>)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sz w:val="20"/>
                <w:szCs w:val="20"/>
              </w:rPr>
            </w:pPr>
            <w:r w:rsidRPr="0056156A">
              <w:rPr>
                <w:rFonts w:eastAsia="Calibri" w:cs="Iskoola Pota"/>
                <w:sz w:val="20"/>
                <w:szCs w:val="20"/>
              </w:rPr>
              <w:t>Short description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sz w:val="20"/>
                <w:szCs w:val="20"/>
              </w:rPr>
            </w:pPr>
            <w:r w:rsidRPr="0056156A">
              <w:rPr>
                <w:rFonts w:eastAsia="Calibri" w:cs="Iskoola Pota"/>
                <w:sz w:val="20"/>
                <w:szCs w:val="20"/>
              </w:rPr>
              <w:t>Location (of QA)</w:t>
            </w:r>
          </w:p>
        </w:tc>
      </w:tr>
      <w:tr w:rsidR="009C2BF6" w:rsidRPr="0056156A" w:rsidTr="004206BA">
        <w:trPr>
          <w:trHeight w:val="528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</w:tr>
      <w:tr w:rsidR="009C2BF6" w:rsidRPr="0056156A" w:rsidTr="004206BA">
        <w:trPr>
          <w:trHeight w:val="528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</w:tr>
    </w:tbl>
    <w:p w:rsidR="009C2BF6" w:rsidRPr="0056156A" w:rsidRDefault="009C2BF6" w:rsidP="009C2BF6">
      <w:pPr>
        <w:pStyle w:val="ManualHeading1"/>
        <w:rPr>
          <w:rFonts w:eastAsia="Times New Roman"/>
          <w:bCs/>
          <w:smallCaps w:val="0"/>
          <w:szCs w:val="24"/>
          <w:lang w:eastAsia="en-GB"/>
        </w:rPr>
      </w:pPr>
      <w:r w:rsidRPr="0056156A">
        <w:rPr>
          <w:rFonts w:eastAsia="Times New Roman"/>
          <w:bCs/>
          <w:smallCaps w:val="0"/>
          <w:szCs w:val="28"/>
        </w:rPr>
        <w:t>4.</w:t>
      </w:r>
      <w:r w:rsidRPr="0056156A">
        <w:rPr>
          <w:rFonts w:eastAsia="Times New Roman"/>
          <w:bCs/>
          <w:smallCaps w:val="0"/>
          <w:szCs w:val="28"/>
        </w:rPr>
        <w:tab/>
        <w:t>Section 4: Record repository</w:t>
      </w:r>
    </w:p>
    <w:p w:rsidR="009C2BF6" w:rsidRPr="0056156A" w:rsidRDefault="009C2BF6" w:rsidP="009C2BF6">
      <w:pPr>
        <w:pStyle w:val="ManualHeading2"/>
      </w:pPr>
      <w:r w:rsidRPr="0056156A">
        <w:t>4.1</w:t>
      </w:r>
      <w:r w:rsidRPr="0056156A">
        <w:tab/>
        <w:t>Quality assessment recording systems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2"/>
        <w:gridCol w:w="1810"/>
        <w:gridCol w:w="2235"/>
        <w:gridCol w:w="1027"/>
        <w:gridCol w:w="929"/>
        <w:gridCol w:w="923"/>
        <w:gridCol w:w="1390"/>
      </w:tblGrid>
      <w:tr w:rsidR="009C2BF6" w:rsidRPr="0056156A" w:rsidTr="004206BA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56156A">
              <w:rPr>
                <w:rFonts w:eastAsia="Calibri" w:cs="Iskoola Pota"/>
                <w:b/>
                <w:sz w:val="20"/>
                <w:szCs w:val="20"/>
              </w:rPr>
              <w:t>Quality Assessment No (ref 3.1)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56156A">
              <w:rPr>
                <w:rFonts w:eastAsia="Calibri" w:cs="Iskoola Pota"/>
                <w:b/>
                <w:sz w:val="20"/>
                <w:szCs w:val="20"/>
              </w:rPr>
              <w:t>Name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56156A">
              <w:rPr>
                <w:rFonts w:eastAsia="Calibri" w:cs="Iskoola Pota"/>
                <w:b/>
                <w:sz w:val="20"/>
                <w:szCs w:val="20"/>
              </w:rPr>
              <w:t>Definition/Description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56156A">
              <w:rPr>
                <w:rFonts w:eastAsia="Calibri" w:cs="Iskoola Pota"/>
                <w:b/>
                <w:sz w:val="20"/>
                <w:szCs w:val="20"/>
              </w:rPr>
              <w:t>Location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56156A">
              <w:rPr>
                <w:rFonts w:eastAsia="Calibri" w:cs="Iskoola Pota"/>
                <w:b/>
                <w:sz w:val="20"/>
                <w:szCs w:val="20"/>
              </w:rPr>
              <w:t>Backup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  <w:lang w:val="en-IE"/>
              </w:rPr>
            </w:pPr>
            <w:r w:rsidRPr="0056156A">
              <w:rPr>
                <w:rFonts w:eastAsia="Calibri" w:cs="Iskoola Pota"/>
                <w:b/>
                <w:sz w:val="20"/>
                <w:szCs w:val="20"/>
                <w:lang w:val="en-IE"/>
              </w:rPr>
              <w:t>SOP Code</w:t>
            </w:r>
            <w:r w:rsidRPr="0056156A">
              <w:rPr>
                <w:rFonts w:eastAsia="Calibri" w:cs="Iskoola Pota"/>
                <w:b/>
                <w:sz w:val="20"/>
              </w:rPr>
              <w:br/>
              <w:t>(</w:t>
            </w:r>
            <w:proofErr w:type="spellStart"/>
            <w:r w:rsidRPr="0056156A">
              <w:rPr>
                <w:rFonts w:eastAsia="Calibri" w:cs="Iskoola Pota"/>
                <w:b/>
                <w:sz w:val="20"/>
              </w:rPr>
              <w:t>SOPNr</w:t>
            </w:r>
            <w:proofErr w:type="spellEnd"/>
            <w:r w:rsidRPr="0056156A">
              <w:rPr>
                <w:rFonts w:eastAsia="Calibri" w:cs="Iskoola Pota"/>
                <w:b/>
                <w:sz w:val="20"/>
              </w:rPr>
              <w:t xml:space="preserve"> – </w:t>
            </w:r>
            <w:proofErr w:type="spellStart"/>
            <w:r w:rsidRPr="0056156A">
              <w:rPr>
                <w:rFonts w:eastAsia="Calibri" w:cs="Iskoola Pota"/>
                <w:b/>
                <w:sz w:val="20"/>
              </w:rPr>
              <w:t>DocNr</w:t>
            </w:r>
            <w:proofErr w:type="spellEnd"/>
            <w:r w:rsidRPr="0056156A">
              <w:rPr>
                <w:rFonts w:eastAsia="Calibri" w:cs="Iskoola Pota"/>
                <w:b/>
                <w:sz w:val="20"/>
              </w:rPr>
              <w:t>)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  <w:lang w:val="en-IE"/>
              </w:rPr>
            </w:pPr>
            <w:r w:rsidRPr="0056156A">
              <w:rPr>
                <w:rFonts w:eastAsia="Calibri" w:cs="Iskoola Pota"/>
                <w:b/>
                <w:sz w:val="20"/>
                <w:szCs w:val="20"/>
                <w:lang w:val="en-IE"/>
              </w:rPr>
              <w:t>Modification prevention</w:t>
            </w:r>
          </w:p>
        </w:tc>
      </w:tr>
      <w:tr w:rsidR="009C2BF6" w:rsidRPr="0056156A" w:rsidTr="004206BA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sz w:val="22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sz w:val="22"/>
                <w:szCs w:val="24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sz w:val="22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sz w:val="22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sz w:val="22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sz w:val="22"/>
                <w:szCs w:val="24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sz w:val="22"/>
                <w:szCs w:val="24"/>
              </w:rPr>
            </w:pPr>
          </w:p>
        </w:tc>
      </w:tr>
      <w:tr w:rsidR="009C2BF6" w:rsidRPr="0056156A" w:rsidTr="004206BA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</w:tr>
    </w:tbl>
    <w:p w:rsidR="009C2BF6" w:rsidRPr="0056156A" w:rsidRDefault="009C2BF6" w:rsidP="009C2BF6">
      <w:pPr>
        <w:rPr>
          <w:rFonts w:eastAsia="Times New Roman"/>
          <w:bCs/>
          <w:szCs w:val="24"/>
          <w:lang w:eastAsia="en-GB"/>
        </w:rPr>
      </w:pPr>
    </w:p>
    <w:p w:rsidR="009C2BF6" w:rsidRPr="0056156A" w:rsidRDefault="009C2BF6" w:rsidP="009C2BF6">
      <w:pPr>
        <w:pStyle w:val="ManualHeading2"/>
        <w:rPr>
          <w:rFonts w:eastAsia="Times New Roman"/>
          <w:bCs/>
          <w:szCs w:val="24"/>
          <w:lang w:eastAsia="en-GB"/>
        </w:rPr>
      </w:pPr>
      <w:r w:rsidRPr="0056156A">
        <w:rPr>
          <w:rFonts w:eastAsia="Times New Roman"/>
          <w:bCs/>
          <w:szCs w:val="24"/>
          <w:lang w:eastAsia="en-GB"/>
        </w:rPr>
        <w:t>4.2.</w:t>
      </w:r>
      <w:r w:rsidRPr="0056156A">
        <w:rPr>
          <w:rFonts w:eastAsia="Times New Roman"/>
          <w:bCs/>
          <w:szCs w:val="24"/>
          <w:lang w:eastAsia="en-GB"/>
        </w:rPr>
        <w:tab/>
        <w:t>List of standard operating procedures codes for recording system</w:t>
      </w:r>
    </w:p>
    <w:tbl>
      <w:tblPr>
        <w:tblW w:w="93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1"/>
        <w:gridCol w:w="1371"/>
        <w:gridCol w:w="5030"/>
        <w:gridCol w:w="1621"/>
      </w:tblGrid>
      <w:tr w:rsidR="009C2BF6" w:rsidRPr="0056156A" w:rsidTr="004206BA"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sz w:val="20"/>
                <w:szCs w:val="20"/>
              </w:rPr>
            </w:pPr>
            <w:r w:rsidRPr="0056156A">
              <w:rPr>
                <w:rFonts w:eastAsia="Calibri" w:cs="Iskoola Pota"/>
                <w:b/>
                <w:sz w:val="20"/>
                <w:szCs w:val="20"/>
              </w:rPr>
              <w:t>Quality Assessment   No (ref 3.1)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2"/>
              </w:rPr>
            </w:pPr>
            <w:r w:rsidRPr="0056156A">
              <w:rPr>
                <w:rFonts w:eastAsia="Calibri" w:cs="Iskoola Pota"/>
                <w:b/>
                <w:sz w:val="20"/>
                <w:szCs w:val="20"/>
              </w:rPr>
              <w:t>SOP code</w:t>
            </w:r>
            <w:r w:rsidRPr="0056156A">
              <w:rPr>
                <w:rFonts w:eastAsia="Calibri" w:cs="Iskoola Pota"/>
                <w:b/>
                <w:sz w:val="20"/>
              </w:rPr>
              <w:br/>
              <w:t>(</w:t>
            </w:r>
            <w:proofErr w:type="spellStart"/>
            <w:r w:rsidRPr="0056156A">
              <w:rPr>
                <w:rFonts w:eastAsia="Calibri" w:cs="Iskoola Pota"/>
                <w:b/>
                <w:sz w:val="20"/>
              </w:rPr>
              <w:t>SOPNr</w:t>
            </w:r>
            <w:proofErr w:type="spellEnd"/>
            <w:r w:rsidRPr="0056156A">
              <w:rPr>
                <w:rFonts w:eastAsia="Calibri" w:cs="Iskoola Pota"/>
                <w:b/>
                <w:sz w:val="20"/>
              </w:rPr>
              <w:t xml:space="preserve"> – </w:t>
            </w:r>
            <w:proofErr w:type="spellStart"/>
            <w:r w:rsidRPr="0056156A">
              <w:rPr>
                <w:rFonts w:eastAsia="Calibri" w:cs="Iskoola Pota"/>
                <w:b/>
                <w:sz w:val="20"/>
              </w:rPr>
              <w:t>DocNr</w:t>
            </w:r>
            <w:proofErr w:type="spellEnd"/>
            <w:r w:rsidRPr="0056156A">
              <w:rPr>
                <w:rFonts w:eastAsia="Calibri" w:cs="Iskoola Pota"/>
                <w:b/>
                <w:sz w:val="20"/>
              </w:rPr>
              <w:t>)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56156A">
              <w:rPr>
                <w:rFonts w:eastAsia="Calibri" w:cs="Iskoola Pota"/>
                <w:b/>
                <w:sz w:val="20"/>
                <w:szCs w:val="20"/>
              </w:rPr>
              <w:t>Short description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56156A">
              <w:rPr>
                <w:rFonts w:eastAsia="Calibri" w:cs="Iskoola Pota"/>
                <w:b/>
                <w:sz w:val="20"/>
                <w:szCs w:val="20"/>
              </w:rPr>
              <w:t>Location (of entry into recording system)</w:t>
            </w:r>
          </w:p>
        </w:tc>
      </w:tr>
      <w:tr w:rsidR="009C2BF6" w:rsidRPr="0056156A" w:rsidTr="004206BA">
        <w:trPr>
          <w:trHeight w:val="528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</w:tr>
    </w:tbl>
    <w:p w:rsidR="009C2BF6" w:rsidRPr="0056156A" w:rsidRDefault="009C2BF6" w:rsidP="009C2BF6">
      <w:pPr>
        <w:rPr>
          <w:rFonts w:eastAsia="Times New Roman"/>
          <w:bCs/>
          <w:szCs w:val="26"/>
        </w:rPr>
      </w:pPr>
    </w:p>
    <w:p w:rsidR="009C2BF6" w:rsidRPr="0056156A" w:rsidRDefault="009C2BF6" w:rsidP="009C2BF6">
      <w:pPr>
        <w:pStyle w:val="ManualHeading2"/>
        <w:rPr>
          <w:rFonts w:eastAsia="Times New Roman"/>
          <w:bCs/>
          <w:szCs w:val="24"/>
          <w:lang w:eastAsia="en-GB"/>
        </w:rPr>
      </w:pPr>
      <w:r w:rsidRPr="0056156A">
        <w:rPr>
          <w:rFonts w:eastAsia="Times New Roman"/>
          <w:bCs/>
          <w:szCs w:val="26"/>
        </w:rPr>
        <w:t>4.3.</w:t>
      </w:r>
      <w:r w:rsidRPr="0056156A">
        <w:rPr>
          <w:rFonts w:eastAsia="Times New Roman"/>
          <w:bCs/>
          <w:szCs w:val="26"/>
        </w:rPr>
        <w:tab/>
        <w:t>Other relevant records/systems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229"/>
      </w:tblGrid>
      <w:tr w:rsidR="009C2BF6" w:rsidRPr="0056156A" w:rsidTr="004206B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keepNext/>
              <w:keepLines/>
              <w:spacing w:before="40" w:after="40"/>
              <w:jc w:val="center"/>
              <w:rPr>
                <w:rFonts w:eastAsia="Calibri" w:cs="Iskoola Pota"/>
              </w:rPr>
            </w:pPr>
            <w:r w:rsidRPr="0056156A">
              <w:rPr>
                <w:rFonts w:eastAsia="Calibri" w:cs="Iskoola Pota"/>
                <w:b/>
              </w:rPr>
              <w:t>Procedure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F6" w:rsidRPr="0056156A" w:rsidRDefault="009C2BF6" w:rsidP="004206BA">
            <w:pPr>
              <w:keepNext/>
              <w:keepLines/>
              <w:spacing w:before="40" w:after="40"/>
              <w:jc w:val="center"/>
              <w:rPr>
                <w:rFonts w:eastAsia="Calibri" w:cs="Iskoola Pota"/>
                <w:b/>
              </w:rPr>
            </w:pPr>
            <w:r w:rsidRPr="0056156A">
              <w:rPr>
                <w:rFonts w:eastAsia="Calibri" w:cs="Iskoola Pota"/>
                <w:b/>
              </w:rPr>
              <w:t>Description / Documentation</w:t>
            </w:r>
          </w:p>
        </w:tc>
      </w:tr>
      <w:tr w:rsidR="009C2BF6" w:rsidRPr="0056156A" w:rsidTr="004206B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F6" w:rsidRPr="0056156A" w:rsidRDefault="009C2BF6" w:rsidP="004206BA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</w:tr>
    </w:tbl>
    <w:p w:rsidR="00FE7C31" w:rsidRDefault="009C2BF6">
      <w:bookmarkStart w:id="0" w:name="_GoBack"/>
      <w:bookmarkEnd w:id="0"/>
    </w:p>
    <w:sectPr w:rsidR="00FE7C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9C2BF6"/>
    <w:rsid w:val="006A2A83"/>
    <w:rsid w:val="009C2BF6"/>
    <w:rsid w:val="00DA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D3EA20E-FED7-4802-AB4D-65F1300B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BF6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C2BF6"/>
    <w:pPr>
      <w:ind w:left="850"/>
    </w:pPr>
  </w:style>
  <w:style w:type="paragraph" w:customStyle="1" w:styleId="Tiret1">
    <w:name w:val="Tiret 1"/>
    <w:basedOn w:val="Normal"/>
    <w:rsid w:val="009C2BF6"/>
    <w:pPr>
      <w:numPr>
        <w:numId w:val="1"/>
      </w:numPr>
    </w:pPr>
  </w:style>
  <w:style w:type="paragraph" w:customStyle="1" w:styleId="ManualHeading1">
    <w:name w:val="Manual Heading 1"/>
    <w:basedOn w:val="Normal"/>
    <w:next w:val="Text1"/>
    <w:rsid w:val="009C2BF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C2BF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C2BF6"/>
    <w:pPr>
      <w:keepNext/>
      <w:tabs>
        <w:tab w:val="left" w:pos="850"/>
      </w:tabs>
      <w:ind w:left="850" w:hanging="850"/>
      <w:outlineLvl w:val="2"/>
    </w:pPr>
    <w:rPr>
      <w:i/>
    </w:rPr>
  </w:style>
  <w:style w:type="character" w:customStyle="1" w:styleId="Marker">
    <w:name w:val="Marker"/>
    <w:basedOn w:val="DefaultParagraphFont"/>
    <w:rsid w:val="009C2BF6"/>
    <w:rPr>
      <w:color w:val="0000FF"/>
      <w:shd w:val="clear" w:color="auto" w:fill="auto"/>
    </w:rPr>
  </w:style>
  <w:style w:type="paragraph" w:customStyle="1" w:styleId="Annexetitre">
    <w:name w:val="Annexe titre"/>
    <w:basedOn w:val="Normal"/>
    <w:next w:val="Normal"/>
    <w:rsid w:val="009C2BF6"/>
    <w:pPr>
      <w:jc w:val="center"/>
    </w:pPr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1258</Words>
  <Characters>7086</Characters>
  <DocSecurity>0</DocSecurity>
  <Lines>372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2022-09-28T12:40:00Z</dcterms:created>
  <dcterms:modified xsi:type="dcterms:W3CDTF">2022-09-28T12:41:00Z</dcterms:modified>
</cp:coreProperties>
</file>