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B8" w:rsidRDefault="00DE43D7" w:rsidP="000A1ECD">
      <w:pPr>
        <w:jc w:val="center"/>
        <w:rPr>
          <w:rFonts w:ascii="Verdana" w:hAnsi="Verdana" w:cstheme="minorHAnsi"/>
          <w:b/>
          <w:color w:val="003399"/>
          <w:kern w:val="12"/>
          <w:sz w:val="40"/>
          <w:szCs w:val="40"/>
        </w:rPr>
      </w:pPr>
      <w:r w:rsidRPr="00DE43D7">
        <w:rPr>
          <w:rFonts w:ascii="Verdana" w:hAnsi="Verdana" w:cstheme="minorHAnsi"/>
          <w:b/>
          <w:noProof/>
          <w:color w:val="003399"/>
          <w:kern w:val="12"/>
          <w:sz w:val="40"/>
          <w:szCs w:val="40"/>
          <w:lang w:val="en-GB" w:eastAsia="en-GB" w:bidi="ar-SA"/>
        </w:rPr>
        <w:drawing>
          <wp:inline distT="0" distB="0" distL="0" distR="0" wp14:anchorId="116291E5" wp14:editId="0FC5447D">
            <wp:extent cx="8877300" cy="660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877300" cy="6600825"/>
                    </a:xfrm>
                    <a:prstGeom prst="rect">
                      <a:avLst/>
                    </a:prstGeom>
                  </pic:spPr>
                </pic:pic>
              </a:graphicData>
            </a:graphic>
          </wp:inline>
        </w:drawing>
      </w:r>
    </w:p>
    <w:p w:rsidR="004D1BB8" w:rsidRDefault="004D1BB8" w:rsidP="000A1ECD">
      <w:pPr>
        <w:jc w:val="center"/>
        <w:rPr>
          <w:rFonts w:ascii="Verdana" w:hAnsi="Verdana" w:cstheme="minorHAnsi"/>
          <w:b/>
          <w:color w:val="003399"/>
          <w:kern w:val="12"/>
          <w:sz w:val="40"/>
          <w:szCs w:val="40"/>
        </w:rPr>
        <w:sectPr w:rsidR="004D1BB8" w:rsidSect="0008776A">
          <w:headerReference w:type="default" r:id="rId9"/>
          <w:footerReference w:type="default" r:id="rId10"/>
          <w:pgSz w:w="15840" w:h="12240" w:orient="landscape"/>
          <w:pgMar w:top="1440" w:right="1440" w:bottom="1440" w:left="1440" w:header="720" w:footer="720" w:gutter="0"/>
          <w:cols w:space="720"/>
          <w:titlePg/>
          <w:docGrid w:linePitch="360"/>
        </w:sectPr>
      </w:pPr>
    </w:p>
    <w:p w:rsidR="004D1BB8" w:rsidRPr="00385389" w:rsidRDefault="004D1BB8" w:rsidP="004D1BB8">
      <w:pPr>
        <w:rPr>
          <w:rFonts w:ascii="Verdana" w:hAnsi="Verdana" w:cstheme="minorHAnsi"/>
          <w:b/>
          <w:color w:val="003399"/>
          <w:kern w:val="12"/>
          <w:sz w:val="32"/>
          <w:szCs w:val="40"/>
        </w:rPr>
      </w:pPr>
      <w:r>
        <w:rPr>
          <w:rFonts w:ascii="Verdana" w:hAnsi="Verdana" w:cstheme="minorHAnsi"/>
          <w:b/>
          <w:color w:val="003399"/>
          <w:kern w:val="12"/>
          <w:sz w:val="32"/>
        </w:rPr>
        <w:lastRenderedPageBreak/>
        <w:t>Verzije dokumenta</w:t>
      </w:r>
    </w:p>
    <w:tbl>
      <w:tblPr>
        <w:tblStyle w:val="TableGrid"/>
        <w:tblW w:w="5000" w:type="pct"/>
        <w:tblLook w:val="04A0" w:firstRow="1" w:lastRow="0" w:firstColumn="1" w:lastColumn="0" w:noHBand="0" w:noVBand="1"/>
      </w:tblPr>
      <w:tblGrid>
        <w:gridCol w:w="6588"/>
        <w:gridCol w:w="6588"/>
      </w:tblGrid>
      <w:tr w:rsidR="004D1BB8" w:rsidRPr="00751B8C" w:rsidTr="00F94695">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D1BB8" w:rsidRPr="00751B8C" w:rsidRDefault="004D1BB8" w:rsidP="00F94695">
            <w:pPr>
              <w:rPr>
                <w:rFonts w:cstheme="minorHAnsi"/>
                <w:sz w:val="20"/>
                <w:szCs w:val="56"/>
              </w:rPr>
            </w:pPr>
            <w:r>
              <w:rPr>
                <w:rFonts w:cstheme="minorHAnsi"/>
                <w:sz w:val="20"/>
              </w:rPr>
              <w:t>Verzija</w:t>
            </w:r>
          </w:p>
        </w:tc>
        <w:tc>
          <w:tcPr>
            <w:tcW w:w="2500" w:type="pct"/>
            <w:shd w:val="clear" w:color="auto" w:fill="44546A" w:themeFill="text2"/>
          </w:tcPr>
          <w:p w:rsidR="004D1BB8" w:rsidRPr="00751B8C" w:rsidRDefault="004D1BB8" w:rsidP="00F94695">
            <w:pPr>
              <w:rPr>
                <w:rFonts w:cstheme="minorHAnsi"/>
                <w:sz w:val="20"/>
                <w:szCs w:val="56"/>
              </w:rPr>
            </w:pPr>
            <w:r>
              <w:rPr>
                <w:rFonts w:cstheme="minorHAnsi"/>
                <w:sz w:val="20"/>
              </w:rPr>
              <w:t>Datum</w:t>
            </w:r>
          </w:p>
        </w:tc>
      </w:tr>
      <w:tr w:rsidR="004D1BB8" w:rsidRPr="00751B8C" w:rsidTr="00F94695">
        <w:trPr>
          <w:trHeight w:val="265"/>
        </w:trPr>
        <w:tc>
          <w:tcPr>
            <w:tcW w:w="2500" w:type="pct"/>
          </w:tcPr>
          <w:p w:rsidR="004D1BB8" w:rsidRPr="00751B8C" w:rsidRDefault="004D1BB8" w:rsidP="00F94695">
            <w:pPr>
              <w:rPr>
                <w:rFonts w:cstheme="minorHAnsi"/>
                <w:sz w:val="20"/>
                <w:szCs w:val="56"/>
              </w:rPr>
            </w:pPr>
            <w:r>
              <w:rPr>
                <w:rFonts w:cstheme="minorHAnsi"/>
                <w:sz w:val="20"/>
              </w:rPr>
              <w:t>V1</w:t>
            </w:r>
          </w:p>
        </w:tc>
        <w:tc>
          <w:tcPr>
            <w:tcW w:w="2500" w:type="pct"/>
          </w:tcPr>
          <w:p w:rsidR="004D1BB8" w:rsidRPr="00751B8C" w:rsidRDefault="003F072E" w:rsidP="00F94695">
            <w:pPr>
              <w:rPr>
                <w:rFonts w:cstheme="minorHAnsi"/>
                <w:sz w:val="20"/>
                <w:szCs w:val="56"/>
              </w:rPr>
            </w:pPr>
            <w:r>
              <w:rPr>
                <w:rFonts w:cstheme="minorHAnsi"/>
                <w:sz w:val="20"/>
              </w:rPr>
              <w:t>3. studenoga 2017.</w:t>
            </w:r>
          </w:p>
        </w:tc>
      </w:tr>
      <w:tr w:rsidR="004D1BB8" w:rsidRPr="00751B8C" w:rsidTr="00F94695">
        <w:trPr>
          <w:trHeight w:val="254"/>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54"/>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65"/>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54"/>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54"/>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65"/>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54"/>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65"/>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r w:rsidR="004D1BB8" w:rsidRPr="00751B8C" w:rsidTr="00F94695">
        <w:trPr>
          <w:trHeight w:val="254"/>
        </w:trPr>
        <w:tc>
          <w:tcPr>
            <w:tcW w:w="2500" w:type="pct"/>
          </w:tcPr>
          <w:p w:rsidR="004D1BB8" w:rsidRPr="00751B8C" w:rsidRDefault="004D1BB8" w:rsidP="00F94695">
            <w:pPr>
              <w:rPr>
                <w:rFonts w:cstheme="minorHAnsi"/>
                <w:sz w:val="20"/>
                <w:szCs w:val="56"/>
              </w:rPr>
            </w:pPr>
          </w:p>
        </w:tc>
        <w:tc>
          <w:tcPr>
            <w:tcW w:w="2500" w:type="pct"/>
          </w:tcPr>
          <w:p w:rsidR="004D1BB8" w:rsidRPr="00751B8C" w:rsidRDefault="004D1BB8" w:rsidP="00F94695">
            <w:pPr>
              <w:rPr>
                <w:rFonts w:cstheme="minorHAnsi"/>
                <w:sz w:val="20"/>
                <w:szCs w:val="56"/>
              </w:rPr>
            </w:pPr>
          </w:p>
        </w:tc>
      </w:tr>
    </w:tbl>
    <w:p w:rsidR="004D1BB8" w:rsidRPr="003870A6" w:rsidRDefault="004D1BB8" w:rsidP="004D1BB8">
      <w:pPr>
        <w:pStyle w:val="Heading1"/>
        <w:sectPr w:rsidR="004D1BB8" w:rsidRPr="003870A6" w:rsidSect="00CD1306">
          <w:pgSz w:w="15840" w:h="12240" w:orient="landscape"/>
          <w:pgMar w:top="1440" w:right="1440" w:bottom="1440" w:left="1440" w:header="720" w:footer="720" w:gutter="0"/>
          <w:cols w:space="720"/>
          <w:docGrid w:linePitch="360"/>
        </w:sectPr>
      </w:pPr>
    </w:p>
    <w:bookmarkStart w:id="0" w:name="_Toc508374257" w:displacedByCustomXml="next"/>
    <w:sdt>
      <w:sdtPr>
        <w:rPr>
          <w:rFonts w:asciiTheme="minorHAnsi" w:eastAsiaTheme="minorHAnsi" w:hAnsiTheme="minorHAnsi" w:cstheme="minorBidi"/>
          <w:b w:val="0"/>
          <w:color w:val="auto"/>
          <w:kern w:val="0"/>
          <w:sz w:val="22"/>
          <w:szCs w:val="22"/>
        </w:rPr>
        <w:id w:val="1811126915"/>
        <w:docPartObj>
          <w:docPartGallery w:val="Table of Contents"/>
          <w:docPartUnique/>
        </w:docPartObj>
      </w:sdtPr>
      <w:sdtEndPr>
        <w:rPr>
          <w:bCs/>
          <w:noProof/>
        </w:rPr>
      </w:sdtEndPr>
      <w:sdtContent>
        <w:p w:rsidR="004D1BB8" w:rsidRPr="004D1BB8" w:rsidRDefault="004D1BB8" w:rsidP="004D1BB8">
          <w:pPr>
            <w:pStyle w:val="Heading1"/>
            <w:numPr>
              <w:ilvl w:val="0"/>
              <w:numId w:val="0"/>
            </w:numPr>
          </w:pPr>
          <w:r>
            <w:t>Sadržaj</w:t>
          </w:r>
          <w:bookmarkEnd w:id="0"/>
        </w:p>
        <w:p w:rsidR="00306B4F" w:rsidRPr="004D1BB8" w:rsidRDefault="00306B4F" w:rsidP="004D1BB8">
          <w:pPr>
            <w:pStyle w:val="Heading1"/>
            <w:numPr>
              <w:ilvl w:val="0"/>
              <w:numId w:val="0"/>
            </w:numPr>
            <w:ind w:left="547" w:hanging="547"/>
          </w:pPr>
        </w:p>
        <w:p w:rsidR="00DE43D7" w:rsidRDefault="00CF51E8">
          <w:pPr>
            <w:pStyle w:val="TOC1"/>
            <w:tabs>
              <w:tab w:val="right" w:leader="dot" w:pos="12950"/>
            </w:tabs>
            <w:rPr>
              <w:rFonts w:eastAsiaTheme="minorEastAsia"/>
              <w:noProof/>
              <w:lang w:val="en-GB" w:eastAsia="en-GB" w:bidi="ar-SA"/>
            </w:rPr>
          </w:pPr>
          <w:r>
            <w:rPr>
              <w:rFonts w:ascii="Verdana" w:hAnsi="Verdana"/>
              <w:sz w:val="32"/>
              <w:szCs w:val="32"/>
            </w:rPr>
            <w:fldChar w:fldCharType="begin"/>
          </w:r>
          <w:r>
            <w:rPr>
              <w:rFonts w:ascii="Verdana" w:hAnsi="Verdana"/>
              <w:sz w:val="32"/>
              <w:szCs w:val="32"/>
            </w:rPr>
            <w:instrText xml:space="preserve"> TOC \o "1-3" \h \z \u </w:instrText>
          </w:r>
          <w:r>
            <w:rPr>
              <w:rFonts w:ascii="Verdana" w:hAnsi="Verdana"/>
              <w:sz w:val="32"/>
              <w:szCs w:val="32"/>
            </w:rPr>
            <w:fldChar w:fldCharType="separate"/>
          </w:r>
          <w:hyperlink w:anchor="_Toc508374257" w:history="1">
            <w:r w:rsidR="00DE43D7" w:rsidRPr="004925BA">
              <w:rPr>
                <w:rStyle w:val="Hyperlink"/>
                <w:noProof/>
              </w:rPr>
              <w:t>Sadržaj</w:t>
            </w:r>
            <w:r w:rsidR="00DE43D7">
              <w:rPr>
                <w:noProof/>
                <w:webHidden/>
              </w:rPr>
              <w:tab/>
            </w:r>
            <w:r w:rsidR="00DE43D7">
              <w:rPr>
                <w:noProof/>
                <w:webHidden/>
              </w:rPr>
              <w:fldChar w:fldCharType="begin"/>
            </w:r>
            <w:r w:rsidR="00DE43D7">
              <w:rPr>
                <w:noProof/>
                <w:webHidden/>
              </w:rPr>
              <w:instrText xml:space="preserve"> PAGEREF _Toc508374257 \h </w:instrText>
            </w:r>
            <w:r w:rsidR="00DE43D7">
              <w:rPr>
                <w:noProof/>
                <w:webHidden/>
              </w:rPr>
            </w:r>
            <w:r w:rsidR="00DE43D7">
              <w:rPr>
                <w:noProof/>
                <w:webHidden/>
              </w:rPr>
              <w:fldChar w:fldCharType="separate"/>
            </w:r>
            <w:r w:rsidR="00DE43D7">
              <w:rPr>
                <w:noProof/>
                <w:webHidden/>
              </w:rPr>
              <w:t>3</w:t>
            </w:r>
            <w:r w:rsidR="00DE43D7">
              <w:rPr>
                <w:noProof/>
                <w:webHidden/>
              </w:rPr>
              <w:fldChar w:fldCharType="end"/>
            </w:r>
          </w:hyperlink>
        </w:p>
        <w:p w:rsidR="00DE43D7" w:rsidRDefault="00477E22">
          <w:pPr>
            <w:pStyle w:val="TOC1"/>
            <w:tabs>
              <w:tab w:val="left" w:pos="440"/>
              <w:tab w:val="right" w:leader="dot" w:pos="12950"/>
            </w:tabs>
            <w:rPr>
              <w:rFonts w:eastAsiaTheme="minorEastAsia"/>
              <w:noProof/>
              <w:lang w:val="en-GB" w:eastAsia="en-GB" w:bidi="ar-SA"/>
            </w:rPr>
          </w:pPr>
          <w:hyperlink w:anchor="_Toc508374258" w:history="1">
            <w:r w:rsidR="00DE43D7" w:rsidRPr="004925BA">
              <w:rPr>
                <w:rStyle w:val="Hyperlink"/>
                <w:noProof/>
              </w:rPr>
              <w:t>1.</w:t>
            </w:r>
            <w:r w:rsidR="00DE43D7">
              <w:rPr>
                <w:rFonts w:eastAsiaTheme="minorEastAsia"/>
                <w:noProof/>
                <w:lang w:val="en-GB" w:eastAsia="en-GB" w:bidi="ar-SA"/>
              </w:rPr>
              <w:tab/>
            </w:r>
            <w:r w:rsidR="00DE43D7" w:rsidRPr="004925BA">
              <w:rPr>
                <w:rStyle w:val="Hyperlink"/>
                <w:noProof/>
              </w:rPr>
              <w:t>Radna mjesta</w:t>
            </w:r>
            <w:r w:rsidR="00DE43D7">
              <w:rPr>
                <w:noProof/>
                <w:webHidden/>
              </w:rPr>
              <w:tab/>
            </w:r>
            <w:r w:rsidR="00DE43D7">
              <w:rPr>
                <w:noProof/>
                <w:webHidden/>
              </w:rPr>
              <w:fldChar w:fldCharType="begin"/>
            </w:r>
            <w:r w:rsidR="00DE43D7">
              <w:rPr>
                <w:noProof/>
                <w:webHidden/>
              </w:rPr>
              <w:instrText xml:space="preserve"> PAGEREF _Toc508374258 \h </w:instrText>
            </w:r>
            <w:r w:rsidR="00DE43D7">
              <w:rPr>
                <w:noProof/>
                <w:webHidden/>
              </w:rPr>
            </w:r>
            <w:r w:rsidR="00DE43D7">
              <w:rPr>
                <w:noProof/>
                <w:webHidden/>
              </w:rPr>
              <w:fldChar w:fldCharType="separate"/>
            </w:r>
            <w:r w:rsidR="00DE43D7">
              <w:rPr>
                <w:noProof/>
                <w:webHidden/>
              </w:rPr>
              <w:t>4</w:t>
            </w:r>
            <w:r w:rsidR="00DE43D7">
              <w:rPr>
                <w:noProof/>
                <w:webHidden/>
              </w:rPr>
              <w:fldChar w:fldCharType="end"/>
            </w:r>
          </w:hyperlink>
        </w:p>
        <w:p w:rsidR="00DE43D7" w:rsidRDefault="00477E22">
          <w:pPr>
            <w:pStyle w:val="TOC1"/>
            <w:tabs>
              <w:tab w:val="left" w:pos="440"/>
              <w:tab w:val="right" w:leader="dot" w:pos="12950"/>
            </w:tabs>
            <w:rPr>
              <w:rFonts w:eastAsiaTheme="minorEastAsia"/>
              <w:noProof/>
              <w:lang w:val="en-GB" w:eastAsia="en-GB" w:bidi="ar-SA"/>
            </w:rPr>
          </w:pPr>
          <w:hyperlink w:anchor="_Toc508374259" w:history="1">
            <w:r w:rsidR="00DE43D7" w:rsidRPr="004925BA">
              <w:rPr>
                <w:rStyle w:val="Hyperlink"/>
                <w:noProof/>
              </w:rPr>
              <w:t>2.</w:t>
            </w:r>
            <w:r w:rsidR="00DE43D7">
              <w:rPr>
                <w:rFonts w:eastAsiaTheme="minorEastAsia"/>
                <w:noProof/>
                <w:lang w:val="en-GB" w:eastAsia="en-GB" w:bidi="ar-SA"/>
              </w:rPr>
              <w:tab/>
            </w:r>
            <w:r w:rsidR="00DE43D7" w:rsidRPr="004925BA">
              <w:rPr>
                <w:rStyle w:val="Hyperlink"/>
                <w:noProof/>
              </w:rPr>
              <w:t>Zadaće i podzadaće</w:t>
            </w:r>
            <w:r w:rsidR="00DE43D7">
              <w:rPr>
                <w:noProof/>
                <w:webHidden/>
              </w:rPr>
              <w:tab/>
            </w:r>
            <w:r w:rsidR="00DE43D7">
              <w:rPr>
                <w:noProof/>
                <w:webHidden/>
              </w:rPr>
              <w:fldChar w:fldCharType="begin"/>
            </w:r>
            <w:r w:rsidR="00DE43D7">
              <w:rPr>
                <w:noProof/>
                <w:webHidden/>
              </w:rPr>
              <w:instrText xml:space="preserve"> PAGEREF _Toc508374259 \h </w:instrText>
            </w:r>
            <w:r w:rsidR="00DE43D7">
              <w:rPr>
                <w:noProof/>
                <w:webHidden/>
              </w:rPr>
            </w:r>
            <w:r w:rsidR="00DE43D7">
              <w:rPr>
                <w:noProof/>
                <w:webHidden/>
              </w:rPr>
              <w:fldChar w:fldCharType="separate"/>
            </w:r>
            <w:r w:rsidR="00DE43D7">
              <w:rPr>
                <w:noProof/>
                <w:webHidden/>
              </w:rPr>
              <w:t>5</w:t>
            </w:r>
            <w:r w:rsidR="00DE43D7">
              <w:rPr>
                <w:noProof/>
                <w:webHidden/>
              </w:rPr>
              <w:fldChar w:fldCharType="end"/>
            </w:r>
          </w:hyperlink>
        </w:p>
        <w:p w:rsidR="00DE43D7" w:rsidRDefault="00477E22">
          <w:pPr>
            <w:pStyle w:val="TOC1"/>
            <w:tabs>
              <w:tab w:val="left" w:pos="440"/>
              <w:tab w:val="right" w:leader="dot" w:pos="12950"/>
            </w:tabs>
            <w:rPr>
              <w:rFonts w:eastAsiaTheme="minorEastAsia"/>
              <w:noProof/>
              <w:lang w:val="en-GB" w:eastAsia="en-GB" w:bidi="ar-SA"/>
            </w:rPr>
          </w:pPr>
          <w:hyperlink w:anchor="_Toc508374260" w:history="1">
            <w:r w:rsidR="00DE43D7" w:rsidRPr="004925BA">
              <w:rPr>
                <w:rStyle w:val="Hyperlink"/>
                <w:noProof/>
              </w:rPr>
              <w:t>3.</w:t>
            </w:r>
            <w:r w:rsidR="00DE43D7">
              <w:rPr>
                <w:rFonts w:eastAsiaTheme="minorEastAsia"/>
                <w:noProof/>
                <w:lang w:val="en-GB" w:eastAsia="en-GB" w:bidi="ar-SA"/>
              </w:rPr>
              <w:tab/>
            </w:r>
            <w:r w:rsidR="00DE43D7" w:rsidRPr="004925BA">
              <w:rPr>
                <w:rStyle w:val="Hyperlink"/>
                <w:noProof/>
              </w:rPr>
              <w:t>Ljestvica stručnosti</w:t>
            </w:r>
            <w:r w:rsidR="00DE43D7">
              <w:rPr>
                <w:noProof/>
                <w:webHidden/>
              </w:rPr>
              <w:tab/>
            </w:r>
            <w:r w:rsidR="00DE43D7">
              <w:rPr>
                <w:noProof/>
                <w:webHidden/>
              </w:rPr>
              <w:fldChar w:fldCharType="begin"/>
            </w:r>
            <w:r w:rsidR="00DE43D7">
              <w:rPr>
                <w:noProof/>
                <w:webHidden/>
              </w:rPr>
              <w:instrText xml:space="preserve"> PAGEREF _Toc508374260 \h </w:instrText>
            </w:r>
            <w:r w:rsidR="00DE43D7">
              <w:rPr>
                <w:noProof/>
                <w:webHidden/>
              </w:rPr>
            </w:r>
            <w:r w:rsidR="00DE43D7">
              <w:rPr>
                <w:noProof/>
                <w:webHidden/>
              </w:rPr>
              <w:fldChar w:fldCharType="separate"/>
            </w:r>
            <w:r w:rsidR="00DE43D7">
              <w:rPr>
                <w:noProof/>
                <w:webHidden/>
              </w:rPr>
              <w:t>10</w:t>
            </w:r>
            <w:r w:rsidR="00DE43D7">
              <w:rPr>
                <w:noProof/>
                <w:webHidden/>
              </w:rPr>
              <w:fldChar w:fldCharType="end"/>
            </w:r>
          </w:hyperlink>
        </w:p>
        <w:p w:rsidR="00DE43D7" w:rsidRDefault="00477E22">
          <w:pPr>
            <w:pStyle w:val="TOC1"/>
            <w:tabs>
              <w:tab w:val="left" w:pos="440"/>
              <w:tab w:val="right" w:leader="dot" w:pos="12950"/>
            </w:tabs>
            <w:rPr>
              <w:rFonts w:eastAsiaTheme="minorEastAsia"/>
              <w:noProof/>
              <w:lang w:val="en-GB" w:eastAsia="en-GB" w:bidi="ar-SA"/>
            </w:rPr>
          </w:pPr>
          <w:hyperlink w:anchor="_Toc508374261" w:history="1">
            <w:r w:rsidR="00DE43D7" w:rsidRPr="004925BA">
              <w:rPr>
                <w:rStyle w:val="Hyperlink"/>
                <w:noProof/>
              </w:rPr>
              <w:t>4.</w:t>
            </w:r>
            <w:r w:rsidR="00DE43D7">
              <w:rPr>
                <w:rFonts w:eastAsiaTheme="minorEastAsia"/>
                <w:noProof/>
                <w:lang w:val="en-GB" w:eastAsia="en-GB" w:bidi="ar-SA"/>
              </w:rPr>
              <w:tab/>
            </w:r>
            <w:r w:rsidR="00DE43D7" w:rsidRPr="004925BA">
              <w:rPr>
                <w:rStyle w:val="Hyperlink"/>
                <w:noProof/>
              </w:rPr>
              <w:t>Operativne kompetencije</w:t>
            </w:r>
            <w:r w:rsidR="00DE43D7">
              <w:rPr>
                <w:noProof/>
                <w:webHidden/>
              </w:rPr>
              <w:tab/>
            </w:r>
            <w:r w:rsidR="00DE43D7">
              <w:rPr>
                <w:noProof/>
                <w:webHidden/>
              </w:rPr>
              <w:fldChar w:fldCharType="begin"/>
            </w:r>
            <w:r w:rsidR="00DE43D7">
              <w:rPr>
                <w:noProof/>
                <w:webHidden/>
              </w:rPr>
              <w:instrText xml:space="preserve"> PAGEREF _Toc508374261 \h </w:instrText>
            </w:r>
            <w:r w:rsidR="00DE43D7">
              <w:rPr>
                <w:noProof/>
                <w:webHidden/>
              </w:rPr>
            </w:r>
            <w:r w:rsidR="00DE43D7">
              <w:rPr>
                <w:noProof/>
                <w:webHidden/>
              </w:rPr>
              <w:fldChar w:fldCharType="separate"/>
            </w:r>
            <w:r w:rsidR="00DE43D7">
              <w:rPr>
                <w:noProof/>
                <w:webHidden/>
              </w:rPr>
              <w:t>12</w:t>
            </w:r>
            <w:r w:rsidR="00DE43D7">
              <w:rPr>
                <w:noProof/>
                <w:webHidden/>
              </w:rPr>
              <w:fldChar w:fldCharType="end"/>
            </w:r>
          </w:hyperlink>
        </w:p>
        <w:p w:rsidR="00DE43D7" w:rsidRDefault="00477E22">
          <w:pPr>
            <w:pStyle w:val="TOC1"/>
            <w:tabs>
              <w:tab w:val="left" w:pos="440"/>
              <w:tab w:val="right" w:leader="dot" w:pos="12950"/>
            </w:tabs>
            <w:rPr>
              <w:rFonts w:eastAsiaTheme="minorEastAsia"/>
              <w:noProof/>
              <w:lang w:val="en-GB" w:eastAsia="en-GB" w:bidi="ar-SA"/>
            </w:rPr>
          </w:pPr>
          <w:hyperlink w:anchor="_Toc508374262" w:history="1">
            <w:r w:rsidR="00DE43D7" w:rsidRPr="004925BA">
              <w:rPr>
                <w:rStyle w:val="Hyperlink"/>
                <w:noProof/>
              </w:rPr>
              <w:t>5.</w:t>
            </w:r>
            <w:r w:rsidR="00DE43D7">
              <w:rPr>
                <w:rFonts w:eastAsiaTheme="minorEastAsia"/>
                <w:noProof/>
                <w:lang w:val="en-GB" w:eastAsia="en-GB" w:bidi="ar-SA"/>
              </w:rPr>
              <w:tab/>
            </w:r>
            <w:r w:rsidR="00DE43D7" w:rsidRPr="004925BA">
              <w:rPr>
                <w:rStyle w:val="Hyperlink"/>
                <w:noProof/>
              </w:rPr>
              <w:t>Upravljačke kompetencije</w:t>
            </w:r>
            <w:r w:rsidR="00DE43D7">
              <w:rPr>
                <w:noProof/>
                <w:webHidden/>
              </w:rPr>
              <w:tab/>
            </w:r>
            <w:r w:rsidR="00DE43D7">
              <w:rPr>
                <w:noProof/>
                <w:webHidden/>
              </w:rPr>
              <w:fldChar w:fldCharType="begin"/>
            </w:r>
            <w:r w:rsidR="00DE43D7">
              <w:rPr>
                <w:noProof/>
                <w:webHidden/>
              </w:rPr>
              <w:instrText xml:space="preserve"> PAGEREF _Toc508374262 \h </w:instrText>
            </w:r>
            <w:r w:rsidR="00DE43D7">
              <w:rPr>
                <w:noProof/>
                <w:webHidden/>
              </w:rPr>
            </w:r>
            <w:r w:rsidR="00DE43D7">
              <w:rPr>
                <w:noProof/>
                <w:webHidden/>
              </w:rPr>
              <w:fldChar w:fldCharType="separate"/>
            </w:r>
            <w:r w:rsidR="00DE43D7">
              <w:rPr>
                <w:noProof/>
                <w:webHidden/>
              </w:rPr>
              <w:t>15</w:t>
            </w:r>
            <w:r w:rsidR="00DE43D7">
              <w:rPr>
                <w:noProof/>
                <w:webHidden/>
              </w:rPr>
              <w:fldChar w:fldCharType="end"/>
            </w:r>
          </w:hyperlink>
        </w:p>
        <w:p w:rsidR="00DE43D7" w:rsidRDefault="00477E22">
          <w:pPr>
            <w:pStyle w:val="TOC1"/>
            <w:tabs>
              <w:tab w:val="left" w:pos="440"/>
              <w:tab w:val="right" w:leader="dot" w:pos="12950"/>
            </w:tabs>
            <w:rPr>
              <w:rFonts w:eastAsiaTheme="minorEastAsia"/>
              <w:noProof/>
              <w:lang w:val="en-GB" w:eastAsia="en-GB" w:bidi="ar-SA"/>
            </w:rPr>
          </w:pPr>
          <w:hyperlink w:anchor="_Toc508374263" w:history="1">
            <w:r w:rsidR="00DE43D7" w:rsidRPr="004925BA">
              <w:rPr>
                <w:rStyle w:val="Hyperlink"/>
                <w:noProof/>
              </w:rPr>
              <w:t>6.</w:t>
            </w:r>
            <w:r w:rsidR="00DE43D7">
              <w:rPr>
                <w:rFonts w:eastAsiaTheme="minorEastAsia"/>
                <w:noProof/>
                <w:lang w:val="en-GB" w:eastAsia="en-GB" w:bidi="ar-SA"/>
              </w:rPr>
              <w:tab/>
            </w:r>
            <w:r w:rsidR="00DE43D7" w:rsidRPr="004925BA">
              <w:rPr>
                <w:rStyle w:val="Hyperlink"/>
                <w:noProof/>
              </w:rPr>
              <w:t>Stručne kompetencije</w:t>
            </w:r>
            <w:r w:rsidR="00DE43D7">
              <w:rPr>
                <w:noProof/>
                <w:webHidden/>
              </w:rPr>
              <w:tab/>
            </w:r>
            <w:r w:rsidR="00DE43D7">
              <w:rPr>
                <w:noProof/>
                <w:webHidden/>
              </w:rPr>
              <w:fldChar w:fldCharType="begin"/>
            </w:r>
            <w:r w:rsidR="00DE43D7">
              <w:rPr>
                <w:noProof/>
                <w:webHidden/>
              </w:rPr>
              <w:instrText xml:space="preserve"> PAGEREF _Toc508374263 \h </w:instrText>
            </w:r>
            <w:r w:rsidR="00DE43D7">
              <w:rPr>
                <w:noProof/>
                <w:webHidden/>
              </w:rPr>
            </w:r>
            <w:r w:rsidR="00DE43D7">
              <w:rPr>
                <w:noProof/>
                <w:webHidden/>
              </w:rPr>
              <w:fldChar w:fldCharType="separate"/>
            </w:r>
            <w:r w:rsidR="00DE43D7">
              <w:rPr>
                <w:noProof/>
                <w:webHidden/>
              </w:rPr>
              <w:t>20</w:t>
            </w:r>
            <w:r w:rsidR="00DE43D7">
              <w:rPr>
                <w:noProof/>
                <w:webHidden/>
              </w:rPr>
              <w:fldChar w:fldCharType="end"/>
            </w:r>
          </w:hyperlink>
        </w:p>
        <w:p w:rsidR="00F55E53" w:rsidRPr="004D1BB8" w:rsidRDefault="00CF51E8">
          <w:pPr>
            <w:pStyle w:val="TOC1"/>
            <w:tabs>
              <w:tab w:val="left" w:pos="660"/>
              <w:tab w:val="right" w:leader="dot" w:pos="12950"/>
            </w:tabs>
            <w:rPr>
              <w:rFonts w:ascii="Verdana" w:eastAsiaTheme="minorEastAsia" w:hAnsi="Verdana"/>
              <w:noProof/>
              <w:sz w:val="32"/>
              <w:szCs w:val="32"/>
            </w:rPr>
          </w:pPr>
          <w:r>
            <w:rPr>
              <w:rFonts w:ascii="Verdana" w:hAnsi="Verdana"/>
              <w:bCs/>
              <w:noProof/>
              <w:sz w:val="32"/>
              <w:szCs w:val="32"/>
            </w:rPr>
            <w:fldChar w:fldCharType="end"/>
          </w:r>
        </w:p>
      </w:sdtContent>
    </w:sdt>
    <w:p w:rsidR="00CF51E8" w:rsidRPr="003870A6" w:rsidRDefault="00CF51E8" w:rsidP="004D1BB8">
      <w:pPr>
        <w:pStyle w:val="Heading1"/>
        <w:sectPr w:rsidR="00CF51E8" w:rsidRPr="003870A6" w:rsidSect="00CD1306">
          <w:pgSz w:w="15840" w:h="12240" w:orient="landscape"/>
          <w:pgMar w:top="1440" w:right="1440" w:bottom="1440" w:left="1440" w:header="720" w:footer="720" w:gutter="0"/>
          <w:cols w:space="720"/>
          <w:docGrid w:linePitch="360"/>
        </w:sectPr>
      </w:pPr>
    </w:p>
    <w:p w:rsidR="00CD1306" w:rsidRPr="004D1BB8" w:rsidRDefault="000C44D2" w:rsidP="004D1BB8">
      <w:pPr>
        <w:pStyle w:val="Heading1"/>
      </w:pPr>
      <w:bookmarkStart w:id="1" w:name="_Toc494906118"/>
      <w:bookmarkStart w:id="2" w:name="_Toc508374258"/>
      <w:r>
        <w:lastRenderedPageBreak/>
        <w:t>Radna mjesta</w:t>
      </w:r>
      <w:bookmarkEnd w:id="1"/>
      <w:bookmarkEnd w:id="2"/>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7"/>
        <w:gridCol w:w="3426"/>
        <w:gridCol w:w="1359"/>
        <w:gridCol w:w="7257"/>
      </w:tblGrid>
      <w:tr w:rsidR="006931AA" w:rsidRPr="0062042A" w:rsidTr="006931AA">
        <w:trPr>
          <w:trHeight w:val="467"/>
        </w:trPr>
        <w:tc>
          <w:tcPr>
            <w:tcW w:w="1804" w:type="pct"/>
            <w:gridSpan w:val="2"/>
            <w:shd w:val="clear" w:color="auto" w:fill="1F4E79" w:themeFill="accent1" w:themeFillShade="80"/>
            <w:vAlign w:val="center"/>
          </w:tcPr>
          <w:p w:rsidR="006931AA" w:rsidRPr="0062042A"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3196" w:type="pct"/>
            <w:gridSpan w:val="2"/>
            <w:shd w:val="clear" w:color="auto" w:fill="1F4E79" w:themeFill="accent1" w:themeFillShade="80"/>
            <w:vAlign w:val="center"/>
          </w:tcPr>
          <w:p w:rsidR="006931AA" w:rsidRPr="00AD2B31"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F94695" w:rsidRPr="0062042A" w:rsidTr="004D1BB8">
        <w:trPr>
          <w:trHeight w:val="440"/>
        </w:trPr>
        <w:tc>
          <w:tcPr>
            <w:tcW w:w="533" w:type="pct"/>
            <w:shd w:val="clear" w:color="auto" w:fill="F2F2F2" w:themeFill="background1" w:themeFillShade="F2"/>
            <w:vAlign w:val="center"/>
            <w:hideMark/>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Job Role</w:t>
            </w:r>
          </w:p>
        </w:tc>
        <w:tc>
          <w:tcPr>
            <w:tcW w:w="1271" w:type="pct"/>
            <w:shd w:val="clear" w:color="auto" w:fill="F2F2F2" w:themeFill="background1" w:themeFillShade="F2"/>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szCs w:val="20"/>
              </w:rPr>
              <w:t>Description</w:t>
            </w:r>
          </w:p>
        </w:tc>
        <w:tc>
          <w:tcPr>
            <w:tcW w:w="504" w:type="pct"/>
            <w:shd w:val="clear" w:color="auto" w:fill="F2F2F2" w:themeFill="background1" w:themeFillShade="F2"/>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Radno mjesto</w:t>
            </w:r>
          </w:p>
        </w:tc>
        <w:tc>
          <w:tcPr>
            <w:tcW w:w="2692" w:type="pct"/>
            <w:shd w:val="clear" w:color="auto" w:fill="F2F2F2" w:themeFill="background1" w:themeFillShade="F2"/>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Opis</w:t>
            </w:r>
          </w:p>
        </w:tc>
      </w:tr>
      <w:tr w:rsidR="00F94695" w:rsidRPr="0062042A" w:rsidTr="00F94695">
        <w:trPr>
          <w:trHeight w:val="1250"/>
        </w:trPr>
        <w:tc>
          <w:tcPr>
            <w:tcW w:w="533" w:type="pct"/>
            <w:shd w:val="clear" w:color="000000" w:fill="FFFFFF"/>
            <w:vAlign w:val="center"/>
            <w:hideMark/>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Decision-making level</w:t>
            </w:r>
          </w:p>
        </w:tc>
        <w:tc>
          <w:tcPr>
            <w:tcW w:w="1271" w:type="pct"/>
            <w:shd w:val="clear" w:color="000000" w:fill="FFFFFF"/>
            <w:vAlign w:val="center"/>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This is the head of the organization or persons that act on relatively high strategic management levels</w:t>
            </w:r>
          </w:p>
        </w:tc>
        <w:tc>
          <w:tcPr>
            <w:tcW w:w="504" w:type="pct"/>
            <w:shd w:val="clear" w:color="000000" w:fill="FFFFFF"/>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Razina donošenja odluka</w:t>
            </w:r>
          </w:p>
        </w:tc>
        <w:tc>
          <w:tcPr>
            <w:tcW w:w="2692" w:type="pct"/>
            <w:shd w:val="clear" w:color="000000" w:fill="FFFFFF"/>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Čelnik organizacije ili osobe koje rade na relativno visokoj strateškoj razini upravljanja</w:t>
            </w:r>
          </w:p>
        </w:tc>
      </w:tr>
      <w:tr w:rsidR="00F94695" w:rsidRPr="0062042A" w:rsidTr="00F94695">
        <w:trPr>
          <w:trHeight w:val="1871"/>
        </w:trPr>
        <w:tc>
          <w:tcPr>
            <w:tcW w:w="533" w:type="pct"/>
            <w:shd w:val="clear" w:color="000000" w:fill="FFFFFF"/>
            <w:vAlign w:val="center"/>
            <w:hideMark/>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Supervisory level</w:t>
            </w:r>
          </w:p>
        </w:tc>
        <w:tc>
          <w:tcPr>
            <w:tcW w:w="1271" w:type="pct"/>
            <w:shd w:val="clear" w:color="000000" w:fill="FFFFFF"/>
            <w:vAlign w:val="center"/>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This is the middle management level, responsible for a group of people and not directly involved in operational implementation of the programme</w:t>
            </w:r>
            <w:r>
              <w:rPr>
                <w:rFonts w:ascii="Verdana" w:hAnsi="Verdana" w:cstheme="minorHAnsi"/>
                <w:sz w:val="20"/>
                <w:szCs w:val="20"/>
              </w:rPr>
              <w:t>, for instance heads of organizational units.</w:t>
            </w:r>
          </w:p>
        </w:tc>
        <w:tc>
          <w:tcPr>
            <w:tcW w:w="504" w:type="pct"/>
            <w:shd w:val="clear" w:color="000000" w:fill="FFFFFF"/>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Razina nadzora</w:t>
            </w:r>
          </w:p>
        </w:tc>
        <w:tc>
          <w:tcPr>
            <w:tcW w:w="2692" w:type="pct"/>
            <w:shd w:val="clear" w:color="000000" w:fill="FFFFFF"/>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Srednja razina upravljanja – osoba je odgovorna za skupinu zaposlenika i ne sudjeluje izravno u operativnoj provedbi programa, na primjer voditelji ustrojstvenih jedinica</w:t>
            </w:r>
          </w:p>
        </w:tc>
      </w:tr>
      <w:tr w:rsidR="00F94695" w:rsidRPr="0062042A" w:rsidTr="00F94695">
        <w:trPr>
          <w:trHeight w:val="1439"/>
        </w:trPr>
        <w:tc>
          <w:tcPr>
            <w:tcW w:w="533" w:type="pct"/>
            <w:shd w:val="clear" w:color="000000" w:fill="FFFFFF"/>
            <w:vAlign w:val="center"/>
            <w:hideMark/>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Operational level</w:t>
            </w:r>
          </w:p>
        </w:tc>
        <w:tc>
          <w:tcPr>
            <w:tcW w:w="1271" w:type="pct"/>
            <w:shd w:val="clear" w:color="000000" w:fill="FFFFFF"/>
            <w:vAlign w:val="center"/>
          </w:tcPr>
          <w:p w:rsidR="00F94695" w:rsidRPr="0062042A" w:rsidRDefault="00F94695" w:rsidP="00F94695">
            <w:pPr>
              <w:spacing w:after="0"/>
              <w:rPr>
                <w:rFonts w:ascii="Verdana" w:hAnsi="Verdana" w:cstheme="minorHAnsi"/>
                <w:sz w:val="20"/>
                <w:szCs w:val="20"/>
              </w:rPr>
            </w:pPr>
            <w:r w:rsidRPr="0062042A">
              <w:rPr>
                <w:rFonts w:ascii="Verdana" w:hAnsi="Verdana" w:cstheme="minorHAnsi"/>
                <w:sz w:val="20"/>
                <w:szCs w:val="20"/>
              </w:rPr>
              <w:t>These are the experts that are directly working on the different tasks and sub-tasks within the organization</w:t>
            </w:r>
          </w:p>
        </w:tc>
        <w:tc>
          <w:tcPr>
            <w:tcW w:w="504" w:type="pct"/>
            <w:shd w:val="clear" w:color="000000" w:fill="FFFFFF"/>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Operativna razina</w:t>
            </w:r>
          </w:p>
        </w:tc>
        <w:tc>
          <w:tcPr>
            <w:tcW w:w="2692" w:type="pct"/>
            <w:shd w:val="clear" w:color="000000" w:fill="FFFFFF"/>
            <w:vAlign w:val="center"/>
          </w:tcPr>
          <w:p w:rsidR="00F94695" w:rsidRPr="0062042A" w:rsidRDefault="00F94695" w:rsidP="00F94695">
            <w:pPr>
              <w:spacing w:after="0"/>
              <w:rPr>
                <w:rFonts w:ascii="Verdana" w:hAnsi="Verdana" w:cstheme="minorHAnsi"/>
                <w:sz w:val="20"/>
                <w:szCs w:val="20"/>
              </w:rPr>
            </w:pPr>
            <w:r>
              <w:rPr>
                <w:rFonts w:ascii="Verdana" w:hAnsi="Verdana" w:cstheme="minorHAnsi"/>
                <w:sz w:val="20"/>
              </w:rPr>
              <w:t>Stručnjaci koji izravno rade na različitim zadaćama i podzadaćama u organizaciji</w:t>
            </w:r>
          </w:p>
        </w:tc>
      </w:tr>
    </w:tbl>
    <w:p w:rsidR="003928BC" w:rsidRPr="003870A6" w:rsidRDefault="003928BC">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CF6967" w:rsidRDefault="000C44D2" w:rsidP="004D1BB8">
      <w:pPr>
        <w:pStyle w:val="Heading1"/>
      </w:pPr>
      <w:bookmarkStart w:id="3" w:name="_Toc494906119"/>
      <w:bookmarkStart w:id="4" w:name="_Toc508374259"/>
      <w:r>
        <w:lastRenderedPageBreak/>
        <w:t>Zadaće i podzadaće</w:t>
      </w:r>
      <w:bookmarkEnd w:id="3"/>
      <w:bookmarkEnd w:id="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7"/>
        <w:gridCol w:w="4485"/>
        <w:gridCol w:w="3017"/>
        <w:gridCol w:w="3297"/>
      </w:tblGrid>
      <w:tr w:rsidR="006931AA" w:rsidRPr="00751B8C" w:rsidTr="006645FC">
        <w:trPr>
          <w:trHeight w:val="318"/>
          <w:tblHeader/>
        </w:trPr>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746147" w:rsidRPr="00751B8C" w:rsidTr="006645FC">
        <w:trPr>
          <w:trHeight w:val="318"/>
          <w:tblHeader/>
        </w:trPr>
        <w:tc>
          <w:tcPr>
            <w:tcW w:w="902" w:type="pct"/>
            <w:shd w:val="clear" w:color="auto" w:fill="F2F2F2" w:themeFill="background1" w:themeFillShade="F2"/>
            <w:vAlign w:val="center"/>
          </w:tcPr>
          <w:p w:rsidR="00746147" w:rsidRPr="00751B8C" w:rsidRDefault="00746147" w:rsidP="00D007B4">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Tasks</w:t>
            </w:r>
          </w:p>
        </w:tc>
        <w:tc>
          <w:tcPr>
            <w:tcW w:w="1702" w:type="pct"/>
            <w:shd w:val="clear" w:color="auto" w:fill="F2F2F2" w:themeFill="background1" w:themeFillShade="F2"/>
            <w:vAlign w:val="center"/>
          </w:tcPr>
          <w:p w:rsidR="00746147" w:rsidRPr="00751B8C" w:rsidRDefault="00746147" w:rsidP="00D007B4">
            <w:pPr>
              <w:spacing w:after="0" w:line="240" w:lineRule="auto"/>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Sub-task</w:t>
            </w:r>
          </w:p>
        </w:tc>
        <w:tc>
          <w:tcPr>
            <w:tcW w:w="1145" w:type="pct"/>
            <w:shd w:val="clear" w:color="auto" w:fill="F2F2F2" w:themeFill="background1" w:themeFillShade="F2"/>
            <w:vAlign w:val="center"/>
          </w:tcPr>
          <w:p w:rsidR="00746147" w:rsidRPr="00751B8C" w:rsidRDefault="00746147" w:rsidP="00F94695">
            <w:pPr>
              <w:spacing w:after="0" w:line="240" w:lineRule="auto"/>
              <w:rPr>
                <w:rFonts w:ascii="Verdana" w:eastAsia="Times New Roman" w:hAnsi="Verdana" w:cstheme="minorHAnsi"/>
                <w:b/>
                <w:bCs/>
                <w:sz w:val="20"/>
                <w:szCs w:val="20"/>
              </w:rPr>
            </w:pPr>
            <w:r>
              <w:rPr>
                <w:rFonts w:ascii="Verdana" w:hAnsi="Verdana" w:cstheme="minorHAnsi"/>
                <w:b/>
                <w:sz w:val="20"/>
              </w:rPr>
              <w:t>Zadaće</w:t>
            </w:r>
          </w:p>
        </w:tc>
        <w:tc>
          <w:tcPr>
            <w:tcW w:w="1251" w:type="pct"/>
            <w:shd w:val="clear" w:color="auto" w:fill="F2F2F2" w:themeFill="background1" w:themeFillShade="F2"/>
            <w:vAlign w:val="center"/>
          </w:tcPr>
          <w:p w:rsidR="00746147" w:rsidRPr="00751B8C" w:rsidRDefault="00746147" w:rsidP="00F94695">
            <w:pPr>
              <w:spacing w:after="0" w:line="240" w:lineRule="auto"/>
              <w:rPr>
                <w:rFonts w:ascii="Verdana" w:eastAsia="Times New Roman" w:hAnsi="Verdana" w:cstheme="minorHAnsi"/>
                <w:b/>
                <w:bCs/>
                <w:sz w:val="20"/>
                <w:szCs w:val="20"/>
              </w:rPr>
            </w:pPr>
            <w:r>
              <w:rPr>
                <w:rFonts w:ascii="Verdana" w:hAnsi="Verdana" w:cstheme="minorHAnsi"/>
                <w:b/>
                <w:sz w:val="20"/>
              </w:rPr>
              <w:t>Podzadaća</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1. Programming   </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1.1. Inter-institutional coordination and stakeholder involvement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1. Izrada programa   </w:t>
            </w: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1.1. Međuinstitucijska koordinacija i sudjelovanje dionika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1.2.  Preparation of the Programme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1.2.  Priprema programa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1.3. Management of the evaluation process (ex-ante)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1.3. Upravljanje postupkom evaluacije </w:t>
            </w:r>
            <w:r>
              <w:rPr>
                <w:rFonts w:ascii="Verdana" w:hAnsi="Verdana" w:cstheme="minorHAnsi"/>
                <w:i/>
                <w:sz w:val="20"/>
              </w:rPr>
              <w:t>(ex ante)</w:t>
            </w:r>
            <w:r>
              <w:rPr>
                <w:rFonts w:ascii="Verdana" w:hAnsi="Verdana" w:cstheme="minorHAnsi"/>
                <w:sz w:val="20"/>
              </w:rPr>
              <w:t xml:space="preserve">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1.4. Negotiation with the EC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1.4. Pregovaranje s EK-om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1.5 Procurement of goods and services under Technical Assistance</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1.5.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1.6 Definition of the guiding principles for selection of operations</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1.6. Definicija vodećih načela za odabir operacija</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2. System set-up, development of procedures and tools</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2.1. Development of the description of management and control systems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2. Uspostava sustava, razvoj postupaka i alata</w:t>
            </w: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2.1. Razvoj opisa upravljačkih i kontrolnih sustava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2.2. Development of the procedures and tools for Programme implementation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2.2. Razvoj postupaka i alata za provedbu programa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2.3 Legal system set-up</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2.3. Uspostava pravnog sustava</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2.4. Development and maintenance of monitoring and information systems and e-cohesion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D516C0">
            <w:pPr>
              <w:spacing w:after="0"/>
              <w:rPr>
                <w:rFonts w:ascii="Verdana" w:hAnsi="Verdana" w:cstheme="minorHAnsi"/>
                <w:sz w:val="20"/>
                <w:szCs w:val="20"/>
              </w:rPr>
            </w:pPr>
            <w:r>
              <w:rPr>
                <w:rFonts w:ascii="Verdana" w:hAnsi="Verdana" w:cstheme="minorHAnsi"/>
                <w:sz w:val="20"/>
              </w:rPr>
              <w:t>2.4. Razvoj sustava za praćenje</w:t>
            </w:r>
            <w:r w:rsidR="00D516C0">
              <w:rPr>
                <w:rFonts w:ascii="Verdana" w:hAnsi="Verdana" w:cstheme="minorHAnsi"/>
                <w:sz w:val="20"/>
              </w:rPr>
              <w:t>, informacijskih sustava</w:t>
            </w:r>
            <w:r>
              <w:rPr>
                <w:rFonts w:ascii="Verdana" w:hAnsi="Verdana" w:cstheme="minorHAnsi"/>
                <w:sz w:val="20"/>
              </w:rPr>
              <w:t xml:space="preserve"> i e-kohezije i njihovo održavanje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2.5 Procurement of goods and services under Technical Assistance</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2.5.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2.6. Development of institutional and administrative capacity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2.6. Razvoj institucijskih i administrativnih kapaciteta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 Project generation, preparation of calls for proposals, project </w:t>
            </w:r>
            <w:r w:rsidRPr="00751B8C">
              <w:rPr>
                <w:rFonts w:ascii="Verdana" w:hAnsi="Verdana" w:cstheme="minorHAnsi"/>
                <w:sz w:val="20"/>
                <w:szCs w:val="20"/>
              </w:rPr>
              <w:lastRenderedPageBreak/>
              <w:t>selection and contracting</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lastRenderedPageBreak/>
              <w:t xml:space="preserve">3.1 Supporting applicants in relation to technical and financial aspects of project requirements, including capacity building at beneficiary level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 Izrada projekta, priprema poziva na podnošenje prijedloga, odabir projekta i </w:t>
            </w:r>
            <w:r>
              <w:rPr>
                <w:rFonts w:ascii="Verdana" w:hAnsi="Verdana" w:cstheme="minorHAnsi"/>
                <w:sz w:val="20"/>
              </w:rPr>
              <w:lastRenderedPageBreak/>
              <w:t>ugovaranje</w:t>
            </w: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lastRenderedPageBreak/>
              <w:t xml:space="preserve">3.1. Pružanje potpore podnositeljima u pogledu tehničkih i financijskih aspekata projektnih zahtjeva, </w:t>
            </w:r>
            <w:r>
              <w:rPr>
                <w:rFonts w:ascii="Verdana" w:hAnsi="Verdana" w:cstheme="minorHAnsi"/>
                <w:sz w:val="20"/>
              </w:rPr>
              <w:lastRenderedPageBreak/>
              <w:t xml:space="preserve">uključujući izgradnju kapaciteta na razini korisnika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3.2. Preparation of proposals for selection criteria and selection procedures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3.2. Priprema prijedloga za kriterije za odabir i postupke odabira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3.3. Preparation / modification of guidelines for applicants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3.3. Priprema / izmjena smjernica za podnositelje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3.4. Administrative and eligibility check (completeness of the package and compliance with relevant laws and regulations)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3.4. Administrativna provjera i provjera prihvatljivosti (potpunost paketa i usklađenost s relevantnim zakonima i propisima)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3.5. Appraisal (scoring of applications, management of appeals, drawing up list of projects, communicating results to decision makers and applicants)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3.5. Ocjenjivanje (bodovanje prijava, upravljanje žalbama, sastavljanje popisa projekata, priopćavanje rezultata donositeljima odluka i podnositeljima zahtjeva)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3.6. Development and amendment of procedures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3.6. Razvoj postupaka i njihova izmjena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3.7. Procurement of goods and services under Technical Assistance</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3.7.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3.8. Awareness and support activities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3.8. Aktivnosti podizanja razine svijesti i potpore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3.9. Collecting documentation from successful applicants, preparation of contracting documentation and contract modifications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3.9. Prikupljanje dokumentacije od uspješnih podnositelja prijave, izrada ugovorne dokumentacije i izmjene ugovora </w:t>
            </w:r>
          </w:p>
        </w:tc>
      </w:tr>
      <w:tr w:rsidR="00F94695" w:rsidRPr="00C02038" w:rsidTr="00757D2E">
        <w:trPr>
          <w:trHeight w:val="318"/>
        </w:trPr>
        <w:tc>
          <w:tcPr>
            <w:tcW w:w="902" w:type="pct"/>
            <w:shd w:val="clear" w:color="000000" w:fill="FFFFFF"/>
            <w:vAlign w:val="center"/>
          </w:tcPr>
          <w:p w:rsidR="00F94695" w:rsidRPr="00C02038" w:rsidRDefault="00F94695" w:rsidP="006931AA">
            <w:pPr>
              <w:spacing w:after="0"/>
              <w:rPr>
                <w:rFonts w:ascii="Verdana" w:hAnsi="Verdana" w:cstheme="minorHAnsi"/>
                <w:sz w:val="20"/>
              </w:rPr>
            </w:pPr>
            <w:r w:rsidRPr="00C02038">
              <w:rPr>
                <w:rFonts w:ascii="Verdana" w:hAnsi="Verdana" w:cstheme="minorHAnsi"/>
                <w:sz w:val="20"/>
              </w:rPr>
              <w:t>4. Monitoring on project level</w:t>
            </w:r>
          </w:p>
        </w:tc>
        <w:tc>
          <w:tcPr>
            <w:tcW w:w="1702" w:type="pct"/>
            <w:shd w:val="clear" w:color="000000" w:fill="FFFFFF"/>
            <w:vAlign w:val="center"/>
          </w:tcPr>
          <w:p w:rsidR="00F94695" w:rsidRPr="00C02038" w:rsidRDefault="00F94695" w:rsidP="00F94695">
            <w:pPr>
              <w:spacing w:after="0"/>
              <w:rPr>
                <w:rFonts w:ascii="Verdana" w:hAnsi="Verdana" w:cstheme="minorHAnsi"/>
                <w:sz w:val="20"/>
              </w:rPr>
            </w:pPr>
            <w:r w:rsidRPr="00C02038">
              <w:rPr>
                <w:rFonts w:ascii="Verdana" w:hAnsi="Verdana" w:cstheme="minorHAnsi"/>
                <w:sz w:val="20"/>
              </w:rPr>
              <w:t xml:space="preserve">4.1. Technical monitoring and on the spot verifications at project level </w:t>
            </w:r>
          </w:p>
        </w:tc>
        <w:tc>
          <w:tcPr>
            <w:tcW w:w="1145" w:type="pct"/>
            <w:shd w:val="clear" w:color="000000" w:fill="FFFFFF"/>
            <w:vAlign w:val="center"/>
          </w:tcPr>
          <w:p w:rsidR="00F94695" w:rsidRPr="00C02038" w:rsidRDefault="00F94695" w:rsidP="006931AA">
            <w:pPr>
              <w:spacing w:after="0"/>
              <w:rPr>
                <w:rFonts w:ascii="Verdana" w:hAnsi="Verdana" w:cstheme="minorHAnsi"/>
                <w:sz w:val="20"/>
              </w:rPr>
            </w:pPr>
            <w:r>
              <w:rPr>
                <w:rFonts w:ascii="Verdana" w:hAnsi="Verdana" w:cstheme="minorHAnsi"/>
                <w:sz w:val="20"/>
              </w:rPr>
              <w:t>4. Praćenje na razini projekta</w:t>
            </w:r>
          </w:p>
        </w:tc>
        <w:tc>
          <w:tcPr>
            <w:tcW w:w="1251" w:type="pct"/>
            <w:shd w:val="clear" w:color="000000" w:fill="FFFFFF"/>
            <w:vAlign w:val="center"/>
          </w:tcPr>
          <w:p w:rsidR="00F94695" w:rsidRPr="00C02038" w:rsidRDefault="00F94695" w:rsidP="00F94695">
            <w:pPr>
              <w:spacing w:after="0"/>
              <w:rPr>
                <w:rFonts w:ascii="Verdana" w:hAnsi="Verdana" w:cstheme="minorHAnsi"/>
                <w:sz w:val="20"/>
              </w:rPr>
            </w:pPr>
            <w:r>
              <w:rPr>
                <w:rFonts w:ascii="Verdana" w:hAnsi="Verdana" w:cstheme="minorHAnsi"/>
                <w:sz w:val="20"/>
              </w:rPr>
              <w:t xml:space="preserve">4.1. Tehničko praćenje i provjere na licu mjesta na razini projekta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6931AA">
            <w:pPr>
              <w:spacing w:after="0"/>
              <w:rPr>
                <w:rFonts w:ascii="Verdana" w:hAnsi="Verdana" w:cstheme="minorHAnsi"/>
                <w:sz w:val="20"/>
                <w:szCs w:val="20"/>
              </w:rPr>
            </w:pPr>
            <w:r>
              <w:rPr>
                <w:rFonts w:ascii="Verdana" w:hAnsi="Verdana" w:cstheme="minorHAnsi"/>
                <w:sz w:val="20"/>
              </w:rPr>
              <w:t xml:space="preserve">4.2. Davanje savjeta korisnicima o pitanjima provedbe projekta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4.2. Davanje savjeta korisnicima o pitanjima provedbe projekta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4.3. Finding and reporting irregularities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4.3. Pronalaženje nepravilnosti i njihovo prijavljivanje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4.4 Procurement of goods and services under Technical Assistance</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4.4.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r w:rsidRPr="00751B8C">
              <w:rPr>
                <w:rFonts w:ascii="Verdana" w:hAnsi="Verdana" w:cstheme="minorHAnsi"/>
                <w:sz w:val="20"/>
                <w:szCs w:val="20"/>
              </w:rPr>
              <w:t>5. Monitoring on programme level</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5.1. Measurement of the performance of the PA/Measure (planning, monitoring, forecasting, revising)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5. Praćenje na razini programa</w:t>
            </w: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5.1. Mjerenje uspješnosti </w:t>
            </w:r>
            <w:r w:rsidR="00C02038" w:rsidRPr="00C02038">
              <w:rPr>
                <w:rFonts w:ascii="Verdana" w:hAnsi="Verdana" w:cstheme="minorHAnsi"/>
                <w:sz w:val="20"/>
              </w:rPr>
              <w:t>prioritetne</w:t>
            </w:r>
            <w:r w:rsidR="00C02038">
              <w:rPr>
                <w:color w:val="1F497D"/>
              </w:rPr>
              <w:t xml:space="preserve"> </w:t>
            </w:r>
            <w:r w:rsidR="00C02038" w:rsidRPr="00C02038">
              <w:rPr>
                <w:rFonts w:ascii="Verdana" w:hAnsi="Verdana" w:cstheme="minorHAnsi"/>
                <w:sz w:val="20"/>
              </w:rPr>
              <w:t>osi</w:t>
            </w:r>
            <w:r w:rsidR="00C02038">
              <w:rPr>
                <w:rFonts w:ascii="Verdana" w:hAnsi="Verdana" w:cstheme="minorHAnsi"/>
                <w:sz w:val="20"/>
              </w:rPr>
              <w:t xml:space="preserve"> </w:t>
            </w:r>
            <w:r>
              <w:rPr>
                <w:rFonts w:ascii="Verdana" w:hAnsi="Verdana" w:cstheme="minorHAnsi"/>
                <w:sz w:val="20"/>
              </w:rPr>
              <w:t xml:space="preserve">/mjere (planiranje, praćenje, predviđanje, revidiranje)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5.2. Measurement of the performance of the Operational Programme (planning, monitoring, forecasting, revising and corrective actions)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5.2. Mjerenje uspješnosti operativnog programa (planiranje, praćenje, predviđanje, revidiranje, korektivne mjere)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5.3 Monitoring the progress of implementation of the partnership agreement</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5.3. Praćenje napretka u provedbi sporazuma o partnerstvu</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5.4. Reporting to the Monitoring Committee and European Commission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5.4. Izvješćivanje Odbora za praćenje i Europske komisije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5.5. Development and amendment of monitoring procedures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5.5. Razvoj postupaka praćenja i njihova izmjena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5.6. Supporting the Monitoring Committee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5.6. Podupiranje Odbora za praćenje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5.7. Procurement of goods and services under Technical Assistance</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5.7.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r w:rsidRPr="00751B8C">
              <w:rPr>
                <w:rFonts w:ascii="Verdana" w:hAnsi="Verdana" w:cstheme="minorHAnsi"/>
                <w:sz w:val="20"/>
                <w:szCs w:val="20"/>
              </w:rPr>
              <w:t>6. Evaluation</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6.1. Preparing and guiding the evaluation process (outsourced) </w:t>
            </w:r>
          </w:p>
        </w:tc>
        <w:tc>
          <w:tcPr>
            <w:tcW w:w="1145"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6. Evaluacija</w:t>
            </w: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6.1. Priprema i vođenje postupka evaluacije (vanjski suradnici)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6.2. Carrying out evaluation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6.2. Provođenje evaluacije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6.3. Usage of results: involved in the identification and implementation of follow up actions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6.3. Uporaba rezultata: uključenost u identifikaciju i provedbu daljnjih mjera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6.4. Procurement of goods and services under Technical Assistance</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6.4.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6.5. Ex-ante conditionalities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6.5. </w:t>
            </w:r>
            <w:r>
              <w:rPr>
                <w:rFonts w:ascii="Verdana" w:hAnsi="Verdana" w:cstheme="minorHAnsi"/>
                <w:i/>
                <w:sz w:val="20"/>
              </w:rPr>
              <w:t>Ex ante</w:t>
            </w:r>
            <w:r>
              <w:rPr>
                <w:rFonts w:ascii="Verdana" w:hAnsi="Verdana" w:cstheme="minorHAnsi"/>
                <w:sz w:val="20"/>
              </w:rPr>
              <w:t xml:space="preserve"> uvjeti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r w:rsidRPr="00751B8C">
              <w:rPr>
                <w:rFonts w:ascii="Verdana" w:hAnsi="Verdana" w:cstheme="minorHAnsi"/>
                <w:sz w:val="20"/>
                <w:szCs w:val="20"/>
              </w:rPr>
              <w:t>7. Financial management on project level</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7.1. Verification of payment claims and first level control reports at project level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7.1. Provjera zahtjeva za plaćanje i izvješća o kontroli prve razine na razini projekta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7.2. Financial monitoring and on the spot verifications at project level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7.2. Financijsko praćenje i provjere na licu mjesta na razini projekta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7.3. Procurement of goods and services under Technical Assistance</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7.3. Nabava robe i usluga u 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8. Financial management on programme level</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8.1. Measurement of the financial performance of PA/Measure (planning, monitoring, forecasting, revising)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8.1. Praćenje financijskih rezultata </w:t>
            </w:r>
            <w:r w:rsidR="00477E22">
              <w:rPr>
                <w:rFonts w:ascii="Verdana" w:hAnsi="Verdana" w:cstheme="minorHAnsi"/>
                <w:sz w:val="20"/>
              </w:rPr>
              <w:t>prioritetne</w:t>
            </w:r>
            <w:r w:rsidR="00477E22">
              <w:rPr>
                <w:color w:val="1F497D"/>
              </w:rPr>
              <w:t xml:space="preserve"> </w:t>
            </w:r>
            <w:r w:rsidR="00477E22">
              <w:rPr>
                <w:rFonts w:ascii="Verdana" w:hAnsi="Verdana" w:cstheme="minorHAnsi"/>
                <w:sz w:val="20"/>
              </w:rPr>
              <w:t xml:space="preserve">osi </w:t>
            </w:r>
            <w:bookmarkStart w:id="5" w:name="_GoBack"/>
            <w:bookmarkEnd w:id="5"/>
            <w:r>
              <w:rPr>
                <w:rFonts w:ascii="Verdana" w:hAnsi="Verdana" w:cstheme="minorHAnsi"/>
                <w:sz w:val="20"/>
              </w:rPr>
              <w:t xml:space="preserve">/mjere (planiranje, praćenje, predviđanje, revidiranje) </w:t>
            </w:r>
          </w:p>
        </w:tc>
      </w:tr>
      <w:tr w:rsidR="00F94695" w:rsidRPr="00751B8C" w:rsidTr="00757D2E">
        <w:trPr>
          <w:trHeight w:val="683"/>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8.2. Financial management of Operational Programme (planning, monitoring, forecasting, revising and corrective actions)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8.2. Financijsko upravljanje operativnim programom (planiranje, praćenje, predviđanje, revidiranje i korektivne mjere)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8.3. Reporting to Monitoring Committee and European Commission including management declaration and annual summary (CPR 125.4(e)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8.3. Izvješćivanje Odbora za praćenje i Europske komisije, uključujući izjavu o upravljanju i godišnji sažetak (CPR 125.4(e)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8.4. Development and amendment of financial management procedures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8.4. Razvoj i izmjena postupaka financijskog upravljanja </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8.5. Procurement of goods and services </w:t>
            </w:r>
            <w:r w:rsidRPr="00751B8C">
              <w:rPr>
                <w:rFonts w:ascii="Verdana" w:hAnsi="Verdana" w:cstheme="minorHAnsi"/>
                <w:sz w:val="20"/>
                <w:szCs w:val="20"/>
              </w:rPr>
              <w:lastRenderedPageBreak/>
              <w:t>under Technical Assistance</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8.5. Nabava robe i usluga u </w:t>
            </w:r>
            <w:r>
              <w:rPr>
                <w:rFonts w:ascii="Verdana" w:hAnsi="Verdana" w:cstheme="minorHAnsi"/>
                <w:sz w:val="20"/>
              </w:rPr>
              <w:lastRenderedPageBreak/>
              <w:t>okviru tehničke pomoći</w:t>
            </w:r>
          </w:p>
        </w:tc>
      </w:tr>
      <w:tr w:rsidR="00F94695" w:rsidRPr="00751B8C" w:rsidTr="00757D2E">
        <w:trPr>
          <w:trHeight w:val="318"/>
        </w:trPr>
        <w:tc>
          <w:tcPr>
            <w:tcW w:w="9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lastRenderedPageBreak/>
              <w:t>9. Communication</w:t>
            </w: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9.1. Preparation of the communication plan and its implementation for different stakeholders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9.1. Izrada komunikacijskog plana i njegova provedba za različite dionike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 xml:space="preserve">9.2. Building networks with different media </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 xml:space="preserve">9.2. Izgradnja mreža s različitim medijima </w:t>
            </w:r>
          </w:p>
        </w:tc>
      </w:tr>
      <w:tr w:rsidR="00F94695" w:rsidRPr="00751B8C" w:rsidTr="00757D2E">
        <w:trPr>
          <w:trHeight w:val="318"/>
        </w:trPr>
        <w:tc>
          <w:tcPr>
            <w:tcW w:w="902"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702" w:type="pct"/>
            <w:shd w:val="clear" w:color="000000" w:fill="FFFFFF"/>
            <w:vAlign w:val="center"/>
          </w:tcPr>
          <w:p w:rsidR="00F94695" w:rsidRPr="00751B8C" w:rsidRDefault="00F94695" w:rsidP="00F94695">
            <w:pPr>
              <w:spacing w:after="0"/>
              <w:rPr>
                <w:rFonts w:ascii="Verdana" w:hAnsi="Verdana" w:cstheme="minorHAnsi"/>
                <w:sz w:val="20"/>
                <w:szCs w:val="20"/>
              </w:rPr>
            </w:pPr>
            <w:r w:rsidRPr="00751B8C">
              <w:rPr>
                <w:rFonts w:ascii="Verdana" w:hAnsi="Verdana" w:cstheme="minorHAnsi"/>
                <w:sz w:val="20"/>
                <w:szCs w:val="20"/>
              </w:rPr>
              <w:t>9.3. Procurement of goods and services under Technical Assistance</w:t>
            </w:r>
          </w:p>
        </w:tc>
        <w:tc>
          <w:tcPr>
            <w:tcW w:w="1145" w:type="pct"/>
            <w:shd w:val="clear" w:color="000000" w:fill="FFFFFF"/>
            <w:vAlign w:val="center"/>
          </w:tcPr>
          <w:p w:rsidR="00F94695" w:rsidRPr="00751B8C" w:rsidRDefault="00F94695" w:rsidP="006931AA">
            <w:pPr>
              <w:spacing w:after="0"/>
              <w:rPr>
                <w:rFonts w:ascii="Verdana" w:hAnsi="Verdana" w:cstheme="minorHAnsi"/>
                <w:sz w:val="20"/>
                <w:szCs w:val="20"/>
              </w:rPr>
            </w:pPr>
          </w:p>
        </w:tc>
        <w:tc>
          <w:tcPr>
            <w:tcW w:w="1251" w:type="pct"/>
            <w:shd w:val="clear" w:color="000000" w:fill="FFFFFF"/>
            <w:vAlign w:val="center"/>
          </w:tcPr>
          <w:p w:rsidR="00F94695" w:rsidRPr="00751B8C" w:rsidRDefault="00F94695" w:rsidP="00F94695">
            <w:pPr>
              <w:spacing w:after="0"/>
              <w:rPr>
                <w:rFonts w:ascii="Verdana" w:hAnsi="Verdana" w:cstheme="minorHAnsi"/>
                <w:sz w:val="20"/>
                <w:szCs w:val="20"/>
              </w:rPr>
            </w:pPr>
            <w:r>
              <w:rPr>
                <w:rFonts w:ascii="Verdana" w:hAnsi="Verdana" w:cstheme="minorHAnsi"/>
                <w:sz w:val="20"/>
              </w:rPr>
              <w:t>9.3. Nabava robe i usluga u okviru tehničke pomoći</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9"/>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ind w:left="175"/>
              <w:rPr>
                <w:rFonts w:ascii="Verdana" w:hAnsi="Verdana"/>
                <w:sz w:val="20"/>
                <w:szCs w:val="20"/>
              </w:rPr>
            </w:pPr>
            <w:r w:rsidRPr="00751B8C">
              <w:rPr>
                <w:rFonts w:ascii="Verdana" w:hAnsi="Verdana" w:cstheme="minorHAnsi"/>
                <w:sz w:val="20"/>
                <w:szCs w:val="20"/>
              </w:rPr>
              <w:t>10. Supervision of Intermediate bodies (IBs)</w:t>
            </w: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1. Supporting IBs in setting-up the management and control system</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1. Podupiranje posredničkih tijela u uspostavi sustava upravljanja i kontrole</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 xml:space="preserve">2. Drafting of the delegation agreement </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 xml:space="preserve">2. Izrada nacrta sporazuma o delegiranju </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3. Planning of the audit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3. Planiranje revizije posredničkih tijela</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4. Audit of the management and control system of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4. Revizija sustava upravljanja i kontrole posredničkih tijela</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5. Regular review of results reported by IB</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5. Redovito preispitivanje rezultata koje dostavljaju posrednička tijela</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6. Review of a sample of operations carried out under the responsibility of the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6. Preispitivanje uzorka operacija koje se obavljaju u nadležnosti posredničkih tijela</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7. Drafting of procedures and guidelines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7. Izrada nacrta postupaka i smjernica</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8. Procurement of goods and services under Technical Assistance</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shd w:val="clear" w:color="auto" w:fill="FFFFFF" w:themeFill="background1"/>
              <w:rPr>
                <w:rFonts w:ascii="Verdana" w:hAnsi="Verdana"/>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8. Nabava robe i usluga u okviru tehničke pomoći</w:t>
            </w:r>
          </w:p>
        </w:tc>
      </w:tr>
      <w:tr w:rsidR="00F94695" w:rsidRPr="00751B8C" w:rsidTr="00F94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02"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jc w:val="center"/>
              <w:rPr>
                <w:rFonts w:ascii="Verdana" w:hAnsi="Verdana"/>
                <w:color w:val="FF0000"/>
                <w:sz w:val="20"/>
                <w:szCs w:val="20"/>
              </w:rPr>
            </w:pPr>
          </w:p>
        </w:tc>
        <w:tc>
          <w:tcPr>
            <w:tcW w:w="1702"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sidRPr="00751B8C">
              <w:rPr>
                <w:rFonts w:ascii="Verdana" w:hAnsi="Verdana" w:cstheme="minorHAnsi"/>
                <w:sz w:val="20"/>
                <w:szCs w:val="20"/>
              </w:rPr>
              <w:t>9. Ongoing support to IBs</w:t>
            </w:r>
          </w:p>
        </w:tc>
        <w:tc>
          <w:tcPr>
            <w:tcW w:w="1145" w:type="pct"/>
            <w:tcBorders>
              <w:top w:val="nil"/>
              <w:left w:val="single" w:sz="4" w:space="0" w:color="808080"/>
              <w:bottom w:val="single" w:sz="4" w:space="0" w:color="808080"/>
              <w:right w:val="single" w:sz="4" w:space="0" w:color="808080"/>
            </w:tcBorders>
            <w:shd w:val="clear" w:color="auto" w:fill="FFFFFF" w:themeFill="background1"/>
          </w:tcPr>
          <w:p w:rsidR="00F94695" w:rsidRPr="00751B8C" w:rsidRDefault="00F94695" w:rsidP="006931AA">
            <w:pPr>
              <w:jc w:val="center"/>
              <w:rPr>
                <w:rFonts w:ascii="Verdana" w:hAnsi="Verdana"/>
                <w:color w:val="FF0000"/>
                <w:sz w:val="20"/>
                <w:szCs w:val="20"/>
              </w:rPr>
            </w:pPr>
          </w:p>
        </w:tc>
        <w:tc>
          <w:tcPr>
            <w:tcW w:w="1251" w:type="pct"/>
            <w:tcBorders>
              <w:top w:val="nil"/>
              <w:left w:val="single" w:sz="4" w:space="0" w:color="808080"/>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ind w:left="180"/>
              <w:rPr>
                <w:rFonts w:ascii="Verdana" w:hAnsi="Verdana" w:cstheme="minorHAnsi"/>
                <w:sz w:val="20"/>
                <w:szCs w:val="20"/>
              </w:rPr>
            </w:pPr>
            <w:r>
              <w:rPr>
                <w:rFonts w:ascii="Verdana" w:hAnsi="Verdana" w:cstheme="minorHAnsi"/>
                <w:sz w:val="20"/>
              </w:rPr>
              <w:t>9. Trajna potpora posredničkim tijelima</w:t>
            </w:r>
          </w:p>
        </w:tc>
      </w:tr>
    </w:tbl>
    <w:p w:rsidR="000C44D2" w:rsidRDefault="000C44D2">
      <w:pPr>
        <w:rPr>
          <w:rFonts w:ascii="Verdana" w:hAnsi="Verdana" w:cstheme="minorHAnsi"/>
          <w:i/>
          <w:sz w:val="18"/>
          <w:szCs w:val="20"/>
        </w:rPr>
      </w:pPr>
    </w:p>
    <w:p w:rsidR="0062042A" w:rsidRDefault="0062042A" w:rsidP="004D1BB8">
      <w:pPr>
        <w:pStyle w:val="Heading1"/>
        <w:sectPr w:rsidR="0062042A" w:rsidSect="00CD1306">
          <w:pgSz w:w="15840" w:h="12240" w:orient="landscape"/>
          <w:pgMar w:top="1440" w:right="1440" w:bottom="1440" w:left="1440" w:header="720" w:footer="720" w:gutter="0"/>
          <w:cols w:space="720"/>
          <w:docGrid w:linePitch="360"/>
        </w:sectPr>
      </w:pPr>
    </w:p>
    <w:p w:rsidR="00822B80" w:rsidRDefault="00822B80" w:rsidP="004D1BB8">
      <w:pPr>
        <w:pStyle w:val="Heading1"/>
      </w:pPr>
      <w:bookmarkStart w:id="6" w:name="_Toc494906120"/>
      <w:bookmarkStart w:id="7" w:name="_Toc508374260"/>
      <w:r>
        <w:lastRenderedPageBreak/>
        <w:t>Ljestvica stručnosti</w:t>
      </w:r>
      <w:bookmarkEnd w:id="6"/>
      <w:bookmarkEnd w:id="7"/>
      <w: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580"/>
        <w:gridCol w:w="1555"/>
        <w:gridCol w:w="5307"/>
      </w:tblGrid>
      <w:tr w:rsidR="006931AA" w:rsidRPr="00751B8C" w:rsidTr="00F55E53">
        <w:trPr>
          <w:trHeight w:val="20"/>
          <w:tblHeader/>
        </w:trPr>
        <w:tc>
          <w:tcPr>
            <w:tcW w:w="2396" w:type="pct"/>
            <w:gridSpan w:val="2"/>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18"/>
              </w:rPr>
            </w:pPr>
            <w:r>
              <w:rPr>
                <w:rFonts w:ascii="Verdana" w:hAnsi="Verdana" w:cstheme="minorHAnsi"/>
                <w:b/>
                <w:color w:val="FFFFFF" w:themeColor="background1"/>
                <w:sz w:val="20"/>
              </w:rPr>
              <w:t>engleski</w:t>
            </w:r>
          </w:p>
        </w:tc>
        <w:tc>
          <w:tcPr>
            <w:tcW w:w="2604" w:type="pct"/>
            <w:gridSpan w:val="2"/>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18"/>
              </w:rPr>
            </w:pPr>
            <w:r>
              <w:rPr>
                <w:rFonts w:ascii="Verdana" w:hAnsi="Verdana" w:cstheme="minorHAnsi"/>
                <w:b/>
                <w:color w:val="FFFFFF" w:themeColor="background1"/>
                <w:sz w:val="20"/>
              </w:rPr>
              <w:t>hrvatski</w:t>
            </w:r>
          </w:p>
        </w:tc>
      </w:tr>
      <w:tr w:rsidR="00F94695" w:rsidRPr="00751B8C" w:rsidTr="00F55E53">
        <w:trPr>
          <w:trHeight w:val="20"/>
          <w:tblHeader/>
        </w:trPr>
        <w:tc>
          <w:tcPr>
            <w:tcW w:w="658" w:type="pct"/>
            <w:shd w:val="clear" w:color="auto" w:fill="F2F2F2" w:themeFill="background1" w:themeFillShade="F2"/>
          </w:tcPr>
          <w:p w:rsidR="00F94695" w:rsidRPr="00751B8C" w:rsidRDefault="00F94695" w:rsidP="00F94695">
            <w:pPr>
              <w:spacing w:after="0" w:line="240" w:lineRule="auto"/>
              <w:rPr>
                <w:rFonts w:ascii="Verdana" w:hAnsi="Verdana" w:cstheme="minorHAnsi"/>
                <w:sz w:val="20"/>
                <w:szCs w:val="18"/>
              </w:rPr>
            </w:pPr>
            <w:r w:rsidRPr="00751B8C">
              <w:rPr>
                <w:rFonts w:ascii="Verdana" w:hAnsi="Verdana" w:cstheme="minorHAnsi"/>
                <w:sz w:val="20"/>
                <w:szCs w:val="18"/>
              </w:rPr>
              <w:t xml:space="preserve">Scale </w:t>
            </w:r>
          </w:p>
        </w:tc>
        <w:tc>
          <w:tcPr>
            <w:tcW w:w="1738" w:type="pct"/>
            <w:shd w:val="clear" w:color="auto" w:fill="F2F2F2" w:themeFill="background1" w:themeFillShade="F2"/>
          </w:tcPr>
          <w:p w:rsidR="00F94695" w:rsidRPr="00751B8C" w:rsidRDefault="00F94695" w:rsidP="00F94695">
            <w:pPr>
              <w:spacing w:after="0" w:line="240" w:lineRule="auto"/>
              <w:rPr>
                <w:rFonts w:ascii="Verdana" w:hAnsi="Verdana" w:cstheme="minorHAnsi"/>
                <w:sz w:val="20"/>
                <w:szCs w:val="18"/>
              </w:rPr>
            </w:pPr>
            <w:r w:rsidRPr="00751B8C">
              <w:rPr>
                <w:rFonts w:ascii="Verdana" w:hAnsi="Verdana" w:cstheme="minorHAnsi"/>
                <w:sz w:val="20"/>
                <w:szCs w:val="18"/>
              </w:rPr>
              <w:t xml:space="preserve">Description </w:t>
            </w:r>
          </w:p>
        </w:tc>
        <w:tc>
          <w:tcPr>
            <w:tcW w:w="590" w:type="pct"/>
            <w:shd w:val="clear" w:color="auto" w:fill="F2F2F2" w:themeFill="background1" w:themeFillShade="F2"/>
          </w:tcPr>
          <w:p w:rsidR="00F94695" w:rsidRPr="00751B8C" w:rsidRDefault="00F94695" w:rsidP="00F94695">
            <w:pPr>
              <w:spacing w:after="0" w:line="240" w:lineRule="auto"/>
              <w:rPr>
                <w:rFonts w:ascii="Verdana" w:hAnsi="Verdana" w:cstheme="minorHAnsi"/>
                <w:sz w:val="20"/>
                <w:szCs w:val="18"/>
              </w:rPr>
            </w:pPr>
            <w:r>
              <w:rPr>
                <w:rFonts w:ascii="Verdana" w:hAnsi="Verdana" w:cstheme="minorHAnsi"/>
                <w:sz w:val="20"/>
              </w:rPr>
              <w:t xml:space="preserve">Ljestvica </w:t>
            </w:r>
          </w:p>
        </w:tc>
        <w:tc>
          <w:tcPr>
            <w:tcW w:w="2014" w:type="pct"/>
            <w:shd w:val="clear" w:color="auto" w:fill="F2F2F2" w:themeFill="background1" w:themeFillShade="F2"/>
          </w:tcPr>
          <w:p w:rsidR="00F94695" w:rsidRPr="00751B8C" w:rsidRDefault="00F94695" w:rsidP="00F94695">
            <w:pPr>
              <w:spacing w:after="0" w:line="240" w:lineRule="auto"/>
              <w:rPr>
                <w:rFonts w:ascii="Verdana" w:hAnsi="Verdana" w:cstheme="minorHAnsi"/>
                <w:sz w:val="20"/>
                <w:szCs w:val="18"/>
              </w:rPr>
            </w:pPr>
            <w:r>
              <w:rPr>
                <w:rFonts w:ascii="Verdana" w:hAnsi="Verdana" w:cstheme="minorHAnsi"/>
                <w:sz w:val="20"/>
              </w:rPr>
              <w:t xml:space="preserve">Opis </w:t>
            </w:r>
          </w:p>
        </w:tc>
      </w:tr>
      <w:tr w:rsidR="00F94695" w:rsidRPr="00751B8C" w:rsidTr="00F55E53">
        <w:trPr>
          <w:trHeight w:val="20"/>
        </w:trPr>
        <w:tc>
          <w:tcPr>
            <w:tcW w:w="65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N.A. - Not Applicable</w:t>
            </w:r>
          </w:p>
        </w:tc>
        <w:tc>
          <w:tcPr>
            <w:tcW w:w="1738" w:type="pct"/>
            <w:shd w:val="clear" w:color="000000" w:fill="FFFFFF"/>
            <w:hideMark/>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The competency is not applicable to the job role. </w:t>
            </w:r>
          </w:p>
        </w:tc>
        <w:tc>
          <w:tcPr>
            <w:tcW w:w="590"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N.P. – Nije primjenjivo</w:t>
            </w:r>
          </w:p>
        </w:tc>
        <w:tc>
          <w:tcPr>
            <w:tcW w:w="2014"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 xml:space="preserve">Kompetencija se ne primjenjuje na radno mjesto. </w:t>
            </w:r>
          </w:p>
        </w:tc>
      </w:tr>
      <w:tr w:rsidR="00F94695" w:rsidRPr="00751B8C" w:rsidTr="00F55E53">
        <w:trPr>
          <w:trHeight w:val="20"/>
        </w:trPr>
        <w:tc>
          <w:tcPr>
            <w:tcW w:w="65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 xml:space="preserve">Level 0 – </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No knowledge</w:t>
            </w:r>
          </w:p>
        </w:tc>
        <w:tc>
          <w:tcPr>
            <w:tcW w:w="173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No knowledge of the competency or no ability to apply it in real situations.</w:t>
            </w:r>
          </w:p>
        </w:tc>
        <w:tc>
          <w:tcPr>
            <w:tcW w:w="590"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 xml:space="preserve">Razina 0. – </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Nema kompetenciju</w:t>
            </w:r>
          </w:p>
        </w:tc>
        <w:tc>
          <w:tcPr>
            <w:tcW w:w="2014"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Nema kompetenciju ili ju nema sposobnosti primjenjivati u stvarnim situacijama.</w:t>
            </w:r>
          </w:p>
        </w:tc>
      </w:tr>
      <w:tr w:rsidR="00F94695" w:rsidRPr="00751B8C" w:rsidTr="00F55E53">
        <w:trPr>
          <w:trHeight w:val="20"/>
        </w:trPr>
        <w:tc>
          <w:tcPr>
            <w:tcW w:w="65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Level 1 - Awareness</w:t>
            </w:r>
          </w:p>
        </w:tc>
        <w:tc>
          <w:tcPr>
            <w:tcW w:w="173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Basic knowledge of the competency (e.g. understands general concepts and processes, is familiar with related key terminology).</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Ability to demonstrate this competency after being given specific instructions and guidance.</w:t>
            </w:r>
          </w:p>
        </w:tc>
        <w:tc>
          <w:tcPr>
            <w:tcW w:w="590"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Razina 1. – Osviještenost</w:t>
            </w:r>
          </w:p>
        </w:tc>
        <w:tc>
          <w:tcPr>
            <w:tcW w:w="2014"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Osnovna razina kompetencije (npr. razumijevanje općih pojmova i postupaka, upoznatost s povezanom ključnom terminologijom).</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Sposobnost pokazivanja te kompetencije nakon dobivanja posebnih uputa i smjernica.</w:t>
            </w:r>
          </w:p>
        </w:tc>
      </w:tr>
      <w:tr w:rsidR="00F94695" w:rsidRPr="00751B8C" w:rsidTr="00F55E53">
        <w:trPr>
          <w:trHeight w:val="20"/>
        </w:trPr>
        <w:tc>
          <w:tcPr>
            <w:tcW w:w="65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Level 2 - Trained</w:t>
            </w:r>
          </w:p>
        </w:tc>
        <w:tc>
          <w:tcPr>
            <w:tcW w:w="173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Good working knowledge of the competency.</w:t>
            </w:r>
            <w:r w:rsidRPr="00751B8C">
              <w:rPr>
                <w:rFonts w:ascii="Verdana" w:hAnsi="Verdana" w:cstheme="minorHAnsi"/>
                <w:sz w:val="20"/>
                <w:szCs w:val="18"/>
              </w:rPr>
              <w:br/>
              <w:t>Ability to apply that knowledge in daily work.</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Ability to perform standard activities with regards to this competency in an independent manner</w:t>
            </w:r>
          </w:p>
        </w:tc>
        <w:tc>
          <w:tcPr>
            <w:tcW w:w="590"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Razina 2. – Osposobljenost</w:t>
            </w:r>
          </w:p>
        </w:tc>
        <w:tc>
          <w:tcPr>
            <w:tcW w:w="2014"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Dobra radna razina kompetencije.</w:t>
            </w:r>
            <w:r>
              <w:rPr>
                <w:rFonts w:ascii="Verdana" w:hAnsi="Verdana" w:cstheme="minorHAnsi"/>
                <w:sz w:val="20"/>
                <w:szCs w:val="18"/>
              </w:rPr>
              <w:br/>
            </w:r>
            <w:r>
              <w:rPr>
                <w:rFonts w:ascii="Verdana" w:hAnsi="Verdana" w:cstheme="minorHAnsi"/>
                <w:sz w:val="20"/>
              </w:rPr>
              <w:t>Sposobnost primjene tog znanja u svakodnevnom radu.</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Mogućnost neovisnog obavljanja uobičajenih aktivnosti povezanih s tom kompetencijom.</w:t>
            </w:r>
          </w:p>
        </w:tc>
      </w:tr>
      <w:tr w:rsidR="00F94695" w:rsidRPr="00751B8C" w:rsidTr="00F94695">
        <w:trPr>
          <w:trHeight w:val="20"/>
        </w:trPr>
        <w:tc>
          <w:tcPr>
            <w:tcW w:w="658" w:type="pct"/>
            <w:shd w:val="clear" w:color="000000" w:fill="FFFFFF"/>
            <w:vAlign w:val="center"/>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Level 3 - Intermediate</w:t>
            </w:r>
          </w:p>
        </w:tc>
        <w:tc>
          <w:tcPr>
            <w:tcW w:w="173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Broad and in-depth knowledge and skills with regards to the competency.</w:t>
            </w:r>
            <w:r w:rsidRPr="00751B8C">
              <w:rPr>
                <w:rFonts w:ascii="Verdana" w:hAnsi="Verdana" w:cstheme="minorHAnsi"/>
                <w:sz w:val="20"/>
                <w:szCs w:val="18"/>
              </w:rPr>
              <w:br/>
              <w:t>Ability to deal with a variety of exceptions and special cases related to the competency in an independent manner.</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Ability to effectively share knowledge and experience with more junior profiles.</w:t>
            </w:r>
            <w:r w:rsidRPr="00751B8C">
              <w:rPr>
                <w:rFonts w:ascii="Verdana" w:hAnsi="Verdana" w:cstheme="minorHAnsi"/>
                <w:sz w:val="20"/>
                <w:szCs w:val="18"/>
              </w:rPr>
              <w:br/>
              <w:t xml:space="preserve">Confidence in serving as an advisor and is </w:t>
            </w:r>
            <w:r w:rsidRPr="00751B8C">
              <w:rPr>
                <w:rFonts w:ascii="Verdana" w:hAnsi="Verdana" w:cstheme="minorHAnsi"/>
                <w:sz w:val="20"/>
                <w:szCs w:val="18"/>
              </w:rPr>
              <w:lastRenderedPageBreak/>
              <w:t>sought out to provide insight in the application of this competency.</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Is capable of coaching others in the application of this competency by translating complex nuances and issues relating to this competency into easy to understand terms.</w:t>
            </w:r>
          </w:p>
        </w:tc>
        <w:tc>
          <w:tcPr>
            <w:tcW w:w="590" w:type="pct"/>
            <w:shd w:val="clear" w:color="000000" w:fill="FFFFFF"/>
            <w:vAlign w:val="center"/>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lastRenderedPageBreak/>
              <w:t>Razina 3 – Prijelazna</w:t>
            </w:r>
          </w:p>
        </w:tc>
        <w:tc>
          <w:tcPr>
            <w:tcW w:w="2014"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Opsežno i dubinski usvojio kompetenciju i vještine povezane s kompetencijom.</w:t>
            </w:r>
            <w:r>
              <w:rPr>
                <w:rFonts w:ascii="Verdana" w:hAnsi="Verdana" w:cstheme="minorHAnsi"/>
                <w:sz w:val="20"/>
                <w:szCs w:val="18"/>
              </w:rPr>
              <w:br/>
            </w:r>
            <w:r>
              <w:rPr>
                <w:rFonts w:ascii="Verdana" w:hAnsi="Verdana" w:cstheme="minorHAnsi"/>
                <w:sz w:val="20"/>
              </w:rPr>
              <w:t>Sposobnost neovisnog rješavanja različitih iznimaka i posebnih slučajeva povezanih s kompetencijom.</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Sposobnost učinkovite razmjene znanja i iskustva s neiskusnijim zaposlenicima.</w:t>
            </w:r>
            <w:r>
              <w:rPr>
                <w:rFonts w:ascii="Verdana" w:hAnsi="Verdana" w:cstheme="minorHAnsi"/>
                <w:sz w:val="20"/>
                <w:szCs w:val="18"/>
              </w:rPr>
              <w:br/>
            </w:r>
            <w:r>
              <w:rPr>
                <w:rFonts w:ascii="Verdana" w:hAnsi="Verdana" w:cstheme="minorHAnsi"/>
                <w:sz w:val="20"/>
              </w:rPr>
              <w:t xml:space="preserve">Samouvjereno obavljanje savjetničke uloge i </w:t>
            </w:r>
            <w:r>
              <w:rPr>
                <w:rFonts w:ascii="Verdana" w:hAnsi="Verdana" w:cstheme="minorHAnsi"/>
                <w:sz w:val="20"/>
              </w:rPr>
              <w:lastRenderedPageBreak/>
              <w:t>pružanje uvida u primjenu ove kompetencije.</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Sposoban je osposobljavati druge za primjenu te kompetencije prevođenjem složenih nijansi i pitanja povezanih s ovom kompetencijom u lako razumljive pojmove.</w:t>
            </w:r>
          </w:p>
        </w:tc>
      </w:tr>
      <w:tr w:rsidR="00F94695" w:rsidRPr="00751B8C" w:rsidTr="00F94695">
        <w:trPr>
          <w:trHeight w:val="20"/>
        </w:trPr>
        <w:tc>
          <w:tcPr>
            <w:tcW w:w="658" w:type="pct"/>
            <w:shd w:val="clear" w:color="000000" w:fill="FFFFFF"/>
            <w:vAlign w:val="center"/>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lastRenderedPageBreak/>
              <w:t>Level 4 - Expert</w:t>
            </w:r>
          </w:p>
        </w:tc>
        <w:tc>
          <w:tcPr>
            <w:tcW w:w="1738"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Extensive expert knowledge and skills with regards to the competency.</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Ability to highlight the (dis)advantages of each of the processes related to the competency whilst linking them to the bigger picture.</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Ability to provide tailored advice and to support the advice with relevant and context specific arguments when responding to internal and external queries.</w:t>
            </w:r>
          </w:p>
          <w:p w:rsidR="00F94695" w:rsidRPr="00751B8C" w:rsidRDefault="00F94695" w:rsidP="00F94695">
            <w:pPr>
              <w:spacing w:before="60" w:after="120" w:line="240" w:lineRule="auto"/>
              <w:rPr>
                <w:rFonts w:ascii="Verdana" w:hAnsi="Verdana" w:cstheme="minorHAnsi"/>
                <w:sz w:val="20"/>
                <w:szCs w:val="18"/>
              </w:rPr>
            </w:pPr>
            <w:r w:rsidRPr="00751B8C">
              <w:rPr>
                <w:rFonts w:ascii="Verdana" w:hAnsi="Verdana" w:cstheme="minorHAnsi"/>
                <w:sz w:val="20"/>
                <w:szCs w:val="18"/>
              </w:rPr>
              <w:t>Viewed by others as a role model who is capable of leading or teaching others in the area of the competency.</w:t>
            </w:r>
          </w:p>
        </w:tc>
        <w:tc>
          <w:tcPr>
            <w:tcW w:w="590" w:type="pct"/>
            <w:shd w:val="clear" w:color="000000" w:fill="FFFFFF"/>
            <w:vAlign w:val="center"/>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Razina 4. – Stručna razina znanja</w:t>
            </w:r>
          </w:p>
        </w:tc>
        <w:tc>
          <w:tcPr>
            <w:tcW w:w="2014" w:type="pct"/>
            <w:shd w:val="clear" w:color="000000" w:fill="FFFFFF"/>
          </w:tcPr>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Opsežno stručno znanje i vještine povezani s kompetencijom.</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Sposobnost isticanja prednosti (nedostataka) svakog od postupaka povezanih s kompetencijom i njihovo povezivanje sa širom slikom.</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Sposobnost pružanja prilagođenih savjeta i potkrjepljivanja savjeta relevantnim argumentima specifičnima za kontekst pri davanju odgovora odgovoru na unutarnje i vanjske upite.</w:t>
            </w:r>
          </w:p>
          <w:p w:rsidR="00F94695" w:rsidRPr="00751B8C" w:rsidRDefault="00F94695" w:rsidP="00F94695">
            <w:pPr>
              <w:spacing w:before="60" w:after="120" w:line="240" w:lineRule="auto"/>
              <w:rPr>
                <w:rFonts w:ascii="Verdana" w:hAnsi="Verdana" w:cstheme="minorHAnsi"/>
                <w:sz w:val="20"/>
                <w:szCs w:val="18"/>
              </w:rPr>
            </w:pPr>
            <w:r>
              <w:rPr>
                <w:rFonts w:ascii="Verdana" w:hAnsi="Verdana" w:cstheme="minorHAnsi"/>
                <w:sz w:val="20"/>
              </w:rPr>
              <w:t>Drugi ga smatraju uzorom koji može predvoditi druge ili ih podučavati u području kompetencije.</w:t>
            </w:r>
          </w:p>
        </w:tc>
      </w:tr>
    </w:tbl>
    <w:p w:rsidR="0044373B" w:rsidRDefault="0044373B" w:rsidP="0044373B"/>
    <w:p w:rsidR="0044373B" w:rsidRDefault="0044373B" w:rsidP="0044373B"/>
    <w:p w:rsidR="006645FC" w:rsidRDefault="006645FC" w:rsidP="004D1BB8">
      <w:pPr>
        <w:pStyle w:val="Heading1"/>
        <w:sectPr w:rsidR="006645FC" w:rsidSect="00CD1306">
          <w:pgSz w:w="15840" w:h="12240" w:orient="landscape"/>
          <w:pgMar w:top="1440" w:right="1440" w:bottom="1440" w:left="1440" w:header="720" w:footer="720" w:gutter="0"/>
          <w:cols w:space="720"/>
          <w:docGrid w:linePitch="360"/>
        </w:sectPr>
      </w:pPr>
    </w:p>
    <w:p w:rsidR="00CD1306" w:rsidRPr="003870A6" w:rsidRDefault="00CD1306" w:rsidP="004D1BB8">
      <w:pPr>
        <w:pStyle w:val="Heading1"/>
      </w:pPr>
      <w:bookmarkStart w:id="8" w:name="_Toc494906121"/>
      <w:bookmarkStart w:id="9" w:name="_Toc508374261"/>
      <w:r>
        <w:lastRenderedPageBreak/>
        <w:t>Operativne kompetencije</w:t>
      </w:r>
      <w:bookmarkEnd w:id="8"/>
      <w:bookmarkEnd w:id="9"/>
    </w:p>
    <w:tbl>
      <w:tblPr>
        <w:tblW w:w="13378" w:type="dxa"/>
        <w:tblLook w:val="04A0" w:firstRow="1" w:lastRow="0" w:firstColumn="1" w:lastColumn="0" w:noHBand="0" w:noVBand="1"/>
      </w:tblPr>
      <w:tblGrid>
        <w:gridCol w:w="1424"/>
        <w:gridCol w:w="5634"/>
        <w:gridCol w:w="6320"/>
      </w:tblGrid>
      <w:tr w:rsidR="006931AA" w:rsidRPr="00751B8C" w:rsidTr="004D1BB8">
        <w:trPr>
          <w:trHeight w:val="350"/>
          <w:tblHeader/>
        </w:trPr>
        <w:tc>
          <w:tcPr>
            <w:tcW w:w="1424" w:type="dxa"/>
            <w:tcBorders>
              <w:top w:val="single" w:sz="4" w:space="0" w:color="808080"/>
              <w:left w:val="single" w:sz="4" w:space="0" w:color="808080"/>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imes New Roman"/>
                <w:b/>
                <w:bCs/>
                <w:color w:val="FFFFFF" w:themeColor="background1"/>
                <w:sz w:val="20"/>
                <w:szCs w:val="20"/>
              </w:rPr>
            </w:pPr>
          </w:p>
        </w:tc>
        <w:tc>
          <w:tcPr>
            <w:tcW w:w="5634"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6320" w:type="dxa"/>
            <w:tcBorders>
              <w:top w:val="single" w:sz="4" w:space="0" w:color="808080"/>
              <w:left w:val="nil"/>
              <w:bottom w:val="single" w:sz="4" w:space="0" w:color="808080"/>
              <w:right w:val="single" w:sz="4" w:space="0" w:color="808080"/>
            </w:tcBorders>
            <w:shd w:val="clear" w:color="auto" w:fill="44546A" w:themeFill="text2"/>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4D1BB8" w:rsidRPr="00751B8C" w:rsidTr="004D1BB8">
        <w:trPr>
          <w:trHeight w:val="323"/>
          <w:tblHeader/>
        </w:trPr>
        <w:tc>
          <w:tcPr>
            <w:tcW w:w="142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4D1BB8" w:rsidRPr="00751B8C" w:rsidRDefault="004D1BB8" w:rsidP="006931AA">
            <w:pPr>
              <w:spacing w:after="0" w:line="240" w:lineRule="auto"/>
              <w:jc w:val="center"/>
              <w:rPr>
                <w:rFonts w:ascii="Verdana" w:eastAsia="Times New Roman" w:hAnsi="Verdana" w:cs="Times New Roman"/>
                <w:b/>
                <w:bCs/>
                <w:sz w:val="20"/>
                <w:szCs w:val="20"/>
              </w:rPr>
            </w:pPr>
            <w:r>
              <w:rPr>
                <w:rFonts w:ascii="Verdana" w:hAnsi="Verdana"/>
                <w:b/>
                <w:sz w:val="20"/>
              </w:rPr>
              <w:t>Oznaka</w:t>
            </w:r>
          </w:p>
        </w:tc>
        <w:tc>
          <w:tcPr>
            <w:tcW w:w="563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751B8C" w:rsidRDefault="00F94695" w:rsidP="006931AA">
            <w:pPr>
              <w:spacing w:after="0" w:line="240" w:lineRule="auto"/>
              <w:jc w:val="center"/>
              <w:rPr>
                <w:rFonts w:ascii="Verdana" w:eastAsia="Times New Roman" w:hAnsi="Verdana" w:cstheme="minorHAnsi"/>
                <w:b/>
                <w:bCs/>
                <w:sz w:val="20"/>
                <w:szCs w:val="20"/>
              </w:rPr>
            </w:pPr>
            <w:r w:rsidRPr="00751B8C">
              <w:rPr>
                <w:rFonts w:ascii="Verdana" w:eastAsia="Times New Roman" w:hAnsi="Verdana" w:cstheme="minorHAnsi"/>
                <w:b/>
                <w:bCs/>
                <w:sz w:val="20"/>
                <w:szCs w:val="20"/>
                <w:lang w:val="en-US"/>
              </w:rPr>
              <w:t>Competency</w:t>
            </w:r>
          </w:p>
        </w:tc>
        <w:tc>
          <w:tcPr>
            <w:tcW w:w="632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4D1BB8" w:rsidRPr="00751B8C" w:rsidRDefault="00F94695" w:rsidP="006931AA">
            <w:pPr>
              <w:spacing w:after="0" w:line="240" w:lineRule="auto"/>
              <w:jc w:val="center"/>
              <w:rPr>
                <w:rFonts w:ascii="Verdana" w:hAnsi="Verdana" w:cstheme="minorHAnsi"/>
                <w:b/>
                <w:sz w:val="20"/>
                <w:szCs w:val="20"/>
              </w:rPr>
            </w:pPr>
            <w:r>
              <w:rPr>
                <w:rFonts w:ascii="Verdana" w:hAnsi="Verdana" w:cstheme="minorHAnsi"/>
                <w:b/>
                <w:sz w:val="20"/>
              </w:rPr>
              <w:t>Kompetencija</w:t>
            </w:r>
          </w:p>
        </w:tc>
      </w:tr>
      <w:tr w:rsidR="00F94695" w:rsidRPr="00751B8C" w:rsidTr="00F94695">
        <w:trPr>
          <w:trHeight w:val="20"/>
        </w:trPr>
        <w:tc>
          <w:tcPr>
            <w:tcW w:w="142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w:t>
            </w:r>
          </w:p>
        </w:tc>
        <w:tc>
          <w:tcPr>
            <w:tcW w:w="5634" w:type="dxa"/>
            <w:tcBorders>
              <w:top w:val="single" w:sz="4" w:space="0" w:color="808080"/>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General provisions</w:t>
            </w:r>
            <w:r w:rsidRPr="00751B8C">
              <w:rPr>
                <w:rFonts w:ascii="Verdana" w:eastAsia="Times New Roman" w:hAnsi="Verdana" w:cs="Times New Roman"/>
                <w:color w:val="000000"/>
                <w:sz w:val="20"/>
                <w:szCs w:val="20"/>
                <w:lang w:val="en-US" w:bidi="he-IL"/>
              </w:rPr>
              <w:t xml:space="preserve"> of ESIF EU / National legal acts</w:t>
            </w:r>
          </w:p>
        </w:tc>
        <w:tc>
          <w:tcPr>
            <w:tcW w:w="6320" w:type="dxa"/>
            <w:tcBorders>
              <w:top w:val="single" w:sz="4" w:space="0" w:color="808080"/>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Opće odredbe ESIF-a EU-a/ nacionalni pravni akti</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National strategic documents (e.g. National Development Strategies, relevant thematic and sectoral policies)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Nacionalni strateški dokumenti (npr. nacionalne razvojne strategije, relevantne tematske i sektorske politike)</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Eligibility of expenditure provisions </w:t>
            </w:r>
            <w:r w:rsidRPr="00751B8C">
              <w:rPr>
                <w:rFonts w:ascii="Verdana" w:eastAsia="Times New Roman" w:hAnsi="Verdana" w:cs="Times New Roman"/>
                <w:color w:val="000000"/>
                <w:sz w:val="20"/>
                <w:szCs w:val="20"/>
                <w:lang w:val="en-US" w:bidi="he-IL"/>
              </w:rPr>
              <w:t>included in ESIF EU / National legal acts (rules, guidelines and methodologies, including the scope of support)</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Odredbe o prihvatljivosti rashoda iz ESIF-a EU-a / nacionalnih pravnih akata (pravila, smjernica i metodologija, uključujući područje primjene potpore)</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Territorial issues, such as ITI, CLLD, Sustainable urban development, macro/regional strategies and interregional cooperation planning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Teritorijalna pitanja, kao što su ITI, CLLD, održivi urbani razvoj, makro/regionalne strategije i planiranje međuregionalne suradnje</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State Aid</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Državne potpore</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Relevant thematic knowledge (thematic legislation, costs, applicable standards, trends)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Relevantno tematsko znanje (tematsko zakonodavstvo, troškovi, primjenjivi standardi, trendovi)</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Intervention logic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Intervencijska logika</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Input, output, results indicators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Pokazatelji ulaznih vrijednosti, izlaznih vrijednosti, rezultata</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Budgeting and cost estimation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Izrada proračuna i procjena troška</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(ex</w:t>
            </w:r>
            <w:r w:rsidRPr="00751B8C">
              <w:rPr>
                <w:rFonts w:ascii="Verdana" w:eastAsia="Times New Roman" w:hAnsi="Verdana" w:cs="Times New Roman"/>
                <w:sz w:val="20"/>
                <w:szCs w:val="20"/>
                <w:lang w:val="en-US" w:bidi="he-IL"/>
              </w:rPr>
              <w:noBreakHyphen/>
              <w:t>ante assessment, selection of FIs and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Oblikovanje financijskih instrumenata (</w:t>
            </w:r>
            <w:r>
              <w:rPr>
                <w:rFonts w:ascii="Verdana" w:hAnsi="Verdana"/>
                <w:i/>
                <w:sz w:val="20"/>
              </w:rPr>
              <w:t>ex-ante</w:t>
            </w:r>
            <w:r>
              <w:rPr>
                <w:rFonts w:ascii="Verdana" w:hAnsi="Verdana"/>
                <w:sz w:val="20"/>
              </w:rPr>
              <w:t xml:space="preserve"> procjena, odabir i uspostava financijskih instrumenata)</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Horizontal issues (such as sustainable development, equality, etc.)</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Horizontalna pitanja (kao što je održivi razvoj, jednakost itd.)</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procedures for procurement of goods and services from Technical Assistance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Administrativni postupci za nabavu robe i usluga iz tehničke pomoći</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Cross-border, transnational and interregional cooperation and European Grouping of Territorial Cooperation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Prekogranična, transnacionalna i međuregionalna suradnja i Europske grupacije za teritorijalnu suradnju</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the outsourcing of TA activities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Upravljanje izdvajanjem aktivnosti tehničke pomoći</w:t>
            </w:r>
          </w:p>
        </w:tc>
      </w:tr>
      <w:tr w:rsidR="00F94695"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F94695" w:rsidRPr="00751B8C" w:rsidRDefault="00F94695" w:rsidP="00231B6E">
            <w:pPr>
              <w:spacing w:after="0" w:line="240" w:lineRule="auto"/>
              <w:rPr>
                <w:rFonts w:ascii="Verdana" w:eastAsia="Times New Roman" w:hAnsi="Verdana" w:cs="Times New Roman"/>
                <w:sz w:val="20"/>
                <w:szCs w:val="20"/>
              </w:rPr>
            </w:pPr>
            <w:r>
              <w:rPr>
                <w:rFonts w:ascii="Verdana" w:hAnsi="Verdana"/>
                <w:sz w:val="20"/>
              </w:rPr>
              <w:t>MA.O.C15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F94695" w:rsidRPr="00751B8C" w:rsidRDefault="00F94695" w:rsidP="00F94695">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Economic environment and reform processes (European Semester, National Reform Programmes and Country Specific Recommendations)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F94695" w:rsidRPr="00751B8C" w:rsidRDefault="00F94695" w:rsidP="00F94695">
            <w:pPr>
              <w:spacing w:after="0" w:line="240" w:lineRule="auto"/>
              <w:rPr>
                <w:rFonts w:ascii="Verdana" w:eastAsia="Times New Roman" w:hAnsi="Verdana" w:cs="Times New Roman"/>
                <w:sz w:val="20"/>
                <w:szCs w:val="20"/>
              </w:rPr>
            </w:pPr>
            <w:r>
              <w:rPr>
                <w:rFonts w:ascii="Verdana" w:hAnsi="Verdana"/>
                <w:sz w:val="20"/>
              </w:rPr>
              <w:t>Gospodarsko okruženje i postupci reforme (Europski semestar, nacionalni programi reformi i preporuke po državama članicama)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MA.O.C16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Programme management and project cycle management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Upravljanje programom i upravljanje projektnim ciklusom</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MA.O.C17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Management and implementation </w:t>
            </w:r>
            <w:r w:rsidRPr="00751B8C">
              <w:rPr>
                <w:rFonts w:ascii="Verdana" w:eastAsia="Times New Roman" w:hAnsi="Verdana" w:cs="Times New Roman"/>
                <w:color w:val="000000"/>
                <w:sz w:val="20"/>
                <w:szCs w:val="20"/>
                <w:lang w:val="en-US" w:bidi="he-IL"/>
              </w:rPr>
              <w:t xml:space="preserve">provisions included </w:t>
            </w:r>
            <w:r w:rsidRPr="00751B8C">
              <w:rPr>
                <w:rFonts w:ascii="Verdana" w:eastAsia="Times New Roman" w:hAnsi="Verdana" w:cs="Times New Roman"/>
                <w:color w:val="000000"/>
                <w:sz w:val="20"/>
                <w:szCs w:val="20"/>
                <w:lang w:val="en-US" w:bidi="he-IL"/>
              </w:rPr>
              <w:lastRenderedPageBreak/>
              <w:t>in ESIF EU / National legal acts (programming, selection of operations, monitoring, controls and audits, evaluation, publicity)</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lastRenderedPageBreak/>
              <w:t xml:space="preserve">Odredbe o upravljanju i provedbi </w:t>
            </w:r>
            <w:r>
              <w:rPr>
                <w:rFonts w:ascii="Verdana" w:hAnsi="Verdana"/>
                <w:color w:val="000000"/>
                <w:sz w:val="20"/>
              </w:rPr>
              <w:t xml:space="preserve">uključene u ESIF EU-a / </w:t>
            </w:r>
            <w:r>
              <w:rPr>
                <w:rFonts w:ascii="Verdana" w:hAnsi="Verdana"/>
                <w:color w:val="000000"/>
                <w:sz w:val="20"/>
              </w:rPr>
              <w:lastRenderedPageBreak/>
              <w:t>nacionalne pravne akte (izrada programa, odabir operacija, praćenje, kontrole i revizija, evaluacija, objavljivanje)</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lastRenderedPageBreak/>
              <w:t>MA.O.C18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Public procurement rules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Pravila javne nabave</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MA.O.C19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Fraud risk, irregularities management (incl. prevention, detection and mitigation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Upravljanje rizikom od prijevara, upravljanje nepravilnostima (npr. mjere sprječavanja, otkrivanja i ublažavanja)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 xml:space="preserve">Administrative organization definition and revision </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 xml:space="preserve">Definicija i revizija administrativne organizacije </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and control system set-up</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Uspostava sustava upravljanja i kontrole</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Administrative burden assessment</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Procjena administrativnog opterećenja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Assessment of ESIF system performance</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Procjena uspješnosti sustava ESIF-a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Simplified Cost Options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Pojednostavljene mogućnosti financiranja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Cost-Benefit Analysis and Feasibility Studies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Analiza troškova i koristi i studije o izvedivosti</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Environmental Impact Assessment (EIA) for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Procjena utjecaja na okoliš (EIA) velikih i infrastrukturnih projekata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Funding gap and revenue generation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Nedostatak financiranja i stvaranje prihoda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Major projects procedures / legislation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Postupci / zakonodavstvo povezani s velikim projektima</w:t>
            </w:r>
          </w:p>
        </w:tc>
      </w:tr>
      <w:tr w:rsidR="00CF51D0" w:rsidRPr="00751B8C" w:rsidTr="00F94695">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MA.O.C29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Incentive effect</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F94695">
            <w:pPr>
              <w:spacing w:after="0" w:line="240" w:lineRule="auto"/>
              <w:rPr>
                <w:rFonts w:ascii="Verdana" w:eastAsia="Times New Roman" w:hAnsi="Verdana" w:cs="Times New Roman"/>
                <w:sz w:val="20"/>
                <w:szCs w:val="20"/>
              </w:rPr>
            </w:pPr>
            <w:r>
              <w:rPr>
                <w:rFonts w:ascii="Verdana" w:hAnsi="Verdana"/>
                <w:sz w:val="20"/>
              </w:rPr>
              <w:t>Poticajni učinak</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relevant for the function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Financijski instrumenti relevantni za funkciju</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Financial instruments design and implementation mechanisms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Oblikovanje financijskih instrumenata i provedbeni mehanizmi</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Forecasting and planning of performance targets / performance framework</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Predviđanje i planiranje ciljeva uspješnosti /okvira uspješnosti</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Risk management related to the major and infrastructure projects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Upravljanje rizikom povezano s velikim i infrastrukturnim projektima</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programme, priority or measure evaluation process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Postupak evaluacije upravljanja programom, prioritetom ili mjerom</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MA.O.C35</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Main evaluation criteria (relevance, complementarity, consistency, efficiency and effectiveness)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Glavni evaluacijski kriteriji (relevantnost, komplementarnost, dosljednost, učinkovitost i djelotvornost)</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MA.O.C36</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Data collection and analysis methods for evaluation of programmes, priorities or measures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Prikupljanje podataka i metode analize za evaluaciju programa, prioriteta ili mjera</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MA.O.C37</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Budget planning, management and forecasting</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Planiranje proračuna, upravljanje njime i predviđanje</w:t>
            </w:r>
          </w:p>
        </w:tc>
      </w:tr>
      <w:tr w:rsidR="00CF51D0" w:rsidRPr="00751B8C" w:rsidTr="00E9738A">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MA.O.C38</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Expenditure at project level</w:t>
            </w:r>
            <w:r w:rsidRPr="00751B8C">
              <w:rPr>
                <w:rFonts w:ascii="Verdana" w:eastAsia="Times New Roman" w:hAnsi="Verdana" w:cs="Times New Roman"/>
                <w:color w:val="000000"/>
                <w:sz w:val="20"/>
                <w:szCs w:val="20"/>
                <w:lang w:val="en-US" w:bidi="he-IL"/>
              </w:rPr>
              <w:t xml:space="preserve"> (contracts invoices, bank </w:t>
            </w:r>
            <w:r w:rsidRPr="00751B8C">
              <w:rPr>
                <w:rFonts w:ascii="Verdana" w:eastAsia="Times New Roman" w:hAnsi="Verdana" w:cs="Times New Roman"/>
                <w:color w:val="000000"/>
                <w:sz w:val="20"/>
                <w:szCs w:val="20"/>
                <w:lang w:val="en-US" w:bidi="he-IL"/>
              </w:rPr>
              <w:lastRenderedPageBreak/>
              <w:t>statements)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lastRenderedPageBreak/>
              <w:t xml:space="preserve">Rashodi na razini projekta (računi za ugovore, bankovna </w:t>
            </w:r>
            <w:r>
              <w:rPr>
                <w:rFonts w:ascii="Verdana" w:hAnsi="Verdana"/>
                <w:sz w:val="20"/>
              </w:rPr>
              <w:lastRenderedPageBreak/>
              <w:t>izvješća)</w:t>
            </w:r>
          </w:p>
        </w:tc>
      </w:tr>
      <w:tr w:rsidR="00CF51D0" w:rsidRPr="00751B8C" w:rsidTr="0002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lastRenderedPageBreak/>
              <w:t>MA.O.C39</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Communication provisions</w:t>
            </w:r>
            <w:r w:rsidRPr="00751B8C">
              <w:rPr>
                <w:rFonts w:ascii="Verdana" w:eastAsia="Times New Roman" w:hAnsi="Verdana" w:cs="Times New Roman"/>
                <w:color w:val="000000"/>
                <w:sz w:val="20"/>
                <w:szCs w:val="20"/>
                <w:lang w:val="en-US" w:bidi="he-IL"/>
              </w:rPr>
              <w:t xml:space="preserve"> included in ESIF EU / National legal acts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Odredbe o komunikaciji</w:t>
            </w:r>
            <w:r>
              <w:rPr>
                <w:rFonts w:ascii="Verdana" w:hAnsi="Verdana"/>
                <w:color w:val="000000"/>
                <w:sz w:val="20"/>
              </w:rPr>
              <w:t xml:space="preserve"> uključene u ESIF EU-a / nacionalne pravne akte</w:t>
            </w:r>
          </w:p>
        </w:tc>
      </w:tr>
      <w:tr w:rsidR="00CF51D0" w:rsidRPr="00751B8C" w:rsidTr="0002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MA.O.C40</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Identification of different stakeholders and their information needs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Identifikacija različitih dionika i njihovih potreba za informacijama</w:t>
            </w:r>
          </w:p>
        </w:tc>
      </w:tr>
      <w:tr w:rsidR="00CF51D0" w:rsidRPr="00751B8C" w:rsidTr="0002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MA.O.C41</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Management of relevant media</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Upravljanje relevantnim medijima</w:t>
            </w:r>
          </w:p>
        </w:tc>
      </w:tr>
      <w:tr w:rsidR="00CF51D0" w:rsidRPr="00751B8C" w:rsidTr="0002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MA.O.C42</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Web communication</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Internetska komunikacija</w:t>
            </w:r>
          </w:p>
        </w:tc>
      </w:tr>
      <w:tr w:rsidR="00CF51D0" w:rsidRPr="00751B8C" w:rsidTr="0002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MA.O.C43</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Knowledge of Engineering relevant for the sector</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Znanje o inženjerstvu relevantno za sektor</w:t>
            </w:r>
          </w:p>
        </w:tc>
      </w:tr>
      <w:tr w:rsidR="00CF51D0" w:rsidRPr="00751B8C" w:rsidTr="00027896">
        <w:trPr>
          <w:trHeight w:val="20"/>
        </w:trPr>
        <w:tc>
          <w:tcPr>
            <w:tcW w:w="1424" w:type="dxa"/>
            <w:tcBorders>
              <w:top w:val="nil"/>
              <w:left w:val="single" w:sz="4" w:space="0" w:color="808080"/>
              <w:bottom w:val="single" w:sz="4" w:space="0" w:color="808080"/>
              <w:right w:val="single" w:sz="4" w:space="0" w:color="808080"/>
            </w:tcBorders>
            <w:shd w:val="clear" w:color="auto" w:fill="FFFFFF" w:themeFill="background1"/>
            <w:vAlign w:val="center"/>
            <w:hideMark/>
          </w:tcPr>
          <w:p w:rsidR="00CF51D0" w:rsidRPr="00751B8C" w:rsidRDefault="00CF51D0" w:rsidP="00231B6E">
            <w:pPr>
              <w:spacing w:after="0" w:line="240" w:lineRule="auto"/>
              <w:rPr>
                <w:rFonts w:ascii="Verdana" w:eastAsia="Times New Roman" w:hAnsi="Verdana" w:cs="Times New Roman"/>
                <w:sz w:val="20"/>
                <w:szCs w:val="20"/>
              </w:rPr>
            </w:pPr>
            <w:r>
              <w:rPr>
                <w:rFonts w:ascii="Verdana" w:hAnsi="Verdana"/>
                <w:sz w:val="20"/>
              </w:rPr>
              <w:t>MA.O.C44</w:t>
            </w:r>
          </w:p>
        </w:tc>
        <w:tc>
          <w:tcPr>
            <w:tcW w:w="5634" w:type="dxa"/>
            <w:tcBorders>
              <w:top w:val="nil"/>
              <w:left w:val="nil"/>
              <w:bottom w:val="single" w:sz="4" w:space="0" w:color="808080"/>
              <w:right w:val="single" w:sz="4" w:space="0" w:color="808080"/>
            </w:tcBorders>
            <w:shd w:val="clear" w:color="auto" w:fill="FFFFFF" w:themeFill="background1"/>
            <w:vAlign w:val="center"/>
            <w:hideMark/>
          </w:tcPr>
          <w:p w:rsidR="00CF51D0" w:rsidRPr="00751B8C" w:rsidRDefault="00CF51D0" w:rsidP="00D007B4">
            <w:pPr>
              <w:spacing w:after="0" w:line="240" w:lineRule="auto"/>
              <w:rPr>
                <w:rFonts w:ascii="Verdana" w:eastAsia="Times New Roman" w:hAnsi="Verdana" w:cs="Times New Roman"/>
                <w:sz w:val="20"/>
                <w:szCs w:val="20"/>
                <w:lang w:val="en-US" w:bidi="he-IL"/>
              </w:rPr>
            </w:pPr>
            <w:r w:rsidRPr="00751B8C">
              <w:rPr>
                <w:rFonts w:ascii="Verdana" w:eastAsia="Times New Roman" w:hAnsi="Verdana" w:cs="Times New Roman"/>
                <w:sz w:val="20"/>
                <w:szCs w:val="20"/>
                <w:lang w:val="en-US" w:bidi="he-IL"/>
              </w:rPr>
              <w:t>Audit standards, procedures and methodologies</w:t>
            </w:r>
          </w:p>
        </w:tc>
        <w:tc>
          <w:tcPr>
            <w:tcW w:w="6320" w:type="dxa"/>
            <w:tcBorders>
              <w:top w:val="nil"/>
              <w:left w:val="nil"/>
              <w:bottom w:val="single" w:sz="4" w:space="0" w:color="808080"/>
              <w:right w:val="single" w:sz="4" w:space="0" w:color="808080"/>
            </w:tcBorders>
            <w:shd w:val="clear" w:color="auto" w:fill="FFFFFF" w:themeFill="background1"/>
            <w:vAlign w:val="center"/>
          </w:tcPr>
          <w:p w:rsidR="00CF51D0" w:rsidRPr="00751B8C" w:rsidRDefault="00CF51D0" w:rsidP="00D007B4">
            <w:pPr>
              <w:spacing w:after="0" w:line="240" w:lineRule="auto"/>
              <w:rPr>
                <w:rFonts w:ascii="Verdana" w:eastAsia="Times New Roman" w:hAnsi="Verdana" w:cs="Times New Roman"/>
                <w:sz w:val="20"/>
                <w:szCs w:val="20"/>
              </w:rPr>
            </w:pPr>
            <w:r>
              <w:rPr>
                <w:rFonts w:ascii="Verdana" w:hAnsi="Verdana"/>
                <w:sz w:val="20"/>
              </w:rPr>
              <w:t>Revizijski standardi, postupci i metodologije</w:t>
            </w:r>
          </w:p>
        </w:tc>
      </w:tr>
    </w:tbl>
    <w:p w:rsidR="00751B8C" w:rsidRDefault="00751B8C" w:rsidP="004D1BB8">
      <w:pPr>
        <w:pStyle w:val="Heading1"/>
        <w:sectPr w:rsidR="00751B8C" w:rsidSect="00CD1306">
          <w:pgSz w:w="15840" w:h="12240" w:orient="landscape"/>
          <w:pgMar w:top="1440" w:right="1440" w:bottom="1440" w:left="1440" w:header="720" w:footer="720" w:gutter="0"/>
          <w:cols w:space="720"/>
          <w:docGrid w:linePitch="360"/>
        </w:sectPr>
      </w:pPr>
      <w:bookmarkStart w:id="10" w:name="_Toc494906122"/>
    </w:p>
    <w:p w:rsidR="000E47BD" w:rsidRPr="003870A6" w:rsidRDefault="000E47BD" w:rsidP="004D1BB8">
      <w:pPr>
        <w:pStyle w:val="Heading1"/>
      </w:pPr>
      <w:bookmarkStart w:id="11" w:name="_Toc508374262"/>
      <w:r>
        <w:lastRenderedPageBreak/>
        <w:t>Upravljačke kompetencije</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5405"/>
        <w:gridCol w:w="1813"/>
        <w:gridCol w:w="2851"/>
      </w:tblGrid>
      <w:tr w:rsidR="006931AA" w:rsidRPr="00751B8C" w:rsidTr="000A1ECD">
        <w:trPr>
          <w:trHeight w:val="485"/>
          <w:tblHeader/>
        </w:trPr>
        <w:tc>
          <w:tcPr>
            <w:tcW w:w="386" w:type="pct"/>
            <w:shd w:val="clear" w:color="auto" w:fill="1F3864" w:themeFill="accent5" w:themeFillShade="80"/>
          </w:tcPr>
          <w:p w:rsidR="006931AA" w:rsidRPr="00751B8C" w:rsidRDefault="006931AA" w:rsidP="006931AA">
            <w:pPr>
              <w:spacing w:after="0" w:line="240" w:lineRule="auto"/>
              <w:rPr>
                <w:rFonts w:ascii="Verdana" w:eastAsia="Times New Roman" w:hAnsi="Verdana" w:cs="Times New Roman"/>
                <w:b/>
                <w:bCs/>
                <w:color w:val="FFFFFF" w:themeColor="background1"/>
                <w:sz w:val="20"/>
                <w:szCs w:val="20"/>
              </w:rPr>
            </w:pPr>
          </w:p>
        </w:tc>
        <w:tc>
          <w:tcPr>
            <w:tcW w:w="2844"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CF51D0" w:rsidRPr="00751B8C" w:rsidTr="008F5BDE">
        <w:trPr>
          <w:trHeight w:val="255"/>
          <w:tblHeader/>
        </w:trPr>
        <w:tc>
          <w:tcPr>
            <w:tcW w:w="386" w:type="pct"/>
            <w:shd w:val="clear" w:color="auto" w:fill="EDEDED" w:themeFill="accent3" w:themeFillTint="33"/>
          </w:tcPr>
          <w:p w:rsidR="00CF51D0" w:rsidRPr="00751B8C" w:rsidRDefault="00CF51D0" w:rsidP="00AD2B31">
            <w:pPr>
              <w:spacing w:after="0" w:line="240" w:lineRule="auto"/>
              <w:rPr>
                <w:rFonts w:ascii="Verdana" w:eastAsia="Times New Roman" w:hAnsi="Verdana" w:cstheme="minorHAnsi"/>
                <w:b/>
                <w:bCs/>
                <w:sz w:val="20"/>
                <w:szCs w:val="20"/>
              </w:rPr>
            </w:pPr>
            <w:r>
              <w:rPr>
                <w:rFonts w:ascii="Verdana" w:hAnsi="Verdana" w:cstheme="minorHAnsi"/>
                <w:b/>
                <w:sz w:val="20"/>
              </w:rPr>
              <w:t>Oznaka</w:t>
            </w:r>
          </w:p>
        </w:tc>
        <w:tc>
          <w:tcPr>
            <w:tcW w:w="793" w:type="pct"/>
            <w:shd w:val="clear" w:color="auto" w:fill="EDEDED" w:themeFill="accent3" w:themeFillTint="33"/>
            <w:noWrap/>
            <w:vAlign w:val="center"/>
            <w:hideMark/>
          </w:tcPr>
          <w:p w:rsidR="00CF51D0" w:rsidRPr="00751B8C" w:rsidRDefault="00CF51D0" w:rsidP="00D007B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CF51D0" w:rsidRPr="00751B8C" w:rsidRDefault="00CF51D0" w:rsidP="00D007B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688" w:type="pct"/>
            <w:shd w:val="clear" w:color="auto" w:fill="EDEDED" w:themeFill="accent3" w:themeFillTint="33"/>
            <w:vAlign w:val="center"/>
          </w:tcPr>
          <w:p w:rsidR="00CF51D0" w:rsidRPr="00751B8C" w:rsidRDefault="00CF51D0" w:rsidP="00D007B4">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082" w:type="pct"/>
            <w:shd w:val="clear" w:color="auto" w:fill="EDEDED" w:themeFill="accent3" w:themeFillTint="33"/>
            <w:vAlign w:val="center"/>
          </w:tcPr>
          <w:p w:rsidR="00CF51D0" w:rsidRPr="00751B8C" w:rsidRDefault="00CF51D0" w:rsidP="00D007B4">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CF51D0" w:rsidRPr="00751B8C" w:rsidTr="00390240">
        <w:trPr>
          <w:trHeight w:val="130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M.C1</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Developing others and people management</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Razvoj drugih i upravljanje ljudima</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pružanje pravodobnih, jasnih i posebnih smjernica, povratnih informacija i potpore drugima za utvrđivanje potreba i prilika za razvoj i osposobljavanje, za razvoj njihova znanja, vještina i sposobnosti potrebnih za obavljanje dodijeljenih zadaća ili za rješavanje problema i pokazivanje sposobnosti za upravljanje radnim zadaćama zaposlenika, njihovim razvojem i obavljanjem na način kojim se osigurava najveća učinkovitost ljudskih potencijala.</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M.C2</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Decision making</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Donošenje odluka</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primjenu učinkovitih pristupa za donošenje zaključaka ili razvoj rješenja i za poduzimanje pravodobnih mjera koje su u skladu s dostupnim podacima i činjenicama </w:t>
            </w:r>
            <w:r>
              <w:rPr>
                <w:rFonts w:ascii="Verdana" w:hAnsi="Verdana" w:cstheme="minorHAnsi"/>
                <w:sz w:val="20"/>
              </w:rPr>
              <w:lastRenderedPageBreak/>
              <w:t>zaprimljenima iz različitih izvora, ograničenjima i mogućim posljedicama.</w:t>
            </w:r>
          </w:p>
        </w:tc>
      </w:tr>
      <w:tr w:rsidR="00CF51D0" w:rsidRPr="00751B8C" w:rsidTr="00390240">
        <w:trPr>
          <w:trHeight w:val="1020"/>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lastRenderedPageBreak/>
              <w:t>M.C3</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Delegation</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Delegiranje</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dodjeljivanje odgovornosti za donošenje odluka i/ili obavljanje zadaća drugima, za osiguravanje jasne komunikacije o dodjeli odgovornosti i njihovu izvršavanju i pružanje odgovarajuće potpore na način kojim će se postići najveća moguća djelotvornost organizacija i pojedinaca.</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M.C4</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Facilitation and communication</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evoke engagement and creativity from others, use group capabilities to lead the group to consensus, effectively solve issues, accomplish tasks and mutual goals.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Olakšavanje i komunikacija</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poticanje sudjelovanja i kreativnosti drugih, za predvođenje grupe u postizanju konsenzusa, za učinkovito rješavanje problema, uspješno obavljanje zadaća i postizanje uzajamnih ciljeva.</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M.C5</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bookmarkStart w:id="12" w:name="RANGE!B8"/>
            <w:r w:rsidRPr="00751B8C">
              <w:rPr>
                <w:rFonts w:ascii="Verdana" w:hAnsi="Verdana" w:cstheme="minorHAnsi"/>
                <w:sz w:val="20"/>
                <w:szCs w:val="20"/>
              </w:rPr>
              <w:t>Leadership</w:t>
            </w:r>
            <w:bookmarkEnd w:id="12"/>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 xml:space="preserve">Demonstrating ability to energize and inspire individuals to strive towards the vision of the future, present clearly goals and objectives, create a sense of direction and purpose for employees </w:t>
            </w:r>
            <w:r w:rsidRPr="00751B8C">
              <w:rPr>
                <w:rFonts w:ascii="Verdana" w:hAnsi="Verdana" w:cstheme="minorHAnsi"/>
                <w:sz w:val="20"/>
                <w:szCs w:val="20"/>
              </w:rPr>
              <w:lastRenderedPageBreak/>
              <w:t>and act as a catalyst for action.</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lastRenderedPageBreak/>
              <w:t>Vodstvo</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poticanje i nadahnjivanje osoba da ostvare svoju viziju za </w:t>
            </w:r>
            <w:r>
              <w:rPr>
                <w:rFonts w:ascii="Verdana" w:hAnsi="Verdana" w:cstheme="minorHAnsi"/>
                <w:sz w:val="20"/>
              </w:rPr>
              <w:lastRenderedPageBreak/>
              <w:t>budućnost, za jasno predstavljanje ciljeva, za stvaranje osjećaja usmjerenosti i svrhe među zaposlenicima i za obavljanje uloge katalizatora za djelovanje.</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lastRenderedPageBreak/>
              <w:t>M.C6</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Multi-level stakeholder management</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 xml:space="preserve">Demonstrating ability to understand the goals and objectives of various stakeholders, ensure efficient cooperation and stakeholders engagement (incl. being open and stimulating exchange of good practices between different Member States).  </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Upravljanje dionicima na više razina</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razumijevanje ciljeva različitih dionika, osiguravanje učinkovite suradnje i sudjelovanja dionika (uklj. otvorenost i poticanje razmjene dobre prakse među različitim državama članicama).  </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M.C7</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Negotiating</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effectively explore (facilitating discussion, asking questions, responding to objections, etc.) alternatives and positions of others to reach outcomes that are accepted by all parties (a win-win solution).</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Pregovaranje</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djelotvorno istraživanje (olakšavanje rasprave, postavljanje pitanja, odgovaranje na prigovore itd.) alternativa i stajališta drugih u cilju postizanja rezultata koje prihvaćaju sve strane (povoljno rješenje za sve).</w:t>
            </w:r>
          </w:p>
        </w:tc>
      </w:tr>
      <w:tr w:rsidR="00CF51D0" w:rsidRPr="00751B8C" w:rsidTr="00390240">
        <w:trPr>
          <w:trHeight w:val="510"/>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M.C8</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Result orientation</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 xml:space="preserve">Demonstrating ability to set challenging goals, maintain focus and persistence and constantly achieve goals or deliver required results even in </w:t>
            </w:r>
            <w:r w:rsidRPr="00751B8C">
              <w:rPr>
                <w:rFonts w:ascii="Verdana" w:hAnsi="Verdana" w:cstheme="minorHAnsi"/>
                <w:sz w:val="20"/>
                <w:szCs w:val="20"/>
              </w:rPr>
              <w:lastRenderedPageBreak/>
              <w:t>the case of adversity.</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lastRenderedPageBreak/>
              <w:t>Usmjerenost na rezultate</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određivanje zahtjevnih ciljeva, održavanje </w:t>
            </w:r>
            <w:r>
              <w:rPr>
                <w:rFonts w:ascii="Verdana" w:hAnsi="Verdana" w:cstheme="minorHAnsi"/>
                <w:sz w:val="20"/>
              </w:rPr>
              <w:lastRenderedPageBreak/>
              <w:t>usredotočenosti i upornosti i stalno postizanje ciljeva ili za ostvarivanje potrebnih rezultata čak i u teškim uvjetima.</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lastRenderedPageBreak/>
              <w:t>M.C9</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Strategic management</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strategies aligned with the strategic direction of the organisation and achievement of objectives.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Strateško upravljanje</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donošenje odluka i poduzimanje mjera koje će dovesti do razvoja i provedbe strategija usklađenih sa strateškim usmjerenjem organizacije i ostvarenjem ciljeva.</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M.C10</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Risk management</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identify, analyse, assess and prioritize risks and to minimize, monitor, and control the probability and/or impact of unfortunate events or to maximize the realization of opportunities.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Upravljanje rizikom</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prepoznavanje, analizu i ocjenjivanje rizika te za određivanje prioriteta među rizicima i za ublažavanje, praćenje i kontrolu vjerojatnosti i/ili učinka nepovoljnih događaja ili za ostvarenje prilika u najvećoj mogućoj mjeri.</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t>M.C11</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Planning of resources</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manage organization's resources including but not limited to financial resources, inventory, human skills, production resources, information technology (IT) in an efficient and effective way.</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Planiranje resursa</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upravljanje resursima organizacije na učinkovit i djelotvoran način, uključujući, među ostalim, financijska </w:t>
            </w:r>
            <w:r>
              <w:rPr>
                <w:rFonts w:ascii="Verdana" w:hAnsi="Verdana" w:cstheme="minorHAnsi"/>
                <w:sz w:val="20"/>
              </w:rPr>
              <w:lastRenderedPageBreak/>
              <w:t>sredstva, inventar, vještine zaposlenih, sredstva za proizvodnju, informacijsku tehnologiju (IT).</w:t>
            </w:r>
          </w:p>
        </w:tc>
      </w:tr>
      <w:tr w:rsidR="00CF51D0" w:rsidRPr="00751B8C" w:rsidTr="00390240">
        <w:trPr>
          <w:trHeight w:val="765"/>
        </w:trPr>
        <w:tc>
          <w:tcPr>
            <w:tcW w:w="386" w:type="pct"/>
            <w:shd w:val="clear" w:color="000000" w:fill="FFFFFF"/>
            <w:vAlign w:val="center"/>
          </w:tcPr>
          <w:p w:rsidR="00CF51D0" w:rsidRPr="00751B8C" w:rsidRDefault="00CF51D0" w:rsidP="00B579F3">
            <w:pPr>
              <w:spacing w:after="0"/>
              <w:rPr>
                <w:rFonts w:ascii="Verdana" w:hAnsi="Verdana" w:cstheme="minorHAnsi"/>
                <w:sz w:val="20"/>
                <w:szCs w:val="20"/>
              </w:rPr>
            </w:pPr>
            <w:r>
              <w:rPr>
                <w:rFonts w:ascii="Verdana" w:hAnsi="Verdana" w:cstheme="minorHAnsi"/>
                <w:sz w:val="20"/>
              </w:rPr>
              <w:lastRenderedPageBreak/>
              <w:t>M.C12</w:t>
            </w:r>
          </w:p>
        </w:tc>
        <w:tc>
          <w:tcPr>
            <w:tcW w:w="793"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HR Strategy development and implementation</w:t>
            </w:r>
          </w:p>
        </w:tc>
        <w:tc>
          <w:tcPr>
            <w:tcW w:w="2051" w:type="pct"/>
            <w:shd w:val="clear" w:color="000000" w:fill="FFFFFF"/>
            <w:vAlign w:val="center"/>
            <w:hideMark/>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make decisions and take actions that lead to development and implementation of HR strategies aligned with the strategic direction of the organisation and achievement of objectives.</w:t>
            </w:r>
          </w:p>
        </w:tc>
        <w:tc>
          <w:tcPr>
            <w:tcW w:w="688"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Razvoj i provedba strategije za ljudske potencijale</w:t>
            </w:r>
          </w:p>
        </w:tc>
        <w:tc>
          <w:tcPr>
            <w:tcW w:w="1082"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donošenje odluka i poduzimanje mjera koje će dovesti do razvoja i provedbe strategija za ljudske potencijale usklađenih sa strateškim usmjerenjem organizacije i ostvarenjem ciljeva.</w:t>
            </w:r>
          </w:p>
        </w:tc>
      </w:tr>
    </w:tbl>
    <w:p w:rsidR="000E47BD" w:rsidRPr="003870A6" w:rsidRDefault="000E47BD" w:rsidP="000E47BD">
      <w:pPr>
        <w:spacing w:after="0"/>
        <w:rPr>
          <w:rFonts w:ascii="Verdana" w:hAnsi="Verdana" w:cstheme="minorHAnsi"/>
          <w:sz w:val="18"/>
          <w:szCs w:val="20"/>
        </w:rPr>
      </w:pPr>
    </w:p>
    <w:p w:rsidR="00306B4F" w:rsidRPr="003870A6" w:rsidRDefault="00306B4F" w:rsidP="004D1BB8">
      <w:pPr>
        <w:pStyle w:val="Heading1"/>
        <w:sectPr w:rsidR="00306B4F" w:rsidRPr="003870A6" w:rsidSect="00CD1306">
          <w:pgSz w:w="15840" w:h="12240" w:orient="landscape"/>
          <w:pgMar w:top="1440" w:right="1440" w:bottom="1440" w:left="1440" w:header="720" w:footer="720" w:gutter="0"/>
          <w:cols w:space="720"/>
          <w:docGrid w:linePitch="360"/>
        </w:sectPr>
      </w:pPr>
    </w:p>
    <w:p w:rsidR="000E47BD" w:rsidRPr="003870A6" w:rsidRDefault="000E47BD" w:rsidP="004D1BB8">
      <w:pPr>
        <w:pStyle w:val="Heading1"/>
      </w:pPr>
      <w:bookmarkStart w:id="13" w:name="_Toc494906123"/>
      <w:bookmarkStart w:id="14" w:name="_Toc508374263"/>
      <w:r>
        <w:lastRenderedPageBreak/>
        <w:t>Stručne kompetencije</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4"/>
        <w:gridCol w:w="1913"/>
        <w:gridCol w:w="5405"/>
        <w:gridCol w:w="2005"/>
        <w:gridCol w:w="2659"/>
      </w:tblGrid>
      <w:tr w:rsidR="006931AA" w:rsidRPr="00751B8C" w:rsidTr="006931AA">
        <w:trPr>
          <w:trHeight w:val="377"/>
          <w:tblHeader/>
        </w:trPr>
        <w:tc>
          <w:tcPr>
            <w:tcW w:w="453" w:type="pct"/>
            <w:shd w:val="clear" w:color="auto" w:fill="1F3864" w:themeFill="accent5" w:themeFillShade="80"/>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p>
        </w:tc>
        <w:tc>
          <w:tcPr>
            <w:tcW w:w="2777" w:type="pct"/>
            <w:gridSpan w:val="2"/>
            <w:shd w:val="clear" w:color="auto" w:fill="1F3864" w:themeFill="accent5" w:themeFillShade="80"/>
            <w:noWrap/>
            <w:vAlign w:val="center"/>
          </w:tcPr>
          <w:p w:rsidR="006931AA" w:rsidRPr="00751B8C" w:rsidRDefault="006931AA" w:rsidP="006931AA">
            <w:pPr>
              <w:spacing w:after="0" w:line="240" w:lineRule="auto"/>
              <w:jc w:val="center"/>
              <w:rPr>
                <w:rFonts w:ascii="Verdana" w:eastAsia="Times New Roman" w:hAnsi="Verdana" w:cstheme="minorHAnsi"/>
                <w:b/>
                <w:bCs/>
                <w:color w:val="FFFFFF" w:themeColor="background1"/>
                <w:sz w:val="20"/>
                <w:szCs w:val="20"/>
              </w:rPr>
            </w:pPr>
            <w:r>
              <w:rPr>
                <w:rFonts w:ascii="Verdana" w:hAnsi="Verdana" w:cstheme="minorHAnsi"/>
                <w:b/>
                <w:color w:val="FFFFFF" w:themeColor="background1"/>
                <w:sz w:val="20"/>
              </w:rPr>
              <w:t>engleski</w:t>
            </w:r>
          </w:p>
        </w:tc>
        <w:tc>
          <w:tcPr>
            <w:tcW w:w="1770" w:type="pct"/>
            <w:gridSpan w:val="2"/>
            <w:shd w:val="clear" w:color="auto" w:fill="1F3864" w:themeFill="accent5" w:themeFillShade="80"/>
            <w:vAlign w:val="center"/>
          </w:tcPr>
          <w:p w:rsidR="006931AA" w:rsidRPr="00751B8C" w:rsidRDefault="006931AA" w:rsidP="006931AA">
            <w:pPr>
              <w:spacing w:after="0" w:line="240" w:lineRule="auto"/>
              <w:jc w:val="center"/>
              <w:rPr>
                <w:rFonts w:ascii="Verdana" w:hAnsi="Verdana" w:cstheme="minorHAnsi"/>
                <w:b/>
                <w:color w:val="FFFFFF" w:themeColor="background1"/>
                <w:sz w:val="20"/>
                <w:szCs w:val="20"/>
              </w:rPr>
            </w:pPr>
            <w:r>
              <w:rPr>
                <w:rFonts w:ascii="Verdana" w:hAnsi="Verdana" w:cstheme="minorHAnsi"/>
                <w:b/>
                <w:color w:val="FFFFFF" w:themeColor="background1"/>
                <w:sz w:val="20"/>
              </w:rPr>
              <w:t>hrvatski</w:t>
            </w:r>
          </w:p>
        </w:tc>
      </w:tr>
      <w:tr w:rsidR="00CF51D0" w:rsidRPr="00751B8C" w:rsidTr="00105ED0">
        <w:trPr>
          <w:trHeight w:val="219"/>
          <w:tblHeader/>
        </w:trPr>
        <w:tc>
          <w:tcPr>
            <w:tcW w:w="453" w:type="pct"/>
            <w:shd w:val="clear" w:color="auto" w:fill="EDEDED" w:themeFill="accent3" w:themeFillTint="33"/>
            <w:vAlign w:val="center"/>
          </w:tcPr>
          <w:p w:rsidR="00CF51D0" w:rsidRPr="00751B8C" w:rsidRDefault="00CF51D0" w:rsidP="00B579F3">
            <w:pPr>
              <w:spacing w:after="0" w:line="240" w:lineRule="auto"/>
              <w:jc w:val="center"/>
              <w:rPr>
                <w:rFonts w:ascii="Verdana" w:eastAsia="Times New Roman" w:hAnsi="Verdana" w:cstheme="minorHAnsi"/>
                <w:b/>
                <w:bCs/>
                <w:sz w:val="20"/>
                <w:szCs w:val="20"/>
              </w:rPr>
            </w:pPr>
            <w:r>
              <w:rPr>
                <w:rFonts w:ascii="Verdana" w:hAnsi="Verdana" w:cstheme="minorHAnsi"/>
                <w:b/>
                <w:sz w:val="20"/>
              </w:rPr>
              <w:t>Oznaka</w:t>
            </w:r>
          </w:p>
        </w:tc>
        <w:tc>
          <w:tcPr>
            <w:tcW w:w="726" w:type="pct"/>
            <w:shd w:val="clear" w:color="auto" w:fill="EDEDED" w:themeFill="accent3" w:themeFillTint="33"/>
            <w:noWrap/>
            <w:vAlign w:val="center"/>
            <w:hideMark/>
          </w:tcPr>
          <w:p w:rsidR="00CF51D0" w:rsidRPr="00751B8C" w:rsidRDefault="00CF51D0" w:rsidP="00D007B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Competency</w:t>
            </w:r>
          </w:p>
        </w:tc>
        <w:tc>
          <w:tcPr>
            <w:tcW w:w="2051" w:type="pct"/>
            <w:shd w:val="clear" w:color="auto" w:fill="EDEDED" w:themeFill="accent3" w:themeFillTint="33"/>
            <w:noWrap/>
            <w:vAlign w:val="center"/>
            <w:hideMark/>
          </w:tcPr>
          <w:p w:rsidR="00CF51D0" w:rsidRPr="00751B8C" w:rsidRDefault="00CF51D0" w:rsidP="00D007B4">
            <w:pPr>
              <w:spacing w:after="0" w:line="240" w:lineRule="auto"/>
              <w:jc w:val="center"/>
              <w:rPr>
                <w:rFonts w:ascii="Verdana" w:eastAsia="Times New Roman" w:hAnsi="Verdana" w:cstheme="minorHAnsi"/>
                <w:b/>
                <w:bCs/>
                <w:sz w:val="20"/>
                <w:szCs w:val="20"/>
                <w:lang w:val="en-US"/>
              </w:rPr>
            </w:pPr>
            <w:r w:rsidRPr="00751B8C">
              <w:rPr>
                <w:rFonts w:ascii="Verdana" w:eastAsia="Times New Roman" w:hAnsi="Verdana" w:cstheme="minorHAnsi"/>
                <w:b/>
                <w:bCs/>
                <w:sz w:val="20"/>
                <w:szCs w:val="20"/>
                <w:lang w:val="en-US"/>
              </w:rPr>
              <w:t>Description</w:t>
            </w:r>
          </w:p>
        </w:tc>
        <w:tc>
          <w:tcPr>
            <w:tcW w:w="761" w:type="pct"/>
            <w:shd w:val="clear" w:color="auto" w:fill="EDEDED" w:themeFill="accent3" w:themeFillTint="33"/>
            <w:vAlign w:val="center"/>
          </w:tcPr>
          <w:p w:rsidR="00CF51D0" w:rsidRPr="00751B8C" w:rsidRDefault="00CF51D0" w:rsidP="00D007B4">
            <w:pPr>
              <w:spacing w:after="0" w:line="240" w:lineRule="auto"/>
              <w:jc w:val="center"/>
              <w:rPr>
                <w:rFonts w:ascii="Verdana" w:eastAsia="Times New Roman" w:hAnsi="Verdana" w:cstheme="minorHAnsi"/>
                <w:b/>
                <w:bCs/>
                <w:sz w:val="20"/>
                <w:szCs w:val="20"/>
              </w:rPr>
            </w:pPr>
            <w:r>
              <w:rPr>
                <w:rFonts w:ascii="Verdana" w:hAnsi="Verdana" w:cstheme="minorHAnsi"/>
                <w:b/>
                <w:sz w:val="20"/>
              </w:rPr>
              <w:t>Kompetencija</w:t>
            </w:r>
          </w:p>
        </w:tc>
        <w:tc>
          <w:tcPr>
            <w:tcW w:w="1009" w:type="pct"/>
            <w:shd w:val="clear" w:color="auto" w:fill="EDEDED" w:themeFill="accent3" w:themeFillTint="33"/>
            <w:vAlign w:val="center"/>
          </w:tcPr>
          <w:p w:rsidR="00CF51D0" w:rsidRPr="00751B8C" w:rsidRDefault="00CF51D0" w:rsidP="00D007B4">
            <w:pPr>
              <w:spacing w:after="0" w:line="240" w:lineRule="auto"/>
              <w:jc w:val="center"/>
              <w:rPr>
                <w:rFonts w:ascii="Verdana" w:eastAsia="Times New Roman" w:hAnsi="Verdana" w:cstheme="minorHAnsi"/>
                <w:b/>
                <w:bCs/>
                <w:sz w:val="20"/>
                <w:szCs w:val="20"/>
              </w:rPr>
            </w:pPr>
            <w:r>
              <w:rPr>
                <w:rFonts w:ascii="Verdana" w:hAnsi="Verdana" w:cstheme="minorHAnsi"/>
                <w:b/>
                <w:sz w:val="20"/>
              </w:rPr>
              <w:t>Opis</w:t>
            </w:r>
          </w:p>
        </w:tc>
      </w:tr>
      <w:tr w:rsidR="00CF51D0" w:rsidRPr="00751B8C" w:rsidTr="00390240">
        <w:trPr>
          <w:trHeight w:val="421"/>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P.C1</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Analytical skills</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Building a logical approach to address complex problems or opportunities by splitting them into constituent parts to identify underlying issues, determine cause and effect relationships and arrive at conclusions or decisions.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Analitičke vještine</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Primjenjivanje logičkog pristupa na složene probleme ili mogućnosti njihovom podjelom na sastavne dijelove u cilju prepoznavanja osnovnih problema, utvrđivanja uzročno-posljedičnog odnosa i donošenja zaključaka ili odluka.</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P.C2</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Communicating in writing</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Pisana komunikacija</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jasno i uvjerljivo iznošenje informacija i ideja u pisanom obliku, za odabir odgovarajućih sredstava pisane komunikacije i stila pisanja kojima se može doprijeti do publike, za uporabu točnog pravopisa, gramatike i interpunkcijskih znakova i pokazivanje sposobnosti za komunikaciju s različitim kulturama.</w:t>
            </w:r>
          </w:p>
        </w:tc>
      </w:tr>
      <w:tr w:rsidR="00CF51D0" w:rsidRPr="00751B8C" w:rsidTr="00390240">
        <w:trPr>
          <w:trHeight w:val="878"/>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lastRenderedPageBreak/>
              <w:t>P.C3</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Communicating verbally</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clearly express thoughts and ideas to individuals or groups using speech in a way that engages the audience, encourages two-way communication and helps them understand and retain the message, as well as demonstrating ability to communicate across cultures.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Verbalna komunikacija</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jasno izražavanje misli i ideja osobama ili skupinama uporabom govora na način kojim se privlači pozornost publike, potiče dvosmjerna komunikacija i pomaže im se da bolje razumiju i usvoje poruku te pokazivanje sposobnosti za komunikaciju s drugim kulturama.</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P.C4</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Conflict handling</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Rješavanje sukoba</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djelotvorno rješavanje sukoba s drugima priznavanjem različitih mišljenja, poticanjem otvorene rasprave i uporabom odgovarajućih interpersonalnih stilova i tehnika u cilju pronalaženja povoljnog rješenja za sve u sukobu između dvije ili više osoba.</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P.C5</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Flexibility and adaptability to change </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 xml:space="preserve">Demonstrating ability to adjust and retain effectiveness when experiencing major changes in work tasks, work environment, organisational </w:t>
            </w:r>
            <w:r w:rsidRPr="00751B8C">
              <w:rPr>
                <w:rFonts w:ascii="Verdana" w:hAnsi="Verdana" w:cstheme="minorHAnsi"/>
                <w:sz w:val="20"/>
                <w:szCs w:val="20"/>
              </w:rPr>
              <w:lastRenderedPageBreak/>
              <w:t xml:space="preserve">structure and culture, processes, requirements, and other work related aspects. </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lastRenderedPageBreak/>
              <w:t>Fleksibilnost i prilagodba promjenama </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prilagodbu i </w:t>
            </w:r>
            <w:r>
              <w:rPr>
                <w:rFonts w:ascii="Verdana" w:hAnsi="Verdana" w:cstheme="minorHAnsi"/>
                <w:sz w:val="20"/>
              </w:rPr>
              <w:lastRenderedPageBreak/>
              <w:t xml:space="preserve">zadržavanje djelotvornosti u slučaju velikih promjena radnih zadaća, radnog okruženja, ustrojstvene strukture i kulture, postupaka, zahtjeva i ostalih aspekata povezanih s poslom. </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lastRenderedPageBreak/>
              <w:t>P.C6</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Problem solving</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identify problems by using logic, intuition, data, conducting appropriate analyses, searches and involving others (if needed) in order to arrive at solutions or decisions.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Rješavanje problema</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prepoznavanje problema uporabom logike, intuicije, podataka, provođenjem odgovarajućih analiza, pretraživanja i uključivanjem drugih (prema potrebi) u cilju postizanja rješenja ili donošenja odluka.</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P.C7</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Team work</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work cooperatively and collaboratively with other colleagues from different structural units and ranks in order to accomplish collective goals.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Timski rad</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suradnju s drugim kolegama iz različitih ustrojstvenih jedinica i različitih položaja u cilju postizanja zajedničkih ciljeva.</w:t>
            </w:r>
          </w:p>
        </w:tc>
      </w:tr>
      <w:tr w:rsidR="00CF51D0" w:rsidRPr="00751B8C" w:rsidTr="00390240">
        <w:trPr>
          <w:trHeight w:val="43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P.C8</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Technological ability</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 xml:space="preserve">Demonstrating ability to use appropriate personal computer software, information systems and other IT tools (e.g. Microsoft Office programs) that are </w:t>
            </w:r>
            <w:r w:rsidRPr="00751B8C">
              <w:rPr>
                <w:rFonts w:ascii="Verdana" w:hAnsi="Verdana" w:cstheme="minorHAnsi"/>
                <w:sz w:val="20"/>
                <w:szCs w:val="20"/>
              </w:rPr>
              <w:lastRenderedPageBreak/>
              <w:t>required to accomplish work goals.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lastRenderedPageBreak/>
              <w:t>Tehnološka sposobnost</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uporabu odgovarajuće osobne </w:t>
            </w:r>
            <w:r>
              <w:rPr>
                <w:rFonts w:ascii="Verdana" w:hAnsi="Verdana" w:cstheme="minorHAnsi"/>
                <w:sz w:val="20"/>
              </w:rPr>
              <w:lastRenderedPageBreak/>
              <w:t>računalne podrške, informacijskih sustava i ostalih alata IT-a (npr. programa Microsoft Office) koji su potrebni za ostvarivanje radnih ciljeva.</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lastRenderedPageBreak/>
              <w:t>P.C9</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Usage of monitoring and information system</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use EU funds monitoring and information systems (both external and internal if available) in order to accomplish work goals.</w:t>
            </w:r>
          </w:p>
        </w:tc>
        <w:tc>
          <w:tcPr>
            <w:tcW w:w="761" w:type="pct"/>
            <w:shd w:val="clear" w:color="000000" w:fill="FFFFFF"/>
            <w:vAlign w:val="center"/>
          </w:tcPr>
          <w:p w:rsidR="00CF51D0" w:rsidRPr="00751B8C" w:rsidRDefault="00CF51D0" w:rsidP="006D47FF">
            <w:pPr>
              <w:spacing w:after="0"/>
              <w:rPr>
                <w:rFonts w:ascii="Verdana" w:hAnsi="Verdana" w:cstheme="minorHAnsi"/>
                <w:sz w:val="20"/>
                <w:szCs w:val="20"/>
              </w:rPr>
            </w:pPr>
            <w:r>
              <w:rPr>
                <w:rFonts w:ascii="Verdana" w:hAnsi="Verdana" w:cstheme="minorHAnsi"/>
                <w:sz w:val="20"/>
              </w:rPr>
              <w:t>Uporaba sustava za praćenje i inform</w:t>
            </w:r>
            <w:r w:rsidR="006D47FF">
              <w:rPr>
                <w:rFonts w:ascii="Verdana" w:hAnsi="Verdana" w:cstheme="minorHAnsi"/>
                <w:sz w:val="20"/>
              </w:rPr>
              <w:t>acijskih sustava</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uporabu sustava za praćenje fondova EU-a i za informiranje o njima (vanjsko i unutarnje, ako su dostupni) u cilju postizanja radnih ciljeva.</w:t>
            </w:r>
          </w:p>
        </w:tc>
      </w:tr>
      <w:tr w:rsidR="00CF51D0" w:rsidRPr="00751B8C" w:rsidTr="00390240">
        <w:trPr>
          <w:trHeight w:val="398"/>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P.C10</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Representation to the outside world</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act or speak for institution in an efficient way and appropriate manner.</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Predstavljanje vanjskom svijetu</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djelovanje ili govorenje u ime institucije na učinkovit i odgovarajući način.</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P.C11</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Relevant language skills</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apply relevant foreign language skills in order to carry out the assigned functions and accomplish work goals.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Relevantne jezične vještine</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Pokazivanje sposobnosti za primjenu relevantnih jezičnih vještina za obavljanje dodijeljenih funkcija i ostvarivanje radnih ciljeva.</w:t>
            </w:r>
          </w:p>
        </w:tc>
      </w:tr>
      <w:tr w:rsidR="00CF51D0" w:rsidRPr="00751B8C" w:rsidTr="00390240">
        <w:trPr>
          <w:trHeight w:val="659"/>
        </w:trPr>
        <w:tc>
          <w:tcPr>
            <w:tcW w:w="453" w:type="pct"/>
            <w:shd w:val="clear" w:color="000000" w:fill="FFFFFF"/>
            <w:vAlign w:val="center"/>
          </w:tcPr>
          <w:p w:rsidR="00CF51D0" w:rsidRPr="00751B8C" w:rsidRDefault="00CF51D0" w:rsidP="003F0065">
            <w:pPr>
              <w:spacing w:after="0"/>
              <w:rPr>
                <w:rFonts w:ascii="Verdana" w:hAnsi="Verdana" w:cstheme="minorHAnsi"/>
                <w:sz w:val="20"/>
                <w:szCs w:val="20"/>
              </w:rPr>
            </w:pPr>
            <w:r>
              <w:rPr>
                <w:rFonts w:ascii="Verdana" w:hAnsi="Verdana" w:cstheme="minorHAnsi"/>
                <w:sz w:val="20"/>
              </w:rPr>
              <w:t>P.C12</w:t>
            </w:r>
          </w:p>
        </w:tc>
        <w:tc>
          <w:tcPr>
            <w:tcW w:w="726"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Intercultural skills</w:t>
            </w:r>
          </w:p>
        </w:tc>
        <w:tc>
          <w:tcPr>
            <w:tcW w:w="2051" w:type="pct"/>
            <w:shd w:val="clear" w:color="000000" w:fill="FFFFFF"/>
            <w:vAlign w:val="center"/>
          </w:tcPr>
          <w:p w:rsidR="00CF51D0" w:rsidRPr="00751B8C" w:rsidRDefault="00CF51D0" w:rsidP="00D007B4">
            <w:pPr>
              <w:spacing w:after="0"/>
              <w:rPr>
                <w:rFonts w:ascii="Verdana" w:hAnsi="Verdana" w:cstheme="minorHAnsi"/>
                <w:sz w:val="20"/>
                <w:szCs w:val="20"/>
              </w:rPr>
            </w:pPr>
            <w:r w:rsidRPr="00751B8C">
              <w:rPr>
                <w:rFonts w:ascii="Verdana" w:hAnsi="Verdana" w:cstheme="minorHAnsi"/>
                <w:sz w:val="20"/>
                <w:szCs w:val="20"/>
              </w:rPr>
              <w:t>Demonstrating ability to work in multi-cultural environment, efficiently dealing with stakeholders in EU institutions and other member states.</w:t>
            </w:r>
          </w:p>
        </w:tc>
        <w:tc>
          <w:tcPr>
            <w:tcW w:w="761"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Interkulturalne vještine</w:t>
            </w:r>
          </w:p>
        </w:tc>
        <w:tc>
          <w:tcPr>
            <w:tcW w:w="1009" w:type="pct"/>
            <w:shd w:val="clear" w:color="000000" w:fill="FFFFFF"/>
            <w:vAlign w:val="center"/>
          </w:tcPr>
          <w:p w:rsidR="00CF51D0" w:rsidRPr="00751B8C" w:rsidRDefault="00CF51D0" w:rsidP="00D007B4">
            <w:pPr>
              <w:spacing w:after="0"/>
              <w:rPr>
                <w:rFonts w:ascii="Verdana" w:hAnsi="Verdana" w:cstheme="minorHAnsi"/>
                <w:sz w:val="20"/>
                <w:szCs w:val="20"/>
              </w:rPr>
            </w:pPr>
            <w:r>
              <w:rPr>
                <w:rFonts w:ascii="Verdana" w:hAnsi="Verdana" w:cstheme="minorHAnsi"/>
                <w:sz w:val="20"/>
              </w:rPr>
              <w:t xml:space="preserve">Pokazivanje sposobnosti za rad u multikulturalnom </w:t>
            </w:r>
            <w:r>
              <w:rPr>
                <w:rFonts w:ascii="Verdana" w:hAnsi="Verdana" w:cstheme="minorHAnsi"/>
                <w:sz w:val="20"/>
              </w:rPr>
              <w:lastRenderedPageBreak/>
              <w:t>okruženju, za učinkovito postupanje s dionicima u institucijama EU-a i u drugim državama članicama.</w:t>
            </w:r>
          </w:p>
        </w:tc>
      </w:tr>
    </w:tbl>
    <w:p w:rsidR="00A30ABC" w:rsidRPr="003870A6" w:rsidRDefault="00A30ABC" w:rsidP="004D1BB8">
      <w:pPr>
        <w:pStyle w:val="Heading1"/>
        <w:numPr>
          <w:ilvl w:val="0"/>
          <w:numId w:val="0"/>
        </w:numPr>
      </w:pPr>
    </w:p>
    <w:p w:rsidR="00A30ABC" w:rsidRPr="003870A6" w:rsidRDefault="00A30ABC" w:rsidP="000E47BD">
      <w:pPr>
        <w:rPr>
          <w:rFonts w:ascii="Verdana" w:hAnsi="Verdana" w:cstheme="minorHAnsi"/>
          <w:b/>
          <w:i/>
          <w:sz w:val="18"/>
          <w:szCs w:val="20"/>
        </w:rPr>
      </w:pPr>
    </w:p>
    <w:sectPr w:rsidR="00A30ABC" w:rsidRPr="003870A6"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15" w:rsidRDefault="00325315" w:rsidP="0008776A">
      <w:pPr>
        <w:spacing w:after="0" w:line="240" w:lineRule="auto"/>
      </w:pPr>
      <w:r>
        <w:separator/>
      </w:r>
    </w:p>
  </w:endnote>
  <w:endnote w:type="continuationSeparator" w:id="0">
    <w:p w:rsidR="00325315" w:rsidRDefault="00325315"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570949"/>
      <w:docPartObj>
        <w:docPartGallery w:val="Page Numbers (Bottom of Page)"/>
        <w:docPartUnique/>
      </w:docPartObj>
    </w:sdtPr>
    <w:sdtEndPr>
      <w:rPr>
        <w:rFonts w:asciiTheme="minorHAnsi" w:hAnsiTheme="minorHAnsi" w:cstheme="minorHAnsi"/>
        <w:noProof/>
      </w:rPr>
    </w:sdtEndPr>
    <w:sdtContent>
      <w:p w:rsidR="00F94695" w:rsidRPr="0008776A" w:rsidRDefault="00F94695"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477E22">
          <w:rPr>
            <w:rFonts w:asciiTheme="minorHAnsi" w:hAnsiTheme="minorHAnsi" w:cstheme="minorHAnsi"/>
            <w:noProof/>
          </w:rPr>
          <w:t>7</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15" w:rsidRDefault="00325315" w:rsidP="0008776A">
      <w:pPr>
        <w:spacing w:after="0" w:line="240" w:lineRule="auto"/>
      </w:pPr>
      <w:r>
        <w:separator/>
      </w:r>
    </w:p>
  </w:footnote>
  <w:footnote w:type="continuationSeparator" w:id="0">
    <w:p w:rsidR="00325315" w:rsidRDefault="00325315" w:rsidP="000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95" w:rsidRPr="00313892" w:rsidRDefault="00F94695" w:rsidP="00313892">
    <w:pPr>
      <w:pStyle w:val="Header"/>
      <w:pBdr>
        <w:bottom w:val="single" w:sz="4" w:space="1" w:color="808080" w:themeColor="background1" w:themeShade="80"/>
      </w:pBdr>
      <w:spacing w:line="276" w:lineRule="auto"/>
      <w:jc w:val="center"/>
      <w:rPr>
        <w:rFonts w:ascii="Verdana" w:hAnsi="Verdana"/>
        <w:color w:val="808080" w:themeColor="background1" w:themeShade="80"/>
      </w:rPr>
    </w:pPr>
    <w:r>
      <w:tab/>
    </w:r>
    <w:r>
      <w:rPr>
        <w:rFonts w:ascii="Verdana" w:hAnsi="Verdana"/>
        <w:color w:val="808080" w:themeColor="background1" w:themeShade="80"/>
      </w:rPr>
      <w:t>Okvir kompetencija EU-a – Pojmovnik izraza koji se upotrebljavaju u Alatu za samoprocjenu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98"/>
    <w:multiLevelType w:val="multilevel"/>
    <w:tmpl w:val="215AF706"/>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A1ECD"/>
    <w:rsid w:val="000C44D2"/>
    <w:rsid w:val="000E47BD"/>
    <w:rsid w:val="000E49C3"/>
    <w:rsid w:val="00123EE5"/>
    <w:rsid w:val="001319E4"/>
    <w:rsid w:val="001A5137"/>
    <w:rsid w:val="001B5122"/>
    <w:rsid w:val="001C491D"/>
    <w:rsid w:val="001D4E04"/>
    <w:rsid w:val="001D7CC2"/>
    <w:rsid w:val="001F0D1D"/>
    <w:rsid w:val="00206F86"/>
    <w:rsid w:val="00231B6E"/>
    <w:rsid w:val="0024769A"/>
    <w:rsid w:val="002717F0"/>
    <w:rsid w:val="00272779"/>
    <w:rsid w:val="002A4AB7"/>
    <w:rsid w:val="002D1A61"/>
    <w:rsid w:val="00306B4F"/>
    <w:rsid w:val="00313892"/>
    <w:rsid w:val="00325315"/>
    <w:rsid w:val="00366D75"/>
    <w:rsid w:val="003839D5"/>
    <w:rsid w:val="003870A6"/>
    <w:rsid w:val="00390240"/>
    <w:rsid w:val="003928BC"/>
    <w:rsid w:val="003958B1"/>
    <w:rsid w:val="003966E7"/>
    <w:rsid w:val="003F0065"/>
    <w:rsid w:val="003F072E"/>
    <w:rsid w:val="00416AA7"/>
    <w:rsid w:val="0044373B"/>
    <w:rsid w:val="00476CF8"/>
    <w:rsid w:val="00477E22"/>
    <w:rsid w:val="004B0758"/>
    <w:rsid w:val="004D1BB8"/>
    <w:rsid w:val="004F71B4"/>
    <w:rsid w:val="00536145"/>
    <w:rsid w:val="00554E39"/>
    <w:rsid w:val="00584C64"/>
    <w:rsid w:val="005C3880"/>
    <w:rsid w:val="005D6AFD"/>
    <w:rsid w:val="005F5DB2"/>
    <w:rsid w:val="006029E1"/>
    <w:rsid w:val="00614B9B"/>
    <w:rsid w:val="0062042A"/>
    <w:rsid w:val="006645FC"/>
    <w:rsid w:val="006744F9"/>
    <w:rsid w:val="006931AA"/>
    <w:rsid w:val="006C1E04"/>
    <w:rsid w:val="006C2D1C"/>
    <w:rsid w:val="006D47FF"/>
    <w:rsid w:val="006E738D"/>
    <w:rsid w:val="00716D09"/>
    <w:rsid w:val="007320E2"/>
    <w:rsid w:val="00746147"/>
    <w:rsid w:val="00751B8C"/>
    <w:rsid w:val="00757D2E"/>
    <w:rsid w:val="00787821"/>
    <w:rsid w:val="007D60DC"/>
    <w:rsid w:val="00822B80"/>
    <w:rsid w:val="008339CD"/>
    <w:rsid w:val="00834E93"/>
    <w:rsid w:val="0084461D"/>
    <w:rsid w:val="008806DD"/>
    <w:rsid w:val="008E21AD"/>
    <w:rsid w:val="008F4A1B"/>
    <w:rsid w:val="00910BED"/>
    <w:rsid w:val="009248AB"/>
    <w:rsid w:val="009259B3"/>
    <w:rsid w:val="00927761"/>
    <w:rsid w:val="009A279A"/>
    <w:rsid w:val="00A30ABC"/>
    <w:rsid w:val="00A564CD"/>
    <w:rsid w:val="00A97695"/>
    <w:rsid w:val="00AB64E3"/>
    <w:rsid w:val="00AD2B31"/>
    <w:rsid w:val="00AD341D"/>
    <w:rsid w:val="00B14669"/>
    <w:rsid w:val="00B579F3"/>
    <w:rsid w:val="00B967FA"/>
    <w:rsid w:val="00C02038"/>
    <w:rsid w:val="00C35824"/>
    <w:rsid w:val="00C971E1"/>
    <w:rsid w:val="00CC3497"/>
    <w:rsid w:val="00CD1306"/>
    <w:rsid w:val="00CE608F"/>
    <w:rsid w:val="00CF51D0"/>
    <w:rsid w:val="00CF51E8"/>
    <w:rsid w:val="00CF661F"/>
    <w:rsid w:val="00CF6967"/>
    <w:rsid w:val="00D02119"/>
    <w:rsid w:val="00D27017"/>
    <w:rsid w:val="00D42D77"/>
    <w:rsid w:val="00D516C0"/>
    <w:rsid w:val="00D92F59"/>
    <w:rsid w:val="00D97BC9"/>
    <w:rsid w:val="00DE43D7"/>
    <w:rsid w:val="00DE6C01"/>
    <w:rsid w:val="00E44B41"/>
    <w:rsid w:val="00E87A35"/>
    <w:rsid w:val="00EB6450"/>
    <w:rsid w:val="00F15E49"/>
    <w:rsid w:val="00F26EB4"/>
    <w:rsid w:val="00F40B43"/>
    <w:rsid w:val="00F50847"/>
    <w:rsid w:val="00F55E53"/>
    <w:rsid w:val="00F74AE6"/>
    <w:rsid w:val="00F863CF"/>
    <w:rsid w:val="00F93A46"/>
    <w:rsid w:val="00F94695"/>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E61ED-3574-4033-B4E2-610B96D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hr-H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BB8"/>
    <w:pPr>
      <w:keepNext/>
      <w:keepLines/>
      <w:numPr>
        <w:numId w:val="2"/>
      </w:numPr>
      <w:spacing w:after="120"/>
      <w:ind w:left="547" w:hanging="547"/>
      <w:outlineLvl w:val="0"/>
    </w:pPr>
    <w:rPr>
      <w:rFonts w:ascii="Verdana" w:eastAsiaTheme="majorEastAsia" w:hAnsi="Verdana" w:cstheme="minorHAnsi"/>
      <w:b/>
      <w:color w:val="003399"/>
      <w:kern w:val="1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BB8"/>
    <w:rPr>
      <w:rFonts w:ascii="Verdana" w:eastAsiaTheme="majorEastAsia" w:hAnsi="Verdana" w:cstheme="minorHAnsi"/>
      <w:b/>
      <w:color w:val="003399"/>
      <w:kern w:val="12"/>
      <w:sz w:val="32"/>
      <w:szCs w:val="40"/>
      <w:lang w:val="hr-HR"/>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hr-HR"/>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hr-HR"/>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hr-HR"/>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hr-HR"/>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4D1BB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ADBDA-AD93-45A0-BAFD-594E51B5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24</Pages>
  <Words>4192</Words>
  <Characters>27923</Characters>
  <Application>Microsoft Office Word</Application>
  <DocSecurity>0</DocSecurity>
  <Lines>1396</Lines>
  <Paragraphs>573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PERRIN Denisa (REGIO)</cp:lastModifiedBy>
  <cp:revision>22</cp:revision>
  <cp:lastPrinted>2017-03-22T18:35:00Z</cp:lastPrinted>
  <dcterms:created xsi:type="dcterms:W3CDTF">2017-10-04T12:00:00Z</dcterms:created>
  <dcterms:modified xsi:type="dcterms:W3CDTF">2018-04-13T13:04:00Z</dcterms:modified>
</cp:coreProperties>
</file>